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E4581" w14:textId="77777777" w:rsidR="003861A2" w:rsidRPr="00707064" w:rsidRDefault="003861A2" w:rsidP="003861A2">
      <w:pPr>
        <w:spacing w:after="240"/>
        <w:jc w:val="center"/>
        <w:rPr>
          <w:b/>
          <w:i/>
          <w:szCs w:val="24"/>
          <w:highlight w:val="yellow"/>
        </w:rPr>
      </w:pPr>
      <w:r>
        <w:rPr>
          <w:rFonts w:ascii="Arial" w:hAnsi="Arial" w:cs="Arial"/>
          <w:b/>
          <w:noProof/>
          <w:color w:val="000080"/>
          <w:sz w:val="28"/>
          <w:szCs w:val="28"/>
        </w:rPr>
        <w:drawing>
          <wp:inline distT="0" distB="0" distL="0" distR="0" wp14:anchorId="0582C7EE" wp14:editId="053CBB1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CD743DD" w14:textId="704BD95B" w:rsidR="0050188B" w:rsidRPr="003861A2" w:rsidRDefault="003861A2" w:rsidP="003861A2">
      <w:pPr>
        <w:pStyle w:val="Title"/>
        <w:tabs>
          <w:tab w:val="left" w:pos="1926"/>
          <w:tab w:val="center" w:pos="4513"/>
        </w:tabs>
        <w:jc w:val="left"/>
      </w:pPr>
      <w:r>
        <w:tab/>
      </w:r>
      <w:r>
        <w:tab/>
      </w:r>
      <w:r w:rsidRPr="00F715D1">
        <w:t>Public Summary Document</w:t>
      </w:r>
    </w:p>
    <w:p w14:paraId="102906E8" w14:textId="2B4E1BF0" w:rsidR="00E56F74" w:rsidRPr="003861A2" w:rsidRDefault="003861A2" w:rsidP="003861A2">
      <w:pPr>
        <w:pStyle w:val="Subtitle"/>
      </w:pPr>
      <w:r>
        <w:t xml:space="preserve">Application </w:t>
      </w:r>
      <w:r w:rsidR="00E56F74" w:rsidRPr="003861A2">
        <w:t>1578 – Arthroscopic injection of a bioadhesive hydrogel implant (JointRep™), in conjunction with microfracture, for treatment of osteochondral defects of the knee</w:t>
      </w:r>
    </w:p>
    <w:p w14:paraId="7CDCADD0" w14:textId="70709D44" w:rsidR="00055F7C" w:rsidRPr="003861A2" w:rsidRDefault="00055F7C" w:rsidP="003861A2">
      <w:pPr>
        <w:tabs>
          <w:tab w:val="left" w:pos="3686"/>
        </w:tabs>
        <w:spacing w:before="240" w:after="240"/>
        <w:rPr>
          <w:rFonts w:ascii="Arial" w:hAnsi="Arial" w:cs="Arial"/>
          <w:b/>
          <w:szCs w:val="24"/>
        </w:rPr>
      </w:pPr>
      <w:r w:rsidRPr="003861A2">
        <w:rPr>
          <w:rFonts w:ascii="Arial" w:hAnsi="Arial" w:cs="Arial"/>
          <w:b/>
          <w:szCs w:val="24"/>
        </w:rPr>
        <w:t>Applicant: Device Technologies Australia</w:t>
      </w:r>
    </w:p>
    <w:p w14:paraId="1EB3BB0A" w14:textId="2E5E6449" w:rsidR="00B411FE" w:rsidRDefault="00676C49" w:rsidP="003861A2">
      <w:pPr>
        <w:tabs>
          <w:tab w:val="left" w:pos="3686"/>
        </w:tabs>
        <w:spacing w:before="240" w:after="240"/>
        <w:rPr>
          <w:rFonts w:ascii="Arial" w:hAnsi="Arial" w:cs="Arial"/>
          <w:b/>
          <w:szCs w:val="24"/>
        </w:rPr>
      </w:pPr>
      <w:r w:rsidRPr="003861A2">
        <w:rPr>
          <w:rFonts w:ascii="Arial" w:hAnsi="Arial" w:cs="Arial"/>
          <w:b/>
          <w:szCs w:val="24"/>
        </w:rPr>
        <w:t xml:space="preserve">Date of </w:t>
      </w:r>
      <w:r w:rsidR="003861A2">
        <w:rPr>
          <w:rFonts w:ascii="Arial" w:hAnsi="Arial" w:cs="Arial"/>
          <w:b/>
          <w:szCs w:val="24"/>
        </w:rPr>
        <w:t>MSAC</w:t>
      </w:r>
      <w:r w:rsidRPr="003861A2">
        <w:rPr>
          <w:rFonts w:ascii="Arial" w:hAnsi="Arial" w:cs="Arial"/>
          <w:b/>
          <w:szCs w:val="24"/>
        </w:rPr>
        <w:t xml:space="preserve"> </w:t>
      </w:r>
      <w:r w:rsidR="00065623" w:rsidRPr="003861A2">
        <w:rPr>
          <w:rFonts w:ascii="Arial" w:hAnsi="Arial" w:cs="Arial"/>
          <w:b/>
          <w:szCs w:val="24"/>
        </w:rPr>
        <w:t>consideration:</w:t>
      </w:r>
      <w:r w:rsidR="00471BF1" w:rsidRPr="003861A2">
        <w:rPr>
          <w:rFonts w:ascii="Arial" w:hAnsi="Arial" w:cs="Arial"/>
          <w:b/>
          <w:szCs w:val="24"/>
        </w:rPr>
        <w:t xml:space="preserve">  </w:t>
      </w:r>
      <w:r w:rsidR="007271D8">
        <w:rPr>
          <w:rFonts w:ascii="Arial" w:hAnsi="Arial" w:cs="Arial"/>
          <w:b/>
          <w:szCs w:val="24"/>
        </w:rPr>
        <w:t>MSAC 82</w:t>
      </w:r>
      <w:r w:rsidR="007271D8" w:rsidRPr="00425371">
        <w:rPr>
          <w:rFonts w:ascii="Arial" w:hAnsi="Arial" w:cs="Arial"/>
          <w:b/>
          <w:szCs w:val="24"/>
          <w:vertAlign w:val="superscript"/>
        </w:rPr>
        <w:t>nd</w:t>
      </w:r>
      <w:r w:rsidR="007271D8">
        <w:rPr>
          <w:rFonts w:ascii="Arial" w:hAnsi="Arial" w:cs="Arial"/>
          <w:b/>
          <w:szCs w:val="24"/>
        </w:rPr>
        <w:t xml:space="preserve"> Meeting, </w:t>
      </w:r>
      <w:r w:rsidR="003861A2">
        <w:rPr>
          <w:rFonts w:ascii="Arial" w:hAnsi="Arial" w:cs="Arial"/>
          <w:b/>
          <w:szCs w:val="24"/>
        </w:rPr>
        <w:t>29-30 July</w:t>
      </w:r>
      <w:r w:rsidR="00A47D97" w:rsidRPr="003861A2">
        <w:rPr>
          <w:rFonts w:ascii="Arial" w:hAnsi="Arial" w:cs="Arial"/>
          <w:b/>
          <w:szCs w:val="24"/>
        </w:rPr>
        <w:t xml:space="preserve"> 2021</w:t>
      </w:r>
    </w:p>
    <w:p w14:paraId="29C5D257" w14:textId="60F8AF9E" w:rsidR="00ED2631" w:rsidRPr="00ED2631" w:rsidRDefault="00ED2631" w:rsidP="00ED2631">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08A48B3" w14:textId="5063F8F6" w:rsidR="00576ED3" w:rsidRPr="003861A2" w:rsidRDefault="00065623" w:rsidP="00E378D6">
      <w:pPr>
        <w:pStyle w:val="Heading1"/>
        <w:rPr>
          <w:rFonts w:ascii="Arial" w:hAnsi="Arial" w:cs="Arial"/>
        </w:rPr>
      </w:pPr>
      <w:r w:rsidRPr="003861A2">
        <w:rPr>
          <w:rFonts w:ascii="Arial" w:hAnsi="Arial" w:cs="Arial"/>
        </w:rPr>
        <w:t>Purpose of application</w:t>
      </w:r>
    </w:p>
    <w:p w14:paraId="45212A82" w14:textId="4BCB1D46" w:rsidR="00D627C7" w:rsidRDefault="00D627C7" w:rsidP="009008D9">
      <w:pPr>
        <w:spacing w:after="240"/>
      </w:pPr>
      <w:r>
        <w:t xml:space="preserve">An application </w:t>
      </w:r>
      <w:r w:rsidR="00106B18">
        <w:t xml:space="preserve">seeking MSAC’s advice to inform the </w:t>
      </w:r>
      <w:r w:rsidR="00106B18" w:rsidRPr="00106B18">
        <w:t xml:space="preserve">Prostheses List Advisory Committee (PLAC) on the comparative safety, clinical effectiveness and cost-effectiveness of </w:t>
      </w:r>
      <w:r w:rsidR="00106B18">
        <w:t>a</w:t>
      </w:r>
      <w:r w:rsidR="00106B18" w:rsidRPr="00106B18">
        <w:t>rthroscopic injection of a bioadhesive hydrogel implant (JointRep™), in conjunction with microfracture, for treatment of osteochondral defects of the knee</w:t>
      </w:r>
      <w:r w:rsidR="00106B18">
        <w:t xml:space="preserve"> </w:t>
      </w:r>
      <w:r>
        <w:t xml:space="preserve">was received from </w:t>
      </w:r>
      <w:r w:rsidR="00106B18" w:rsidRPr="00106B18">
        <w:t>Device Technologies Australia</w:t>
      </w:r>
      <w:r>
        <w:t xml:space="preserve"> by the Department of Health.</w:t>
      </w:r>
    </w:p>
    <w:p w14:paraId="19E334DE" w14:textId="78386BCC" w:rsidR="00E378D6" w:rsidRDefault="003861A2" w:rsidP="00E378D6">
      <w:pPr>
        <w:pStyle w:val="Heading1"/>
        <w:rPr>
          <w:rFonts w:ascii="Arial" w:hAnsi="Arial" w:cs="Arial"/>
        </w:rPr>
      </w:pPr>
      <w:r w:rsidRPr="007D0728">
        <w:rPr>
          <w:rFonts w:ascii="Arial" w:hAnsi="Arial" w:cs="Arial"/>
        </w:rPr>
        <w:t>MSAC’s advice to the Minister</w:t>
      </w:r>
    </w:p>
    <w:p w14:paraId="7B05F9B7" w14:textId="1194EF90" w:rsidR="00E378D6" w:rsidRDefault="00E378D6" w:rsidP="009008D9">
      <w:pPr>
        <w:spacing w:before="240" w:after="240"/>
      </w:pPr>
      <w:r>
        <w:t xml:space="preserve">After considering the strength of the available evidence in relation to comparative safety, clinical effectiveness and cost-effectiveness, MSAC </w:t>
      </w:r>
      <w:r w:rsidR="005836ED">
        <w:t xml:space="preserve">will advise </w:t>
      </w:r>
      <w:r w:rsidR="0049035F">
        <w:t>t</w:t>
      </w:r>
      <w:r>
        <w:t>he PLAC that there is insufficient evidence to demonstrate non-inferior safety, superior effectiveness and cost-effectiveness of JointRep™ in conjunction with microfracture compared with microfracture alone. In addition, MSAC concluded that the comparison of JointRep™ plus microfracture versus BST CarGel™ plus microfracture was uninformative and did not demonstrate non-inferior safety and effectiveness</w:t>
      </w:r>
      <w:r w:rsidR="003A45D0">
        <w:t>.</w:t>
      </w:r>
    </w:p>
    <w:tbl>
      <w:tblPr>
        <w:tblStyle w:val="TableGrid"/>
        <w:tblW w:w="0" w:type="auto"/>
        <w:tblLook w:val="04A0" w:firstRow="1" w:lastRow="0" w:firstColumn="1" w:lastColumn="0" w:noHBand="0" w:noVBand="1"/>
        <w:tblDescription w:val="Consumer summary of MSAC consideration"/>
      </w:tblPr>
      <w:tblGrid>
        <w:gridCol w:w="9016"/>
      </w:tblGrid>
      <w:tr w:rsidR="009008D9" w14:paraId="77B1D873" w14:textId="77777777" w:rsidTr="009008D9">
        <w:trPr>
          <w:tblHeader/>
        </w:trPr>
        <w:tc>
          <w:tcPr>
            <w:tcW w:w="9016" w:type="dxa"/>
          </w:tcPr>
          <w:p w14:paraId="07F907EE" w14:textId="098EE6F7" w:rsidR="009008D9" w:rsidRPr="009008D9" w:rsidRDefault="009008D9" w:rsidP="009008D9">
            <w:pPr>
              <w:spacing w:before="120" w:after="120"/>
              <w:rPr>
                <w:rFonts w:ascii="Times New Roman" w:hAnsi="Times New Roman"/>
                <w:b/>
                <w:bCs/>
                <w:sz w:val="24"/>
                <w:szCs w:val="24"/>
              </w:rPr>
            </w:pPr>
            <w:r w:rsidRPr="009008D9">
              <w:rPr>
                <w:rFonts w:ascii="Times New Roman" w:hAnsi="Times New Roman"/>
                <w:b/>
                <w:bCs/>
                <w:sz w:val="24"/>
                <w:szCs w:val="24"/>
              </w:rPr>
              <w:t>Consumer summary</w:t>
            </w:r>
          </w:p>
        </w:tc>
      </w:tr>
      <w:tr w:rsidR="009008D9" w14:paraId="600AA183" w14:textId="77777777" w:rsidTr="009008D9">
        <w:tc>
          <w:tcPr>
            <w:tcW w:w="9016" w:type="dxa"/>
          </w:tcPr>
          <w:p w14:paraId="38DCB7D7" w14:textId="77777777" w:rsidR="009008D9" w:rsidRPr="009008D9" w:rsidRDefault="009008D9" w:rsidP="009008D9">
            <w:pPr>
              <w:spacing w:before="120"/>
              <w:rPr>
                <w:rFonts w:ascii="Times New Roman" w:hAnsi="Times New Roman"/>
                <w:sz w:val="24"/>
                <w:szCs w:val="24"/>
              </w:rPr>
            </w:pPr>
            <w:r w:rsidRPr="009008D9">
              <w:rPr>
                <w:rFonts w:ascii="Times New Roman" w:hAnsi="Times New Roman"/>
                <w:sz w:val="24"/>
                <w:szCs w:val="24"/>
              </w:rPr>
              <w:t>This application is in response to a request from the Prostheses List Advisory Committee (PLAC) for MSAC to assess the safety, effectiveness and value-for-money of JointRep plus microfracture compared to microfracture alone, for the repair of cartilage defects of the knee. JointRep is already listed on the Prostheses List.</w:t>
            </w:r>
          </w:p>
          <w:p w14:paraId="4C09F6C2" w14:textId="2B515AFE" w:rsidR="009008D9" w:rsidRPr="009008D9" w:rsidRDefault="009008D9" w:rsidP="009008D9">
            <w:pPr>
              <w:spacing w:before="240"/>
              <w:rPr>
                <w:rFonts w:ascii="Times New Roman" w:hAnsi="Times New Roman"/>
                <w:sz w:val="24"/>
                <w:szCs w:val="24"/>
              </w:rPr>
            </w:pPr>
            <w:r w:rsidRPr="009008D9">
              <w:rPr>
                <w:rFonts w:ascii="Times New Roman" w:hAnsi="Times New Roman"/>
                <w:sz w:val="24"/>
                <w:szCs w:val="24"/>
              </w:rPr>
              <w:t>Cartilage cushions the bones so that joints (such as the knee) can move easily. If cartilage is damaged, it can be difficult to regenerate (regrow) on its own. If damaged knee cartilage fails to repair using non-surgical treatments, surgical treatments such as microfracture may be considered. Microfracture is a surgical procedure where many small holes are made in the surface of the knee joint, which may stimulate a healing response</w:t>
            </w:r>
            <w:r w:rsidR="00544815">
              <w:rPr>
                <w:rFonts w:ascii="Times New Roman" w:hAnsi="Times New Roman"/>
                <w:sz w:val="24"/>
                <w:szCs w:val="24"/>
              </w:rPr>
              <w:t>, a</w:t>
            </w:r>
            <w:r w:rsidRPr="009008D9">
              <w:rPr>
                <w:rFonts w:ascii="Times New Roman" w:hAnsi="Times New Roman"/>
                <w:sz w:val="24"/>
                <w:szCs w:val="24"/>
              </w:rPr>
              <w:t>lthough the repair tissue can break down over time.</w:t>
            </w:r>
          </w:p>
          <w:p w14:paraId="4C6F8437" w14:textId="488EF104" w:rsidR="009008D9" w:rsidRPr="009008D9" w:rsidRDefault="009008D9" w:rsidP="008D5688">
            <w:pPr>
              <w:rPr>
                <w:rFonts w:ascii="Times New Roman" w:hAnsi="Times New Roman"/>
                <w:sz w:val="24"/>
                <w:szCs w:val="24"/>
              </w:rPr>
            </w:pPr>
            <w:r w:rsidRPr="009008D9">
              <w:rPr>
                <w:rFonts w:ascii="Times New Roman" w:hAnsi="Times New Roman"/>
                <w:sz w:val="24"/>
                <w:szCs w:val="24"/>
              </w:rPr>
              <w:lastRenderedPageBreak/>
              <w:t xml:space="preserve">JointRep is used together with microfracture and is claimed to help the healing process. JointRep is a gel that is designed to fill holes in the cartilage, building a scaffold that may help support the process of regrowing the knee cartilage. </w:t>
            </w:r>
          </w:p>
          <w:p w14:paraId="6902B4C9" w14:textId="4068193D" w:rsidR="009008D9" w:rsidRPr="009008D9" w:rsidRDefault="009008D9" w:rsidP="009008D9">
            <w:pPr>
              <w:spacing w:before="240"/>
              <w:rPr>
                <w:rFonts w:ascii="Times New Roman" w:hAnsi="Times New Roman"/>
                <w:sz w:val="24"/>
                <w:szCs w:val="24"/>
              </w:rPr>
            </w:pPr>
            <w:r w:rsidRPr="009008D9">
              <w:rPr>
                <w:rFonts w:ascii="Times New Roman" w:hAnsi="Times New Roman"/>
                <w:sz w:val="24"/>
                <w:szCs w:val="24"/>
              </w:rPr>
              <w:t xml:space="preserve">MSAC considered that the study using JointRep was poorly conducted and as such that the results were not reliable. Therefore, MSAC considered that there was not enough evidence to show that using JointRep in addition to microfracture was better or was good value for money compared with microfracture alone. </w:t>
            </w:r>
          </w:p>
          <w:p w14:paraId="27DE65DA" w14:textId="77777777" w:rsidR="009008D9" w:rsidRPr="009008D9" w:rsidRDefault="009008D9" w:rsidP="009008D9">
            <w:pPr>
              <w:spacing w:before="240"/>
              <w:rPr>
                <w:rFonts w:ascii="Times New Roman" w:hAnsi="Times New Roman"/>
                <w:b/>
                <w:sz w:val="24"/>
                <w:szCs w:val="24"/>
              </w:rPr>
            </w:pPr>
            <w:r w:rsidRPr="009008D9">
              <w:rPr>
                <w:rFonts w:ascii="Times New Roman" w:hAnsi="Times New Roman"/>
                <w:b/>
                <w:sz w:val="24"/>
                <w:szCs w:val="24"/>
              </w:rPr>
              <w:t>MSAC’s advice to PLAC</w:t>
            </w:r>
          </w:p>
          <w:p w14:paraId="7CC9AD4F" w14:textId="6B1C7CB7" w:rsidR="009008D9" w:rsidRPr="009008D9" w:rsidRDefault="009008D9" w:rsidP="009008D9">
            <w:pPr>
              <w:spacing w:before="120" w:after="120"/>
              <w:rPr>
                <w:rFonts w:ascii="Times New Roman" w:hAnsi="Times New Roman"/>
                <w:sz w:val="24"/>
                <w:szCs w:val="24"/>
              </w:rPr>
            </w:pPr>
            <w:r w:rsidRPr="009008D9">
              <w:rPr>
                <w:rFonts w:ascii="Times New Roman" w:hAnsi="Times New Roman"/>
                <w:sz w:val="24"/>
                <w:szCs w:val="24"/>
              </w:rPr>
              <w:t xml:space="preserve">MSAC advised PLAC that there was not enough evidence to demonstrate that using JointRep with microfracture is more effective or cost-effective compared to microfracture surgery alone. MSAC noted that a relevant clinical trial is currently underway (results expected December 2025), and that this trial may provide more evidence to </w:t>
            </w:r>
            <w:r w:rsidR="00544815">
              <w:rPr>
                <w:rFonts w:ascii="Times New Roman" w:hAnsi="Times New Roman"/>
                <w:sz w:val="24"/>
                <w:szCs w:val="24"/>
              </w:rPr>
              <w:t xml:space="preserve">inform </w:t>
            </w:r>
            <w:r w:rsidRPr="009008D9">
              <w:rPr>
                <w:rFonts w:ascii="Times New Roman" w:hAnsi="Times New Roman"/>
                <w:sz w:val="24"/>
                <w:szCs w:val="24"/>
              </w:rPr>
              <w:t>JointRep’s use in the future.</w:t>
            </w:r>
          </w:p>
        </w:tc>
      </w:tr>
    </w:tbl>
    <w:p w14:paraId="7F3D395D" w14:textId="77777777" w:rsidR="003861A2" w:rsidRPr="007D0728" w:rsidRDefault="003861A2" w:rsidP="003861A2">
      <w:pPr>
        <w:pStyle w:val="Heading1"/>
        <w:spacing w:before="240" w:after="240"/>
        <w:rPr>
          <w:rFonts w:ascii="Arial" w:hAnsi="Arial" w:cs="Arial"/>
        </w:rPr>
      </w:pPr>
      <w:r w:rsidRPr="007D0728">
        <w:rPr>
          <w:rFonts w:ascii="Arial" w:hAnsi="Arial" w:cs="Arial"/>
        </w:rPr>
        <w:lastRenderedPageBreak/>
        <w:t xml:space="preserve">Summary of consideration and rationale for MSAC’s advice </w:t>
      </w:r>
    </w:p>
    <w:p w14:paraId="58D238AE" w14:textId="7E4F5967" w:rsidR="00E378D6" w:rsidRDefault="00E378D6" w:rsidP="00101E11">
      <w:pPr>
        <w:spacing w:after="240"/>
      </w:pPr>
      <w:r>
        <w:t xml:space="preserve">MSAC noted the purpose of the application was to provide advice to PLAC </w:t>
      </w:r>
      <w:r w:rsidR="00E50CDF">
        <w:t xml:space="preserve">on the </w:t>
      </w:r>
      <w:r w:rsidR="005E1E81" w:rsidRPr="00106B18">
        <w:t>comparative safety, clinical effectiveness and cost-effectiveness</w:t>
      </w:r>
      <w:r w:rsidR="005E1E81">
        <w:t xml:space="preserve"> of</w:t>
      </w:r>
      <w:r>
        <w:t xml:space="preserve"> JointRep. JointRep is an injectable hydrogel scaffold</w:t>
      </w:r>
      <w:r w:rsidR="005E1E81">
        <w:t xml:space="preserve"> that is listed on the Prostheses List (PL). MSAC noted that JointRep is</w:t>
      </w:r>
      <w:r>
        <w:t xml:space="preserve"> used in conjunction with microfracture at the time of arthroscopy in </w:t>
      </w:r>
      <w:r w:rsidR="00821910">
        <w:t>patients</w:t>
      </w:r>
      <w:r>
        <w:t xml:space="preserve"> with </w:t>
      </w:r>
      <w:r w:rsidR="00821910">
        <w:t>symptomatic focal osteochondral defects (Outerbridge Grade III or IV)</w:t>
      </w:r>
      <w:r>
        <w:t xml:space="preserve"> defects of the knee to improve the growth of new cartilage.</w:t>
      </w:r>
      <w:r w:rsidR="00821910">
        <w:t xml:space="preserve"> MSAC noted microfracture, with or without JointRep, is claimed under </w:t>
      </w:r>
      <w:r w:rsidR="00DF0C8C">
        <w:t xml:space="preserve">existing </w:t>
      </w:r>
      <w:r w:rsidR="00821910">
        <w:t>MBS items 49559, 49561 and 49562.</w:t>
      </w:r>
      <w:r w:rsidR="00DF0C8C">
        <w:t xml:space="preserve"> MSAC noted these items descriptors</w:t>
      </w:r>
      <w:r w:rsidR="00BD6331">
        <w:t xml:space="preserve"> may require amending, or a new item created, to define the population who are suitable for microfracture or for JointRep in conjunction with microfracture.</w:t>
      </w:r>
    </w:p>
    <w:p w14:paraId="13D54787" w14:textId="4525D1CF" w:rsidR="00E378D6" w:rsidRDefault="00E378D6" w:rsidP="00101E11">
      <w:pPr>
        <w:spacing w:after="240"/>
      </w:pPr>
      <w:r>
        <w:t xml:space="preserve">MSAC recalled </w:t>
      </w:r>
      <w:r w:rsidR="00312EC2">
        <w:t>that it had previously</w:t>
      </w:r>
      <w:r w:rsidR="00312EC2" w:rsidRPr="00312EC2">
        <w:t xml:space="preserve"> considered a similar prosthesis</w:t>
      </w:r>
      <w:r w:rsidR="00944760">
        <w:t xml:space="preserve">, </w:t>
      </w:r>
      <w:r w:rsidR="00312EC2" w:rsidRPr="00312EC2">
        <w:t>BST-CarGel</w:t>
      </w:r>
      <w:r w:rsidR="00944760">
        <w:t xml:space="preserve"> (</w:t>
      </w:r>
      <w:hyperlink r:id="rId10" w:history="1">
        <w:r w:rsidR="00312EC2" w:rsidRPr="00E50CDF">
          <w:rPr>
            <w:rStyle w:val="Hyperlink"/>
          </w:rPr>
          <w:t>MSAC application 1569</w:t>
        </w:r>
      </w:hyperlink>
      <w:r w:rsidR="00312EC2" w:rsidRPr="00312EC2">
        <w:t>)</w:t>
      </w:r>
      <w:r w:rsidR="00944760">
        <w:t>,</w:t>
      </w:r>
      <w:r w:rsidR="00312EC2">
        <w:t xml:space="preserve"> at the 79</w:t>
      </w:r>
      <w:r w:rsidR="00312EC2" w:rsidRPr="00312EC2">
        <w:rPr>
          <w:vertAlign w:val="superscript"/>
        </w:rPr>
        <w:t>th</w:t>
      </w:r>
      <w:r w:rsidR="00312EC2">
        <w:t xml:space="preserve"> MSAC meeting in July 2020. MSAC </w:t>
      </w:r>
      <w:r w:rsidR="00E50CDF">
        <w:t>advised</w:t>
      </w:r>
      <w:r w:rsidR="00BC1AD1">
        <w:t xml:space="preserve"> </w:t>
      </w:r>
      <w:r w:rsidR="00312EC2" w:rsidRPr="00312EC2">
        <w:t>PLAC</w:t>
      </w:r>
      <w:r w:rsidR="00312EC2">
        <w:t xml:space="preserve"> </w:t>
      </w:r>
      <w:r w:rsidR="00312EC2" w:rsidRPr="00312EC2">
        <w:t xml:space="preserve">that BST-CarGel plus microfracture </w:t>
      </w:r>
      <w:r w:rsidR="00312EC2">
        <w:t>wa</w:t>
      </w:r>
      <w:r w:rsidR="00312EC2" w:rsidRPr="00312EC2">
        <w:t xml:space="preserve">s not cost-effective as there was insufficient evidence to </w:t>
      </w:r>
      <w:r w:rsidR="00312EC2">
        <w:t>demonstrate</w:t>
      </w:r>
      <w:r w:rsidR="00312EC2" w:rsidRPr="00312EC2">
        <w:t xml:space="preserve"> non-inferior safety and superior effectiveness of BST-CarGel plus microfracture compared with microfracture alone.</w:t>
      </w:r>
      <w:r>
        <w:t xml:space="preserve"> </w:t>
      </w:r>
      <w:r w:rsidR="00564365">
        <w:t xml:space="preserve">MSAC also recalled that in 2010, MSAC did not support public funding of </w:t>
      </w:r>
      <w:r w:rsidR="00564365" w:rsidRPr="00564365">
        <w:t>autologous chondrocyte implantation (ACI) and matrix-induced autologous chondrocyte implantation (MACI</w:t>
      </w:r>
      <w:r w:rsidR="00564365">
        <w:t>) as it was not cost-effective</w:t>
      </w:r>
      <w:r w:rsidR="00E50CDF">
        <w:t xml:space="preserve"> (</w:t>
      </w:r>
      <w:hyperlink r:id="rId11" w:history="1">
        <w:r w:rsidR="00E50CDF" w:rsidRPr="00564365">
          <w:rPr>
            <w:rStyle w:val="Hyperlink"/>
          </w:rPr>
          <w:t>MSAC application 1140</w:t>
        </w:r>
      </w:hyperlink>
      <w:r w:rsidR="00E50CDF">
        <w:t>)</w:t>
      </w:r>
      <w:r w:rsidR="00564365">
        <w:t>.</w:t>
      </w:r>
    </w:p>
    <w:p w14:paraId="7825B120" w14:textId="69910D92" w:rsidR="00E378D6" w:rsidRDefault="003C1825" w:rsidP="00E378D6">
      <w:r>
        <w:t xml:space="preserve">MSAC noted that </w:t>
      </w:r>
      <w:r w:rsidR="00E378D6">
        <w:t>JointRep would be used by orthopaedic surgeons only</w:t>
      </w:r>
      <w:r>
        <w:t xml:space="preserve"> and that </w:t>
      </w:r>
      <w:r w:rsidR="00E378D6">
        <w:t xml:space="preserve">consultation feedback </w:t>
      </w:r>
      <w:r w:rsidR="00E378D6" w:rsidRPr="00803397">
        <w:t xml:space="preserve">from the Australian Orthopaedic Association did not support the </w:t>
      </w:r>
      <w:r w:rsidRPr="00803397">
        <w:t>use of</w:t>
      </w:r>
      <w:r w:rsidR="00E378D6" w:rsidRPr="00803397">
        <w:t xml:space="preserve"> JointRep</w:t>
      </w:r>
      <w:r w:rsidRPr="00803397">
        <w:t xml:space="preserve"> in conjunction with microfracture</w:t>
      </w:r>
      <w:r w:rsidR="00E378D6" w:rsidRPr="00803397">
        <w:t>.</w:t>
      </w:r>
      <w:r w:rsidR="00424AC0" w:rsidRPr="00803397">
        <w:t xml:space="preserve"> MSAC noted the pre-MSAC response </w:t>
      </w:r>
      <w:r w:rsidR="00E50CDF" w:rsidRPr="00803397">
        <w:t xml:space="preserve">stated </w:t>
      </w:r>
      <w:r w:rsidR="00424AC0" w:rsidRPr="00803397">
        <w:t xml:space="preserve">that several members of the Australian Knee Society (AKS), a subspecialty society of the AOA, will be participating in the JMAC </w:t>
      </w:r>
      <w:r w:rsidR="00075EDE" w:rsidRPr="00803397">
        <w:t>trial</w:t>
      </w:r>
      <w:r w:rsidR="00424AC0" w:rsidRPr="00803397">
        <w:rPr>
          <w:rStyle w:val="FootnoteReference"/>
        </w:rPr>
        <w:footnoteReference w:id="1"/>
      </w:r>
      <w:r w:rsidR="00424AC0" w:rsidRPr="00803397">
        <w:t xml:space="preserve">, an international multicentre randomised controlled trial comparing JointRep </w:t>
      </w:r>
      <w:r w:rsidR="009141E5" w:rsidRPr="00803397">
        <w:t>with</w:t>
      </w:r>
      <w:r w:rsidR="00424AC0" w:rsidRPr="00803397">
        <w:t xml:space="preserve"> microfracture-alone (n=185, randomised 2:1).</w:t>
      </w:r>
    </w:p>
    <w:p w14:paraId="2C15A09C" w14:textId="3CBBE6AE" w:rsidR="00EB2325" w:rsidRDefault="00E378D6" w:rsidP="00E378D6">
      <w:pPr>
        <w:spacing w:before="240"/>
      </w:pPr>
      <w:r>
        <w:t xml:space="preserve">MSAC noted the comparators (microfracture alone for population 1, lesions </w:t>
      </w:r>
      <w:r>
        <w:rPr>
          <w:rFonts w:ascii="Symbol" w:eastAsia="Symbol" w:hAnsi="Symbol" w:cs="Symbol"/>
        </w:rPr>
        <w:t>£</w:t>
      </w:r>
      <w:r>
        <w:t>2 cm</w:t>
      </w:r>
      <w:r>
        <w:rPr>
          <w:vertAlign w:val="superscript"/>
        </w:rPr>
        <w:t>2</w:t>
      </w:r>
      <w:r>
        <w:t xml:space="preserve">; mosaicplasty, or microfracture in conjunction with BST-CarGel or Chondro-Gide for </w:t>
      </w:r>
      <w:r>
        <w:lastRenderedPageBreak/>
        <w:t>population 2, lesions &gt;2 cm</w:t>
      </w:r>
      <w:r>
        <w:rPr>
          <w:vertAlign w:val="superscript"/>
        </w:rPr>
        <w:t>2</w:t>
      </w:r>
      <w:r>
        <w:t xml:space="preserve">) and the clinical management algorithm. MSAC considered the comparators to be appropriate, except for mosaicplasty, which is not commonly used in Australia and has little evidence to support its use. </w:t>
      </w:r>
      <w:r w:rsidR="0044176B">
        <w:t xml:space="preserve">MSAC noted </w:t>
      </w:r>
      <w:r>
        <w:t>no</w:t>
      </w:r>
      <w:r w:rsidR="0044176B">
        <w:t xml:space="preserve"> evidence</w:t>
      </w:r>
      <w:r>
        <w:t xml:space="preserve"> compari</w:t>
      </w:r>
      <w:r w:rsidR="0044176B">
        <w:t xml:space="preserve">ng JointRep </w:t>
      </w:r>
      <w:r>
        <w:t>with Chondro-Gide or mosaicplasty</w:t>
      </w:r>
      <w:r w:rsidR="0044176B">
        <w:t xml:space="preserve"> was presented in the ADAR</w:t>
      </w:r>
      <w:r>
        <w:t>.</w:t>
      </w:r>
    </w:p>
    <w:p w14:paraId="1DA7F5E5" w14:textId="2F2B5D90" w:rsidR="004D5DE3" w:rsidRDefault="00EB2325" w:rsidP="00E378D6">
      <w:pPr>
        <w:spacing w:before="240"/>
      </w:pPr>
      <w:r>
        <w:t>MSAC noted the comparative clinical evidence for JointRep plus microfracture (</w:t>
      </w:r>
      <w:r w:rsidRPr="00F71095">
        <w:t>n</w:t>
      </w:r>
      <w:r>
        <w:t>=46) compared with microfracture alone (</w:t>
      </w:r>
      <w:r w:rsidRPr="00F71095">
        <w:t>n</w:t>
      </w:r>
      <w:r>
        <w:t>=23), comprised a single non-randomised unblinded study with 12</w:t>
      </w:r>
      <w:r w:rsidR="00F875F3">
        <w:t xml:space="preserve">-month, </w:t>
      </w:r>
      <w:r>
        <w:t>24</w:t>
      </w:r>
      <w:r w:rsidR="00F875F3">
        <w:t>-month and 36-</w:t>
      </w:r>
      <w:r>
        <w:t xml:space="preserve">month </w:t>
      </w:r>
      <w:r w:rsidR="00F875F3">
        <w:t xml:space="preserve">(unpublished) </w:t>
      </w:r>
      <w:r>
        <w:t xml:space="preserve">follow-up data presented in the ADAR and </w:t>
      </w:r>
      <w:r w:rsidRPr="00CD6E51">
        <w:t>48</w:t>
      </w:r>
      <w:r w:rsidR="00F875F3">
        <w:t>-</w:t>
      </w:r>
      <w:r w:rsidRPr="00CD6E51">
        <w:t>month follow-up data published</w:t>
      </w:r>
      <w:r>
        <w:t xml:space="preserve"> in 2021. MSAC considered the JointRep study to be of very poor quality with a critical risk of bias. </w:t>
      </w:r>
      <w:r w:rsidR="0022299F">
        <w:t>MSAC’s confidence in the veracity of the JointRep study results was further eroded by data reporting errors and inconsistencies between and within study publications, reports, and the ADAR.</w:t>
      </w:r>
    </w:p>
    <w:p w14:paraId="49D713B2" w14:textId="63D094A3" w:rsidR="00E378D6" w:rsidRDefault="00E378D6" w:rsidP="00E378D6">
      <w:pPr>
        <w:spacing w:before="240"/>
      </w:pPr>
      <w:r>
        <w:t xml:space="preserve">MSAC noted the </w:t>
      </w:r>
      <w:r w:rsidR="005E1E81">
        <w:t>ADAR</w:t>
      </w:r>
      <w:r>
        <w:t xml:space="preserve"> claim</w:t>
      </w:r>
      <w:r w:rsidR="005E1E81">
        <w:t>ed JointRep plus microfracture has</w:t>
      </w:r>
      <w:r>
        <w:t xml:space="preserve"> non-inferior safety</w:t>
      </w:r>
      <w:r w:rsidR="005E1E81">
        <w:t xml:space="preserve"> compared </w:t>
      </w:r>
      <w:r w:rsidR="009141E5">
        <w:t>with</w:t>
      </w:r>
      <w:r w:rsidR="005E1E81">
        <w:t xml:space="preserve"> microfracture alone</w:t>
      </w:r>
      <w:r w:rsidR="003C1825">
        <w:t xml:space="preserve">. MSAC noted that </w:t>
      </w:r>
      <w:r w:rsidR="00E50CDF">
        <w:t>n</w:t>
      </w:r>
      <w:r w:rsidR="00E50CDF" w:rsidRPr="00E50CDF">
        <w:t xml:space="preserve">o adverse events, complications, side effects or device deficiencies were </w:t>
      </w:r>
      <w:r w:rsidR="007E3B0B">
        <w:t xml:space="preserve">reported </w:t>
      </w:r>
      <w:r w:rsidR="00E50CDF">
        <w:t xml:space="preserve">in either </w:t>
      </w:r>
      <w:r w:rsidR="007E3B0B">
        <w:t>arm of the JointRep study</w:t>
      </w:r>
      <w:r w:rsidR="00E50CDF">
        <w:t xml:space="preserve">. </w:t>
      </w:r>
      <w:r w:rsidR="00F5797F">
        <w:t xml:space="preserve">However, </w:t>
      </w:r>
      <w:r w:rsidR="00E50CDF">
        <w:t>MSAC noted the absence of safety events is not consistent with other microfracture studies, such as the study comparing BST-Cargel plus microfracture versus microfracture alone. MSAC considered</w:t>
      </w:r>
      <w:r w:rsidR="007E3B0B">
        <w:t xml:space="preserve"> the reliability of reporting safety outcomes in the JointRep study was uncertain and as such, MSAC considered the claim of non-inferior safety of JointRep plus microfracture compared to microfracture alone was uncertain. </w:t>
      </w:r>
    </w:p>
    <w:p w14:paraId="5B1B6C3A" w14:textId="6ED05BDF" w:rsidR="00E378D6" w:rsidRDefault="00EB2325" w:rsidP="00C70647">
      <w:pPr>
        <w:spacing w:before="240" w:after="240"/>
      </w:pPr>
      <w:r>
        <w:t>Regarding comparative effectiveness of JointRep plus microfracture versus microfracture alone, MSAC noted t</w:t>
      </w:r>
      <w:r w:rsidR="00E378D6">
        <w:t xml:space="preserve">he </w:t>
      </w:r>
      <w:r w:rsidR="003C1825">
        <w:t xml:space="preserve">primary outcome </w:t>
      </w:r>
      <w:r w:rsidR="00E378D6">
        <w:t xml:space="preserve">reported </w:t>
      </w:r>
      <w:r w:rsidR="003C1825">
        <w:t xml:space="preserve">in the JointRep study was the </w:t>
      </w:r>
      <w:r w:rsidR="00E378D6">
        <w:t xml:space="preserve">Western Ontario and McMaster Universities Osteoarthritis Index (WOMAC) score. Although the WOMAC scores for JointRep plus microfracture were lower (indicating improvement) than for microfracture alone, the benefits of both treatments declined over time. </w:t>
      </w:r>
      <w:r w:rsidR="0022299F">
        <w:t>Noting the poor quality of the JointRep study</w:t>
      </w:r>
      <w:r w:rsidR="00D05578">
        <w:t>,</w:t>
      </w:r>
      <w:r w:rsidR="0022299F">
        <w:t xml:space="preserve"> along with </w:t>
      </w:r>
      <w:r w:rsidR="004D5DE3">
        <w:t xml:space="preserve">issues with the study design and data reporting, MSAC </w:t>
      </w:r>
      <w:r w:rsidR="009141E5">
        <w:t xml:space="preserve">considered it </w:t>
      </w:r>
      <w:r w:rsidR="004D5DE3">
        <w:t>was highly</w:t>
      </w:r>
      <w:r w:rsidR="004D5DE3" w:rsidRPr="004D5DE3">
        <w:t xml:space="preserve"> uncertain that any relative benefits observed in the intervention group can be attributed to JointRep</w:t>
      </w:r>
      <w:r w:rsidR="00315443" w:rsidRPr="00803397">
        <w:t xml:space="preserve">. </w:t>
      </w:r>
      <w:r w:rsidR="009141E5" w:rsidRPr="00803397">
        <w:t xml:space="preserve">In addition, </w:t>
      </w:r>
      <w:r w:rsidR="00E378D6" w:rsidRPr="00803397">
        <w:t xml:space="preserve">MSAC </w:t>
      </w:r>
      <w:r w:rsidR="009141E5" w:rsidRPr="00803397">
        <w:t>considered</w:t>
      </w:r>
      <w:r w:rsidR="00E378D6" w:rsidRPr="00803397">
        <w:t xml:space="preserve"> that data on safety and effectiveness of microfracture alone are limited, particularly long-term data, and that a randomised controlled trial of</w:t>
      </w:r>
      <w:r w:rsidR="00E378D6" w:rsidRPr="00B671D1">
        <w:t xml:space="preserve"> microfracture alone</w:t>
      </w:r>
      <w:r w:rsidR="007E4CA8" w:rsidRPr="00B671D1">
        <w:t xml:space="preserve"> versus placebo</w:t>
      </w:r>
      <w:r w:rsidR="00E378D6" w:rsidRPr="00B671D1">
        <w:t xml:space="preserve"> </w:t>
      </w:r>
      <w:r w:rsidR="00D05578" w:rsidRPr="00B671D1">
        <w:t>should be undertaken</w:t>
      </w:r>
      <w:r w:rsidR="007E4CA8" w:rsidRPr="00B671D1">
        <w:t xml:space="preserve"> to establish the benefit of microfracture</w:t>
      </w:r>
      <w:r w:rsidR="00E378D6" w:rsidRPr="00B671D1">
        <w:t xml:space="preserve">. </w:t>
      </w:r>
      <w:r w:rsidR="00E378D6">
        <w:t>MSAC considered that the claim of superior effectiveness of JointRep was not supported due to the very low quality of the trial.</w:t>
      </w:r>
    </w:p>
    <w:p w14:paraId="5083A9D0" w14:textId="47C0A4FF" w:rsidR="0044176B" w:rsidRDefault="0044176B" w:rsidP="0044176B">
      <w:r>
        <w:t xml:space="preserve">MSAC noted that the ADAR attempted to indirectly compare JointRep plus microfracture with BST-CarGel plus microfracture. MSAC considered that due to differences in populations, </w:t>
      </w:r>
      <w:r w:rsidR="00F875F3">
        <w:t>microfracture procedure</w:t>
      </w:r>
      <w:r>
        <w:t xml:space="preserve"> and scoring systems used, the </w:t>
      </w:r>
      <w:r w:rsidR="00424AC0">
        <w:t>comparison</w:t>
      </w:r>
      <w:r>
        <w:t xml:space="preserve"> was uninformative and did not demonstrate </w:t>
      </w:r>
      <w:bookmarkStart w:id="0" w:name="_Hlk80093153"/>
      <w:r>
        <w:t xml:space="preserve">non-inferior safety and effectiveness of JointRep </w:t>
      </w:r>
      <w:r w:rsidR="00F875F3">
        <w:t xml:space="preserve">plus microfracture </w:t>
      </w:r>
      <w:r>
        <w:t>compared to BST-CarGel</w:t>
      </w:r>
      <w:r w:rsidR="00F875F3">
        <w:t xml:space="preserve"> plus microfracture</w:t>
      </w:r>
      <w:r w:rsidR="007E4CA8">
        <w:t>.</w:t>
      </w:r>
      <w:bookmarkEnd w:id="0"/>
    </w:p>
    <w:p w14:paraId="2BF92B88" w14:textId="1D112C8C" w:rsidR="0044176B" w:rsidRDefault="00E80E87" w:rsidP="0044176B">
      <w:pPr>
        <w:spacing w:before="240"/>
      </w:pPr>
      <w:r>
        <w:t xml:space="preserve">Overall, </w:t>
      </w:r>
      <w:r w:rsidR="0044176B">
        <w:t>MSAC considered that the clinical evidence was limited and</w:t>
      </w:r>
      <w:r>
        <w:t xml:space="preserve"> of</w:t>
      </w:r>
      <w:r w:rsidR="0044176B">
        <w:t xml:space="preserve"> very poor quality, leading to uncertain claims of superior effectiveness and non-inferior safety against microfracture alone. </w:t>
      </w:r>
      <w:r w:rsidR="00C00269">
        <w:t>MSAC noted t</w:t>
      </w:r>
      <w:r w:rsidR="0044176B">
        <w:t>hese uncertainties</w:t>
      </w:r>
      <w:r w:rsidR="0021774D">
        <w:t xml:space="preserve"> and issues with the quality of the clinical evidence</w:t>
      </w:r>
      <w:r w:rsidR="0044176B">
        <w:t xml:space="preserve"> flowed into the economic and financial analyses.</w:t>
      </w:r>
    </w:p>
    <w:p w14:paraId="709AFEAB" w14:textId="18CFA296" w:rsidR="00F875F3" w:rsidRDefault="00E378D6" w:rsidP="00F875F3">
      <w:pPr>
        <w:spacing w:before="240"/>
      </w:pPr>
      <w:r>
        <w:t xml:space="preserve">MSAC noted the </w:t>
      </w:r>
      <w:r w:rsidR="00F875F3">
        <w:t>cost-utility analysis comparing JointRep plus microfracture versus microfracture alone</w:t>
      </w:r>
      <w:r>
        <w:t>, in which the only cost difference was the cost of JointRep itself ($6,022)</w:t>
      </w:r>
      <w:r w:rsidR="00CB44DE">
        <w:t xml:space="preserve"> and estimated </w:t>
      </w:r>
      <w:r w:rsidR="0087788B" w:rsidRPr="0087788B">
        <w:t>the incremental cost-effectiveness ratio (ICER) for JointRep plus microfracture versus microfracture alone</w:t>
      </w:r>
      <w:r w:rsidR="0087788B">
        <w:t xml:space="preserve"> to be</w:t>
      </w:r>
      <w:r w:rsidR="0087788B" w:rsidRPr="0087788B">
        <w:t xml:space="preserve"> $6,329</w:t>
      </w:r>
      <w:r>
        <w:t xml:space="preserve">. </w:t>
      </w:r>
      <w:r w:rsidR="0044176B">
        <w:t>MSAC considered t</w:t>
      </w:r>
      <w:r>
        <w:t xml:space="preserve">he economic model </w:t>
      </w:r>
      <w:r w:rsidR="0044176B">
        <w:t xml:space="preserve">to be </w:t>
      </w:r>
      <w:r>
        <w:t>rudimentary</w:t>
      </w:r>
      <w:r w:rsidR="00236C53">
        <w:t xml:space="preserve"> </w:t>
      </w:r>
      <w:r>
        <w:t>with only two health states (alive or dead)</w:t>
      </w:r>
      <w:r w:rsidR="00C00269">
        <w:t xml:space="preserve"> and uninformative as </w:t>
      </w:r>
      <w:r w:rsidR="00D079EF">
        <w:t xml:space="preserve">the alive state did not </w:t>
      </w:r>
      <w:r w:rsidR="00AA60A1">
        <w:t>distinguish between degree of treatment success</w:t>
      </w:r>
      <w:r>
        <w:t xml:space="preserve">. </w:t>
      </w:r>
      <w:r w:rsidR="00C00269">
        <w:t xml:space="preserve">MSAC agreed with ESC that issues </w:t>
      </w:r>
      <w:r w:rsidR="00C00269">
        <w:lastRenderedPageBreak/>
        <w:t xml:space="preserve">with the low quality clinical evidence, applicability and transformation of WOMAC scores into health state utility values created </w:t>
      </w:r>
      <w:r w:rsidR="005979F7">
        <w:t xml:space="preserve">unacceptably high uncertainty in the </w:t>
      </w:r>
      <w:r w:rsidR="00C00269">
        <w:t xml:space="preserve">model. </w:t>
      </w:r>
      <w:r w:rsidR="0087788B">
        <w:t>As such,</w:t>
      </w:r>
      <w:r w:rsidR="00C00269">
        <w:t xml:space="preserve"> </w:t>
      </w:r>
      <w:r w:rsidR="00C00269" w:rsidRPr="00E93541">
        <w:t xml:space="preserve">MSAC considered </w:t>
      </w:r>
      <w:r w:rsidR="0087788B" w:rsidRPr="00E93541">
        <w:t xml:space="preserve">there was insufficient evidence to demonstrate JointRep plus microfracture is cost-effective compared </w:t>
      </w:r>
      <w:r w:rsidR="007E4CA8" w:rsidRPr="00E93541">
        <w:t>with</w:t>
      </w:r>
      <w:r w:rsidR="0087788B" w:rsidRPr="00E93541">
        <w:t xml:space="preserve"> microfracture alone</w:t>
      </w:r>
      <w:r w:rsidR="00236C53" w:rsidRPr="00E93541">
        <w:t>.</w:t>
      </w:r>
    </w:p>
    <w:p w14:paraId="0E1004C8" w14:textId="306ECDF9" w:rsidR="00F875F3" w:rsidRDefault="0087788B" w:rsidP="00F875F3">
      <w:pPr>
        <w:spacing w:before="240"/>
      </w:pPr>
      <w:r>
        <w:t xml:space="preserve">MSAC noted the ADAR presented an economic analysis comparing JointRep plus microfracture versus BST-CarGel plus microfracture despite </w:t>
      </w:r>
      <w:r w:rsidR="005979F7">
        <w:t>critical limitations in the</w:t>
      </w:r>
      <w:r>
        <w:t xml:space="preserve"> clinical evidence which did not </w:t>
      </w:r>
      <w:r w:rsidR="005979F7">
        <w:t xml:space="preserve">support </w:t>
      </w:r>
      <w:r w:rsidR="005979F7" w:rsidRPr="005979F7">
        <w:t>a claim of non-inferiority</w:t>
      </w:r>
      <w:r w:rsidR="005979F7">
        <w:t xml:space="preserve">. </w:t>
      </w:r>
      <w:r w:rsidR="00C12106">
        <w:t>MSAC noted the pre-M</w:t>
      </w:r>
      <w:r w:rsidR="00D05578">
        <w:t>S</w:t>
      </w:r>
      <w:r w:rsidR="00C12106">
        <w:t xml:space="preserve">AC response reiterated that sensitivity results exploring the conversion factor for converting the BST-CarGel plus microfracture WOMAC score from VAS to Likert scale. However, </w:t>
      </w:r>
      <w:r w:rsidR="005979F7">
        <w:t xml:space="preserve">MSAC agreed with ESC that the conversion of the WOMAC score from the </w:t>
      </w:r>
      <w:r w:rsidR="005979F7" w:rsidRPr="005979F7">
        <w:t>VAS to the Likert scale</w:t>
      </w:r>
      <w:r w:rsidR="005979F7">
        <w:t xml:space="preserve"> created further uncertainty in the</w:t>
      </w:r>
      <w:r w:rsidR="00C12106">
        <w:t xml:space="preserve"> already uncertain</w:t>
      </w:r>
      <w:r w:rsidR="005979F7">
        <w:t xml:space="preserve"> translated health state utility values. Overall, MSAC considered the cost-effectiveness comparison of JointRep plus microfracture versus BST-CarGel plus microfracture to be uninformative.</w:t>
      </w:r>
    </w:p>
    <w:p w14:paraId="4613E1BC" w14:textId="649A4563" w:rsidR="00E378D6" w:rsidRDefault="00E378D6" w:rsidP="00E378D6">
      <w:pPr>
        <w:spacing w:before="240"/>
      </w:pPr>
      <w:r>
        <w:t xml:space="preserve">MSAC </w:t>
      </w:r>
      <w:r w:rsidR="006A01FF">
        <w:t xml:space="preserve">considered </w:t>
      </w:r>
      <w:r w:rsidR="00101E11">
        <w:t>the estimated implications to the PL through continue</w:t>
      </w:r>
      <w:r w:rsidR="006A01FF">
        <w:t>d</w:t>
      </w:r>
      <w:r w:rsidR="00101E11">
        <w:t xml:space="preserve"> listing of JointRep </w:t>
      </w:r>
      <w:r w:rsidR="00FA746D">
        <w:t>were</w:t>
      </w:r>
      <w:r w:rsidR="00101E11">
        <w:t xml:space="preserve"> highly uncertain. </w:t>
      </w:r>
      <w:r w:rsidR="006A01FF">
        <w:t>MSAC noted the</w:t>
      </w:r>
      <w:r w:rsidR="006A01FF" w:rsidRPr="006A01FF">
        <w:t xml:space="preserve"> utilisation </w:t>
      </w:r>
      <w:r w:rsidR="006A01FF">
        <w:t>of JointRep was predicted to grow by an a</w:t>
      </w:r>
      <w:r w:rsidR="006A01FF" w:rsidRPr="006A01FF">
        <w:t xml:space="preserve">dditional </w:t>
      </w:r>
      <w:r w:rsidR="007A43CE">
        <w:rPr>
          <w:b/>
          <w:bCs/>
        </w:rPr>
        <w:t>redacted</w:t>
      </w:r>
      <w:r w:rsidR="006A01FF" w:rsidRPr="006A01FF">
        <w:t xml:space="preserve"> procedures per year</w:t>
      </w:r>
      <w:r w:rsidR="008E3516">
        <w:t xml:space="preserve"> and the basis for this was reiterated in the pre-MSAC response. However</w:t>
      </w:r>
      <w:r w:rsidR="006A01FF">
        <w:t xml:space="preserve">, MSAC considered the predicted growth was </w:t>
      </w:r>
      <w:r w:rsidR="006A01FF" w:rsidRPr="006A01FF">
        <w:t>uncertain given the historical market growth observed for prostheses like JointRep</w:t>
      </w:r>
      <w:r w:rsidR="006A01FF">
        <w:t>.</w:t>
      </w:r>
      <w:r w:rsidR="006A01FF" w:rsidRPr="006A01FF">
        <w:t xml:space="preserve"> </w:t>
      </w:r>
      <w:r w:rsidR="00101E11">
        <w:t xml:space="preserve">MSAC </w:t>
      </w:r>
      <w:r w:rsidR="006A01FF">
        <w:t xml:space="preserve">also </w:t>
      </w:r>
      <w:r w:rsidR="00101E11">
        <w:t xml:space="preserve">noted </w:t>
      </w:r>
      <w:r>
        <w:t>the discrepancy in utilisation estimates provided from the applicant’s sales data (</w:t>
      </w:r>
      <w:r w:rsidR="007A43CE">
        <w:rPr>
          <w:b/>
          <w:bCs/>
        </w:rPr>
        <w:t>redacted</w:t>
      </w:r>
      <w:r>
        <w:t>) and PL billing data (</w:t>
      </w:r>
      <w:r w:rsidR="00AE079B">
        <w:rPr>
          <w:b/>
          <w:bCs/>
        </w:rPr>
        <w:t>redacted</w:t>
      </w:r>
      <w:r>
        <w:t xml:space="preserve">). </w:t>
      </w:r>
      <w:r w:rsidR="00F06C36">
        <w:t xml:space="preserve">MSAC queried whether the discrepancy may indicate a potential for </w:t>
      </w:r>
      <w:r w:rsidR="00D05578">
        <w:t xml:space="preserve">JointRep to be </w:t>
      </w:r>
      <w:r w:rsidR="006A01FF">
        <w:t>use</w:t>
      </w:r>
      <w:r w:rsidR="00D05578">
        <w:t>d</w:t>
      </w:r>
      <w:r w:rsidR="006A01FF">
        <w:t xml:space="preserve"> outside the proposed population</w:t>
      </w:r>
      <w:r w:rsidR="00EE39D4">
        <w:t xml:space="preserve"> (e.g. other joints)</w:t>
      </w:r>
      <w:r w:rsidR="00792F92">
        <w:t xml:space="preserve"> or whether repeat treatments would be performed</w:t>
      </w:r>
      <w:r w:rsidR="006A01FF">
        <w:t>.</w:t>
      </w:r>
      <w:r>
        <w:t xml:space="preserve"> </w:t>
      </w:r>
      <w:r w:rsidR="00D05578">
        <w:t xml:space="preserve">MSAC </w:t>
      </w:r>
      <w:r w:rsidR="002D6D1A">
        <w:t>noted the uncertainty in the estimated impact to the MBS stemmed from uncertainty around whether the continued PL listing of JointRep may increase the uptake of the microfracture procedure.</w:t>
      </w:r>
      <w:r>
        <w:t xml:space="preserve"> </w:t>
      </w:r>
      <w:r w:rsidR="00FA746D">
        <w:t>Overall, MSAC considered the estimated implications to the PL</w:t>
      </w:r>
      <w:r w:rsidR="002D6D1A">
        <w:t xml:space="preserve"> and MBS</w:t>
      </w:r>
      <w:r w:rsidR="00FA746D">
        <w:t xml:space="preserve"> through continued listing of JointRep were highly uncertain.</w:t>
      </w:r>
    </w:p>
    <w:p w14:paraId="2084D3AD" w14:textId="3786730A" w:rsidR="00E378D6" w:rsidRDefault="00E378D6" w:rsidP="00E378D6">
      <w:pPr>
        <w:spacing w:before="240"/>
      </w:pPr>
      <w:r>
        <w:t>MSAC noted that, if</w:t>
      </w:r>
      <w:r w:rsidR="00315443">
        <w:t xml:space="preserve"> the PLAC </w:t>
      </w:r>
      <w:r w:rsidR="00FA746D">
        <w:t>recommend</w:t>
      </w:r>
      <w:r w:rsidR="00315443">
        <w:t xml:space="preserve"> </w:t>
      </w:r>
      <w:r w:rsidR="00FA746D">
        <w:t>removing</w:t>
      </w:r>
      <w:r w:rsidR="00315443">
        <w:t xml:space="preserve"> </w:t>
      </w:r>
      <w:r>
        <w:t>JointRep from the PL</w:t>
      </w:r>
      <w:r w:rsidR="00422C67">
        <w:t xml:space="preserve"> in response to MSAC’s advice that JointRep plus microfracture is not cost-effective compared to microfracture alone</w:t>
      </w:r>
      <w:r>
        <w:t>, consumers will face substantial out-of-pocket costs if they choose to use JointRep</w:t>
      </w:r>
      <w:r w:rsidR="00315443">
        <w:t xml:space="preserve"> in conjunction with microfracture</w:t>
      </w:r>
      <w:r>
        <w:t xml:space="preserve">. </w:t>
      </w:r>
      <w:r w:rsidRPr="00803397">
        <w:t xml:space="preserve">MSAC </w:t>
      </w:r>
      <w:r w:rsidRPr="007A43CE">
        <w:t xml:space="preserve">noted </w:t>
      </w:r>
      <w:r w:rsidR="006A01FF" w:rsidRPr="007A43CE">
        <w:t xml:space="preserve">PLAC </w:t>
      </w:r>
      <w:r w:rsidR="00963B96" w:rsidRPr="007A43CE">
        <w:t>could choose to</w:t>
      </w:r>
      <w:r w:rsidR="006A01FF" w:rsidRPr="007A43CE">
        <w:t xml:space="preserve"> consider </w:t>
      </w:r>
      <w:r w:rsidRPr="007A43CE">
        <w:t xml:space="preserve">the applicant’s pre-MSAC response, which acknowledged the weaknesses of the </w:t>
      </w:r>
      <w:r w:rsidR="0017100C" w:rsidRPr="007A43CE">
        <w:t>JointRep study and</w:t>
      </w:r>
      <w:r w:rsidRPr="007A43CE">
        <w:t xml:space="preserve"> offered to </w:t>
      </w:r>
      <w:r w:rsidR="007A43CE" w:rsidRPr="007A43CE">
        <w:rPr>
          <w:b/>
          <w:bCs/>
        </w:rPr>
        <w:t>redacted</w:t>
      </w:r>
      <w:r w:rsidR="007A43CE" w:rsidRPr="007A43CE" w:rsidDel="007A43CE">
        <w:t xml:space="preserve"> </w:t>
      </w:r>
      <w:r w:rsidRPr="007A43CE">
        <w:t>the cost of JointRep to $</w:t>
      </w:r>
      <w:r w:rsidR="007A43CE" w:rsidRPr="007A43CE">
        <w:rPr>
          <w:b/>
          <w:bCs/>
        </w:rPr>
        <w:t>redacted</w:t>
      </w:r>
      <w:r w:rsidR="007A43CE" w:rsidRPr="007A43CE" w:rsidDel="007A43CE">
        <w:t xml:space="preserve"> </w:t>
      </w:r>
      <w:r w:rsidRPr="007A43CE">
        <w:t>until the</w:t>
      </w:r>
      <w:r w:rsidR="002C764D" w:rsidRPr="007A43CE">
        <w:t xml:space="preserve"> interim</w:t>
      </w:r>
      <w:r w:rsidRPr="007A43CE">
        <w:t xml:space="preserve"> results of </w:t>
      </w:r>
      <w:r w:rsidR="0017100C" w:rsidRPr="007A43CE">
        <w:t xml:space="preserve">JMAC </w:t>
      </w:r>
      <w:r w:rsidR="00075EDE" w:rsidRPr="007A43CE">
        <w:t xml:space="preserve">trial </w:t>
      </w:r>
      <w:r w:rsidR="002C764D" w:rsidRPr="007A43CE">
        <w:t>(expected 2023) can be used to conduct a new economic analysis</w:t>
      </w:r>
      <w:r w:rsidR="0017100C" w:rsidRPr="007A43CE">
        <w:t>.</w:t>
      </w:r>
      <w:r w:rsidR="00C12106" w:rsidRPr="007A43CE">
        <w:t xml:space="preserve"> </w:t>
      </w:r>
      <w:r w:rsidR="00963B96" w:rsidRPr="007A43CE">
        <w:t xml:space="preserve">MSAC’s advice to PLAC on the </w:t>
      </w:r>
      <w:r w:rsidR="007A43CE" w:rsidRPr="007A43CE">
        <w:rPr>
          <w:b/>
          <w:bCs/>
        </w:rPr>
        <w:t>redacted</w:t>
      </w:r>
      <w:r w:rsidR="007A43CE" w:rsidRPr="007A43CE" w:rsidDel="007A43CE">
        <w:t xml:space="preserve"> </w:t>
      </w:r>
      <w:r w:rsidR="00963B96" w:rsidRPr="007A43CE">
        <w:t xml:space="preserve">fee option is that while </w:t>
      </w:r>
      <w:r w:rsidR="007A43CE" w:rsidRPr="007A43CE">
        <w:rPr>
          <w:b/>
          <w:bCs/>
        </w:rPr>
        <w:t>redacted</w:t>
      </w:r>
      <w:r w:rsidR="00963B96" w:rsidRPr="007A43CE">
        <w:t xml:space="preserve"> the benefit of JointRep to </w:t>
      </w:r>
      <w:r w:rsidR="007A43CE" w:rsidRPr="007A43CE">
        <w:rPr>
          <w:b/>
          <w:bCs/>
        </w:rPr>
        <w:t>redacted</w:t>
      </w:r>
      <w:r w:rsidR="007A43CE" w:rsidRPr="007A43CE" w:rsidDel="007A43CE">
        <w:t xml:space="preserve"> </w:t>
      </w:r>
      <w:r w:rsidR="00963B96" w:rsidRPr="007A43CE">
        <w:t xml:space="preserve">the ICER, </w:t>
      </w:r>
      <w:r w:rsidR="00EA5F73" w:rsidRPr="007A43CE">
        <w:t xml:space="preserve">the cost-effectiveness of JointRep </w:t>
      </w:r>
      <w:r w:rsidR="00881DC6" w:rsidRPr="007A43CE">
        <w:t xml:space="preserve">at this </w:t>
      </w:r>
      <w:r w:rsidR="007A43CE" w:rsidRPr="007A43CE">
        <w:rPr>
          <w:b/>
          <w:bCs/>
        </w:rPr>
        <w:t>redacted</w:t>
      </w:r>
      <w:r w:rsidR="00881DC6" w:rsidRPr="007A43CE">
        <w:t xml:space="preserve"> benefit </w:t>
      </w:r>
      <w:r w:rsidR="00EA5F73" w:rsidRPr="007A43CE">
        <w:t>remains uncertain as the issues with the low</w:t>
      </w:r>
      <w:r w:rsidR="00D30AEC" w:rsidRPr="007A43CE">
        <w:t>-</w:t>
      </w:r>
      <w:r w:rsidR="00EA5F73" w:rsidRPr="007A43CE">
        <w:t>quality clinical evidence and</w:t>
      </w:r>
      <w:r w:rsidR="00963B96" w:rsidRPr="007A43CE">
        <w:t xml:space="preserve"> unacceptably high model uncertainty</w:t>
      </w:r>
      <w:r w:rsidR="00EA5F73" w:rsidRPr="007A43CE">
        <w:t xml:space="preserve"> </w:t>
      </w:r>
      <w:r w:rsidR="00D30AEC" w:rsidRPr="007A43CE">
        <w:t>remain</w:t>
      </w:r>
      <w:r w:rsidR="00963B96" w:rsidRPr="007A43CE">
        <w:t>.</w:t>
      </w:r>
      <w:r w:rsidR="00963B96">
        <w:t xml:space="preserve">  </w:t>
      </w:r>
    </w:p>
    <w:p w14:paraId="58CA37CC" w14:textId="0254D25E" w:rsidR="00075EDE" w:rsidRDefault="00E378D6" w:rsidP="00075EDE">
      <w:pPr>
        <w:spacing w:before="240"/>
      </w:pPr>
      <w:r>
        <w:t xml:space="preserve">MSAC considered that </w:t>
      </w:r>
      <w:r w:rsidR="00405D1E">
        <w:t>any resubmission</w:t>
      </w:r>
      <w:r>
        <w:t xml:space="preserve"> should </w:t>
      </w:r>
      <w:r w:rsidR="00F03DB3">
        <w:t xml:space="preserve">present </w:t>
      </w:r>
      <w:r w:rsidR="00120059">
        <w:t>robust</w:t>
      </w:r>
      <w:r w:rsidR="00606E4D">
        <w:t>,</w:t>
      </w:r>
      <w:r w:rsidR="00120059">
        <w:t xml:space="preserve"> high quality clinical trial data on the safety and effectiveness of JointRep plus microfracture</w:t>
      </w:r>
      <w:r w:rsidR="00EA23F7">
        <w:t xml:space="preserve"> and</w:t>
      </w:r>
      <w:r w:rsidR="00075EDE">
        <w:t xml:space="preserve"> present a revised economic model that </w:t>
      </w:r>
      <w:r w:rsidR="00120059">
        <w:t xml:space="preserve">address the concerns raised (e.g. </w:t>
      </w:r>
      <w:r w:rsidR="00075EDE">
        <w:t>captures treatment success, re-operation</w:t>
      </w:r>
      <w:r w:rsidR="00EA23F7">
        <w:t>, etc)</w:t>
      </w:r>
      <w:r>
        <w:t>.</w:t>
      </w:r>
      <w:r w:rsidR="00075EDE">
        <w:t xml:space="preserve"> MSAC also</w:t>
      </w:r>
      <w:r w:rsidR="00A14E6D">
        <w:t xml:space="preserve"> </w:t>
      </w:r>
      <w:r w:rsidR="00EA23F7" w:rsidRPr="00EA23F7">
        <w:t xml:space="preserve">noted that the </w:t>
      </w:r>
      <w:r w:rsidR="00EA23F7" w:rsidRPr="00803397">
        <w:t xml:space="preserve">JMAC trial does not include a placebo arm, as such would not address MSAC’s concern that there is insufficient evidence that microfracture is safe and effective and </w:t>
      </w:r>
      <w:r w:rsidR="002C764D" w:rsidRPr="00803397">
        <w:t>whether</w:t>
      </w:r>
      <w:r w:rsidR="00EA23F7" w:rsidRPr="00803397">
        <w:t xml:space="preserve"> using prostheses such as JointRep in conjunction with microfracture may be adding costs to a procedure that is harmful. </w:t>
      </w:r>
      <w:r w:rsidR="00A14E6D" w:rsidRPr="00873A95">
        <w:t xml:space="preserve">Therefore, </w:t>
      </w:r>
      <w:r w:rsidR="00EA23F7" w:rsidRPr="009D22E3">
        <w:t xml:space="preserve">MSAC also </w:t>
      </w:r>
      <w:r w:rsidR="00A14E6D" w:rsidRPr="009D22E3">
        <w:t>considered</w:t>
      </w:r>
      <w:r w:rsidR="00EA23F7" w:rsidRPr="009D22E3">
        <w:t xml:space="preserve"> </w:t>
      </w:r>
      <w:r w:rsidR="00075EDE" w:rsidRPr="009D22E3">
        <w:t xml:space="preserve">that </w:t>
      </w:r>
      <w:r w:rsidR="00A14E6D" w:rsidRPr="009D22E3">
        <w:t xml:space="preserve">any </w:t>
      </w:r>
      <w:r w:rsidR="00EA23F7" w:rsidRPr="009D22E3">
        <w:t>resubmission would need to present</w:t>
      </w:r>
      <w:r w:rsidR="00A14E6D" w:rsidRPr="009D22E3">
        <w:t xml:space="preserve"> </w:t>
      </w:r>
      <w:r w:rsidR="00075EDE" w:rsidRPr="009D22E3">
        <w:t xml:space="preserve">clinical trial evidence </w:t>
      </w:r>
      <w:r w:rsidR="00A14E6D" w:rsidRPr="009D22E3">
        <w:t>addressing</w:t>
      </w:r>
      <w:r w:rsidR="00075EDE" w:rsidRPr="009D22E3">
        <w:t xml:space="preserve"> the safety and effectiveness of microfracture alone which could be achieved by including a placebo arm in the JMAC trial. Alternatively, the need for a clinical trial on the</w:t>
      </w:r>
      <w:r w:rsidR="002D6D1A" w:rsidRPr="009D22E3">
        <w:t xml:space="preserve"> long-term</w:t>
      </w:r>
      <w:r w:rsidR="00075EDE" w:rsidRPr="009D22E3">
        <w:t xml:space="preserve"> safety and </w:t>
      </w:r>
      <w:r w:rsidR="00075EDE" w:rsidRPr="009D22E3">
        <w:lastRenderedPageBreak/>
        <w:t>effectiveness of microfracture could be referred to the Medical Research Future Fund (MRFF).</w:t>
      </w:r>
    </w:p>
    <w:p w14:paraId="53FA4BDF" w14:textId="474DDBD2" w:rsidR="00B52FCF" w:rsidRPr="003861A2" w:rsidRDefault="00065623" w:rsidP="003861A2">
      <w:pPr>
        <w:pStyle w:val="Heading1"/>
        <w:spacing w:before="240" w:after="240"/>
        <w:rPr>
          <w:rFonts w:ascii="Arial" w:hAnsi="Arial" w:cs="Arial"/>
        </w:rPr>
      </w:pPr>
      <w:r w:rsidRPr="003861A2">
        <w:rPr>
          <w:rFonts w:ascii="Arial" w:hAnsi="Arial" w:cs="Arial"/>
        </w:rPr>
        <w:t>Background</w:t>
      </w:r>
    </w:p>
    <w:p w14:paraId="07890E2E" w14:textId="692223DB" w:rsidR="00D627C7" w:rsidRDefault="00D627C7" w:rsidP="00D627C7">
      <w:r w:rsidRPr="009A0DA5">
        <w:t xml:space="preserve">This is the </w:t>
      </w:r>
      <w:r w:rsidR="004A3F2E" w:rsidRPr="009A0DA5">
        <w:t>first submission (Applicant Developed</w:t>
      </w:r>
      <w:r w:rsidRPr="009A0DA5">
        <w:t xml:space="preserve"> </w:t>
      </w:r>
      <w:r w:rsidR="004A3F2E" w:rsidRPr="009A0DA5">
        <w:t xml:space="preserve">Assessment Report [ADAR]) </w:t>
      </w:r>
      <w:r w:rsidRPr="009A0DA5">
        <w:t>for</w:t>
      </w:r>
      <w:r w:rsidR="004A3F2E" w:rsidRPr="009A0DA5">
        <w:t xml:space="preserve"> </w:t>
      </w:r>
      <w:r w:rsidR="004A3F2E" w:rsidRPr="004A3F2E">
        <w:t xml:space="preserve">JointRep, in conjunction with </w:t>
      </w:r>
      <w:r w:rsidR="00BE6332">
        <w:t>microfracture</w:t>
      </w:r>
      <w:r w:rsidR="004A3F2E" w:rsidRPr="004A3F2E">
        <w:t>, for treatment of osteochondral defects of the knee</w:t>
      </w:r>
      <w:r w:rsidR="004A3F2E">
        <w:t>.</w:t>
      </w:r>
    </w:p>
    <w:p w14:paraId="33C63379" w14:textId="0443463F" w:rsidR="004A3F2E" w:rsidRDefault="004A3F2E" w:rsidP="00C477EB">
      <w:pPr>
        <w:spacing w:before="240"/>
      </w:pPr>
      <w:r w:rsidRPr="004A3F2E">
        <w:t>JointRep</w:t>
      </w:r>
      <w:r w:rsidR="00160740">
        <w:t xml:space="preserve"> </w:t>
      </w:r>
      <w:r w:rsidR="00686F0A">
        <w:t>was</w:t>
      </w:r>
      <w:r>
        <w:t xml:space="preserve"> listed on the Prostheses List (PL) </w:t>
      </w:r>
      <w:r w:rsidR="00686F0A">
        <w:t xml:space="preserve">in </w:t>
      </w:r>
      <w:r w:rsidRPr="004A3F2E">
        <w:t>July 2019</w:t>
      </w:r>
      <w:r w:rsidR="00686F0A">
        <w:t xml:space="preserve"> (Billing Code DE681</w:t>
      </w:r>
      <w:r w:rsidR="00DF59A8">
        <w:t>; $6,022</w:t>
      </w:r>
      <w:r w:rsidR="00686F0A">
        <w:t>)</w:t>
      </w:r>
      <w:r w:rsidR="00686F0A" w:rsidRPr="00686F0A">
        <w:t xml:space="preserve"> in the same PL grouping (with the same benefit) as BST-CarGel</w:t>
      </w:r>
      <w:r w:rsidR="00A026D8">
        <w:t xml:space="preserve">, which was </w:t>
      </w:r>
      <w:r w:rsidR="00686F0A">
        <w:t>included on the PL</w:t>
      </w:r>
      <w:r w:rsidR="00A026D8">
        <w:t xml:space="preserve"> </w:t>
      </w:r>
      <w:r w:rsidR="00686F0A">
        <w:t>in 2015</w:t>
      </w:r>
      <w:r w:rsidR="00A026D8">
        <w:t xml:space="preserve"> (</w:t>
      </w:r>
      <w:r w:rsidR="00686F0A">
        <w:t>Billing Code SL072</w:t>
      </w:r>
      <w:r w:rsidR="00DF59A8">
        <w:t>; $6,022</w:t>
      </w:r>
      <w:r w:rsidR="00686F0A">
        <w:t>)</w:t>
      </w:r>
      <w:r w:rsidR="00686F0A" w:rsidRPr="00686F0A">
        <w:t>.</w:t>
      </w:r>
      <w:r w:rsidR="00686F0A">
        <w:t xml:space="preserve"> PLAC noted that JointRep and BST-CarGel are similar to autologous chondrocyte implantation (ACI) and matrix-induced autologous chondrocyte implantation (MACI), which MSAC have previous assessed not suitable for public funding (</w:t>
      </w:r>
      <w:hyperlink r:id="rId12" w:history="1">
        <w:r w:rsidR="00686F0A" w:rsidRPr="0004231B">
          <w:rPr>
            <w:rStyle w:val="Hyperlink"/>
          </w:rPr>
          <w:t xml:space="preserve">MSAC application 1140 Public Summary Document </w:t>
        </w:r>
        <w:r w:rsidR="00686F0A">
          <w:rPr>
            <w:rStyle w:val="Hyperlink"/>
          </w:rPr>
          <w:t xml:space="preserve">[PSD] </w:t>
        </w:r>
        <w:r w:rsidR="00686F0A" w:rsidRPr="0004231B">
          <w:rPr>
            <w:rStyle w:val="Hyperlink"/>
          </w:rPr>
          <w:t>2010</w:t>
        </w:r>
      </w:hyperlink>
      <w:r w:rsidR="00686F0A">
        <w:t>).</w:t>
      </w:r>
    </w:p>
    <w:p w14:paraId="2B952A7E" w14:textId="4A3769FC" w:rsidR="004A3F2E" w:rsidRDefault="004A3F2E" w:rsidP="00C477EB">
      <w:pPr>
        <w:spacing w:before="240"/>
      </w:pPr>
      <w:r>
        <w:t xml:space="preserve">The PLAC recommended a health technology assessment (HTA) via MSAC for </w:t>
      </w:r>
      <w:r w:rsidR="0004231B" w:rsidRPr="004A3F2E">
        <w:t>JointRep</w:t>
      </w:r>
      <w:r w:rsidR="00160740">
        <w:t xml:space="preserve"> </w:t>
      </w:r>
      <w:r>
        <w:t xml:space="preserve">to determine the clinical effectiveness and cost-effectiveness of this product, </w:t>
      </w:r>
      <w:r w:rsidRPr="00BE52C0">
        <w:t>and to clarify the appropriate MBS item.</w:t>
      </w:r>
    </w:p>
    <w:p w14:paraId="50D6232D" w14:textId="2ED52C2C" w:rsidR="0004231B" w:rsidRDefault="0004231B" w:rsidP="00C477EB">
      <w:pPr>
        <w:pStyle w:val="Heading2"/>
        <w:spacing w:before="240"/>
      </w:pPr>
      <w:r>
        <w:t>Other MSAC applications f</w:t>
      </w:r>
      <w:r w:rsidR="00A47D97">
        <w:t>or chondral defects of the knee</w:t>
      </w:r>
    </w:p>
    <w:p w14:paraId="583E1353" w14:textId="27F47750" w:rsidR="0004231B" w:rsidRDefault="0004231B" w:rsidP="00B411FE">
      <w:pPr>
        <w:tabs>
          <w:tab w:val="left" w:pos="720"/>
          <w:tab w:val="left" w:pos="1140"/>
        </w:tabs>
      </w:pPr>
      <w:r>
        <w:t>MSAC application 1140 for MACI and ACI was considered by MSAC in 2010. MSAC did not support public funding for MACI or ACI for the treatment of chondral defects in the knee and other joints, due to the increased cost compared to existing procedures and the lack of evidence showing short term or long-term improvements in clinical outcomes (</w:t>
      </w:r>
      <w:hyperlink r:id="rId13" w:history="1">
        <w:r w:rsidRPr="0004231B">
          <w:rPr>
            <w:rStyle w:val="Hyperlink"/>
          </w:rPr>
          <w:t xml:space="preserve">MSAC application 1140 </w:t>
        </w:r>
        <w:r w:rsidR="00203F15">
          <w:rPr>
            <w:rStyle w:val="Hyperlink"/>
          </w:rPr>
          <w:t xml:space="preserve">PSD </w:t>
        </w:r>
        <w:r w:rsidRPr="0004231B">
          <w:rPr>
            <w:rStyle w:val="Hyperlink"/>
          </w:rPr>
          <w:t>2010</w:t>
        </w:r>
      </w:hyperlink>
      <w:r>
        <w:t>).</w:t>
      </w:r>
    </w:p>
    <w:p w14:paraId="7C4E0968" w14:textId="4FE8F362" w:rsidR="0004231B" w:rsidRPr="003861A2" w:rsidRDefault="0004231B" w:rsidP="003861A2">
      <w:pPr>
        <w:tabs>
          <w:tab w:val="left" w:pos="720"/>
          <w:tab w:val="left" w:pos="1140"/>
        </w:tabs>
        <w:spacing w:before="240" w:after="240"/>
      </w:pPr>
      <w:r>
        <w:t xml:space="preserve">MSAC application 1569 for </w:t>
      </w:r>
      <w:r w:rsidR="00EF1929">
        <w:t>c</w:t>
      </w:r>
      <w:r>
        <w:t xml:space="preserve">hitosan-based cartilage bio-matrix implant (BST-CarGel), in conjunction with the marrow stimulation technique (microfracture), for repair of focal cartilage defects was </w:t>
      </w:r>
      <w:r w:rsidR="00203F15">
        <w:t xml:space="preserve">also referred to MSAC by PLAC for advice on the clinical effectiveness and cost-effectiveness of BST-CarGel. MSAC application 1569 was </w:t>
      </w:r>
      <w:r>
        <w:t>considered by MSAC in July 2020.</w:t>
      </w:r>
      <w:r w:rsidR="00203F15">
        <w:t xml:space="preserve"> </w:t>
      </w:r>
      <w:r>
        <w:t xml:space="preserve">MSAC advised PLAC that BST-CarGel </w:t>
      </w:r>
      <w:r w:rsidR="00EF1929">
        <w:t>was</w:t>
      </w:r>
      <w:r>
        <w:t xml:space="preserve"> not cost-effective as there</w:t>
      </w:r>
      <w:r w:rsidR="00EF1929">
        <w:t xml:space="preserve"> was</w:t>
      </w:r>
      <w:r>
        <w:t xml:space="preserve"> insufficient evidence to support non-inferior safety and superior effectiveness of BST</w:t>
      </w:r>
      <w:r w:rsidR="00C471CB">
        <w:t>-</w:t>
      </w:r>
      <w:r>
        <w:t xml:space="preserve">CarGel compared with </w:t>
      </w:r>
      <w:r w:rsidR="00FD17A0">
        <w:t xml:space="preserve">microfracture </w:t>
      </w:r>
      <w:r>
        <w:t>alone</w:t>
      </w:r>
      <w:r w:rsidR="00EF1929">
        <w:t xml:space="preserve"> (</w:t>
      </w:r>
      <w:hyperlink r:id="rId14" w:history="1">
        <w:r w:rsidR="00EF1929" w:rsidRPr="00203F15">
          <w:rPr>
            <w:rStyle w:val="Hyperlink"/>
          </w:rPr>
          <w:t>MSAC application</w:t>
        </w:r>
        <w:r w:rsidR="00203F15" w:rsidRPr="00203F15">
          <w:rPr>
            <w:rStyle w:val="Hyperlink"/>
          </w:rPr>
          <w:t xml:space="preserve"> 1569 PSD 2020</w:t>
        </w:r>
      </w:hyperlink>
      <w:r w:rsidR="00203F15">
        <w:t>)</w:t>
      </w:r>
      <w:r>
        <w:t>.</w:t>
      </w:r>
    </w:p>
    <w:p w14:paraId="6A72FFCE" w14:textId="5E52EFE9" w:rsidR="003861A2" w:rsidRPr="003861A2" w:rsidRDefault="003861A2" w:rsidP="003861A2">
      <w:pPr>
        <w:pStyle w:val="Heading1"/>
        <w:spacing w:before="240" w:after="240"/>
        <w:rPr>
          <w:rFonts w:ascii="Arial" w:hAnsi="Arial" w:cs="Arial"/>
        </w:rPr>
      </w:pPr>
      <w:r w:rsidRPr="007D0728">
        <w:rPr>
          <w:rFonts w:ascii="Arial" w:hAnsi="Arial" w:cs="Arial"/>
        </w:rPr>
        <w:t>Prerequisites to implementation of any funding advice</w:t>
      </w:r>
    </w:p>
    <w:p w14:paraId="298973AB" w14:textId="5DC67D4C" w:rsidR="009A0DA5" w:rsidRDefault="009A0DA5" w:rsidP="009A0DA5">
      <w:pPr>
        <w:tabs>
          <w:tab w:val="left" w:pos="720"/>
          <w:tab w:val="left" w:pos="1140"/>
        </w:tabs>
      </w:pPr>
      <w:r w:rsidRPr="009A0DA5">
        <w:t>JointRep was included in the Australian Register of Therapeutic Goods (ARTG) in April 2019</w:t>
      </w:r>
      <w:r>
        <w:t xml:space="preserve">. </w:t>
      </w:r>
      <w:r w:rsidRPr="009A0DA5">
        <w:t xml:space="preserve">The intended purpose </w:t>
      </w:r>
      <w:r>
        <w:t xml:space="preserve">for JointRep as per ARTG entry 316444 </w:t>
      </w:r>
      <w:r w:rsidRPr="009A0DA5">
        <w:t xml:space="preserve">is “the treatment of isolated cartilage defects Grade III and IV (ICRS/ Outerbridge scores) of the knee joint in combination with </w:t>
      </w:r>
      <w:r w:rsidR="00FD17A0">
        <w:t xml:space="preserve">microfracture </w:t>
      </w:r>
      <w:r w:rsidRPr="009A0DA5">
        <w:t>surgery. Use of the implant is not appropriate in the presence of more generalised degeneration, meniscal deficiency or established osteoarthritis”.</w:t>
      </w:r>
    </w:p>
    <w:p w14:paraId="33D0131A" w14:textId="69ED5188" w:rsidR="00BB26AB" w:rsidRPr="00B02E35" w:rsidRDefault="009A0DA5" w:rsidP="00C477EB">
      <w:pPr>
        <w:tabs>
          <w:tab w:val="left" w:pos="720"/>
          <w:tab w:val="left" w:pos="1140"/>
        </w:tabs>
        <w:spacing w:before="240"/>
      </w:pPr>
      <w:r>
        <w:t>The commentary noted that t</w:t>
      </w:r>
      <w:r w:rsidRPr="009A0DA5">
        <w:t xml:space="preserve">he proposed population in the ADAR is consistent with the intended purpose </w:t>
      </w:r>
      <w:r>
        <w:t>specified in the ARTG entry for JointRep</w:t>
      </w:r>
      <w:r w:rsidRPr="009A0DA5">
        <w:t xml:space="preserve"> but refers to ‘symptomatic focal osteochondral defects’ rather than ‘isolated cartilage defects’.</w:t>
      </w:r>
    </w:p>
    <w:p w14:paraId="36E07551" w14:textId="36CC5330" w:rsidR="008A6C0C" w:rsidRPr="003861A2" w:rsidRDefault="00065623" w:rsidP="003861A2">
      <w:pPr>
        <w:pStyle w:val="Heading1"/>
        <w:spacing w:before="240" w:after="240"/>
        <w:rPr>
          <w:rFonts w:ascii="Arial" w:hAnsi="Arial" w:cs="Arial"/>
        </w:rPr>
      </w:pPr>
      <w:r w:rsidRPr="003861A2">
        <w:rPr>
          <w:rFonts w:ascii="Arial" w:hAnsi="Arial" w:cs="Arial"/>
        </w:rPr>
        <w:t>Proposal for public funding</w:t>
      </w:r>
    </w:p>
    <w:p w14:paraId="60397A37" w14:textId="41E6BE97" w:rsidR="00834277" w:rsidRDefault="00834277" w:rsidP="00834277">
      <w:r>
        <w:t xml:space="preserve">The ADAR claimed that the </w:t>
      </w:r>
      <w:r w:rsidR="00FD17A0">
        <w:t xml:space="preserve">microfracture </w:t>
      </w:r>
      <w:r>
        <w:t>procedure in conjunction with JointRep is adequately covered by existing MBS items (</w:t>
      </w:r>
      <w:r w:rsidR="003E0C9B">
        <w:t>49559, 49561 and 49562</w:t>
      </w:r>
      <w:r>
        <w:t>)</w:t>
      </w:r>
      <w:r w:rsidR="003E0C9B">
        <w:t xml:space="preserve">. </w:t>
      </w:r>
    </w:p>
    <w:p w14:paraId="0B8B7543" w14:textId="22C1A64D" w:rsidR="00834277" w:rsidRDefault="00834277" w:rsidP="00A7044C">
      <w:pPr>
        <w:spacing w:before="240"/>
      </w:pPr>
      <w:r>
        <w:lastRenderedPageBreak/>
        <w:t xml:space="preserve">The commentary noted that the descriptors of the existing MBS items do not define the population who are suitable (or unsuitable) for </w:t>
      </w:r>
      <w:r w:rsidR="00FD17A0">
        <w:t xml:space="preserve">microfracture </w:t>
      </w:r>
      <w:r>
        <w:t xml:space="preserve">or for JointRep in conjunction with </w:t>
      </w:r>
      <w:r w:rsidR="00BE6332">
        <w:t>microfracture</w:t>
      </w:r>
      <w:r>
        <w:t xml:space="preserve">. It is not known whether current use of JointRep in conjunction with </w:t>
      </w:r>
      <w:r w:rsidR="00FD17A0">
        <w:t>microfracture</w:t>
      </w:r>
      <w:r>
        <w:t xml:space="preserve"> is limited to the population who are most likely to benefit from the intervention.</w:t>
      </w:r>
    </w:p>
    <w:p w14:paraId="037D3D1E" w14:textId="4D7464EA" w:rsidR="00834277" w:rsidRDefault="00F913F0" w:rsidP="00C477EB">
      <w:pPr>
        <w:spacing w:before="240"/>
      </w:pPr>
      <w:r>
        <w:t>Although not requested by the applicant, MSAC may wish to consider whether the current MBS items should be amended or if a new MBS item should be created</w:t>
      </w:r>
      <w:r w:rsidR="00D70F07">
        <w:t xml:space="preserve">, to capture all content/contraindications/exclusion criteria relating to the implant as </w:t>
      </w:r>
      <w:r w:rsidR="00EA6999">
        <w:t>suggested</w:t>
      </w:r>
      <w:r w:rsidR="00D70F07">
        <w:t xml:space="preserve"> by PASC. </w:t>
      </w:r>
      <w:r>
        <w:t xml:space="preserve"> </w:t>
      </w:r>
    </w:p>
    <w:p w14:paraId="5975C4C8" w14:textId="77777777" w:rsidR="00016324" w:rsidRPr="00016324" w:rsidRDefault="00016324" w:rsidP="00C477EB">
      <w:pPr>
        <w:pStyle w:val="Heading2"/>
        <w:spacing w:before="240"/>
      </w:pPr>
      <w:r w:rsidRPr="00016324">
        <w:t xml:space="preserve">Other funding </w:t>
      </w:r>
    </w:p>
    <w:p w14:paraId="3EB259C8" w14:textId="51AF89F1" w:rsidR="00BE396E" w:rsidRPr="003861A2" w:rsidRDefault="00834277" w:rsidP="003861A2">
      <w:pPr>
        <w:rPr>
          <w:color w:val="3366FF"/>
          <w:szCs w:val="24"/>
        </w:rPr>
      </w:pPr>
      <w:r>
        <w:t xml:space="preserve">PLAC will consider the PL implications for JointRep after receipt of MSAC advice on the clinical effectiveness and cost-effectiveness of JointRep in conjunction with </w:t>
      </w:r>
      <w:r w:rsidR="00BE6332">
        <w:t>microfracture</w:t>
      </w:r>
      <w:r w:rsidR="00016324">
        <w:t>.</w:t>
      </w:r>
    </w:p>
    <w:p w14:paraId="5B2B1A02" w14:textId="4268DCF2" w:rsidR="00775963" w:rsidRPr="003861A2" w:rsidRDefault="00775963" w:rsidP="003861A2">
      <w:pPr>
        <w:pStyle w:val="Heading1"/>
        <w:spacing w:before="240" w:after="240"/>
        <w:rPr>
          <w:rFonts w:ascii="Arial" w:hAnsi="Arial" w:cs="Arial"/>
        </w:rPr>
      </w:pPr>
      <w:r w:rsidRPr="003861A2">
        <w:rPr>
          <w:rFonts w:ascii="Arial" w:hAnsi="Arial" w:cs="Arial"/>
        </w:rPr>
        <w:t xml:space="preserve">Summary of </w:t>
      </w:r>
      <w:r w:rsidR="003861A2">
        <w:rPr>
          <w:rFonts w:ascii="Arial" w:hAnsi="Arial" w:cs="Arial"/>
        </w:rPr>
        <w:t>p</w:t>
      </w:r>
      <w:r w:rsidRPr="003861A2">
        <w:rPr>
          <w:rFonts w:ascii="Arial" w:hAnsi="Arial" w:cs="Arial"/>
        </w:rPr>
        <w:t xml:space="preserve">ublic </w:t>
      </w:r>
      <w:r w:rsidR="003861A2">
        <w:rPr>
          <w:rFonts w:ascii="Arial" w:hAnsi="Arial" w:cs="Arial"/>
        </w:rPr>
        <w:t>c</w:t>
      </w:r>
      <w:r w:rsidRPr="003861A2">
        <w:rPr>
          <w:rFonts w:ascii="Arial" w:hAnsi="Arial" w:cs="Arial"/>
        </w:rPr>
        <w:t xml:space="preserve">onsultation </w:t>
      </w:r>
      <w:r w:rsidR="003861A2">
        <w:rPr>
          <w:rFonts w:ascii="Arial" w:hAnsi="Arial" w:cs="Arial"/>
        </w:rPr>
        <w:t>f</w:t>
      </w:r>
      <w:r w:rsidRPr="003861A2">
        <w:rPr>
          <w:rFonts w:ascii="Arial" w:hAnsi="Arial" w:cs="Arial"/>
        </w:rPr>
        <w:t>eedback/</w:t>
      </w:r>
      <w:r w:rsidR="003861A2">
        <w:rPr>
          <w:rFonts w:ascii="Arial" w:hAnsi="Arial" w:cs="Arial"/>
        </w:rPr>
        <w:t>c</w:t>
      </w:r>
      <w:r w:rsidRPr="003861A2">
        <w:rPr>
          <w:rFonts w:ascii="Arial" w:hAnsi="Arial" w:cs="Arial"/>
        </w:rPr>
        <w:t>onsumer Issues</w:t>
      </w:r>
    </w:p>
    <w:p w14:paraId="7A1788A4" w14:textId="7383658B" w:rsidR="00593E84" w:rsidRDefault="007A66C6">
      <w:r>
        <w:t xml:space="preserve">Consultation feedback was received from the </w:t>
      </w:r>
      <w:r w:rsidR="00593E84">
        <w:t xml:space="preserve">Australian Orthopaedic Association (AOA) </w:t>
      </w:r>
      <w:r w:rsidR="000C2435" w:rsidRPr="00D06815">
        <w:t>which was not supportive of the intervention</w:t>
      </w:r>
      <w:r w:rsidR="00D378A2">
        <w:t>. The AOA claim</w:t>
      </w:r>
      <w:r w:rsidR="000C2435" w:rsidRPr="00D06815">
        <w:t xml:space="preserve"> the evidence of benefit </w:t>
      </w:r>
      <w:r w:rsidR="00C202E9">
        <w:t xml:space="preserve">in the short-term </w:t>
      </w:r>
      <w:r w:rsidR="00D378A2">
        <w:t>is</w:t>
      </w:r>
      <w:r w:rsidR="000C2435" w:rsidRPr="00D06815">
        <w:t xml:space="preserve"> not convincing, </w:t>
      </w:r>
      <w:r w:rsidR="00C202E9">
        <w:t>there is no evidence on the long-term benefit</w:t>
      </w:r>
      <w:r w:rsidR="00D378A2">
        <w:t xml:space="preserve">, </w:t>
      </w:r>
      <w:r w:rsidR="000C2435" w:rsidRPr="00D06815">
        <w:t>other treatments are more effective, the cost is high</w:t>
      </w:r>
      <w:r w:rsidR="000C2435">
        <w:t xml:space="preserve"> and</w:t>
      </w:r>
      <w:r w:rsidR="000C2435" w:rsidRPr="00D06815">
        <w:t xml:space="preserve"> there is probability of </w:t>
      </w:r>
      <w:r w:rsidR="00EB7287">
        <w:t xml:space="preserve"> widespread use outside of the proposed population</w:t>
      </w:r>
      <w:r w:rsidR="000C2435" w:rsidRPr="00D06815">
        <w:t>. The feedback suggested other comparators and recommended the need for longer-term outcome s</w:t>
      </w:r>
      <w:r w:rsidR="000C2435">
        <w:t xml:space="preserve">tudies on microfracture, and that </w:t>
      </w:r>
      <w:r w:rsidR="00593E84">
        <w:t xml:space="preserve">the MBS item </w:t>
      </w:r>
      <w:r w:rsidR="00593E84" w:rsidRPr="00803397">
        <w:t>49559</w:t>
      </w:r>
      <w:r w:rsidR="00593E84">
        <w:t xml:space="preserve"> may be more appropriate. </w:t>
      </w:r>
    </w:p>
    <w:p w14:paraId="5184F7D8" w14:textId="23750D86" w:rsidR="00B411FE" w:rsidRPr="003861A2" w:rsidRDefault="00F8174C" w:rsidP="00C477EB">
      <w:pPr>
        <w:spacing w:before="240"/>
      </w:pPr>
      <w:r>
        <w:t xml:space="preserve">No consumer feedback/consumer comments were </w:t>
      </w:r>
      <w:r w:rsidR="000F21FE" w:rsidRPr="000F21FE">
        <w:t xml:space="preserve">received for this </w:t>
      </w:r>
      <w:r>
        <w:t>application</w:t>
      </w:r>
      <w:r w:rsidR="007A66C6">
        <w:t>.</w:t>
      </w:r>
    </w:p>
    <w:p w14:paraId="3658B066" w14:textId="77777777" w:rsidR="00D627C7" w:rsidRPr="003861A2" w:rsidRDefault="00D627C7" w:rsidP="003861A2">
      <w:pPr>
        <w:pStyle w:val="Heading1"/>
        <w:spacing w:before="240" w:after="240"/>
        <w:rPr>
          <w:rFonts w:ascii="Arial" w:hAnsi="Arial" w:cs="Arial"/>
        </w:rPr>
      </w:pPr>
      <w:r w:rsidRPr="003861A2">
        <w:rPr>
          <w:rFonts w:ascii="Arial" w:hAnsi="Arial" w:cs="Arial"/>
        </w:rPr>
        <w:t>Proposed intervention’s place in clinical management</w:t>
      </w:r>
    </w:p>
    <w:p w14:paraId="51BBD3C8" w14:textId="77777777" w:rsidR="003861A2" w:rsidRDefault="003861A2" w:rsidP="003861A2">
      <w:pPr>
        <w:pStyle w:val="Heading2"/>
      </w:pPr>
      <w:r>
        <w:t>Description of Proposed Intervention</w:t>
      </w:r>
    </w:p>
    <w:p w14:paraId="2DB871A1" w14:textId="77777777" w:rsidR="003861A2" w:rsidRPr="00B02E35" w:rsidRDefault="003861A2" w:rsidP="003861A2">
      <w:pPr>
        <w:tabs>
          <w:tab w:val="left" w:pos="720"/>
          <w:tab w:val="left" w:pos="1140"/>
        </w:tabs>
        <w:rPr>
          <w:color w:val="3366FF"/>
          <w:szCs w:val="24"/>
        </w:rPr>
      </w:pPr>
      <w:r>
        <w:t xml:space="preserve">JointRep is an arthroscopically injectable thermo-gel implant with a glucosamine polysaccharide formulation. It is designed to fill and resurface cartilage defects, forming a scaffold </w:t>
      </w:r>
      <w:r w:rsidRPr="00EF1929">
        <w:rPr>
          <w:i/>
        </w:rPr>
        <w:t>in situ</w:t>
      </w:r>
      <w:r>
        <w:t xml:space="preserve"> that provides support for progenitor cells. JointRep is used in conjunction with microfracture, which is an arthroscopic bone marrow stimulating articular repair technique that involves drilling multiple holes or ‘microfractures’ in the underlying bone to allow recruitment of autologous bone marrow cells into the vicinity of the defect.</w:t>
      </w:r>
    </w:p>
    <w:p w14:paraId="533E4611" w14:textId="77777777" w:rsidR="003861A2" w:rsidRDefault="003861A2" w:rsidP="00C477EB">
      <w:pPr>
        <w:pStyle w:val="Heading2"/>
        <w:spacing w:before="240"/>
      </w:pPr>
      <w:r>
        <w:t>Description of Medical Condition</w:t>
      </w:r>
    </w:p>
    <w:p w14:paraId="1712EDCB" w14:textId="77777777" w:rsidR="003861A2" w:rsidRDefault="003861A2" w:rsidP="003861A2">
      <w:r>
        <w:t>The proposed population for which JointRep is indicated is patients with symptomatic focal osteochondral defects (Outerbridge Grade III or IV) of the knee, having failed conservative treatment and being indicated for surgery; excluding individuals with more generalised degeneration, meniscal deficiency or established osteoarthritis. Within the population, there are two sub-populations for whom treatment is different depending on their defect size:</w:t>
      </w:r>
    </w:p>
    <w:p w14:paraId="4C3942A3" w14:textId="77777777" w:rsidR="003861A2" w:rsidRDefault="003861A2" w:rsidP="003861A2">
      <w:pPr>
        <w:pStyle w:val="ListParagraph"/>
        <w:numPr>
          <w:ilvl w:val="0"/>
          <w:numId w:val="16"/>
        </w:numPr>
      </w:pPr>
      <w:r>
        <w:t>patients with a defect ≤ 2 cm</w:t>
      </w:r>
      <w:r w:rsidRPr="008A612B">
        <w:rPr>
          <w:vertAlign w:val="superscript"/>
        </w:rPr>
        <w:t>2</w:t>
      </w:r>
      <w:r>
        <w:t xml:space="preserve"> in size</w:t>
      </w:r>
    </w:p>
    <w:p w14:paraId="4BBE4267" w14:textId="77777777" w:rsidR="003861A2" w:rsidRPr="003861A2" w:rsidRDefault="003861A2" w:rsidP="003861A2">
      <w:pPr>
        <w:pStyle w:val="ListParagraph"/>
        <w:numPr>
          <w:ilvl w:val="0"/>
          <w:numId w:val="16"/>
        </w:numPr>
      </w:pPr>
      <w:r>
        <w:t>patients with a defect &gt; 2 cm</w:t>
      </w:r>
      <w:r w:rsidRPr="008A612B">
        <w:rPr>
          <w:vertAlign w:val="superscript"/>
        </w:rPr>
        <w:t>2</w:t>
      </w:r>
      <w:r>
        <w:t xml:space="preserve"> in size.</w:t>
      </w:r>
    </w:p>
    <w:p w14:paraId="13BE52A1" w14:textId="53C272CD" w:rsidR="00D627C7" w:rsidRDefault="009A3398" w:rsidP="003861A2">
      <w:pPr>
        <w:spacing w:before="240"/>
      </w:pPr>
      <w:r w:rsidRPr="009A3398">
        <w:t xml:space="preserve">There are no official clinical guidelines in Australia for the management of chondral injuries. </w:t>
      </w:r>
      <w:r w:rsidR="00D627C7" w:rsidRPr="00C9270C">
        <w:t>The clinical management algor</w:t>
      </w:r>
      <w:r w:rsidR="00C9270C" w:rsidRPr="00C9270C">
        <w:t>ithm an</w:t>
      </w:r>
      <w:r w:rsidR="00C9270C">
        <w:t xml:space="preserve">d the proposed place of JointRep in conjunction with microfacture </w:t>
      </w:r>
      <w:r w:rsidR="00D627C7" w:rsidRPr="00C9270C">
        <w:t xml:space="preserve">is presented in </w:t>
      </w:r>
      <w:r w:rsidR="00C9270C" w:rsidRPr="00C9270C">
        <w:fldChar w:fldCharType="begin"/>
      </w:r>
      <w:r w:rsidR="00C9270C" w:rsidRPr="00C9270C">
        <w:instrText xml:space="preserve"> REF _Ref66733162 \h </w:instrText>
      </w:r>
      <w:r w:rsidR="00C9270C">
        <w:instrText xml:space="preserve"> \* MERGEFORMAT </w:instrText>
      </w:r>
      <w:r w:rsidR="00C9270C" w:rsidRPr="00C9270C">
        <w:fldChar w:fldCharType="separate"/>
      </w:r>
      <w:r w:rsidR="00C9270C" w:rsidRPr="00C9270C">
        <w:t xml:space="preserve">Figure </w:t>
      </w:r>
      <w:r w:rsidR="00C9270C" w:rsidRPr="00C9270C">
        <w:rPr>
          <w:noProof/>
        </w:rPr>
        <w:t>1</w:t>
      </w:r>
      <w:r w:rsidR="00C9270C" w:rsidRPr="00C9270C">
        <w:fldChar w:fldCharType="end"/>
      </w:r>
      <w:r w:rsidR="00D627C7" w:rsidRPr="00C9270C">
        <w:t>.</w:t>
      </w:r>
    </w:p>
    <w:p w14:paraId="42B97B07" w14:textId="35D4D734" w:rsidR="00593E84" w:rsidRDefault="00593E84" w:rsidP="00C477EB">
      <w:pPr>
        <w:spacing w:before="240"/>
      </w:pPr>
      <w:r>
        <w:t xml:space="preserve">The </w:t>
      </w:r>
      <w:r w:rsidR="008141AD">
        <w:t>c</w:t>
      </w:r>
      <w:r>
        <w:t xml:space="preserve">ommentary noted that the clinical algorithm </w:t>
      </w:r>
      <w:r w:rsidRPr="008B6B92">
        <w:t xml:space="preserve">does not show </w:t>
      </w:r>
      <w:r w:rsidR="00FD17A0">
        <w:t>microfracture</w:t>
      </w:r>
      <w:r>
        <w:t xml:space="preserve"> </w:t>
      </w:r>
      <w:r w:rsidRPr="008B6B92">
        <w:t>alone as an appropriate comparator for the larger lesion size subpopulation (&gt; 2 cm</w:t>
      </w:r>
      <w:r w:rsidRPr="008B6B92">
        <w:rPr>
          <w:vertAlign w:val="superscript"/>
        </w:rPr>
        <w:t>2</w:t>
      </w:r>
      <w:r>
        <w:t xml:space="preserve">). The algorithm does not include rehabilitation, which is highly individualised with tailoring of the weight bearing </w:t>
      </w:r>
      <w:r>
        <w:lastRenderedPageBreak/>
        <w:t>status progression and the subsequent exercise program depending on the size and location of the defect. The algorithm does not show that a second surgical repair may be attempted in cases where the repair fails or symptoms recur. It is unclear whether JointRep would be used during reoperation.</w:t>
      </w:r>
    </w:p>
    <w:p w14:paraId="4B84DDBE" w14:textId="77777777" w:rsidR="00C9270C" w:rsidRDefault="00C9270C" w:rsidP="00C477EB">
      <w:pPr>
        <w:pStyle w:val="Caption"/>
        <w:spacing w:before="240"/>
      </w:pPr>
      <w:bookmarkStart w:id="1" w:name="_Ref66733162"/>
      <w:r>
        <w:t xml:space="preserve">Figure </w:t>
      </w:r>
      <w:r w:rsidR="00875DA4">
        <w:fldChar w:fldCharType="begin"/>
      </w:r>
      <w:r w:rsidR="00875DA4">
        <w:instrText xml:space="preserve"> SEQ Figure \* ARABIC </w:instrText>
      </w:r>
      <w:r w:rsidR="00875DA4">
        <w:fldChar w:fldCharType="separate"/>
      </w:r>
      <w:r>
        <w:rPr>
          <w:noProof/>
        </w:rPr>
        <w:t>1</w:t>
      </w:r>
      <w:r w:rsidR="00875DA4">
        <w:rPr>
          <w:noProof/>
        </w:rPr>
        <w:fldChar w:fldCharType="end"/>
      </w:r>
      <w:bookmarkEnd w:id="1"/>
      <w:r>
        <w:tab/>
        <w:t>Clinical management algorithm/s for the proposed new intervention relative to current clinical practice</w:t>
      </w:r>
    </w:p>
    <w:p w14:paraId="433B999D" w14:textId="77777777" w:rsidR="00C9270C" w:rsidRDefault="00C9270C" w:rsidP="00C9270C">
      <w:pPr>
        <w:pBdr>
          <w:top w:val="single" w:sz="4" w:space="1" w:color="auto"/>
          <w:left w:val="single" w:sz="4" w:space="0" w:color="auto"/>
          <w:bottom w:val="single" w:sz="4" w:space="1" w:color="auto"/>
          <w:right w:val="single" w:sz="4" w:space="4" w:color="auto"/>
        </w:pBdr>
      </w:pPr>
      <w:r>
        <w:rPr>
          <w:rFonts w:eastAsia="Calibri"/>
          <w:noProof/>
          <w:lang w:eastAsia="en-US"/>
        </w:rPr>
        <w:object w:dxaOrig="9015" w:dyaOrig="10305" w14:anchorId="2B328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clinical management algorithm depicting the placement of microfracture with JointRep, microfracture alone, mosaicplasty and microfracture with BST-CarGel or Chondro-Gide." style="width:416.25pt;height:478.5pt" o:ole="">
            <v:imagedata r:id="rId15" o:title=""/>
          </v:shape>
          <o:OLEObject Type="Embed" ProgID="Visio.Drawing.15" ShapeID="_x0000_i1025" DrawAspect="Content" ObjectID="_1696159641" r:id="rId16"/>
        </w:object>
      </w:r>
    </w:p>
    <w:p w14:paraId="608102D6" w14:textId="77777777" w:rsidR="00C9270C" w:rsidRDefault="00C9270C" w:rsidP="00C9270C">
      <w:pPr>
        <w:pStyle w:val="TFAbbrevs0"/>
      </w:pPr>
      <w:r>
        <w:t>Source: Figure 3 (p35) of the ADAR</w:t>
      </w:r>
    </w:p>
    <w:p w14:paraId="5056ADAC" w14:textId="77777777" w:rsidR="00C9270C" w:rsidRDefault="00C9270C" w:rsidP="00C9270C">
      <w:pPr>
        <w:pStyle w:val="TFAbbrevs0"/>
      </w:pPr>
      <w:r>
        <w:t>Abbreviations: ACI = autologous chondrocyte implantation; ER = emergency room; GP = general practitioner; MRI = magnetic resonance imaging; OATS = osteochondral autograft transfer.</w:t>
      </w:r>
    </w:p>
    <w:p w14:paraId="285188D6" w14:textId="77777777" w:rsidR="00C9270C" w:rsidRPr="002B0C9F" w:rsidRDefault="00C9270C" w:rsidP="00C9270C">
      <w:pPr>
        <w:pStyle w:val="TFAbbrevs0"/>
      </w:pPr>
      <w:r w:rsidRPr="002B0C9F">
        <w:t xml:space="preserve">Note 1: The proposed intervention is indicated in red. </w:t>
      </w:r>
    </w:p>
    <w:p w14:paraId="0D4A4DB5" w14:textId="4BF11391" w:rsidR="00443F1D" w:rsidRPr="003861A2" w:rsidRDefault="00C9270C" w:rsidP="00A7044C">
      <w:pPr>
        <w:pStyle w:val="TFAbbrevs0"/>
        <w:keepNext w:val="0"/>
        <w:keepLines w:val="0"/>
        <w:spacing w:after="240"/>
      </w:pPr>
      <w:r w:rsidRPr="002B0C9F">
        <w:t>Note 2: Microfracture</w:t>
      </w:r>
      <w:r w:rsidRPr="00120536">
        <w:t xml:space="preserve"> alone is also a comparator for lesions &gt;</w:t>
      </w:r>
      <w:r>
        <w:t xml:space="preserve"> </w:t>
      </w:r>
      <w:r w:rsidRPr="00120536">
        <w:t>2 cm</w:t>
      </w:r>
      <w:r w:rsidRPr="00120536">
        <w:rPr>
          <w:vertAlign w:val="superscript"/>
        </w:rPr>
        <w:t>2</w:t>
      </w:r>
      <w:r w:rsidRPr="00120536">
        <w:t xml:space="preserve"> (not shown)</w:t>
      </w:r>
      <w:r>
        <w:t>.</w:t>
      </w:r>
    </w:p>
    <w:p w14:paraId="6E35F121" w14:textId="433FCA31" w:rsidR="00D627C7" w:rsidRPr="003861A2" w:rsidRDefault="00D627C7" w:rsidP="003861A2">
      <w:pPr>
        <w:pStyle w:val="Heading1"/>
        <w:spacing w:before="240" w:after="240"/>
        <w:rPr>
          <w:rFonts w:ascii="Arial" w:hAnsi="Arial" w:cs="Arial"/>
        </w:rPr>
      </w:pPr>
      <w:r w:rsidRPr="003861A2">
        <w:rPr>
          <w:rFonts w:ascii="Arial" w:hAnsi="Arial" w:cs="Arial"/>
        </w:rPr>
        <w:t xml:space="preserve">Comparator </w:t>
      </w:r>
    </w:p>
    <w:p w14:paraId="3C5C40CE" w14:textId="5CA3AC86" w:rsidR="00F56D35" w:rsidRDefault="00F56D35" w:rsidP="00F4606F">
      <w:r>
        <w:t xml:space="preserve">The comparators in the ADAR are: </w:t>
      </w:r>
    </w:p>
    <w:p w14:paraId="0E1E6760" w14:textId="4F016E31" w:rsidR="00F56D35" w:rsidRDefault="00F56D35" w:rsidP="00F56D35">
      <w:pPr>
        <w:pStyle w:val="ListParagraph"/>
        <w:numPr>
          <w:ilvl w:val="0"/>
          <w:numId w:val="18"/>
        </w:numPr>
      </w:pPr>
      <w:r>
        <w:t>Microfracture alone</w:t>
      </w:r>
    </w:p>
    <w:p w14:paraId="04ED3821" w14:textId="4E750489" w:rsidR="00F56D35" w:rsidRDefault="00F56D35" w:rsidP="00F56D35">
      <w:pPr>
        <w:pStyle w:val="ListParagraph"/>
        <w:numPr>
          <w:ilvl w:val="0"/>
          <w:numId w:val="18"/>
        </w:numPr>
      </w:pPr>
      <w:r>
        <w:t>Microfracture in conjunction with BST-CarGel (</w:t>
      </w:r>
      <w:hyperlink r:id="rId17" w:history="1">
        <w:r w:rsidRPr="00F016F1">
          <w:rPr>
            <w:rStyle w:val="Hyperlink"/>
          </w:rPr>
          <w:t>MSAC application 1569</w:t>
        </w:r>
      </w:hyperlink>
      <w:r>
        <w:t>).</w:t>
      </w:r>
    </w:p>
    <w:p w14:paraId="2CA3C26A" w14:textId="07076E3A" w:rsidR="00F4606F" w:rsidRDefault="00AB2937" w:rsidP="008D5688">
      <w:pPr>
        <w:spacing w:before="240"/>
      </w:pPr>
      <w:r>
        <w:lastRenderedPageBreak/>
        <w:t>The comparators in the ADAR</w:t>
      </w:r>
      <w:r w:rsidR="00F56D35">
        <w:t xml:space="preserve"> </w:t>
      </w:r>
      <w:r>
        <w:t xml:space="preserve">deviated from the </w:t>
      </w:r>
      <w:r w:rsidR="00B26392" w:rsidRPr="008B4006">
        <w:t>PICO Confirmation for MSAC 1578</w:t>
      </w:r>
      <w:r>
        <w:t>. Th</w:t>
      </w:r>
      <w:r w:rsidR="00F4606F">
        <w:t xml:space="preserve">e ADAR </w:t>
      </w:r>
      <w:r>
        <w:t xml:space="preserve">did not include </w:t>
      </w:r>
      <w:r w:rsidR="008A612B">
        <w:t>mosaicplasty</w:t>
      </w:r>
      <w:r>
        <w:t xml:space="preserve"> as a comparator, claiming</w:t>
      </w:r>
      <w:r w:rsidR="008A612B">
        <w:t xml:space="preserve"> t</w:t>
      </w:r>
      <w:r w:rsidR="00F4606F">
        <w:t>hat mosaicplasty</w:t>
      </w:r>
      <w:r w:rsidR="00F4606F" w:rsidRPr="0090134D">
        <w:t xml:space="preserve"> is a </w:t>
      </w:r>
      <w:r w:rsidR="00F4606F">
        <w:t xml:space="preserve">technically </w:t>
      </w:r>
      <w:r w:rsidR="00F4606F" w:rsidRPr="0090134D">
        <w:t>demanding procedure</w:t>
      </w:r>
      <w:r w:rsidR="00F4606F">
        <w:t xml:space="preserve"> and is not frequently used in Australia. </w:t>
      </w:r>
      <w:r w:rsidR="008A612B">
        <w:t xml:space="preserve">Other scaffold products were not included as a comparator in the ADAR, including </w:t>
      </w:r>
      <w:r w:rsidR="00F4606F">
        <w:t>Chondro-Gide</w:t>
      </w:r>
      <w:r w:rsidR="00F4606F" w:rsidRPr="007250CE">
        <w:t xml:space="preserve"> </w:t>
      </w:r>
      <w:r w:rsidR="008A612B">
        <w:t>as the ADAR claimed it is</w:t>
      </w:r>
      <w:r w:rsidR="00F4606F" w:rsidRPr="007250CE">
        <w:t xml:space="preserve"> used rarely, if ever</w:t>
      </w:r>
      <w:r w:rsidR="00F4606F">
        <w:t>,</w:t>
      </w:r>
      <w:r w:rsidR="00F4606F" w:rsidRPr="007250CE">
        <w:t xml:space="preserve"> in Australia.</w:t>
      </w:r>
      <w:r w:rsidR="00F4606F">
        <w:t xml:space="preserve"> </w:t>
      </w:r>
      <w:r w:rsidR="00B26392" w:rsidRPr="007250CE">
        <w:t>PASC acknowledg</w:t>
      </w:r>
      <w:r w:rsidR="00B26392">
        <w:t>ed</w:t>
      </w:r>
      <w:r w:rsidR="00B26392" w:rsidRPr="007250CE">
        <w:t xml:space="preserve"> it is not useful to assess comparators not in use in Australia</w:t>
      </w:r>
      <w:r w:rsidR="00B26392">
        <w:t xml:space="preserve"> (</w:t>
      </w:r>
      <w:hyperlink r:id="rId18" w:history="1">
        <w:r w:rsidR="00B26392" w:rsidRPr="00B26392">
          <w:rPr>
            <w:rStyle w:val="Hyperlink"/>
          </w:rPr>
          <w:t>PICO Confirmation p.8</w:t>
        </w:r>
      </w:hyperlink>
      <w:r w:rsidR="00B26392">
        <w:t>).</w:t>
      </w:r>
    </w:p>
    <w:p w14:paraId="67B8D797" w14:textId="12DB895F" w:rsidR="00F4606F" w:rsidRPr="007B50B6" w:rsidRDefault="00F4606F" w:rsidP="00C477EB">
      <w:pPr>
        <w:spacing w:before="240" w:after="240"/>
      </w:pPr>
      <w:r>
        <w:t>Although ACI and MACI</w:t>
      </w:r>
      <w:r w:rsidR="00F016F1">
        <w:t xml:space="preserve"> (</w:t>
      </w:r>
      <w:hyperlink r:id="rId19" w:history="1">
        <w:r w:rsidR="00F016F1" w:rsidRPr="00F016F1">
          <w:rPr>
            <w:rStyle w:val="Hyperlink"/>
          </w:rPr>
          <w:t>MSAC application 1140</w:t>
        </w:r>
      </w:hyperlink>
      <w:r w:rsidR="00F016F1">
        <w:t>)</w:t>
      </w:r>
      <w:r>
        <w:t xml:space="preserve"> </w:t>
      </w:r>
      <w:r w:rsidR="008A612B">
        <w:t xml:space="preserve">were </w:t>
      </w:r>
      <w:r>
        <w:t xml:space="preserve">not </w:t>
      </w:r>
      <w:r w:rsidR="008A612B">
        <w:t xml:space="preserve">specified as </w:t>
      </w:r>
      <w:r>
        <w:t>comparators</w:t>
      </w:r>
      <w:r w:rsidR="008A612B">
        <w:t xml:space="preserve"> in the PICO Confirmation</w:t>
      </w:r>
      <w:r>
        <w:t xml:space="preserve">, </w:t>
      </w:r>
      <w:r w:rsidR="008A612B">
        <w:t>the PICO Advisory Sub-Committee (</w:t>
      </w:r>
      <w:r>
        <w:t>PASC</w:t>
      </w:r>
      <w:r w:rsidR="008A612B">
        <w:t>)</w:t>
      </w:r>
      <w:r>
        <w:t xml:space="preserve"> requested that any comparative evidence be presented, if available, for ACI/MACI versus JointRep in </w:t>
      </w:r>
      <w:r w:rsidRPr="00F4606F">
        <w:t xml:space="preserve">conjunction with </w:t>
      </w:r>
      <w:r w:rsidR="00BE6332">
        <w:t>microfracture</w:t>
      </w:r>
      <w:r w:rsidRPr="00F4606F">
        <w:t xml:space="preserve">. The </w:t>
      </w:r>
      <w:r w:rsidR="008141AD">
        <w:t>c</w:t>
      </w:r>
      <w:r w:rsidRPr="00F4606F">
        <w:t>ommentary noted that no relevant evidence was identified.</w:t>
      </w:r>
    </w:p>
    <w:p w14:paraId="617C252C" w14:textId="08836F77" w:rsidR="00D627C7" w:rsidRPr="003861A2" w:rsidRDefault="00D627C7" w:rsidP="00D627C7">
      <w:pPr>
        <w:pStyle w:val="Heading1"/>
        <w:rPr>
          <w:rFonts w:ascii="Arial" w:hAnsi="Arial" w:cs="Arial"/>
        </w:rPr>
      </w:pPr>
      <w:r w:rsidRPr="003861A2">
        <w:rPr>
          <w:rFonts w:ascii="Arial" w:hAnsi="Arial" w:cs="Arial"/>
        </w:rPr>
        <w:t>Comparative safety</w:t>
      </w:r>
    </w:p>
    <w:p w14:paraId="3557D6FD" w14:textId="476C5978" w:rsidR="008A612B" w:rsidRDefault="008A612B" w:rsidP="00C477EB">
      <w:pPr>
        <w:pStyle w:val="Heading2"/>
        <w:spacing w:before="240"/>
      </w:pPr>
      <w:r>
        <w:t>JointRep</w:t>
      </w:r>
      <w:r w:rsidR="00CA7A7B">
        <w:t xml:space="preserve"> plus microfracture</w:t>
      </w:r>
      <w:r>
        <w:t xml:space="preserve"> versus microfracture</w:t>
      </w:r>
      <w:r w:rsidR="00CA7A7B">
        <w:t xml:space="preserve"> alone</w:t>
      </w:r>
    </w:p>
    <w:p w14:paraId="03CC916A" w14:textId="0C1046B9" w:rsidR="000A038B" w:rsidRDefault="009A3398" w:rsidP="009A3398">
      <w:r>
        <w:t>One</w:t>
      </w:r>
      <w:r w:rsidRPr="009A3398">
        <w:t xml:space="preserve"> non-randomised </w:t>
      </w:r>
      <w:r w:rsidR="000679DD">
        <w:t>unbl</w:t>
      </w:r>
      <w:r w:rsidR="00B26392">
        <w:t>i</w:t>
      </w:r>
      <w:r w:rsidR="000679DD">
        <w:t>nded study comparing</w:t>
      </w:r>
      <w:r w:rsidRPr="009A3398">
        <w:t xml:space="preserve"> JointRep in conjunction with </w:t>
      </w:r>
      <w:r w:rsidR="00FD17A0">
        <w:t xml:space="preserve">microfracture </w:t>
      </w:r>
      <w:r w:rsidRPr="009A3398">
        <w:t xml:space="preserve"> </w:t>
      </w:r>
      <w:r w:rsidR="000679DD">
        <w:t xml:space="preserve">(n=46) </w:t>
      </w:r>
      <w:r w:rsidRPr="009A3398">
        <w:t xml:space="preserve">versus </w:t>
      </w:r>
      <w:r w:rsidR="00FD17A0">
        <w:t>microfracture</w:t>
      </w:r>
      <w:r w:rsidRPr="009A3398">
        <w:t xml:space="preserve"> alone</w:t>
      </w:r>
      <w:r w:rsidR="000679DD">
        <w:t xml:space="preserve"> (n=23)</w:t>
      </w:r>
      <w:r>
        <w:t xml:space="preserve"> was </w:t>
      </w:r>
      <w:r w:rsidR="00B74B16">
        <w:t xml:space="preserve">included in the ADAR </w:t>
      </w:r>
      <w:r w:rsidRPr="009A3398">
        <w:t>(</w:t>
      </w:r>
      <w:r w:rsidR="00B74B16">
        <w:fldChar w:fldCharType="begin"/>
      </w:r>
      <w:r w:rsidR="00B74B16">
        <w:instrText xml:space="preserve"> REF _Ref68606710 \h </w:instrText>
      </w:r>
      <w:r w:rsidR="00B74B16">
        <w:fldChar w:fldCharType="separate"/>
      </w:r>
      <w:r w:rsidR="00B74B16" w:rsidRPr="005E5B41">
        <w:t xml:space="preserve">Table </w:t>
      </w:r>
      <w:r w:rsidR="00B74B16">
        <w:rPr>
          <w:noProof/>
        </w:rPr>
        <w:t>1</w:t>
      </w:r>
      <w:r w:rsidR="00B74B16">
        <w:fldChar w:fldCharType="end"/>
      </w:r>
      <w:r w:rsidRPr="009A3398">
        <w:t>).</w:t>
      </w:r>
      <w:r w:rsidR="00CA4753">
        <w:t xml:space="preserve">  The </w:t>
      </w:r>
      <w:r w:rsidR="008141AD">
        <w:t>c</w:t>
      </w:r>
      <w:r w:rsidR="00CA4753">
        <w:t xml:space="preserve">ommentary </w:t>
      </w:r>
      <w:r w:rsidR="000A038B">
        <w:t>found</w:t>
      </w:r>
      <w:r w:rsidR="00CA4753">
        <w:t xml:space="preserve"> the JointRep stu</w:t>
      </w:r>
      <w:r w:rsidR="00EB6AB2">
        <w:t xml:space="preserve">dy </w:t>
      </w:r>
      <w:r w:rsidR="000A038B">
        <w:t xml:space="preserve">to have </w:t>
      </w:r>
      <w:r w:rsidR="00EB6AB2">
        <w:t>a critical risk of bias, noting concerns regarding</w:t>
      </w:r>
      <w:r w:rsidR="000A038B">
        <w:t>:</w:t>
      </w:r>
    </w:p>
    <w:p w14:paraId="19ADDD2F" w14:textId="0A461522" w:rsidR="000A038B" w:rsidRDefault="00D1197C" w:rsidP="000A038B">
      <w:pPr>
        <w:pStyle w:val="ListParagraph"/>
        <w:numPr>
          <w:ilvl w:val="0"/>
          <w:numId w:val="21"/>
        </w:numPr>
      </w:pPr>
      <w:r>
        <w:t xml:space="preserve">inconsistent recruitment </w:t>
      </w:r>
      <w:r w:rsidR="000679DD">
        <w:t>to control arm</w:t>
      </w:r>
    </w:p>
    <w:p w14:paraId="7541709B" w14:textId="2488BEF0" w:rsidR="000A038B" w:rsidRDefault="000A038B" w:rsidP="000A038B">
      <w:pPr>
        <w:pStyle w:val="ListParagraph"/>
        <w:numPr>
          <w:ilvl w:val="0"/>
          <w:numId w:val="21"/>
        </w:numPr>
      </w:pPr>
      <w:r>
        <w:t>between group differences in</w:t>
      </w:r>
      <w:r w:rsidR="00D1197C">
        <w:t xml:space="preserve"> baseline patient characteristics</w:t>
      </w:r>
    </w:p>
    <w:p w14:paraId="66CAA546" w14:textId="03E7F2F6" w:rsidR="000679DD" w:rsidRDefault="000679DD" w:rsidP="000A038B">
      <w:pPr>
        <w:pStyle w:val="ListParagraph"/>
        <w:numPr>
          <w:ilvl w:val="0"/>
          <w:numId w:val="21"/>
        </w:numPr>
      </w:pPr>
      <w:r>
        <w:t>undisclosed number of study participants had osteoarthritis</w:t>
      </w:r>
    </w:p>
    <w:p w14:paraId="61FA25D4" w14:textId="03E2B436" w:rsidR="000679DD" w:rsidRDefault="000679DD" w:rsidP="000A038B">
      <w:pPr>
        <w:pStyle w:val="ListParagraph"/>
        <w:numPr>
          <w:ilvl w:val="0"/>
          <w:numId w:val="21"/>
        </w:numPr>
      </w:pPr>
      <w:r>
        <w:t>undisclosed number of study participants underwent simultaneous surgical interventions of the knee</w:t>
      </w:r>
    </w:p>
    <w:p w14:paraId="469CF576" w14:textId="19814D54" w:rsidR="009A3398" w:rsidRDefault="000679DD" w:rsidP="000679DD">
      <w:pPr>
        <w:pStyle w:val="ListParagraph"/>
        <w:numPr>
          <w:ilvl w:val="0"/>
          <w:numId w:val="21"/>
        </w:numPr>
      </w:pPr>
      <w:r>
        <w:t xml:space="preserve">use of a </w:t>
      </w:r>
      <w:r w:rsidR="000A038B">
        <w:t>non-</w:t>
      </w:r>
      <w:r w:rsidR="00EB6AB2">
        <w:t xml:space="preserve">standard rehabilitation </w:t>
      </w:r>
      <w:r w:rsidR="000A038B">
        <w:t>protocol</w:t>
      </w:r>
      <w:r w:rsidRPr="000679DD">
        <w:t xml:space="preserve"> that may have led to unfavourable clinical outcomes for the control group</w:t>
      </w:r>
      <w:r>
        <w:t xml:space="preserve">, and </w:t>
      </w:r>
    </w:p>
    <w:p w14:paraId="10804A0A" w14:textId="7B76FA99" w:rsidR="000679DD" w:rsidRDefault="000679DD" w:rsidP="000679DD">
      <w:pPr>
        <w:pStyle w:val="ListParagraph"/>
        <w:numPr>
          <w:ilvl w:val="0"/>
          <w:numId w:val="21"/>
        </w:numPr>
      </w:pPr>
      <w:r>
        <w:t>inadequate, incorrect or contradictory data reporting.</w:t>
      </w:r>
    </w:p>
    <w:p w14:paraId="1B841B0A" w14:textId="752FA3AB" w:rsidR="000D30EF" w:rsidRDefault="000D30EF" w:rsidP="00C477EB">
      <w:pPr>
        <w:spacing w:before="240"/>
      </w:pPr>
      <w:r>
        <w:t xml:space="preserve">The </w:t>
      </w:r>
      <w:r w:rsidR="004515FF">
        <w:t>pre-MSAC</w:t>
      </w:r>
      <w:r>
        <w:t xml:space="preserve"> response acknowledged that there are shortcomings in the JointRep study</w:t>
      </w:r>
      <w:r w:rsidR="00D079EF">
        <w:t>. The applicant</w:t>
      </w:r>
      <w:r w:rsidR="00F93142">
        <w:t xml:space="preserve"> </w:t>
      </w:r>
      <w:r>
        <w:t xml:space="preserve">considered that: the protocol of weight bearing was not necessarily inconsistent with current practice, patients with arthritis had focal lesions that were secondary to primary disease and not diffuse ‘wear and tear’ associated with primary arthritis, </w:t>
      </w:r>
      <w:r w:rsidR="00705F7A">
        <w:t xml:space="preserve">and </w:t>
      </w:r>
      <w:r>
        <w:t>clarified the microfracture technique used</w:t>
      </w:r>
      <w:r w:rsidR="00705F7A">
        <w:t>.</w:t>
      </w:r>
    </w:p>
    <w:p w14:paraId="79EEA74D" w14:textId="4ED2C482" w:rsidR="00B74B16" w:rsidRPr="00183E4D" w:rsidRDefault="00B74B16" w:rsidP="00C477EB">
      <w:pPr>
        <w:pStyle w:val="Caption"/>
        <w:spacing w:before="240"/>
        <w:rPr>
          <w:snapToGrid w:val="0"/>
        </w:rPr>
      </w:pPr>
      <w:bookmarkStart w:id="2" w:name="_Ref68606710"/>
      <w:r w:rsidRPr="005E5B41">
        <w:t xml:space="preserve">Table </w:t>
      </w:r>
      <w:r w:rsidR="00875DA4">
        <w:fldChar w:fldCharType="begin"/>
      </w:r>
      <w:r w:rsidR="00875DA4">
        <w:instrText xml:space="preserve"> SEQ Table \* ARABIC </w:instrText>
      </w:r>
      <w:r w:rsidR="00875DA4">
        <w:fldChar w:fldCharType="separate"/>
      </w:r>
      <w:r>
        <w:rPr>
          <w:noProof/>
        </w:rPr>
        <w:t>1</w:t>
      </w:r>
      <w:r w:rsidR="00875DA4">
        <w:rPr>
          <w:noProof/>
        </w:rPr>
        <w:fldChar w:fldCharType="end"/>
      </w:r>
      <w:bookmarkEnd w:id="2"/>
      <w:r w:rsidRPr="00183E4D">
        <w:tab/>
      </w:r>
      <w:r w:rsidRPr="00183E4D">
        <w:rPr>
          <w:snapToGrid w:val="0"/>
        </w:rPr>
        <w:t>Key features of included evidence</w:t>
      </w:r>
      <w:r>
        <w:rPr>
          <w:snapToGrid w:val="0"/>
        </w:rPr>
        <w:t xml:space="preserve"> comparing JointRep</w:t>
      </w:r>
      <w:r w:rsidRPr="002913B3">
        <w:rPr>
          <w:snapToGrid w:val="0"/>
        </w:rPr>
        <w:t xml:space="preserve"> </w:t>
      </w:r>
      <w:r>
        <w:rPr>
          <w:snapToGrid w:val="0"/>
        </w:rPr>
        <w:t xml:space="preserve">plus </w:t>
      </w:r>
      <w:r w:rsidR="003044DE">
        <w:rPr>
          <w:snapToGrid w:val="0"/>
        </w:rPr>
        <w:t>MF</w:t>
      </w:r>
      <w:r>
        <w:rPr>
          <w:snapToGrid w:val="0"/>
        </w:rPr>
        <w:t xml:space="preserve"> </w:t>
      </w:r>
      <w:r w:rsidRPr="002913B3">
        <w:rPr>
          <w:snapToGrid w:val="0"/>
        </w:rPr>
        <w:t xml:space="preserve">with </w:t>
      </w:r>
      <w:r w:rsidR="003044DE">
        <w:rPr>
          <w:snapToGrid w:val="0"/>
        </w:rPr>
        <w:t>MF</w:t>
      </w:r>
      <w:r>
        <w:rPr>
          <w:snapToGrid w:val="0"/>
        </w:rPr>
        <w:t xml:space="preserve"> alone</w:t>
      </w:r>
    </w:p>
    <w:tbl>
      <w:tblPr>
        <w:tblStyle w:val="TableGrid1"/>
        <w:tblW w:w="5000" w:type="pct"/>
        <w:tblLayout w:type="fixed"/>
        <w:tblCellMar>
          <w:left w:w="28" w:type="dxa"/>
          <w:right w:w="28" w:type="dxa"/>
        </w:tblCellMar>
        <w:tblLook w:val="04A0" w:firstRow="1" w:lastRow="0" w:firstColumn="1" w:lastColumn="0" w:noHBand="0" w:noVBand="1"/>
        <w:tblCaption w:val="Key features of included evidence comparing JointRep plus microfracture with microfracture alone"/>
        <w:tblDescription w:val="This table provides a summary of the key features of each study included in the evidence base - including the design/duration, risk of bias, patient population, outcome(s) and outcome-used in economic model. "/>
      </w:tblPr>
      <w:tblGrid>
        <w:gridCol w:w="1697"/>
        <w:gridCol w:w="1560"/>
        <w:gridCol w:w="1132"/>
        <w:gridCol w:w="2128"/>
        <w:gridCol w:w="1134"/>
        <w:gridCol w:w="1365"/>
      </w:tblGrid>
      <w:tr w:rsidR="00B74B16" w:rsidRPr="00183E4D" w14:paraId="04DC8442" w14:textId="77777777" w:rsidTr="001B1FE0">
        <w:trPr>
          <w:cnfStyle w:val="100000000000" w:firstRow="1" w:lastRow="0" w:firstColumn="0" w:lastColumn="0" w:oddVBand="0" w:evenVBand="0" w:oddHBand="0" w:evenHBand="0" w:firstRowFirstColumn="0" w:firstRowLastColumn="0" w:lastRowFirstColumn="0" w:lastRowLastColumn="0"/>
        </w:trPr>
        <w:tc>
          <w:tcPr>
            <w:tcW w:w="941" w:type="pct"/>
            <w:shd w:val="clear" w:color="auto" w:fill="auto"/>
            <w:vAlign w:val="center"/>
          </w:tcPr>
          <w:p w14:paraId="53952FB4" w14:textId="77777777" w:rsidR="00B74B16" w:rsidRPr="00CA4753" w:rsidRDefault="00B74B16" w:rsidP="00C477EB">
            <w:pPr>
              <w:pStyle w:val="TableHeading"/>
              <w:spacing w:before="0" w:after="0"/>
            </w:pPr>
            <w:r w:rsidRPr="00CA4753">
              <w:t>Trial/Study</w:t>
            </w:r>
          </w:p>
        </w:tc>
        <w:tc>
          <w:tcPr>
            <w:tcW w:w="865" w:type="pct"/>
            <w:shd w:val="clear" w:color="auto" w:fill="auto"/>
            <w:vAlign w:val="center"/>
          </w:tcPr>
          <w:p w14:paraId="1D53FA9D" w14:textId="77777777" w:rsidR="00B74B16" w:rsidRPr="00CA4753" w:rsidRDefault="00B74B16" w:rsidP="00C477EB">
            <w:pPr>
              <w:pStyle w:val="TableHeading"/>
              <w:spacing w:before="0" w:after="0"/>
            </w:pPr>
            <w:r w:rsidRPr="00CA4753">
              <w:t>Design/ duration</w:t>
            </w:r>
          </w:p>
        </w:tc>
        <w:tc>
          <w:tcPr>
            <w:tcW w:w="628" w:type="pct"/>
            <w:shd w:val="clear" w:color="auto" w:fill="auto"/>
            <w:vAlign w:val="center"/>
          </w:tcPr>
          <w:p w14:paraId="39C213EE" w14:textId="77777777" w:rsidR="00B74B16" w:rsidRPr="00CA4753" w:rsidRDefault="00B74B16" w:rsidP="00C477EB">
            <w:pPr>
              <w:pStyle w:val="TableHeading"/>
              <w:spacing w:before="0" w:after="0"/>
            </w:pPr>
            <w:r w:rsidRPr="00CA4753">
              <w:t>Risk of bias†</w:t>
            </w:r>
          </w:p>
        </w:tc>
        <w:tc>
          <w:tcPr>
            <w:tcW w:w="1180" w:type="pct"/>
            <w:shd w:val="clear" w:color="auto" w:fill="auto"/>
            <w:vAlign w:val="center"/>
          </w:tcPr>
          <w:p w14:paraId="65836275" w14:textId="77777777" w:rsidR="00B74B16" w:rsidRPr="00CA4753" w:rsidRDefault="00B74B16" w:rsidP="00C477EB">
            <w:pPr>
              <w:pStyle w:val="TableHeading"/>
              <w:spacing w:before="0" w:after="0"/>
            </w:pPr>
            <w:r w:rsidRPr="00CA4753">
              <w:t>Patient population</w:t>
            </w:r>
          </w:p>
        </w:tc>
        <w:tc>
          <w:tcPr>
            <w:tcW w:w="629" w:type="pct"/>
            <w:shd w:val="clear" w:color="auto" w:fill="auto"/>
            <w:vAlign w:val="center"/>
          </w:tcPr>
          <w:p w14:paraId="7C6509E7" w14:textId="77777777" w:rsidR="00B74B16" w:rsidRPr="00CA4753" w:rsidRDefault="00B74B16" w:rsidP="00C477EB">
            <w:pPr>
              <w:pStyle w:val="TableHeading"/>
              <w:spacing w:before="0" w:after="0"/>
            </w:pPr>
            <w:r w:rsidRPr="00CA4753">
              <w:t>Outcome(s)</w:t>
            </w:r>
          </w:p>
        </w:tc>
        <w:tc>
          <w:tcPr>
            <w:tcW w:w="757" w:type="pct"/>
          </w:tcPr>
          <w:p w14:paraId="4B39D63B" w14:textId="77777777" w:rsidR="00B74B16" w:rsidRPr="00CA4753" w:rsidRDefault="00B74B16" w:rsidP="00C477EB">
            <w:pPr>
              <w:pStyle w:val="TableHeading"/>
              <w:spacing w:before="0" w:after="0"/>
              <w:ind w:left="0" w:firstLine="0"/>
            </w:pPr>
            <w:r w:rsidRPr="00CA4753">
              <w:t>Outcome used in economic model</w:t>
            </w:r>
          </w:p>
        </w:tc>
      </w:tr>
      <w:tr w:rsidR="00B74B16" w:rsidRPr="009B7C70" w14:paraId="0AA8C047" w14:textId="77777777" w:rsidTr="001B1FE0">
        <w:tc>
          <w:tcPr>
            <w:tcW w:w="941" w:type="pct"/>
            <w:shd w:val="clear" w:color="auto" w:fill="FFFFFF" w:themeFill="background1"/>
          </w:tcPr>
          <w:p w14:paraId="1ACA7DE5" w14:textId="77777777" w:rsidR="00B74B16" w:rsidRPr="00CA4753" w:rsidRDefault="00B74B16" w:rsidP="00C477EB">
            <w:pPr>
              <w:pStyle w:val="TableText0"/>
              <w:spacing w:before="0" w:after="0"/>
              <w:ind w:left="113"/>
              <w:rPr>
                <w:rStyle w:val="EMPHASISFORTABLES"/>
                <w:bCs w:val="0"/>
                <w:i w:val="0"/>
                <w:color w:val="auto"/>
              </w:rPr>
            </w:pPr>
            <w:r w:rsidRPr="00CA4753">
              <w:rPr>
                <w:rStyle w:val="EMPHASISFORTABLES"/>
                <w:i w:val="0"/>
                <w:color w:val="auto"/>
              </w:rPr>
              <w:t>Pipino 2019</w:t>
            </w:r>
            <w:r w:rsidRPr="00CA4753">
              <w:rPr>
                <w:rStyle w:val="EMPHASISFORTABLES"/>
                <w:i w:val="0"/>
                <w:color w:val="auto"/>
              </w:rPr>
              <w:br/>
              <w:t>(study publication)</w:t>
            </w:r>
          </w:p>
          <w:p w14:paraId="654C6A38" w14:textId="77777777" w:rsidR="00B74B16" w:rsidRPr="00CA4753" w:rsidRDefault="00B74B16" w:rsidP="00C477EB">
            <w:pPr>
              <w:pStyle w:val="TableText0"/>
              <w:spacing w:before="0" w:after="0"/>
              <w:ind w:left="113"/>
              <w:rPr>
                <w:rStyle w:val="EMPHASISFORTABLES"/>
                <w:i w:val="0"/>
                <w:color w:val="auto"/>
              </w:rPr>
            </w:pPr>
            <w:r w:rsidRPr="00CA4753">
              <w:rPr>
                <w:rStyle w:val="EMPHASISFORTABLES"/>
                <w:i w:val="0"/>
                <w:color w:val="auto"/>
              </w:rPr>
              <w:t>Interim Study Report (Pipino 2018)</w:t>
            </w:r>
          </w:p>
          <w:p w14:paraId="3F93D0BE" w14:textId="77777777" w:rsidR="00B74B16" w:rsidRPr="00CA4753" w:rsidRDefault="00B74B16" w:rsidP="00C477EB">
            <w:pPr>
              <w:pStyle w:val="TableText0"/>
              <w:spacing w:before="0" w:after="0"/>
              <w:ind w:left="113"/>
            </w:pPr>
            <w:r w:rsidRPr="00CA4753">
              <w:rPr>
                <w:rStyle w:val="EMPHASISFORTABLES"/>
                <w:i w:val="0"/>
                <w:color w:val="auto"/>
              </w:rPr>
              <w:t>Unpublished Patient-level Data and Analysis file</w:t>
            </w:r>
          </w:p>
        </w:tc>
        <w:tc>
          <w:tcPr>
            <w:tcW w:w="865" w:type="pct"/>
            <w:shd w:val="clear" w:color="auto" w:fill="auto"/>
          </w:tcPr>
          <w:p w14:paraId="24BBE02B" w14:textId="77777777" w:rsidR="00B74B16" w:rsidRPr="00CA4753" w:rsidRDefault="00B74B16" w:rsidP="00C477EB">
            <w:pPr>
              <w:pStyle w:val="TableText0"/>
              <w:spacing w:before="0" w:after="0"/>
              <w:ind w:left="113"/>
            </w:pPr>
            <w:r w:rsidRPr="00CA4753">
              <w:t>Non-randomised, single-centre controlled study</w:t>
            </w:r>
          </w:p>
          <w:p w14:paraId="56938E9D" w14:textId="77777777" w:rsidR="00B74B16" w:rsidRPr="00CA4753" w:rsidRDefault="00B74B16" w:rsidP="00C477EB">
            <w:pPr>
              <w:pStyle w:val="TableText0"/>
              <w:spacing w:before="0" w:after="0"/>
              <w:ind w:left="113"/>
              <w:rPr>
                <w:bCs/>
                <w:iCs/>
              </w:rPr>
            </w:pPr>
            <w:r w:rsidRPr="00CA4753">
              <w:rPr>
                <w:bCs/>
                <w:iCs/>
              </w:rPr>
              <w:t>N=69</w:t>
            </w:r>
          </w:p>
          <w:p w14:paraId="75D2F154" w14:textId="77777777" w:rsidR="00B74B16" w:rsidRPr="00CA4753" w:rsidRDefault="00B74B16" w:rsidP="00C477EB">
            <w:pPr>
              <w:pStyle w:val="TableText0"/>
              <w:spacing w:before="0" w:after="0"/>
              <w:ind w:left="113"/>
              <w:rPr>
                <w:rStyle w:val="EMPHASISFORTABLES"/>
                <w:bCs w:val="0"/>
                <w:i w:val="0"/>
                <w:color w:val="auto"/>
              </w:rPr>
            </w:pPr>
            <w:r w:rsidRPr="00CA4753">
              <w:rPr>
                <w:rStyle w:val="EMPHASISFORTABLES"/>
                <w:i w:val="0"/>
                <w:color w:val="auto"/>
              </w:rPr>
              <w:t>24 months (Pipino 2018,2019)</w:t>
            </w:r>
          </w:p>
          <w:p w14:paraId="38810A9E" w14:textId="77777777" w:rsidR="00B74B16" w:rsidRPr="00CA4753" w:rsidRDefault="00B74B16" w:rsidP="00C477EB">
            <w:pPr>
              <w:pStyle w:val="TableText0"/>
              <w:spacing w:before="0" w:after="0"/>
              <w:ind w:left="113"/>
            </w:pPr>
            <w:r w:rsidRPr="00CA4753">
              <w:t>36</w:t>
            </w:r>
            <w:r w:rsidRPr="00CA4753">
              <w:rPr>
                <w:rStyle w:val="Emphasis"/>
                <w:i w:val="0"/>
              </w:rPr>
              <w:t xml:space="preserve"> </w:t>
            </w:r>
            <w:r w:rsidRPr="00CA4753">
              <w:t xml:space="preserve">months </w:t>
            </w:r>
            <w:r w:rsidRPr="00CA4753">
              <w:rPr>
                <w:rStyle w:val="EMPHASISFORTABLES"/>
                <w:i w:val="0"/>
                <w:color w:val="auto"/>
              </w:rPr>
              <w:t>(unpublished patient-level data)</w:t>
            </w:r>
          </w:p>
        </w:tc>
        <w:tc>
          <w:tcPr>
            <w:tcW w:w="628" w:type="pct"/>
            <w:shd w:val="clear" w:color="auto" w:fill="auto"/>
          </w:tcPr>
          <w:p w14:paraId="498126D7" w14:textId="77777777" w:rsidR="00B74B16" w:rsidRPr="00CA4753" w:rsidRDefault="00B74B16" w:rsidP="00C477EB">
            <w:pPr>
              <w:pStyle w:val="TableText0"/>
              <w:spacing w:before="0" w:after="0"/>
              <w:ind w:left="113"/>
            </w:pPr>
            <w:r w:rsidRPr="00CA4753">
              <w:rPr>
                <w:rStyle w:val="EMPHASISFORTABLES"/>
                <w:i w:val="0"/>
                <w:color w:val="auto"/>
              </w:rPr>
              <w:t>Critical</w:t>
            </w:r>
            <w:r w:rsidRPr="00CA4753">
              <w:rPr>
                <w:rStyle w:val="EMPHASISFORTABLES"/>
                <w:i w:val="0"/>
                <w:color w:val="auto"/>
              </w:rPr>
              <w:br/>
              <w:t>(ROBINS-I)</w:t>
            </w:r>
          </w:p>
        </w:tc>
        <w:tc>
          <w:tcPr>
            <w:tcW w:w="1180" w:type="pct"/>
            <w:shd w:val="clear" w:color="auto" w:fill="auto"/>
          </w:tcPr>
          <w:p w14:paraId="7ABBDEF8" w14:textId="77777777" w:rsidR="00B74B16" w:rsidRPr="00CA4753" w:rsidRDefault="00B74B16" w:rsidP="00C477EB">
            <w:pPr>
              <w:pStyle w:val="TableText0"/>
              <w:spacing w:before="0" w:after="0"/>
              <w:ind w:left="113"/>
              <w:rPr>
                <w:rStyle w:val="EMPHASISFORTABLES"/>
                <w:bCs w:val="0"/>
                <w:i w:val="0"/>
                <w:color w:val="auto"/>
              </w:rPr>
            </w:pPr>
            <w:r w:rsidRPr="00CA4753">
              <w:rPr>
                <w:rStyle w:val="EMPHASISFORTABLES"/>
                <w:i w:val="0"/>
                <w:color w:val="auto"/>
              </w:rPr>
              <w:t>Outerbridge Grade</w:t>
            </w:r>
            <w:r w:rsidRPr="00CA4753">
              <w:t xml:space="preserve"> III-IV OCDs </w:t>
            </w:r>
            <w:r w:rsidRPr="00CA4753">
              <w:rPr>
                <w:rStyle w:val="EMPHASISFORTABLES"/>
                <w:i w:val="0"/>
                <w:color w:val="auto"/>
              </w:rPr>
              <w:t>of the knee secondary to primary O</w:t>
            </w:r>
            <w:r w:rsidRPr="00CA4753">
              <w:rPr>
                <w:rStyle w:val="EMPHASISFORTABLES"/>
                <w:i w:val="0"/>
                <w:iCs/>
                <w:color w:val="auto"/>
              </w:rPr>
              <w:t>A</w:t>
            </w:r>
            <w:r w:rsidRPr="00CA4753">
              <w:rPr>
                <w:rStyle w:val="EMPHASISFORTABLES"/>
                <w:i w:val="0"/>
                <w:color w:val="auto"/>
              </w:rPr>
              <w:t xml:space="preserve"> or trauma and refractory to conservative measures</w:t>
            </w:r>
          </w:p>
          <w:p w14:paraId="1465BA45" w14:textId="77777777" w:rsidR="00B74B16" w:rsidRPr="00CA4753" w:rsidRDefault="00B74B16" w:rsidP="00C477EB">
            <w:pPr>
              <w:pStyle w:val="TableText0"/>
              <w:spacing w:before="0" w:after="0"/>
              <w:ind w:left="113"/>
            </w:pPr>
            <w:r w:rsidRPr="00CA4753">
              <w:t>Age 26-72 (mean 55) years</w:t>
            </w:r>
          </w:p>
          <w:p w14:paraId="1DA7AB61" w14:textId="77777777" w:rsidR="00B74B16" w:rsidRPr="00CA4753" w:rsidRDefault="00B74B16" w:rsidP="00C477EB">
            <w:pPr>
              <w:pStyle w:val="TableText0"/>
              <w:spacing w:before="0" w:after="0"/>
              <w:ind w:left="113"/>
            </w:pPr>
            <w:r w:rsidRPr="00CA4753">
              <w:t>58% male</w:t>
            </w:r>
          </w:p>
          <w:p w14:paraId="44667890" w14:textId="77777777" w:rsidR="00B74B16" w:rsidRPr="00CA4753" w:rsidRDefault="00B74B16" w:rsidP="00C477EB">
            <w:pPr>
              <w:pStyle w:val="TableText0"/>
              <w:spacing w:before="0" w:after="0"/>
              <w:ind w:left="113"/>
            </w:pPr>
            <w:r w:rsidRPr="00CA4753">
              <w:t>BMI not reported</w:t>
            </w:r>
          </w:p>
          <w:p w14:paraId="2A2BFB5D" w14:textId="77777777" w:rsidR="00B74B16" w:rsidRPr="00CA4753" w:rsidRDefault="00B74B16" w:rsidP="00C477EB">
            <w:pPr>
              <w:pStyle w:val="TableText0"/>
              <w:spacing w:before="0" w:after="0"/>
              <w:ind w:left="113"/>
            </w:pPr>
            <w:r w:rsidRPr="00CA4753">
              <w:t>JointRep n=46</w:t>
            </w:r>
          </w:p>
          <w:p w14:paraId="7456EA76" w14:textId="77777777" w:rsidR="00B74B16" w:rsidRPr="00CA4753" w:rsidRDefault="00B74B16" w:rsidP="00C477EB">
            <w:pPr>
              <w:pStyle w:val="TableText0"/>
              <w:spacing w:before="0" w:after="0"/>
              <w:ind w:left="113"/>
            </w:pPr>
            <w:r w:rsidRPr="00CA4753">
              <w:t>Control n=23</w:t>
            </w:r>
          </w:p>
        </w:tc>
        <w:tc>
          <w:tcPr>
            <w:tcW w:w="629" w:type="pct"/>
            <w:shd w:val="clear" w:color="auto" w:fill="auto"/>
          </w:tcPr>
          <w:p w14:paraId="456D9C3D" w14:textId="77777777" w:rsidR="00B74B16" w:rsidRPr="00CA4753" w:rsidRDefault="00B74B16" w:rsidP="00C477EB">
            <w:pPr>
              <w:pStyle w:val="TableText0"/>
              <w:spacing w:before="0" w:after="0"/>
              <w:ind w:left="113"/>
            </w:pPr>
            <w:r w:rsidRPr="00CA4753">
              <w:t>WOMAC</w:t>
            </w:r>
          </w:p>
        </w:tc>
        <w:tc>
          <w:tcPr>
            <w:tcW w:w="757" w:type="pct"/>
          </w:tcPr>
          <w:p w14:paraId="190FB53E" w14:textId="77777777" w:rsidR="00B74B16" w:rsidRPr="00CA4753" w:rsidRDefault="00B74B16" w:rsidP="00C477EB">
            <w:pPr>
              <w:pStyle w:val="TableText0"/>
              <w:spacing w:before="0" w:after="0"/>
              <w:ind w:left="113"/>
            </w:pPr>
            <w:r w:rsidRPr="00CA4753">
              <w:t>WOMAC</w:t>
            </w:r>
          </w:p>
        </w:tc>
      </w:tr>
    </w:tbl>
    <w:p w14:paraId="06E5127A" w14:textId="5D508FBB" w:rsidR="00B74B16" w:rsidRPr="00CA4753" w:rsidRDefault="00B74B16" w:rsidP="003861A2">
      <w:pPr>
        <w:pStyle w:val="Tablenotes"/>
        <w:rPr>
          <w:snapToGrid/>
        </w:rPr>
      </w:pPr>
      <w:r w:rsidRPr="007F7206">
        <w:rPr>
          <w:snapToGrid/>
        </w:rPr>
        <w:t xml:space="preserve">Source: </w:t>
      </w:r>
      <w:r w:rsidR="00DA25A8">
        <w:t xml:space="preserve">Table 2,pxv of the </w:t>
      </w:r>
      <w:r w:rsidR="008141AD">
        <w:t>c</w:t>
      </w:r>
      <w:r w:rsidR="00DA25A8">
        <w:t>ommentary</w:t>
      </w:r>
    </w:p>
    <w:p w14:paraId="1D028C04" w14:textId="45A415E8" w:rsidR="00B74B16" w:rsidRPr="007F7206" w:rsidRDefault="00CA4753" w:rsidP="003861A2">
      <w:pPr>
        <w:pStyle w:val="Tablenotes"/>
      </w:pPr>
      <w:r>
        <w:t xml:space="preserve">Abbreviations: </w:t>
      </w:r>
      <w:r w:rsidR="00B74B16" w:rsidRPr="007F7206">
        <w:t xml:space="preserve">BMI = body mass index; OA = osteoarthritis; OCD = osteochondral defect; </w:t>
      </w:r>
      <w:r w:rsidR="003044DE">
        <w:t xml:space="preserve">MF = microfracture; </w:t>
      </w:r>
      <w:r w:rsidR="00B74B16" w:rsidRPr="002D4846">
        <w:t>ROBINS-I = Risk of Bias in Non-randomised Studies of Interventions; WOMAC = Western Ontario and McMaster Universities Osteoarthritis Index</w:t>
      </w:r>
    </w:p>
    <w:p w14:paraId="05C24A0D" w14:textId="5472D302" w:rsidR="00B74B16" w:rsidRPr="007F7206" w:rsidRDefault="00B74B16" w:rsidP="003861A2">
      <w:pPr>
        <w:pStyle w:val="Tablenotes"/>
      </w:pPr>
      <w:r w:rsidRPr="007F7206">
        <w:t xml:space="preserve">† Assessed for </w:t>
      </w:r>
      <w:r w:rsidR="008141AD">
        <w:t>c</w:t>
      </w:r>
      <w:r w:rsidRPr="007F7206">
        <w:t xml:space="preserve">ommentary (refer to </w:t>
      </w:r>
      <w:r w:rsidRPr="00CA4753">
        <w:t>Attachment B</w:t>
      </w:r>
      <w:r w:rsidR="00CA4753" w:rsidRPr="00CA4753">
        <w:rPr>
          <w:rStyle w:val="Hyperlink"/>
          <w:color w:val="auto"/>
          <w:u w:val="none"/>
        </w:rPr>
        <w:t xml:space="preserve"> of the </w:t>
      </w:r>
      <w:r w:rsidR="008141AD">
        <w:rPr>
          <w:rStyle w:val="Hyperlink"/>
          <w:color w:val="auto"/>
          <w:u w:val="none"/>
        </w:rPr>
        <w:t>c</w:t>
      </w:r>
      <w:r w:rsidR="00CA4753" w:rsidRPr="00CA4753">
        <w:rPr>
          <w:rStyle w:val="Hyperlink"/>
          <w:color w:val="auto"/>
          <w:u w:val="none"/>
        </w:rPr>
        <w:t>ommentary</w:t>
      </w:r>
      <w:r w:rsidRPr="007F7206">
        <w:t xml:space="preserve">). The ADAR reported ‘acceptable’ risk of bias using the SIGN checklist. </w:t>
      </w:r>
    </w:p>
    <w:p w14:paraId="06C94203" w14:textId="77777777" w:rsidR="00B26392" w:rsidRDefault="00B26392" w:rsidP="00B26392">
      <w:r>
        <w:lastRenderedPageBreak/>
        <w:t xml:space="preserve">No </w:t>
      </w:r>
      <w:r w:rsidRPr="007173E2">
        <w:t>adverse event, complication, side</w:t>
      </w:r>
      <w:r>
        <w:t xml:space="preserve"> </w:t>
      </w:r>
      <w:r w:rsidRPr="007173E2">
        <w:t xml:space="preserve">effect or device deficiency was reported in </w:t>
      </w:r>
      <w:r>
        <w:t xml:space="preserve">either group of </w:t>
      </w:r>
      <w:r w:rsidRPr="007173E2">
        <w:t>th</w:t>
      </w:r>
      <w:r>
        <w:t>e</w:t>
      </w:r>
      <w:r w:rsidRPr="007173E2">
        <w:t xml:space="preserve"> </w:t>
      </w:r>
      <w:r>
        <w:t xml:space="preserve">JointRep </w:t>
      </w:r>
      <w:r w:rsidRPr="007173E2">
        <w:t>study</w:t>
      </w:r>
      <w:r>
        <w:t xml:space="preserve"> during the 12-month and 24-month follow up periods. The ADAR noted that two patients discontinued from the study due to trauma unrelated to the intervention, one due to a car accident and the other due to a tibial plateau fracture. </w:t>
      </w:r>
    </w:p>
    <w:p w14:paraId="0C9691F8" w14:textId="2C86A771" w:rsidR="00B26392" w:rsidRDefault="00B26392" w:rsidP="00C477EB">
      <w:pPr>
        <w:spacing w:before="240"/>
        <w:rPr>
          <w:rStyle w:val="CommentChar"/>
        </w:rPr>
      </w:pPr>
      <w:r>
        <w:t xml:space="preserve">The </w:t>
      </w:r>
      <w:r w:rsidR="008141AD">
        <w:t>c</w:t>
      </w:r>
      <w:r>
        <w:t xml:space="preserve">ommentary noted that </w:t>
      </w:r>
      <w:r w:rsidRPr="001136B4">
        <w:t>the absence of any adverse events over the reporting period of 24</w:t>
      </w:r>
      <w:r w:rsidR="003861A2">
        <w:t> </w:t>
      </w:r>
      <w:r w:rsidRPr="001136B4">
        <w:t>months suggests that the mechanism for reporting and recording adverse events may have been inadequate; and/or the focus was solely on serious adverse events or adverse events that were considered by the investigators to be unanticipated and device-related.</w:t>
      </w:r>
    </w:p>
    <w:p w14:paraId="39080DD1" w14:textId="01FF1323" w:rsidR="006A7814" w:rsidRDefault="006A7814" w:rsidP="00C477EB">
      <w:pPr>
        <w:pStyle w:val="Heading2"/>
        <w:spacing w:before="240"/>
      </w:pPr>
      <w:r>
        <w:t>JointRep</w:t>
      </w:r>
      <w:r w:rsidR="00CA7A7B">
        <w:t xml:space="preserve"> plus microfracture</w:t>
      </w:r>
      <w:r>
        <w:t xml:space="preserve"> versus </w:t>
      </w:r>
      <w:r w:rsidRPr="0055279A">
        <w:t>BST-CarGel</w:t>
      </w:r>
      <w:r w:rsidR="00CA7A7B">
        <w:t xml:space="preserve"> plus microfracture</w:t>
      </w:r>
    </w:p>
    <w:p w14:paraId="0506DF99" w14:textId="1EE27236" w:rsidR="006A7814" w:rsidRDefault="006A7814" w:rsidP="006A7814">
      <w:r>
        <w:t xml:space="preserve">No studies were identified that directly compared JointRep </w:t>
      </w:r>
      <w:r w:rsidR="00CA7A7B">
        <w:t>plus microfracture versus</w:t>
      </w:r>
      <w:r>
        <w:t xml:space="preserve"> BST-CarGel</w:t>
      </w:r>
      <w:r w:rsidR="00CA7A7B">
        <w:t xml:space="preserve"> plus microfracture</w:t>
      </w:r>
      <w:r>
        <w:t xml:space="preserve">. </w:t>
      </w:r>
      <w:r w:rsidR="007D36B9">
        <w:t xml:space="preserve">The </w:t>
      </w:r>
      <w:r>
        <w:t xml:space="preserve">ADAR </w:t>
      </w:r>
      <w:r w:rsidR="007D36B9">
        <w:t xml:space="preserve">included two studies </w:t>
      </w:r>
      <w:r>
        <w:t>to support an indirect comparison using a common comparator (</w:t>
      </w:r>
      <w:r w:rsidR="00FD17A0">
        <w:t>microfracture</w:t>
      </w:r>
      <w:r>
        <w:t xml:space="preserve"> alone) (</w:t>
      </w:r>
      <w:r>
        <w:fldChar w:fldCharType="begin"/>
      </w:r>
      <w:r>
        <w:instrText xml:space="preserve"> REF _Ref68614071 \h </w:instrText>
      </w:r>
      <w:r>
        <w:fldChar w:fldCharType="separate"/>
      </w:r>
      <w:r w:rsidR="007D36B9">
        <w:t xml:space="preserve">Table </w:t>
      </w:r>
      <w:r w:rsidR="007D36B9">
        <w:rPr>
          <w:noProof/>
          <w:snapToGrid w:val="0"/>
        </w:rPr>
        <w:t>2</w:t>
      </w:r>
      <w:r>
        <w:fldChar w:fldCharType="end"/>
      </w:r>
      <w:r>
        <w:t xml:space="preserve">). </w:t>
      </w:r>
      <w:r w:rsidRPr="007D36B9">
        <w:t>These publications have been considered previously by MSAC (PSD for Application 1569, July 2020).</w:t>
      </w:r>
    </w:p>
    <w:p w14:paraId="2864544F" w14:textId="607FFC1A" w:rsidR="006A7814" w:rsidRDefault="006A7814" w:rsidP="00C477EB">
      <w:pPr>
        <w:pStyle w:val="Caption"/>
        <w:spacing w:before="240"/>
      </w:pPr>
      <w:bookmarkStart w:id="3" w:name="_Ref68614071"/>
      <w:r>
        <w:t xml:space="preserve">Table </w:t>
      </w:r>
      <w:r>
        <w:rPr>
          <w:snapToGrid w:val="0"/>
        </w:rPr>
        <w:fldChar w:fldCharType="begin"/>
      </w:r>
      <w:r>
        <w:rPr>
          <w:snapToGrid w:val="0"/>
        </w:rPr>
        <w:instrText xml:space="preserve"> SEQ Table \* ARABIC </w:instrText>
      </w:r>
      <w:r>
        <w:rPr>
          <w:snapToGrid w:val="0"/>
        </w:rPr>
        <w:fldChar w:fldCharType="separate"/>
      </w:r>
      <w:r w:rsidR="007D36B9">
        <w:rPr>
          <w:noProof/>
          <w:snapToGrid w:val="0"/>
        </w:rPr>
        <w:t>2</w:t>
      </w:r>
      <w:r>
        <w:rPr>
          <w:snapToGrid w:val="0"/>
        </w:rPr>
        <w:fldChar w:fldCharType="end"/>
      </w:r>
      <w:bookmarkEnd w:id="3"/>
      <w:r>
        <w:rPr>
          <w:snapToGrid w:val="0"/>
        </w:rPr>
        <w:tab/>
      </w:r>
      <w:r w:rsidRPr="00183E4D">
        <w:rPr>
          <w:snapToGrid w:val="0"/>
        </w:rPr>
        <w:t xml:space="preserve">Key features of </w:t>
      </w:r>
      <w:r>
        <w:rPr>
          <w:snapToGrid w:val="0"/>
          <w:color w:val="000000"/>
        </w:rPr>
        <w:t xml:space="preserve">included evidence </w:t>
      </w:r>
      <w:r>
        <w:rPr>
          <w:snapToGrid w:val="0"/>
        </w:rPr>
        <w:t>comparing BST-CarGel</w:t>
      </w:r>
      <w:r w:rsidRPr="002913B3">
        <w:rPr>
          <w:snapToGrid w:val="0"/>
        </w:rPr>
        <w:t xml:space="preserve"> </w:t>
      </w:r>
      <w:r>
        <w:rPr>
          <w:snapToGrid w:val="0"/>
        </w:rPr>
        <w:t xml:space="preserve">plus </w:t>
      </w:r>
      <w:r w:rsidR="003044DE">
        <w:rPr>
          <w:snapToGrid w:val="0"/>
        </w:rPr>
        <w:t>MF</w:t>
      </w:r>
      <w:r>
        <w:rPr>
          <w:snapToGrid w:val="0"/>
        </w:rPr>
        <w:t xml:space="preserve"> </w:t>
      </w:r>
      <w:r w:rsidRPr="002913B3">
        <w:rPr>
          <w:snapToGrid w:val="0"/>
        </w:rPr>
        <w:t xml:space="preserve">with </w:t>
      </w:r>
      <w:r w:rsidR="003044DE">
        <w:rPr>
          <w:snapToGrid w:val="0"/>
        </w:rPr>
        <w:t>MF</w:t>
      </w:r>
      <w:r>
        <w:rPr>
          <w:snapToGrid w:val="0"/>
        </w:rPr>
        <w:t xml:space="preserve"> alone</w:t>
      </w:r>
    </w:p>
    <w:tbl>
      <w:tblPr>
        <w:tblStyle w:val="TableGrid1"/>
        <w:tblW w:w="5000" w:type="pct"/>
        <w:tblLook w:val="04A0" w:firstRow="1" w:lastRow="0" w:firstColumn="1" w:lastColumn="0" w:noHBand="0" w:noVBand="1"/>
        <w:tblCaption w:val="Key features of included evidence comparing BST CarGel plus microfracture with microfracture alone"/>
        <w:tblDescription w:val="This table provides a summary of the key features of each study included in the evidence base - including the design and duration, risk of bias in the results, patient population characteristics, key outcomes measured, and whether the results were used in the economic evaluation in the report."/>
      </w:tblPr>
      <w:tblGrid>
        <w:gridCol w:w="1414"/>
        <w:gridCol w:w="1232"/>
        <w:gridCol w:w="1263"/>
        <w:gridCol w:w="2540"/>
        <w:gridCol w:w="1213"/>
        <w:gridCol w:w="1354"/>
      </w:tblGrid>
      <w:tr w:rsidR="006A7814" w:rsidRPr="00583523" w14:paraId="1B7E4BBA" w14:textId="77777777" w:rsidTr="00ED48D4">
        <w:trPr>
          <w:cnfStyle w:val="100000000000" w:firstRow="1" w:lastRow="0" w:firstColumn="0" w:lastColumn="0" w:oddVBand="0" w:evenVBand="0" w:oddHBand="0" w:evenHBand="0" w:firstRowFirstColumn="0" w:firstRowLastColumn="0" w:lastRowFirstColumn="0" w:lastRowLastColumn="0"/>
        </w:trPr>
        <w:tc>
          <w:tcPr>
            <w:tcW w:w="697" w:type="pct"/>
          </w:tcPr>
          <w:p w14:paraId="2C033570" w14:textId="77777777" w:rsidR="006A7814" w:rsidRPr="00583523" w:rsidRDefault="006A7814" w:rsidP="001B1FE0">
            <w:pPr>
              <w:pStyle w:val="TableText0"/>
              <w:ind w:left="113"/>
              <w:rPr>
                <w:b/>
                <w:bCs/>
              </w:rPr>
            </w:pPr>
            <w:r w:rsidRPr="00583523">
              <w:rPr>
                <w:b/>
                <w:bCs/>
              </w:rPr>
              <w:t>Trial/Study</w:t>
            </w:r>
          </w:p>
        </w:tc>
        <w:tc>
          <w:tcPr>
            <w:tcW w:w="558" w:type="pct"/>
          </w:tcPr>
          <w:p w14:paraId="1225E242" w14:textId="77777777" w:rsidR="006A7814" w:rsidRPr="00583523" w:rsidRDefault="006A7814" w:rsidP="001B1FE0">
            <w:pPr>
              <w:pStyle w:val="TableText0"/>
              <w:ind w:left="113"/>
              <w:rPr>
                <w:b/>
                <w:bCs/>
              </w:rPr>
            </w:pPr>
            <w:r w:rsidRPr="00583523">
              <w:rPr>
                <w:b/>
                <w:bCs/>
              </w:rPr>
              <w:t>Design/ duration</w:t>
            </w:r>
          </w:p>
        </w:tc>
        <w:tc>
          <w:tcPr>
            <w:tcW w:w="786" w:type="pct"/>
          </w:tcPr>
          <w:p w14:paraId="5265A5EA" w14:textId="77777777" w:rsidR="006A7814" w:rsidRPr="00583523" w:rsidRDefault="006A7814" w:rsidP="001B1FE0">
            <w:pPr>
              <w:pStyle w:val="TableText0"/>
              <w:ind w:left="113"/>
              <w:rPr>
                <w:b/>
                <w:bCs/>
              </w:rPr>
            </w:pPr>
            <w:r w:rsidRPr="00583523">
              <w:rPr>
                <w:b/>
                <w:bCs/>
              </w:rPr>
              <w:t>Risk of bias</w:t>
            </w:r>
            <w:r>
              <w:rPr>
                <w:b/>
                <w:bCs/>
              </w:rPr>
              <w:t xml:space="preserve"> (WOMAC only)</w:t>
            </w:r>
            <w:r w:rsidRPr="00D3159F">
              <w:rPr>
                <w:vertAlign w:val="superscript"/>
              </w:rPr>
              <w:t>†</w:t>
            </w:r>
          </w:p>
        </w:tc>
        <w:tc>
          <w:tcPr>
            <w:tcW w:w="1494" w:type="pct"/>
          </w:tcPr>
          <w:p w14:paraId="209AD4BB" w14:textId="77777777" w:rsidR="006A7814" w:rsidRPr="00583523" w:rsidRDefault="006A7814" w:rsidP="001B1FE0">
            <w:pPr>
              <w:pStyle w:val="TableText0"/>
              <w:ind w:left="113"/>
              <w:rPr>
                <w:b/>
                <w:bCs/>
              </w:rPr>
            </w:pPr>
            <w:r w:rsidRPr="00583523">
              <w:rPr>
                <w:b/>
                <w:bCs/>
              </w:rPr>
              <w:t>Patient population</w:t>
            </w:r>
          </w:p>
        </w:tc>
        <w:tc>
          <w:tcPr>
            <w:tcW w:w="629" w:type="pct"/>
          </w:tcPr>
          <w:p w14:paraId="6EDFD1CA" w14:textId="77777777" w:rsidR="006A7814" w:rsidRPr="00583523" w:rsidRDefault="006A7814" w:rsidP="001B1FE0">
            <w:pPr>
              <w:pStyle w:val="TableText0"/>
              <w:ind w:left="113"/>
              <w:rPr>
                <w:b/>
                <w:bCs/>
              </w:rPr>
            </w:pPr>
            <w:r w:rsidRPr="00583523">
              <w:rPr>
                <w:b/>
                <w:bCs/>
              </w:rPr>
              <w:t>Key outcome(s)</w:t>
            </w:r>
          </w:p>
        </w:tc>
        <w:tc>
          <w:tcPr>
            <w:tcW w:w="836" w:type="pct"/>
          </w:tcPr>
          <w:p w14:paraId="1B8013A4" w14:textId="77777777" w:rsidR="006A7814" w:rsidRPr="00583523" w:rsidRDefault="006A7814" w:rsidP="001B1FE0">
            <w:pPr>
              <w:pStyle w:val="TableText0"/>
              <w:ind w:left="113"/>
              <w:rPr>
                <w:b/>
                <w:bCs/>
              </w:rPr>
            </w:pPr>
            <w:r>
              <w:rPr>
                <w:b/>
                <w:bCs/>
              </w:rPr>
              <w:t>Outcome</w:t>
            </w:r>
            <w:r w:rsidRPr="00583523">
              <w:rPr>
                <w:b/>
                <w:bCs/>
              </w:rPr>
              <w:t xml:space="preserve"> used in economic model</w:t>
            </w:r>
          </w:p>
        </w:tc>
      </w:tr>
      <w:tr w:rsidR="006A7814" w:rsidRPr="00583523" w14:paraId="0CE19D41" w14:textId="77777777" w:rsidTr="00ED48D4">
        <w:tc>
          <w:tcPr>
            <w:tcW w:w="697" w:type="pct"/>
          </w:tcPr>
          <w:p w14:paraId="572BED8B" w14:textId="77777777" w:rsidR="006A7814" w:rsidRDefault="006A7814" w:rsidP="001B1FE0">
            <w:pPr>
              <w:pStyle w:val="TableText0"/>
              <w:ind w:left="113"/>
            </w:pPr>
            <w:r w:rsidRPr="00583523">
              <w:t>Stanish 2013</w:t>
            </w:r>
          </w:p>
          <w:p w14:paraId="4B44D891" w14:textId="77777777" w:rsidR="006A7814" w:rsidRPr="00583523" w:rsidRDefault="006A7814" w:rsidP="001B1FE0">
            <w:pPr>
              <w:pStyle w:val="TableText0"/>
              <w:ind w:left="113"/>
            </w:pPr>
            <w:r>
              <w:t>(</w:t>
            </w:r>
            <w:r w:rsidRPr="004F61B1">
              <w:t>NCT0031423</w:t>
            </w:r>
            <w:r>
              <w:t>)</w:t>
            </w:r>
          </w:p>
        </w:tc>
        <w:tc>
          <w:tcPr>
            <w:tcW w:w="558" w:type="pct"/>
          </w:tcPr>
          <w:p w14:paraId="2B35222C" w14:textId="77777777" w:rsidR="006A7814" w:rsidRDefault="006A7814" w:rsidP="001B1FE0">
            <w:pPr>
              <w:pStyle w:val="TableText0"/>
              <w:ind w:left="113"/>
            </w:pPr>
            <w:r>
              <w:t>International multicentre RCT</w:t>
            </w:r>
          </w:p>
          <w:p w14:paraId="306CB040" w14:textId="77777777" w:rsidR="006A7814" w:rsidRDefault="006A7814" w:rsidP="001B1FE0">
            <w:pPr>
              <w:pStyle w:val="TableText0"/>
              <w:ind w:left="113"/>
            </w:pPr>
            <w:r>
              <w:t>N = 80</w:t>
            </w:r>
          </w:p>
          <w:p w14:paraId="54B25EEA" w14:textId="77777777" w:rsidR="006A7814" w:rsidRPr="00583523" w:rsidRDefault="006A7814" w:rsidP="001B1FE0">
            <w:pPr>
              <w:pStyle w:val="TableText0"/>
              <w:spacing w:before="120"/>
              <w:ind w:left="113"/>
            </w:pPr>
            <w:r w:rsidRPr="00583523">
              <w:t>12 months</w:t>
            </w:r>
          </w:p>
        </w:tc>
        <w:tc>
          <w:tcPr>
            <w:tcW w:w="786" w:type="pct"/>
          </w:tcPr>
          <w:p w14:paraId="59F024C7" w14:textId="77777777" w:rsidR="006A7814" w:rsidRPr="00583523" w:rsidRDefault="006A7814" w:rsidP="001B1FE0">
            <w:pPr>
              <w:pStyle w:val="TableText0"/>
              <w:ind w:left="113"/>
            </w:pPr>
            <w:r w:rsidRPr="00583523">
              <w:t>Some concerns</w:t>
            </w:r>
            <w:r>
              <w:br/>
              <w:t>(RoB 2.0)</w:t>
            </w:r>
          </w:p>
        </w:tc>
        <w:tc>
          <w:tcPr>
            <w:tcW w:w="1494" w:type="pct"/>
          </w:tcPr>
          <w:p w14:paraId="6CBFC41A" w14:textId="77777777" w:rsidR="006A7814" w:rsidRDefault="006A7814" w:rsidP="001B1FE0">
            <w:pPr>
              <w:pStyle w:val="TableText0"/>
              <w:ind w:left="113"/>
            </w:pPr>
            <w:r>
              <w:t xml:space="preserve">Single, focal cartilage lesion on the femoral condyles and moderate knee pain; </w:t>
            </w:r>
            <w:r w:rsidRPr="004F61B1">
              <w:t xml:space="preserve">full-thickness </w:t>
            </w:r>
            <w:r>
              <w:t>G</w:t>
            </w:r>
            <w:r w:rsidRPr="004F61B1">
              <w:t>rade 3 or 4 according to the ICRS (3A, 3B, 3C, 3D and 4A)</w:t>
            </w:r>
          </w:p>
          <w:p w14:paraId="13D3032C" w14:textId="77777777" w:rsidR="006A7814" w:rsidRDefault="006A7814" w:rsidP="001B1FE0">
            <w:pPr>
              <w:pStyle w:val="TableText0"/>
              <w:spacing w:before="120"/>
              <w:ind w:left="113"/>
            </w:pPr>
            <w:r>
              <w:t>Age 18-55 (mean 36) years</w:t>
            </w:r>
          </w:p>
          <w:p w14:paraId="212D6DDA" w14:textId="77777777" w:rsidR="006A7814" w:rsidRDefault="006A7814" w:rsidP="001B1FE0">
            <w:pPr>
              <w:pStyle w:val="TableText0"/>
              <w:spacing w:before="120"/>
              <w:ind w:left="113"/>
            </w:pPr>
            <w:r w:rsidRPr="0055279A">
              <w:t>BST-CarGel</w:t>
            </w:r>
            <w:r>
              <w:t xml:space="preserve"> n=41</w:t>
            </w:r>
          </w:p>
          <w:p w14:paraId="66DC06E1" w14:textId="77777777" w:rsidR="006A7814" w:rsidRPr="00583523" w:rsidRDefault="006A7814" w:rsidP="001B1FE0">
            <w:pPr>
              <w:pStyle w:val="TableText0"/>
              <w:ind w:left="113"/>
            </w:pPr>
            <w:r>
              <w:t>Control n=39</w:t>
            </w:r>
          </w:p>
        </w:tc>
        <w:tc>
          <w:tcPr>
            <w:tcW w:w="629" w:type="pct"/>
          </w:tcPr>
          <w:p w14:paraId="2200D8E8" w14:textId="77777777" w:rsidR="006A7814" w:rsidRPr="00583523" w:rsidRDefault="006A7814" w:rsidP="001B1FE0">
            <w:pPr>
              <w:pStyle w:val="TableText0"/>
              <w:ind w:left="113"/>
            </w:pPr>
            <w:r w:rsidRPr="00583523">
              <w:t>Repair tissue quantity and quality</w:t>
            </w:r>
          </w:p>
          <w:p w14:paraId="158DF6BA" w14:textId="77777777" w:rsidR="006A7814" w:rsidRDefault="006A7814" w:rsidP="001B1FE0">
            <w:pPr>
              <w:pStyle w:val="TableText0"/>
              <w:spacing w:before="120"/>
              <w:ind w:left="113"/>
            </w:pPr>
            <w:r w:rsidRPr="00583523">
              <w:t>WOMAC</w:t>
            </w:r>
            <w:r>
              <w:t xml:space="preserve"> (VAS)</w:t>
            </w:r>
          </w:p>
          <w:p w14:paraId="023F0B20" w14:textId="77777777" w:rsidR="006A7814" w:rsidRPr="00583523" w:rsidRDefault="006A7814" w:rsidP="001B1FE0">
            <w:pPr>
              <w:pStyle w:val="TableText0"/>
              <w:spacing w:before="120"/>
              <w:ind w:left="113"/>
            </w:pPr>
            <w:r>
              <w:t>SF-36</w:t>
            </w:r>
          </w:p>
        </w:tc>
        <w:tc>
          <w:tcPr>
            <w:tcW w:w="836" w:type="pct"/>
          </w:tcPr>
          <w:p w14:paraId="479A7E07" w14:textId="77777777" w:rsidR="006A7814" w:rsidRPr="00583523" w:rsidRDefault="006A7814" w:rsidP="001B1FE0">
            <w:pPr>
              <w:pStyle w:val="TableText0"/>
              <w:ind w:left="113"/>
            </w:pPr>
            <w:r w:rsidRPr="00583523">
              <w:t>WOMAC</w:t>
            </w:r>
            <w:r>
              <w:t xml:space="preserve"> (VAS converted to Likert)</w:t>
            </w:r>
          </w:p>
        </w:tc>
      </w:tr>
      <w:tr w:rsidR="006A7814" w:rsidRPr="00583523" w14:paraId="64379222" w14:textId="77777777" w:rsidTr="00ED48D4">
        <w:tc>
          <w:tcPr>
            <w:tcW w:w="697" w:type="pct"/>
          </w:tcPr>
          <w:p w14:paraId="465A6E66" w14:textId="77777777" w:rsidR="006A7814" w:rsidRPr="00583523" w:rsidRDefault="006A7814" w:rsidP="001B1FE0">
            <w:pPr>
              <w:pStyle w:val="TableText0"/>
              <w:ind w:left="113"/>
            </w:pPr>
            <w:r w:rsidRPr="00583523">
              <w:t>Shive 2015</w:t>
            </w:r>
          </w:p>
        </w:tc>
        <w:tc>
          <w:tcPr>
            <w:tcW w:w="558" w:type="pct"/>
          </w:tcPr>
          <w:p w14:paraId="164A2A34" w14:textId="77777777" w:rsidR="006A7814" w:rsidRDefault="006A7814" w:rsidP="001B1FE0">
            <w:pPr>
              <w:pStyle w:val="TableText0"/>
              <w:ind w:left="113"/>
            </w:pPr>
            <w:r>
              <w:t>Extension study</w:t>
            </w:r>
          </w:p>
          <w:p w14:paraId="3641DCFD" w14:textId="77777777" w:rsidR="006A7814" w:rsidRDefault="006A7814" w:rsidP="001B1FE0">
            <w:pPr>
              <w:pStyle w:val="TableText0"/>
              <w:ind w:left="113"/>
            </w:pPr>
            <w:r>
              <w:t>N = 67</w:t>
            </w:r>
          </w:p>
          <w:p w14:paraId="17C7B66C" w14:textId="77777777" w:rsidR="006A7814" w:rsidRPr="00583523" w:rsidRDefault="006A7814" w:rsidP="001B1FE0">
            <w:pPr>
              <w:pStyle w:val="TableText0"/>
              <w:spacing w:before="120" w:after="120"/>
              <w:ind w:left="113"/>
            </w:pPr>
            <w:r>
              <w:t>5 years</w:t>
            </w:r>
          </w:p>
        </w:tc>
        <w:tc>
          <w:tcPr>
            <w:tcW w:w="786" w:type="pct"/>
          </w:tcPr>
          <w:p w14:paraId="63ADFEE9" w14:textId="77777777" w:rsidR="006A7814" w:rsidRPr="00583523" w:rsidRDefault="006A7814" w:rsidP="001B1FE0">
            <w:pPr>
              <w:pStyle w:val="TableText0"/>
              <w:ind w:left="113"/>
            </w:pPr>
            <w:r w:rsidRPr="00583523">
              <w:t>Serious</w:t>
            </w:r>
            <w:r>
              <w:br/>
              <w:t>(ROBINS-I)</w:t>
            </w:r>
          </w:p>
        </w:tc>
        <w:tc>
          <w:tcPr>
            <w:tcW w:w="1494" w:type="pct"/>
          </w:tcPr>
          <w:p w14:paraId="25191AE5" w14:textId="77777777" w:rsidR="006A7814" w:rsidRDefault="006A7814" w:rsidP="001B1FE0">
            <w:pPr>
              <w:pStyle w:val="TableText0"/>
              <w:ind w:left="113"/>
            </w:pPr>
            <w:r>
              <w:t>Subjects enrolled in Stanish 2013 RCT who agreed to participate in follow up</w:t>
            </w:r>
          </w:p>
          <w:p w14:paraId="4F298C65" w14:textId="77777777" w:rsidR="006A7814" w:rsidRDefault="006A7814" w:rsidP="001B1FE0">
            <w:pPr>
              <w:pStyle w:val="TableText0"/>
              <w:spacing w:before="120"/>
              <w:ind w:left="113"/>
            </w:pPr>
            <w:r>
              <w:t>For WOMAC results:</w:t>
            </w:r>
          </w:p>
          <w:p w14:paraId="07FBEA4B" w14:textId="77777777" w:rsidR="006A7814" w:rsidRDefault="006A7814" w:rsidP="001B1FE0">
            <w:pPr>
              <w:pStyle w:val="TableText0"/>
              <w:ind w:left="113"/>
            </w:pPr>
            <w:r w:rsidRPr="0055279A">
              <w:t>BST-CarGel</w:t>
            </w:r>
            <w:r>
              <w:t xml:space="preserve"> n=33</w:t>
            </w:r>
          </w:p>
          <w:p w14:paraId="6657EC6D" w14:textId="77777777" w:rsidR="006A7814" w:rsidRPr="00583523" w:rsidRDefault="006A7814" w:rsidP="001B1FE0">
            <w:pPr>
              <w:pStyle w:val="TableText0"/>
              <w:ind w:left="113"/>
            </w:pPr>
            <w:r>
              <w:t>Control n=26</w:t>
            </w:r>
          </w:p>
        </w:tc>
        <w:tc>
          <w:tcPr>
            <w:tcW w:w="629" w:type="pct"/>
          </w:tcPr>
          <w:p w14:paraId="5615FFBE" w14:textId="77777777" w:rsidR="006A7814" w:rsidRPr="00583523" w:rsidRDefault="006A7814" w:rsidP="001B1FE0">
            <w:pPr>
              <w:pStyle w:val="TableText0"/>
              <w:ind w:left="113"/>
            </w:pPr>
            <w:r w:rsidRPr="00583523">
              <w:t>Repair tissue quantity and quality</w:t>
            </w:r>
          </w:p>
          <w:p w14:paraId="2500F650" w14:textId="77777777" w:rsidR="006A7814" w:rsidRDefault="006A7814" w:rsidP="001B1FE0">
            <w:pPr>
              <w:pStyle w:val="TableText0"/>
              <w:spacing w:before="120"/>
              <w:ind w:left="113"/>
            </w:pPr>
            <w:r w:rsidRPr="00583523">
              <w:t>WOMAC</w:t>
            </w:r>
          </w:p>
          <w:p w14:paraId="30F6302F" w14:textId="77777777" w:rsidR="006A7814" w:rsidRPr="00583523" w:rsidRDefault="006A7814" w:rsidP="001B1FE0">
            <w:pPr>
              <w:pStyle w:val="TableText0"/>
              <w:spacing w:before="120"/>
              <w:ind w:left="113"/>
            </w:pPr>
            <w:r>
              <w:t>SF-36</w:t>
            </w:r>
          </w:p>
        </w:tc>
        <w:tc>
          <w:tcPr>
            <w:tcW w:w="836" w:type="pct"/>
          </w:tcPr>
          <w:p w14:paraId="6FA33BBC" w14:textId="77777777" w:rsidR="006A7814" w:rsidRPr="00583523" w:rsidRDefault="006A7814" w:rsidP="001B1FE0">
            <w:pPr>
              <w:pStyle w:val="TableText0"/>
              <w:ind w:left="113"/>
            </w:pPr>
            <w:r w:rsidRPr="00583523">
              <w:t>WOMAC</w:t>
            </w:r>
            <w:r>
              <w:t xml:space="preserve"> (VAS converted to Likert)</w:t>
            </w:r>
          </w:p>
        </w:tc>
      </w:tr>
    </w:tbl>
    <w:p w14:paraId="42EDFF7D" w14:textId="1B5E40E5" w:rsidR="006A7814" w:rsidRDefault="006A7814" w:rsidP="003861A2">
      <w:pPr>
        <w:pStyle w:val="Tablenotes"/>
        <w:rPr>
          <w:rStyle w:val="TablenotesChar"/>
        </w:rPr>
      </w:pPr>
      <w:r w:rsidRPr="00247CAC">
        <w:rPr>
          <w:rStyle w:val="TablenotesChar"/>
        </w:rPr>
        <w:t xml:space="preserve">Source: </w:t>
      </w:r>
      <w:r w:rsidRPr="00B94618">
        <w:rPr>
          <w:snapToGrid/>
        </w:rPr>
        <w:t xml:space="preserve">Table </w:t>
      </w:r>
      <w:r w:rsidR="005D4D3F">
        <w:rPr>
          <w:snapToGrid/>
        </w:rPr>
        <w:t xml:space="preserve">3 pxvi of the </w:t>
      </w:r>
      <w:r w:rsidR="008141AD">
        <w:rPr>
          <w:snapToGrid/>
        </w:rPr>
        <w:t>c</w:t>
      </w:r>
      <w:r w:rsidR="005D4D3F">
        <w:rPr>
          <w:snapToGrid/>
        </w:rPr>
        <w:t>ommentary</w:t>
      </w:r>
    </w:p>
    <w:p w14:paraId="3F6F2FC8" w14:textId="377BABE2" w:rsidR="006A7814" w:rsidRPr="00377930" w:rsidRDefault="003044DE" w:rsidP="003861A2">
      <w:pPr>
        <w:pStyle w:val="Tablenotes"/>
      </w:pPr>
      <w:r>
        <w:rPr>
          <w:szCs w:val="18"/>
        </w:rPr>
        <w:t xml:space="preserve">Abbreviations: </w:t>
      </w:r>
      <w:r w:rsidR="006A7814" w:rsidRPr="00F37CB4">
        <w:rPr>
          <w:szCs w:val="18"/>
        </w:rPr>
        <w:t>ICRS = International Cartilage Repair Society</w:t>
      </w:r>
      <w:r w:rsidR="006A7814">
        <w:rPr>
          <w:szCs w:val="18"/>
        </w:rPr>
        <w:t>;</w:t>
      </w:r>
      <w:r w:rsidR="006A7814">
        <w:t xml:space="preserve"> </w:t>
      </w:r>
      <w:r>
        <w:t xml:space="preserve">MF = microfracture; </w:t>
      </w:r>
      <w:r w:rsidR="006A7814">
        <w:t>RCT = randomised controlled trial; RoB 2.0 = C</w:t>
      </w:r>
      <w:r w:rsidR="006A7814" w:rsidRPr="00E645DC">
        <w:t>ochrane Risk of Bias Tool</w:t>
      </w:r>
      <w:r w:rsidR="006A7814">
        <w:t xml:space="preserve"> for Randomised Trials (2.0); ROBINS-I = </w:t>
      </w:r>
      <w:r w:rsidR="006A7814" w:rsidRPr="00F0300E">
        <w:t>Risk of Bias in Non-randomised Studies of Interventions</w:t>
      </w:r>
      <w:r w:rsidR="006A7814">
        <w:t xml:space="preserve">; SF-36 = 36-item Short Form health survey; </w:t>
      </w:r>
      <w:r w:rsidR="006A7814" w:rsidRPr="00BC2D54">
        <w:t>VAS</w:t>
      </w:r>
      <w:r w:rsidR="006A7814">
        <w:t xml:space="preserve"> =</w:t>
      </w:r>
      <w:r w:rsidR="006A7814" w:rsidRPr="00BC2D54">
        <w:t xml:space="preserve"> </w:t>
      </w:r>
      <w:r w:rsidR="006A7814">
        <w:t>v</w:t>
      </w:r>
      <w:r w:rsidR="006A7814" w:rsidRPr="00BC2D54">
        <w:t xml:space="preserve">isual </w:t>
      </w:r>
      <w:r w:rsidR="006A7814">
        <w:t>a</w:t>
      </w:r>
      <w:r w:rsidR="006A7814" w:rsidRPr="00BC2D54">
        <w:t xml:space="preserve">nalogue </w:t>
      </w:r>
      <w:r w:rsidR="006A7814">
        <w:t>s</w:t>
      </w:r>
      <w:r w:rsidR="006A7814" w:rsidRPr="00BC2D54">
        <w:t>cale</w:t>
      </w:r>
      <w:r w:rsidR="006A7814">
        <w:t xml:space="preserve">; WOMAC = </w:t>
      </w:r>
      <w:r w:rsidR="006A7814" w:rsidRPr="0011158D">
        <w:t>Western Ontario and McMaster Universities Osteoarthritis Index</w:t>
      </w:r>
    </w:p>
    <w:p w14:paraId="2788EF8A" w14:textId="146AE707" w:rsidR="006A7814" w:rsidRDefault="006A7814" w:rsidP="003861A2">
      <w:pPr>
        <w:pStyle w:val="Tablenotes"/>
      </w:pPr>
      <w:r w:rsidRPr="00D3159F">
        <w:rPr>
          <w:vertAlign w:val="superscript"/>
        </w:rPr>
        <w:t>†</w:t>
      </w:r>
      <w:r w:rsidRPr="00B3031F">
        <w:t xml:space="preserve"> Assessed for </w:t>
      </w:r>
      <w:r w:rsidR="008141AD">
        <w:t>c</w:t>
      </w:r>
      <w:r w:rsidRPr="00B3031F">
        <w:t>ommentary</w:t>
      </w:r>
      <w:r>
        <w:t xml:space="preserve"> (refer to </w:t>
      </w:r>
      <w:hyperlink w:anchor="_Attachment_B" w:history="1">
        <w:r w:rsidRPr="008F0D5B">
          <w:rPr>
            <w:rStyle w:val="Hyperlink"/>
          </w:rPr>
          <w:t>Attachment B</w:t>
        </w:r>
      </w:hyperlink>
      <w:r>
        <w:t>). The ADAR reported ‘some concerns’ using the Cochrane Risk of Bias Tool for the RCT and extension study.</w:t>
      </w:r>
    </w:p>
    <w:p w14:paraId="5E35CC7B" w14:textId="1C23BD86" w:rsidR="00EF5647" w:rsidRDefault="00EF5647" w:rsidP="00EF5647">
      <w:r>
        <w:t xml:space="preserve">Serious adverse events were reported for five patients (12.2%) in the BST-CarGel </w:t>
      </w:r>
      <w:r w:rsidR="00233CE5">
        <w:t xml:space="preserve">plus microfracture </w:t>
      </w:r>
      <w:r>
        <w:t>group (four of these were procedure-related and one was device-related) and for one patient (2.6%) in the microfracture group (not procedure-related</w:t>
      </w:r>
      <w:r w:rsidRPr="00EF5647">
        <w:t xml:space="preserve">). </w:t>
      </w:r>
      <w:r>
        <w:t xml:space="preserve">The commentary noted that </w:t>
      </w:r>
      <w:r w:rsidRPr="00B94618">
        <w:t>BST-CarGel was administered through a mini-arthrotomy, so more procedure-related events may be expected compared with interventions administered arthroscopically.</w:t>
      </w:r>
    </w:p>
    <w:p w14:paraId="7B35DB18" w14:textId="00A2857B" w:rsidR="007C2D6A" w:rsidRPr="00C477EB" w:rsidRDefault="00EF5647" w:rsidP="00C477EB">
      <w:pPr>
        <w:spacing w:before="240"/>
      </w:pPr>
      <w:r>
        <w:t>The ADAR acknowledges that it is difficult to compare the safety results across the two studies as it was clear that different methods of reporting adverse events were used.</w:t>
      </w:r>
    </w:p>
    <w:p w14:paraId="3D04767A" w14:textId="4E1C04D4" w:rsidR="00D627C7" w:rsidRPr="003861A2" w:rsidRDefault="00D627C7">
      <w:pPr>
        <w:pStyle w:val="Heading1"/>
        <w:rPr>
          <w:rFonts w:ascii="Arial" w:hAnsi="Arial" w:cs="Arial"/>
        </w:rPr>
      </w:pPr>
      <w:r w:rsidRPr="003861A2">
        <w:rPr>
          <w:rFonts w:ascii="Arial" w:hAnsi="Arial" w:cs="Arial"/>
        </w:rPr>
        <w:lastRenderedPageBreak/>
        <w:t>Comparative effectiveness</w:t>
      </w:r>
    </w:p>
    <w:p w14:paraId="23F20F56" w14:textId="2BD7DFEF" w:rsidR="001B1FE0" w:rsidRDefault="001B1FE0" w:rsidP="00C477EB">
      <w:pPr>
        <w:pStyle w:val="Heading2"/>
        <w:spacing w:before="240"/>
      </w:pPr>
      <w:r>
        <w:t>JointRep</w:t>
      </w:r>
      <w:r w:rsidR="00233CE5">
        <w:t xml:space="preserve"> plus microfracture</w:t>
      </w:r>
      <w:r>
        <w:t xml:space="preserve"> v</w:t>
      </w:r>
      <w:r w:rsidR="002326E9">
        <w:t>ersu</w:t>
      </w:r>
      <w:r>
        <w:t>s microfracture</w:t>
      </w:r>
      <w:r w:rsidR="00233CE5">
        <w:t xml:space="preserve"> alone</w:t>
      </w:r>
    </w:p>
    <w:p w14:paraId="682F85A7" w14:textId="73830C4E" w:rsidR="001B1FE0" w:rsidRDefault="001B1FE0" w:rsidP="001B1FE0">
      <w:r>
        <w:t>The overall trend in each of the subscales and the total WOMAC score was large score reductions at 6 months, with a statistically significant difference between groups for all but the pain subscale. At all subsequent timepoints, between-group differences were statistically significant, with sustained or continued score reductions in the JointRep</w:t>
      </w:r>
      <w:r w:rsidR="00233CE5">
        <w:t xml:space="preserve"> plus microfracture</w:t>
      </w:r>
      <w:r>
        <w:t xml:space="preserve"> group but increasing scores over time in the control group (</w:t>
      </w:r>
      <w:r>
        <w:fldChar w:fldCharType="begin"/>
      </w:r>
      <w:r>
        <w:instrText xml:space="preserve"> REF _Ref68681259 \h </w:instrText>
      </w:r>
      <w:r>
        <w:fldChar w:fldCharType="separate"/>
      </w:r>
      <w:r w:rsidR="005D4D3F" w:rsidRPr="0048459B">
        <w:t xml:space="preserve">Table </w:t>
      </w:r>
      <w:r w:rsidR="005D4D3F">
        <w:rPr>
          <w:noProof/>
        </w:rPr>
        <w:t>3</w:t>
      </w:r>
      <w:r>
        <w:fldChar w:fldCharType="end"/>
      </w:r>
      <w:r>
        <w:t xml:space="preserve">). There is uncertainty around the durability of benefits in the JointRep </w:t>
      </w:r>
      <w:r w:rsidR="00233CE5">
        <w:t xml:space="preserve">plus microfracture </w:t>
      </w:r>
      <w:r>
        <w:t>group as scores appear to be trending up slightly at 36 months.</w:t>
      </w:r>
    </w:p>
    <w:p w14:paraId="0DFC94B7" w14:textId="19FB19E0" w:rsidR="00DA25A8" w:rsidRDefault="001B1FE0" w:rsidP="00C477EB">
      <w:pPr>
        <w:spacing w:before="240"/>
      </w:pPr>
      <w:r>
        <w:t>The</w:t>
      </w:r>
      <w:r w:rsidR="00DA25A8">
        <w:t xml:space="preserve"> commentary considered that the</w:t>
      </w:r>
      <w:r>
        <w:t xml:space="preserve"> description of findings should be considered in light of the critical risk of bias. There is a high degree of uncertainty that any relative benefits in the intervention group can be attributed to the JointRep device, and whether the lack of durability of early improvements in the control group may have been influenced by allowing weight bearing as tolerated immediately after the surgery, contrary to well-established standard of care. By contrast, improvements in the microfracture group observed in the BST-CarGel trial were sustained through to the last follow up at 60 months, albeit with uncertainties arising from loss to follow up.</w:t>
      </w:r>
    </w:p>
    <w:p w14:paraId="355551E2" w14:textId="11A1AC2B" w:rsidR="001B1FE0" w:rsidRPr="00C477EB" w:rsidRDefault="001B1FE0" w:rsidP="00C477EB">
      <w:pPr>
        <w:spacing w:before="240"/>
        <w:rPr>
          <w:rFonts w:ascii="Arial Narrow" w:hAnsi="Arial Narrow"/>
          <w:b/>
          <w:bCs/>
          <w:sz w:val="20"/>
        </w:rPr>
      </w:pPr>
      <w:bookmarkStart w:id="4" w:name="_Ref68681259"/>
      <w:r w:rsidRPr="00C477EB">
        <w:rPr>
          <w:rFonts w:ascii="Arial Narrow" w:hAnsi="Arial Narrow"/>
          <w:b/>
          <w:bCs/>
          <w:sz w:val="20"/>
        </w:rPr>
        <w:t xml:space="preserve">Table </w:t>
      </w:r>
      <w:r w:rsidR="009008D9" w:rsidRPr="00C477EB">
        <w:rPr>
          <w:rFonts w:ascii="Arial Narrow" w:hAnsi="Arial Narrow"/>
          <w:b/>
          <w:bCs/>
          <w:sz w:val="20"/>
        </w:rPr>
        <w:fldChar w:fldCharType="begin"/>
      </w:r>
      <w:r w:rsidR="009008D9" w:rsidRPr="00C477EB">
        <w:rPr>
          <w:rFonts w:ascii="Arial Narrow" w:hAnsi="Arial Narrow"/>
          <w:b/>
          <w:bCs/>
          <w:sz w:val="20"/>
        </w:rPr>
        <w:instrText xml:space="preserve"> SEQ Table \* ARABIC </w:instrText>
      </w:r>
      <w:r w:rsidR="009008D9" w:rsidRPr="00C477EB">
        <w:rPr>
          <w:rFonts w:ascii="Arial Narrow" w:hAnsi="Arial Narrow"/>
          <w:b/>
          <w:bCs/>
          <w:sz w:val="20"/>
        </w:rPr>
        <w:fldChar w:fldCharType="separate"/>
      </w:r>
      <w:r w:rsidR="005D4D3F" w:rsidRPr="00C477EB">
        <w:rPr>
          <w:rFonts w:ascii="Arial Narrow" w:hAnsi="Arial Narrow"/>
          <w:b/>
          <w:bCs/>
          <w:noProof/>
          <w:sz w:val="20"/>
        </w:rPr>
        <w:t>3</w:t>
      </w:r>
      <w:r w:rsidR="009008D9" w:rsidRPr="00C477EB">
        <w:rPr>
          <w:rFonts w:ascii="Arial Narrow" w:hAnsi="Arial Narrow"/>
          <w:b/>
          <w:bCs/>
          <w:noProof/>
          <w:sz w:val="20"/>
        </w:rPr>
        <w:fldChar w:fldCharType="end"/>
      </w:r>
      <w:bookmarkEnd w:id="4"/>
      <w:r w:rsidRPr="00C477EB">
        <w:rPr>
          <w:rFonts w:ascii="Arial Narrow" w:hAnsi="Arial Narrow"/>
          <w:b/>
          <w:bCs/>
          <w:sz w:val="20"/>
        </w:rPr>
        <w:tab/>
      </w:r>
      <w:r w:rsidRPr="00C477EB">
        <w:rPr>
          <w:rFonts w:ascii="Arial Narrow" w:hAnsi="Arial Narrow"/>
          <w:b/>
          <w:bCs/>
          <w:snapToGrid w:val="0"/>
          <w:sz w:val="20"/>
        </w:rPr>
        <w:t xml:space="preserve">Total WOMAC scores for JointRep with </w:t>
      </w:r>
      <w:r w:rsidR="00233CE5" w:rsidRPr="00C477EB">
        <w:rPr>
          <w:rFonts w:ascii="Arial Narrow" w:hAnsi="Arial Narrow"/>
          <w:b/>
          <w:bCs/>
          <w:snapToGrid w:val="0"/>
          <w:sz w:val="20"/>
        </w:rPr>
        <w:t xml:space="preserve">MF </w:t>
      </w:r>
      <w:r w:rsidRPr="00C477EB">
        <w:rPr>
          <w:rFonts w:ascii="Arial Narrow" w:hAnsi="Arial Narrow"/>
          <w:b/>
          <w:bCs/>
          <w:snapToGrid w:val="0"/>
          <w:sz w:val="20"/>
        </w:rPr>
        <w:t xml:space="preserve">compared with </w:t>
      </w:r>
      <w:r w:rsidR="00233CE5" w:rsidRPr="00C477EB">
        <w:rPr>
          <w:rFonts w:ascii="Arial Narrow" w:hAnsi="Arial Narrow"/>
          <w:b/>
          <w:bCs/>
          <w:snapToGrid w:val="0"/>
          <w:sz w:val="20"/>
        </w:rPr>
        <w:t xml:space="preserve">MF </w:t>
      </w:r>
      <w:r w:rsidRPr="00C477EB">
        <w:rPr>
          <w:rFonts w:ascii="Arial Narrow" w:hAnsi="Arial Narrow"/>
          <w:b/>
          <w:bCs/>
          <w:snapToGrid w:val="0"/>
          <w:sz w:val="20"/>
        </w:rPr>
        <w:t>alone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otal WOMAC scores for JointRep with microfracture compared with microfracture alone"/>
        <w:tblDescription w:val="This table provides a summary of the mean and standard deviation for JointRep with microfracture compared to Microfracture alone. Results are provided from baseline to 36 months at a six montly interval, with the risk of bias and p-values specified. "/>
      </w:tblPr>
      <w:tblGrid>
        <w:gridCol w:w="1838"/>
        <w:gridCol w:w="1134"/>
        <w:gridCol w:w="1843"/>
        <w:gridCol w:w="1417"/>
        <w:gridCol w:w="1845"/>
        <w:gridCol w:w="939"/>
      </w:tblGrid>
      <w:tr w:rsidR="001B1FE0" w:rsidRPr="00880257" w14:paraId="07CA7AEE" w14:textId="77777777" w:rsidTr="001B1FE0">
        <w:trPr>
          <w:tblHeader/>
        </w:trPr>
        <w:tc>
          <w:tcPr>
            <w:tcW w:w="1019" w:type="pct"/>
            <w:tcBorders>
              <w:bottom w:val="nil"/>
            </w:tcBorders>
            <w:shd w:val="clear" w:color="auto" w:fill="D9D9D9" w:themeFill="background1" w:themeFillShade="D9"/>
            <w:vAlign w:val="bottom"/>
          </w:tcPr>
          <w:p w14:paraId="25330B2B" w14:textId="77777777" w:rsidR="001B1FE0" w:rsidRPr="00880257" w:rsidRDefault="001B1FE0" w:rsidP="00A47D97">
            <w:pPr>
              <w:pStyle w:val="TableHeading"/>
              <w:ind w:left="0" w:firstLine="0"/>
              <w:rPr>
                <w:snapToGrid w:val="0"/>
                <w:lang w:eastAsia="en-US"/>
              </w:rPr>
            </w:pPr>
            <w:r w:rsidRPr="00880257">
              <w:rPr>
                <w:snapToGrid w:val="0"/>
                <w:lang w:eastAsia="en-US"/>
              </w:rPr>
              <w:t>Total WOMAC score</w:t>
            </w:r>
          </w:p>
        </w:tc>
        <w:tc>
          <w:tcPr>
            <w:tcW w:w="629" w:type="pct"/>
            <w:tcBorders>
              <w:bottom w:val="nil"/>
            </w:tcBorders>
            <w:shd w:val="clear" w:color="auto" w:fill="D9D9D9" w:themeFill="background1" w:themeFillShade="D9"/>
          </w:tcPr>
          <w:p w14:paraId="324046B7" w14:textId="77777777" w:rsidR="001B1FE0" w:rsidRPr="00880257" w:rsidRDefault="001B1FE0" w:rsidP="00A47D97">
            <w:pPr>
              <w:pStyle w:val="TableHeading"/>
              <w:ind w:left="0" w:firstLine="0"/>
              <w:jc w:val="center"/>
              <w:rPr>
                <w:bCs/>
                <w:snapToGrid w:val="0"/>
                <w:lang w:eastAsia="en-US"/>
              </w:rPr>
            </w:pPr>
            <w:r w:rsidRPr="00880257">
              <w:rPr>
                <w:bCs/>
                <w:snapToGrid w:val="0"/>
                <w:lang w:eastAsia="en-US"/>
              </w:rPr>
              <w:t>Risk of bias</w:t>
            </w:r>
            <w:r w:rsidRPr="00880257">
              <w:rPr>
                <w:vertAlign w:val="superscript"/>
              </w:rPr>
              <w:t>†</w:t>
            </w:r>
          </w:p>
        </w:tc>
        <w:tc>
          <w:tcPr>
            <w:tcW w:w="1022" w:type="pct"/>
            <w:tcBorders>
              <w:bottom w:val="single" w:sz="4" w:space="0" w:color="auto"/>
            </w:tcBorders>
            <w:shd w:val="clear" w:color="auto" w:fill="D9D9D9" w:themeFill="background1" w:themeFillShade="D9"/>
          </w:tcPr>
          <w:p w14:paraId="66E5A901" w14:textId="2680E38D" w:rsidR="001B1FE0" w:rsidRPr="00880257" w:rsidRDefault="001B1FE0" w:rsidP="00A47D97">
            <w:pPr>
              <w:pStyle w:val="TableHeading"/>
              <w:ind w:left="0" w:firstLine="0"/>
              <w:jc w:val="center"/>
              <w:rPr>
                <w:bCs/>
                <w:snapToGrid w:val="0"/>
              </w:rPr>
            </w:pPr>
            <w:r w:rsidRPr="00880257">
              <w:rPr>
                <w:bCs/>
                <w:snapToGrid w:val="0"/>
              </w:rPr>
              <w:t xml:space="preserve">JointRep with </w:t>
            </w:r>
            <w:r w:rsidR="00233CE5">
              <w:rPr>
                <w:bCs/>
                <w:snapToGrid w:val="0"/>
              </w:rPr>
              <w:t>MF</w:t>
            </w:r>
          </w:p>
        </w:tc>
        <w:tc>
          <w:tcPr>
            <w:tcW w:w="786" w:type="pct"/>
            <w:tcBorders>
              <w:bottom w:val="single" w:sz="4" w:space="0" w:color="auto"/>
            </w:tcBorders>
            <w:shd w:val="clear" w:color="auto" w:fill="D9D9D9" w:themeFill="background1" w:themeFillShade="D9"/>
          </w:tcPr>
          <w:p w14:paraId="139172FE" w14:textId="1C5FA767" w:rsidR="001B1FE0" w:rsidRPr="00880257" w:rsidRDefault="00233CE5" w:rsidP="00A47D97">
            <w:pPr>
              <w:pStyle w:val="TableHeading"/>
              <w:ind w:left="0" w:firstLine="0"/>
              <w:jc w:val="center"/>
              <w:rPr>
                <w:bCs/>
                <w:snapToGrid w:val="0"/>
                <w:lang w:eastAsia="en-US"/>
              </w:rPr>
            </w:pPr>
            <w:r>
              <w:rPr>
                <w:bCs/>
                <w:snapToGrid w:val="0"/>
                <w:lang w:eastAsia="en-US"/>
              </w:rPr>
              <w:t>MF</w:t>
            </w:r>
            <w:r w:rsidRPr="00880257">
              <w:rPr>
                <w:bCs/>
                <w:snapToGrid w:val="0"/>
                <w:lang w:eastAsia="en-US"/>
              </w:rPr>
              <w:t xml:space="preserve"> </w:t>
            </w:r>
            <w:r w:rsidR="001B1FE0" w:rsidRPr="00880257">
              <w:rPr>
                <w:bCs/>
                <w:snapToGrid w:val="0"/>
                <w:lang w:eastAsia="en-US"/>
              </w:rPr>
              <w:t>alone</w:t>
            </w:r>
          </w:p>
        </w:tc>
        <w:tc>
          <w:tcPr>
            <w:tcW w:w="1023" w:type="pct"/>
            <w:tcBorders>
              <w:bottom w:val="single" w:sz="4" w:space="0" w:color="auto"/>
            </w:tcBorders>
            <w:shd w:val="clear" w:color="auto" w:fill="D9D9D9" w:themeFill="background1" w:themeFillShade="D9"/>
          </w:tcPr>
          <w:p w14:paraId="4DF535C4" w14:textId="77777777" w:rsidR="001B1FE0" w:rsidRPr="00880257" w:rsidRDefault="001B1FE0" w:rsidP="00A47D97">
            <w:pPr>
              <w:pStyle w:val="TableHeading"/>
              <w:ind w:left="0" w:firstLine="0"/>
              <w:jc w:val="center"/>
              <w:rPr>
                <w:bCs/>
                <w:snapToGrid w:val="0"/>
                <w:lang w:eastAsia="en-US"/>
              </w:rPr>
            </w:pPr>
            <w:r w:rsidRPr="00880257">
              <w:rPr>
                <w:bCs/>
                <w:snapToGrid w:val="0"/>
                <w:lang w:eastAsia="en-US"/>
              </w:rPr>
              <w:t>Absolute difference between groups</w:t>
            </w:r>
          </w:p>
        </w:tc>
        <w:tc>
          <w:tcPr>
            <w:tcW w:w="521" w:type="pct"/>
            <w:tcBorders>
              <w:bottom w:val="nil"/>
            </w:tcBorders>
            <w:shd w:val="clear" w:color="auto" w:fill="D9D9D9" w:themeFill="background1" w:themeFillShade="D9"/>
          </w:tcPr>
          <w:p w14:paraId="531C8295" w14:textId="77777777" w:rsidR="001B1FE0" w:rsidRPr="00880257" w:rsidRDefault="001B1FE0" w:rsidP="00A47D97">
            <w:pPr>
              <w:pStyle w:val="TableHeading"/>
              <w:ind w:left="0" w:firstLine="0"/>
              <w:jc w:val="center"/>
              <w:rPr>
                <w:bCs/>
                <w:snapToGrid w:val="0"/>
                <w:lang w:eastAsia="en-US"/>
              </w:rPr>
            </w:pPr>
            <w:r w:rsidRPr="00880257">
              <w:rPr>
                <w:bCs/>
                <w:snapToGrid w:val="0"/>
                <w:lang w:eastAsia="en-US"/>
              </w:rPr>
              <w:t>p-value</w:t>
            </w:r>
          </w:p>
        </w:tc>
      </w:tr>
      <w:tr w:rsidR="001B1FE0" w:rsidRPr="00880257" w14:paraId="0676A809" w14:textId="77777777" w:rsidTr="001B1FE0">
        <w:trPr>
          <w:tblHeader/>
        </w:trPr>
        <w:tc>
          <w:tcPr>
            <w:tcW w:w="1019" w:type="pct"/>
            <w:tcBorders>
              <w:top w:val="nil"/>
              <w:bottom w:val="single" w:sz="4" w:space="0" w:color="auto"/>
            </w:tcBorders>
            <w:shd w:val="clear" w:color="auto" w:fill="D9D9D9" w:themeFill="background1" w:themeFillShade="D9"/>
          </w:tcPr>
          <w:p w14:paraId="7DDAA60B" w14:textId="77777777" w:rsidR="001B1FE0" w:rsidRPr="00880257" w:rsidRDefault="001B1FE0" w:rsidP="00A47D97">
            <w:pPr>
              <w:pStyle w:val="TableHeading"/>
              <w:ind w:left="0" w:firstLine="0"/>
              <w:rPr>
                <w:snapToGrid w:val="0"/>
                <w:lang w:eastAsia="en-US"/>
              </w:rPr>
            </w:pPr>
            <w:r w:rsidRPr="00880257">
              <w:t>(scale 0-96 normalised to 0-100)</w:t>
            </w:r>
          </w:p>
        </w:tc>
        <w:tc>
          <w:tcPr>
            <w:tcW w:w="629" w:type="pct"/>
            <w:tcBorders>
              <w:top w:val="nil"/>
              <w:bottom w:val="single" w:sz="4" w:space="0" w:color="auto"/>
            </w:tcBorders>
            <w:shd w:val="clear" w:color="auto" w:fill="D9D9D9" w:themeFill="background1" w:themeFillShade="D9"/>
          </w:tcPr>
          <w:p w14:paraId="4820ECEE" w14:textId="77777777" w:rsidR="001B1FE0" w:rsidRPr="00880257" w:rsidRDefault="001B1FE0" w:rsidP="00A47D97">
            <w:pPr>
              <w:pStyle w:val="TableHeading"/>
              <w:ind w:left="0" w:firstLine="0"/>
              <w:jc w:val="center"/>
              <w:rPr>
                <w:bCs/>
                <w:snapToGrid w:val="0"/>
                <w:lang w:eastAsia="en-US"/>
              </w:rPr>
            </w:pPr>
          </w:p>
        </w:tc>
        <w:tc>
          <w:tcPr>
            <w:tcW w:w="1022" w:type="pct"/>
            <w:tcBorders>
              <w:bottom w:val="single" w:sz="4" w:space="0" w:color="auto"/>
            </w:tcBorders>
            <w:shd w:val="clear" w:color="auto" w:fill="D9D9D9" w:themeFill="background1" w:themeFillShade="D9"/>
          </w:tcPr>
          <w:p w14:paraId="322E46E5" w14:textId="77777777" w:rsidR="001B1FE0" w:rsidRPr="00880257" w:rsidRDefault="001B1FE0" w:rsidP="00A47D97">
            <w:pPr>
              <w:pStyle w:val="TableHeading"/>
              <w:ind w:left="0" w:firstLine="0"/>
              <w:jc w:val="center"/>
              <w:rPr>
                <w:snapToGrid w:val="0"/>
                <w:lang w:eastAsia="en-US"/>
              </w:rPr>
            </w:pPr>
            <w:r w:rsidRPr="00880257">
              <w:rPr>
                <w:snapToGrid w:val="0"/>
                <w:lang w:eastAsia="en-US"/>
              </w:rPr>
              <w:t>mean ±SD</w:t>
            </w:r>
          </w:p>
          <w:p w14:paraId="34629044" w14:textId="77777777" w:rsidR="001B1FE0" w:rsidRPr="00880257" w:rsidRDefault="001B1FE0" w:rsidP="00A47D97">
            <w:pPr>
              <w:pStyle w:val="TableHeading"/>
              <w:ind w:left="0" w:firstLine="0"/>
              <w:jc w:val="center"/>
              <w:rPr>
                <w:bCs/>
                <w:snapToGrid w:val="0"/>
              </w:rPr>
            </w:pPr>
            <w:r w:rsidRPr="00880257">
              <w:rPr>
                <w:snapToGrid w:val="0"/>
                <w:lang w:eastAsia="en-US"/>
              </w:rPr>
              <w:t>(95% CI)</w:t>
            </w:r>
          </w:p>
        </w:tc>
        <w:tc>
          <w:tcPr>
            <w:tcW w:w="786" w:type="pct"/>
            <w:tcBorders>
              <w:bottom w:val="single" w:sz="4" w:space="0" w:color="auto"/>
            </w:tcBorders>
            <w:shd w:val="clear" w:color="auto" w:fill="D9D9D9" w:themeFill="background1" w:themeFillShade="D9"/>
          </w:tcPr>
          <w:p w14:paraId="444548B6" w14:textId="77777777" w:rsidR="001B1FE0" w:rsidRPr="00880257" w:rsidRDefault="001B1FE0" w:rsidP="00A47D97">
            <w:pPr>
              <w:pStyle w:val="TableHeading"/>
              <w:ind w:left="0" w:firstLine="0"/>
              <w:jc w:val="center"/>
              <w:rPr>
                <w:snapToGrid w:val="0"/>
                <w:lang w:eastAsia="en-US"/>
              </w:rPr>
            </w:pPr>
            <w:r w:rsidRPr="00880257">
              <w:rPr>
                <w:snapToGrid w:val="0"/>
                <w:lang w:eastAsia="en-US"/>
              </w:rPr>
              <w:t>mean ±SD</w:t>
            </w:r>
          </w:p>
          <w:p w14:paraId="310336F3" w14:textId="77777777" w:rsidR="001B1FE0" w:rsidRPr="00880257" w:rsidRDefault="001B1FE0" w:rsidP="00A47D97">
            <w:pPr>
              <w:pStyle w:val="TableHeading"/>
              <w:ind w:left="0" w:firstLine="0"/>
              <w:jc w:val="center"/>
              <w:rPr>
                <w:bCs/>
                <w:snapToGrid w:val="0"/>
                <w:lang w:eastAsia="en-US"/>
              </w:rPr>
            </w:pPr>
            <w:r w:rsidRPr="00880257">
              <w:rPr>
                <w:snapToGrid w:val="0"/>
                <w:lang w:eastAsia="en-US"/>
              </w:rPr>
              <w:t>(95% CI)</w:t>
            </w:r>
          </w:p>
        </w:tc>
        <w:tc>
          <w:tcPr>
            <w:tcW w:w="1023" w:type="pct"/>
            <w:tcBorders>
              <w:bottom w:val="single" w:sz="4" w:space="0" w:color="auto"/>
            </w:tcBorders>
            <w:shd w:val="clear" w:color="auto" w:fill="D9D9D9" w:themeFill="background1" w:themeFillShade="D9"/>
          </w:tcPr>
          <w:p w14:paraId="635FD108" w14:textId="77777777" w:rsidR="001B1FE0" w:rsidRPr="00880257" w:rsidRDefault="001B1FE0" w:rsidP="00A47D97">
            <w:pPr>
              <w:pStyle w:val="TableHeading"/>
              <w:ind w:left="0" w:firstLine="0"/>
              <w:jc w:val="center"/>
              <w:rPr>
                <w:snapToGrid w:val="0"/>
                <w:lang w:eastAsia="en-US"/>
              </w:rPr>
            </w:pPr>
            <w:r w:rsidRPr="00880257">
              <w:rPr>
                <w:snapToGrid w:val="0"/>
                <w:lang w:eastAsia="en-US"/>
              </w:rPr>
              <w:t>mean difference ±SE</w:t>
            </w:r>
          </w:p>
          <w:p w14:paraId="6DE3080E" w14:textId="77777777" w:rsidR="001B1FE0" w:rsidRPr="00880257" w:rsidRDefault="001B1FE0" w:rsidP="00A47D97">
            <w:pPr>
              <w:pStyle w:val="TableHeading"/>
              <w:ind w:left="0" w:firstLine="0"/>
              <w:jc w:val="center"/>
              <w:rPr>
                <w:bCs/>
                <w:snapToGrid w:val="0"/>
                <w:lang w:eastAsia="en-US"/>
              </w:rPr>
            </w:pPr>
            <w:r w:rsidRPr="00880257">
              <w:rPr>
                <w:snapToGrid w:val="0"/>
                <w:lang w:eastAsia="en-US"/>
              </w:rPr>
              <w:t>(95% CI)</w:t>
            </w:r>
          </w:p>
        </w:tc>
        <w:tc>
          <w:tcPr>
            <w:tcW w:w="521" w:type="pct"/>
            <w:tcBorders>
              <w:top w:val="nil"/>
              <w:bottom w:val="single" w:sz="4" w:space="0" w:color="auto"/>
            </w:tcBorders>
            <w:shd w:val="clear" w:color="auto" w:fill="D9D9D9" w:themeFill="background1" w:themeFillShade="D9"/>
          </w:tcPr>
          <w:p w14:paraId="39B8ED5C" w14:textId="77777777" w:rsidR="001B1FE0" w:rsidRPr="00880257" w:rsidRDefault="001B1FE0" w:rsidP="00A47D97">
            <w:pPr>
              <w:pStyle w:val="TableHeading"/>
              <w:ind w:left="0" w:firstLine="0"/>
              <w:jc w:val="center"/>
              <w:rPr>
                <w:bCs/>
                <w:snapToGrid w:val="0"/>
                <w:lang w:eastAsia="en-US"/>
              </w:rPr>
            </w:pPr>
          </w:p>
        </w:tc>
      </w:tr>
      <w:tr w:rsidR="001B1FE0" w:rsidRPr="00880257" w14:paraId="44C5B365" w14:textId="77777777" w:rsidTr="001B1FE0">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11190AEF" w14:textId="77777777" w:rsidR="001B1FE0" w:rsidRPr="00880257" w:rsidRDefault="001B1FE0" w:rsidP="00A47D97">
            <w:pPr>
              <w:pStyle w:val="Tabletext"/>
              <w:keepNext/>
              <w:rPr>
                <w:snapToGrid w:val="0"/>
              </w:rPr>
            </w:pPr>
            <w:r w:rsidRPr="00880257">
              <w:rPr>
                <w:snapToGrid w:val="0"/>
              </w:rPr>
              <w:t>Baseline</w:t>
            </w:r>
          </w:p>
        </w:tc>
        <w:tc>
          <w:tcPr>
            <w:tcW w:w="629" w:type="pct"/>
            <w:tcBorders>
              <w:top w:val="single" w:sz="4" w:space="0" w:color="auto"/>
              <w:left w:val="single" w:sz="4" w:space="0" w:color="auto"/>
              <w:bottom w:val="single" w:sz="4" w:space="0" w:color="auto"/>
              <w:right w:val="single" w:sz="4" w:space="0" w:color="auto"/>
            </w:tcBorders>
            <w:vAlign w:val="center"/>
          </w:tcPr>
          <w:p w14:paraId="08C52601" w14:textId="77777777" w:rsidR="001B1FE0" w:rsidRPr="00880257" w:rsidRDefault="001B1FE0" w:rsidP="00A47D97">
            <w:pPr>
              <w:pStyle w:val="Tabletext"/>
              <w:keepNext/>
              <w:jc w:val="center"/>
              <w:rPr>
                <w:snapToGrid w:val="0"/>
              </w:rPr>
            </w:pPr>
            <w:r w:rsidRPr="00880257">
              <w:rPr>
                <w:snapToGrid w:val="0"/>
              </w:rPr>
              <w:t>Critical</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E4FAA2A" w14:textId="77777777" w:rsidR="001B1FE0" w:rsidRPr="00A66E7E" w:rsidRDefault="001B1FE0" w:rsidP="00A47D97">
            <w:pPr>
              <w:pStyle w:val="TableText0"/>
              <w:spacing w:before="0"/>
              <w:jc w:val="center"/>
              <w:rPr>
                <w:b/>
                <w:bCs/>
                <w:snapToGrid w:val="0"/>
                <w:szCs w:val="20"/>
              </w:rPr>
            </w:pPr>
            <w:r w:rsidRPr="00A66E7E">
              <w:rPr>
                <w:b/>
                <w:bCs/>
                <w:snapToGrid w:val="0"/>
                <w:szCs w:val="20"/>
              </w:rPr>
              <w:t>n=46</w:t>
            </w:r>
          </w:p>
          <w:p w14:paraId="213FD0C5" w14:textId="77777777" w:rsidR="001B1FE0" w:rsidRPr="00880257" w:rsidRDefault="001B1FE0" w:rsidP="00A47D97">
            <w:pPr>
              <w:pStyle w:val="TableText0"/>
              <w:spacing w:before="0"/>
              <w:jc w:val="center"/>
              <w:rPr>
                <w:snapToGrid w:val="0"/>
                <w:szCs w:val="20"/>
              </w:rPr>
            </w:pPr>
            <w:r w:rsidRPr="00880257">
              <w:rPr>
                <w:snapToGrid w:val="0"/>
                <w:szCs w:val="20"/>
              </w:rPr>
              <w:t>58.9 ±10.9</w:t>
            </w:r>
          </w:p>
          <w:p w14:paraId="2838E24B" w14:textId="77777777" w:rsidR="001B1FE0" w:rsidRPr="00880257" w:rsidRDefault="001B1FE0" w:rsidP="00A47D97">
            <w:pPr>
              <w:pStyle w:val="TableText0"/>
              <w:spacing w:before="0"/>
              <w:jc w:val="center"/>
              <w:rPr>
                <w:snapToGrid w:val="0"/>
                <w:szCs w:val="20"/>
              </w:rPr>
            </w:pPr>
            <w:r w:rsidRPr="00880257">
              <w:rPr>
                <w:szCs w:val="20"/>
              </w:rPr>
              <w:t>(55.7 to 62.1)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94E3116" w14:textId="77777777" w:rsidR="001B1FE0" w:rsidRPr="00A66E7E" w:rsidRDefault="001B1FE0" w:rsidP="00A47D97">
            <w:pPr>
              <w:pStyle w:val="TableText0"/>
              <w:spacing w:before="0"/>
              <w:jc w:val="center"/>
              <w:rPr>
                <w:b/>
                <w:bCs/>
                <w:snapToGrid w:val="0"/>
                <w:color w:val="000000" w:themeColor="text1"/>
                <w:szCs w:val="20"/>
              </w:rPr>
            </w:pPr>
            <w:r w:rsidRPr="00A66E7E">
              <w:rPr>
                <w:b/>
                <w:bCs/>
                <w:snapToGrid w:val="0"/>
                <w:color w:val="000000" w:themeColor="text1"/>
                <w:szCs w:val="20"/>
              </w:rPr>
              <w:t>n=23</w:t>
            </w:r>
          </w:p>
          <w:p w14:paraId="37BDEAAA" w14:textId="77777777" w:rsidR="001B1FE0" w:rsidRPr="00880257" w:rsidRDefault="001B1FE0" w:rsidP="00A47D97">
            <w:pPr>
              <w:pStyle w:val="TableText0"/>
              <w:spacing w:before="0"/>
              <w:jc w:val="center"/>
              <w:rPr>
                <w:snapToGrid w:val="0"/>
                <w:color w:val="000000" w:themeColor="text1"/>
                <w:szCs w:val="20"/>
              </w:rPr>
            </w:pPr>
            <w:r w:rsidRPr="00880257">
              <w:rPr>
                <w:snapToGrid w:val="0"/>
                <w:color w:val="000000" w:themeColor="text1"/>
                <w:szCs w:val="20"/>
              </w:rPr>
              <w:t>57.0 ±4.1</w:t>
            </w:r>
          </w:p>
          <w:p w14:paraId="0BE05527" w14:textId="77777777" w:rsidR="001B1FE0" w:rsidRPr="00880257" w:rsidRDefault="001B1FE0" w:rsidP="00A47D97">
            <w:pPr>
              <w:pStyle w:val="TableText0"/>
              <w:spacing w:before="0"/>
              <w:jc w:val="center"/>
              <w:rPr>
                <w:snapToGrid w:val="0"/>
                <w:szCs w:val="20"/>
              </w:rPr>
            </w:pPr>
            <w:r w:rsidRPr="00880257">
              <w:rPr>
                <w:szCs w:val="20"/>
              </w:rPr>
              <w:t>(55.2 to 58.8)</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382F6108" w14:textId="77777777" w:rsidR="001B1FE0" w:rsidRPr="00880257" w:rsidRDefault="001B1FE0" w:rsidP="00A47D97">
            <w:pPr>
              <w:pStyle w:val="TableText0"/>
              <w:spacing w:before="0"/>
              <w:jc w:val="center"/>
              <w:rPr>
                <w:szCs w:val="20"/>
                <w:lang w:eastAsia="en-AU"/>
              </w:rPr>
            </w:pPr>
            <w:r w:rsidRPr="00880257">
              <w:rPr>
                <w:szCs w:val="20"/>
                <w:lang w:eastAsia="en-AU"/>
              </w:rPr>
              <w:t>1.88 ±1.82</w:t>
            </w:r>
          </w:p>
          <w:p w14:paraId="0CAA3BAA" w14:textId="77777777" w:rsidR="001B1FE0" w:rsidRPr="00880257" w:rsidRDefault="001B1FE0" w:rsidP="00A47D97">
            <w:pPr>
              <w:pStyle w:val="TableText0"/>
              <w:spacing w:before="0"/>
              <w:jc w:val="center"/>
              <w:rPr>
                <w:szCs w:val="20"/>
                <w:lang w:eastAsia="en-AU"/>
              </w:rPr>
            </w:pPr>
            <w:r w:rsidRPr="00880257">
              <w:rPr>
                <w:szCs w:val="20"/>
                <w:lang w:eastAsia="en-AU"/>
              </w:rPr>
              <w:t>(-1.69 to 5.45)</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9BF8E5E" w14:textId="77777777" w:rsidR="001B1FE0" w:rsidRPr="00880257" w:rsidRDefault="001B1FE0" w:rsidP="00A47D97">
            <w:pPr>
              <w:pStyle w:val="Tabletext"/>
              <w:keepNext/>
              <w:jc w:val="center"/>
              <w:rPr>
                <w:snapToGrid w:val="0"/>
              </w:rPr>
            </w:pPr>
            <w:r w:rsidRPr="00880257">
              <w:t>p=0.306</w:t>
            </w:r>
          </w:p>
        </w:tc>
      </w:tr>
      <w:tr w:rsidR="001B1FE0" w:rsidRPr="00880257" w14:paraId="6876E4CD" w14:textId="77777777" w:rsidTr="001B1FE0">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6F7FFE48" w14:textId="77777777" w:rsidR="001B1FE0" w:rsidRPr="00880257" w:rsidRDefault="001B1FE0" w:rsidP="00A47D97">
            <w:pPr>
              <w:pStyle w:val="Tabletext"/>
              <w:keepNext/>
              <w:rPr>
                <w:snapToGrid w:val="0"/>
              </w:rPr>
            </w:pPr>
            <w:r w:rsidRPr="00880257">
              <w:rPr>
                <w:snapToGrid w:val="0"/>
              </w:rPr>
              <w:t>6 months</w:t>
            </w:r>
          </w:p>
        </w:tc>
        <w:tc>
          <w:tcPr>
            <w:tcW w:w="629" w:type="pct"/>
            <w:tcBorders>
              <w:top w:val="single" w:sz="4" w:space="0" w:color="auto"/>
              <w:left w:val="single" w:sz="4" w:space="0" w:color="auto"/>
              <w:bottom w:val="single" w:sz="4" w:space="0" w:color="auto"/>
              <w:right w:val="single" w:sz="4" w:space="0" w:color="auto"/>
            </w:tcBorders>
            <w:vAlign w:val="center"/>
          </w:tcPr>
          <w:p w14:paraId="1C4B1322" w14:textId="77777777" w:rsidR="001B1FE0" w:rsidRPr="00880257" w:rsidRDefault="001B1FE0" w:rsidP="00A47D97">
            <w:pPr>
              <w:pStyle w:val="Tabletext"/>
              <w:keepNext/>
              <w:jc w:val="center"/>
              <w:rPr>
                <w:snapToGrid w:val="0"/>
              </w:rPr>
            </w:pPr>
            <w:r w:rsidRPr="00880257">
              <w:rPr>
                <w:snapToGrid w:val="0"/>
              </w:rPr>
              <w:t>Critical</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729C650" w14:textId="77777777" w:rsidR="001B1FE0" w:rsidRPr="00880257" w:rsidRDefault="001B1FE0" w:rsidP="00A47D97">
            <w:pPr>
              <w:keepNext/>
              <w:spacing w:before="40" w:after="40"/>
              <w:jc w:val="center"/>
              <w:rPr>
                <w:rFonts w:ascii="Arial Narrow" w:hAnsi="Arial Narrow"/>
                <w:sz w:val="20"/>
              </w:rPr>
            </w:pPr>
            <w:r w:rsidRPr="00880257">
              <w:rPr>
                <w:rFonts w:ascii="Arial Narrow" w:hAnsi="Arial Narrow"/>
                <w:sz w:val="20"/>
              </w:rPr>
              <w:t>7.4 ±9.1</w:t>
            </w:r>
          </w:p>
          <w:p w14:paraId="68A99F10" w14:textId="77777777" w:rsidR="001B1FE0" w:rsidRPr="00880257" w:rsidRDefault="001B1FE0" w:rsidP="00A47D97">
            <w:pPr>
              <w:pStyle w:val="TableText0"/>
              <w:spacing w:before="0"/>
              <w:jc w:val="center"/>
              <w:rPr>
                <w:snapToGrid w:val="0"/>
                <w:szCs w:val="20"/>
              </w:rPr>
            </w:pPr>
            <w:r w:rsidRPr="00880257">
              <w:rPr>
                <w:szCs w:val="20"/>
              </w:rPr>
              <w:t>(4.7 to 10.1)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4804E6" w14:textId="77777777" w:rsidR="001B1FE0" w:rsidRPr="00880257" w:rsidRDefault="001B1FE0" w:rsidP="00A47D97">
            <w:pPr>
              <w:keepNext/>
              <w:spacing w:before="40" w:after="40"/>
              <w:jc w:val="center"/>
              <w:rPr>
                <w:rFonts w:ascii="Arial Narrow" w:hAnsi="Arial Narrow"/>
                <w:sz w:val="20"/>
              </w:rPr>
            </w:pPr>
            <w:r w:rsidRPr="00880257">
              <w:rPr>
                <w:rFonts w:ascii="Arial Narrow" w:hAnsi="Arial Narrow"/>
                <w:sz w:val="20"/>
              </w:rPr>
              <w:t>28.4 ±4.4</w:t>
            </w:r>
          </w:p>
          <w:p w14:paraId="3BF0CE76" w14:textId="77777777" w:rsidR="001B1FE0" w:rsidRPr="00880257" w:rsidRDefault="001B1FE0" w:rsidP="00A47D97">
            <w:pPr>
              <w:pStyle w:val="TableText0"/>
              <w:spacing w:before="0"/>
              <w:jc w:val="center"/>
              <w:rPr>
                <w:snapToGrid w:val="0"/>
                <w:szCs w:val="20"/>
              </w:rPr>
            </w:pPr>
            <w:r w:rsidRPr="00880257">
              <w:rPr>
                <w:szCs w:val="20"/>
              </w:rPr>
              <w:t>(26.5 to 30.4)</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202D55B8" w14:textId="77777777" w:rsidR="001B1FE0" w:rsidRPr="00880257" w:rsidRDefault="001B1FE0" w:rsidP="00A47D97">
            <w:pPr>
              <w:keepNext/>
              <w:spacing w:before="40" w:after="40"/>
              <w:jc w:val="center"/>
              <w:rPr>
                <w:rFonts w:ascii="Arial Narrow" w:hAnsi="Arial Narrow"/>
                <w:sz w:val="20"/>
              </w:rPr>
            </w:pPr>
            <w:r w:rsidRPr="00880257">
              <w:rPr>
                <w:rFonts w:ascii="Arial Narrow" w:hAnsi="Arial Narrow"/>
                <w:sz w:val="20"/>
              </w:rPr>
              <w:t>-17.17 ±1.11</w:t>
            </w:r>
          </w:p>
          <w:p w14:paraId="063E26F3" w14:textId="77777777" w:rsidR="001B1FE0" w:rsidRPr="00880257" w:rsidRDefault="001B1FE0" w:rsidP="00A47D97">
            <w:pPr>
              <w:keepNext/>
              <w:spacing w:before="40" w:after="40"/>
              <w:jc w:val="center"/>
              <w:rPr>
                <w:rFonts w:ascii="Arial Narrow" w:hAnsi="Arial Narrow"/>
                <w:sz w:val="20"/>
              </w:rPr>
            </w:pPr>
            <w:r w:rsidRPr="00880257">
              <w:rPr>
                <w:rFonts w:ascii="Arial Narrow" w:hAnsi="Arial Narrow"/>
                <w:sz w:val="20"/>
              </w:rPr>
              <w:t>(-19.35 to -15.00)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968E71C" w14:textId="77777777" w:rsidR="001B1FE0" w:rsidRPr="00880257" w:rsidRDefault="001B1FE0" w:rsidP="00A47D97">
            <w:pPr>
              <w:pStyle w:val="Tabletext"/>
              <w:keepNext/>
              <w:jc w:val="center"/>
              <w:rPr>
                <w:snapToGrid w:val="0"/>
              </w:rPr>
            </w:pPr>
            <w:r w:rsidRPr="00880257">
              <w:t>p&lt;0.0001</w:t>
            </w:r>
          </w:p>
        </w:tc>
      </w:tr>
      <w:tr w:rsidR="001B1FE0" w:rsidRPr="00880257" w14:paraId="29376178" w14:textId="77777777" w:rsidTr="001B1FE0">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34347F30" w14:textId="77777777" w:rsidR="001B1FE0" w:rsidRPr="00880257" w:rsidRDefault="001B1FE0" w:rsidP="00A47D97">
            <w:pPr>
              <w:pStyle w:val="Tabletext"/>
              <w:keepNext/>
              <w:rPr>
                <w:snapToGrid w:val="0"/>
              </w:rPr>
            </w:pPr>
            <w:r w:rsidRPr="00880257">
              <w:rPr>
                <w:snapToGrid w:val="0"/>
              </w:rPr>
              <w:t>12 months</w:t>
            </w:r>
          </w:p>
        </w:tc>
        <w:tc>
          <w:tcPr>
            <w:tcW w:w="629" w:type="pct"/>
            <w:tcBorders>
              <w:top w:val="single" w:sz="4" w:space="0" w:color="auto"/>
              <w:left w:val="single" w:sz="4" w:space="0" w:color="auto"/>
              <w:bottom w:val="single" w:sz="4" w:space="0" w:color="auto"/>
              <w:right w:val="single" w:sz="4" w:space="0" w:color="auto"/>
            </w:tcBorders>
            <w:vAlign w:val="center"/>
          </w:tcPr>
          <w:p w14:paraId="5D0031CC" w14:textId="77777777" w:rsidR="001B1FE0" w:rsidRPr="00880257" w:rsidRDefault="001B1FE0" w:rsidP="00A47D97">
            <w:pPr>
              <w:pStyle w:val="Tabletext"/>
              <w:keepNext/>
              <w:jc w:val="center"/>
              <w:rPr>
                <w:snapToGrid w:val="0"/>
              </w:rPr>
            </w:pPr>
            <w:r w:rsidRPr="00880257">
              <w:rPr>
                <w:snapToGrid w:val="0"/>
              </w:rPr>
              <w:t>Critical</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6B834562" w14:textId="77777777" w:rsidR="001B1FE0" w:rsidRPr="00880257" w:rsidRDefault="001B1FE0" w:rsidP="00A47D97">
            <w:pPr>
              <w:pStyle w:val="TableText0"/>
              <w:spacing w:before="0"/>
              <w:jc w:val="center"/>
              <w:rPr>
                <w:snapToGrid w:val="0"/>
                <w:color w:val="000000" w:themeColor="text1"/>
                <w:szCs w:val="20"/>
              </w:rPr>
            </w:pPr>
            <w:r w:rsidRPr="00880257">
              <w:rPr>
                <w:snapToGrid w:val="0"/>
                <w:color w:val="000000" w:themeColor="text1"/>
                <w:szCs w:val="20"/>
              </w:rPr>
              <w:t>4.8 ±7.4</w:t>
            </w:r>
          </w:p>
          <w:p w14:paraId="2609BE7C" w14:textId="77777777" w:rsidR="001B1FE0" w:rsidRPr="00880257" w:rsidRDefault="001B1FE0" w:rsidP="00A47D97">
            <w:pPr>
              <w:pStyle w:val="TableText0"/>
              <w:spacing w:before="0"/>
              <w:jc w:val="center"/>
              <w:rPr>
                <w:snapToGrid w:val="0"/>
                <w:szCs w:val="20"/>
              </w:rPr>
            </w:pPr>
            <w:r w:rsidRPr="00880257">
              <w:rPr>
                <w:szCs w:val="20"/>
              </w:rPr>
              <w:t>(2.6 to 7.0)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EDD5484" w14:textId="77777777" w:rsidR="001B1FE0" w:rsidRPr="00880257" w:rsidRDefault="001B1FE0" w:rsidP="00A47D97">
            <w:pPr>
              <w:pStyle w:val="TableText0"/>
              <w:spacing w:before="0"/>
              <w:jc w:val="center"/>
              <w:rPr>
                <w:snapToGrid w:val="0"/>
                <w:color w:val="000000" w:themeColor="text1"/>
                <w:szCs w:val="20"/>
              </w:rPr>
            </w:pPr>
            <w:r w:rsidRPr="00880257">
              <w:rPr>
                <w:snapToGrid w:val="0"/>
                <w:color w:val="000000" w:themeColor="text1"/>
                <w:szCs w:val="20"/>
              </w:rPr>
              <w:t>42.3 ±15.0</w:t>
            </w:r>
          </w:p>
          <w:p w14:paraId="6C003201" w14:textId="77777777" w:rsidR="001B1FE0" w:rsidRPr="00880257" w:rsidRDefault="001B1FE0" w:rsidP="00A47D97">
            <w:pPr>
              <w:pStyle w:val="TableText0"/>
              <w:spacing w:before="0"/>
              <w:jc w:val="center"/>
              <w:rPr>
                <w:snapToGrid w:val="0"/>
                <w:szCs w:val="20"/>
              </w:rPr>
            </w:pPr>
            <w:r w:rsidRPr="00880257">
              <w:rPr>
                <w:szCs w:val="20"/>
              </w:rPr>
              <w:t>(35.8 to 48.8)</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5E8B3956" w14:textId="77777777" w:rsidR="001B1FE0" w:rsidRPr="00880257" w:rsidRDefault="001B1FE0" w:rsidP="00A47D97">
            <w:pPr>
              <w:pStyle w:val="TableText0"/>
              <w:spacing w:before="0"/>
              <w:jc w:val="center"/>
              <w:rPr>
                <w:snapToGrid w:val="0"/>
                <w:szCs w:val="20"/>
              </w:rPr>
            </w:pPr>
            <w:r w:rsidRPr="00880257">
              <w:rPr>
                <w:snapToGrid w:val="0"/>
                <w:szCs w:val="20"/>
              </w:rPr>
              <w:t>-37.55 ±3.32</w:t>
            </w:r>
          </w:p>
          <w:p w14:paraId="1E238484" w14:textId="77777777" w:rsidR="001B1FE0" w:rsidRPr="00880257" w:rsidRDefault="001B1FE0" w:rsidP="00A47D97">
            <w:pPr>
              <w:pStyle w:val="TableText0"/>
              <w:spacing w:before="0"/>
              <w:jc w:val="center"/>
              <w:rPr>
                <w:snapToGrid w:val="0"/>
                <w:szCs w:val="20"/>
              </w:rPr>
            </w:pPr>
            <w:r w:rsidRPr="00880257">
              <w:rPr>
                <w:snapToGrid w:val="0"/>
                <w:szCs w:val="20"/>
              </w:rPr>
              <w:t>(-44.05 to -31.04)</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39F817C" w14:textId="77777777" w:rsidR="001B1FE0" w:rsidRPr="00880257" w:rsidRDefault="001B1FE0" w:rsidP="00A47D97">
            <w:pPr>
              <w:pStyle w:val="Tabletext"/>
              <w:keepNext/>
              <w:jc w:val="center"/>
              <w:rPr>
                <w:snapToGrid w:val="0"/>
              </w:rPr>
            </w:pPr>
            <w:r w:rsidRPr="00880257">
              <w:rPr>
                <w:snapToGrid w:val="0"/>
              </w:rPr>
              <w:t>p&lt;0.0001</w:t>
            </w:r>
          </w:p>
        </w:tc>
      </w:tr>
      <w:tr w:rsidR="001B1FE0" w:rsidRPr="00880257" w14:paraId="4C731B22" w14:textId="77777777" w:rsidTr="001B1FE0">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4CA2EFE4" w14:textId="77777777" w:rsidR="001B1FE0" w:rsidRPr="00880257" w:rsidRDefault="001B1FE0" w:rsidP="00A47D97">
            <w:pPr>
              <w:pStyle w:val="Tabletext"/>
              <w:keepNext/>
              <w:rPr>
                <w:snapToGrid w:val="0"/>
              </w:rPr>
            </w:pPr>
            <w:r w:rsidRPr="00880257">
              <w:rPr>
                <w:snapToGrid w:val="0"/>
              </w:rPr>
              <w:t>24 months</w:t>
            </w:r>
          </w:p>
        </w:tc>
        <w:tc>
          <w:tcPr>
            <w:tcW w:w="629" w:type="pct"/>
            <w:tcBorders>
              <w:top w:val="single" w:sz="4" w:space="0" w:color="auto"/>
              <w:left w:val="single" w:sz="4" w:space="0" w:color="auto"/>
              <w:bottom w:val="single" w:sz="4" w:space="0" w:color="auto"/>
              <w:right w:val="single" w:sz="4" w:space="0" w:color="auto"/>
            </w:tcBorders>
            <w:vAlign w:val="center"/>
          </w:tcPr>
          <w:p w14:paraId="21D9D99E" w14:textId="77777777" w:rsidR="001B1FE0" w:rsidRPr="00880257" w:rsidRDefault="001B1FE0" w:rsidP="00A47D97">
            <w:pPr>
              <w:pStyle w:val="Tabletext"/>
              <w:keepNext/>
              <w:jc w:val="center"/>
              <w:rPr>
                <w:snapToGrid w:val="0"/>
              </w:rPr>
            </w:pPr>
            <w:r w:rsidRPr="00880257">
              <w:rPr>
                <w:snapToGrid w:val="0"/>
              </w:rPr>
              <w:t>Critical</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3D7E496E" w14:textId="77777777" w:rsidR="001B1FE0" w:rsidRPr="00880257" w:rsidRDefault="001B1FE0" w:rsidP="00A47D97">
            <w:pPr>
              <w:pStyle w:val="TableText0"/>
              <w:spacing w:before="0"/>
              <w:jc w:val="center"/>
              <w:rPr>
                <w:b/>
                <w:bCs/>
                <w:snapToGrid w:val="0"/>
                <w:szCs w:val="20"/>
              </w:rPr>
            </w:pPr>
            <w:r w:rsidRPr="00880257">
              <w:rPr>
                <w:b/>
                <w:bCs/>
                <w:snapToGrid w:val="0"/>
                <w:szCs w:val="20"/>
              </w:rPr>
              <w:t>n=44</w:t>
            </w:r>
          </w:p>
          <w:p w14:paraId="30D3E24B" w14:textId="77777777" w:rsidR="001B1FE0" w:rsidRPr="00880257" w:rsidRDefault="001B1FE0" w:rsidP="00A47D97">
            <w:pPr>
              <w:pStyle w:val="TableText0"/>
              <w:spacing w:before="0"/>
              <w:jc w:val="center"/>
              <w:rPr>
                <w:snapToGrid w:val="0"/>
                <w:szCs w:val="20"/>
              </w:rPr>
            </w:pPr>
            <w:r w:rsidRPr="00880257">
              <w:rPr>
                <w:snapToGrid w:val="0"/>
                <w:szCs w:val="20"/>
              </w:rPr>
              <w:t>2.9 ±5.9</w:t>
            </w:r>
          </w:p>
          <w:p w14:paraId="4B9D2F36" w14:textId="77777777" w:rsidR="001B1FE0" w:rsidRPr="00880257" w:rsidRDefault="001B1FE0" w:rsidP="00A47D97">
            <w:pPr>
              <w:pStyle w:val="TableText0"/>
              <w:spacing w:before="0"/>
              <w:jc w:val="center"/>
              <w:rPr>
                <w:snapToGrid w:val="0"/>
                <w:szCs w:val="20"/>
              </w:rPr>
            </w:pPr>
            <w:r w:rsidRPr="00880257">
              <w:rPr>
                <w:szCs w:val="20"/>
              </w:rPr>
              <w:t>(1.1 to 4.6)</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8290DE5" w14:textId="77777777" w:rsidR="001B1FE0" w:rsidRPr="00880257" w:rsidRDefault="001B1FE0" w:rsidP="00A47D97">
            <w:pPr>
              <w:pStyle w:val="TableText0"/>
              <w:spacing w:before="0"/>
              <w:jc w:val="center"/>
              <w:rPr>
                <w:b/>
                <w:bCs/>
                <w:snapToGrid w:val="0"/>
                <w:szCs w:val="20"/>
              </w:rPr>
            </w:pPr>
            <w:r w:rsidRPr="00880257">
              <w:rPr>
                <w:b/>
                <w:bCs/>
                <w:snapToGrid w:val="0"/>
                <w:szCs w:val="20"/>
              </w:rPr>
              <w:t>n=23</w:t>
            </w:r>
          </w:p>
          <w:p w14:paraId="0A06FDE2" w14:textId="77777777" w:rsidR="001B1FE0" w:rsidRPr="00880257" w:rsidRDefault="001B1FE0" w:rsidP="00A47D97">
            <w:pPr>
              <w:pStyle w:val="TableText0"/>
              <w:spacing w:before="0"/>
              <w:jc w:val="center"/>
              <w:rPr>
                <w:snapToGrid w:val="0"/>
                <w:szCs w:val="20"/>
              </w:rPr>
            </w:pPr>
            <w:r w:rsidRPr="00880257">
              <w:rPr>
                <w:snapToGrid w:val="0"/>
                <w:szCs w:val="20"/>
              </w:rPr>
              <w:t>48.3 ±13.3</w:t>
            </w:r>
          </w:p>
          <w:p w14:paraId="49468BF6" w14:textId="77777777" w:rsidR="001B1FE0" w:rsidRPr="00880257" w:rsidRDefault="001B1FE0" w:rsidP="00A47D97">
            <w:pPr>
              <w:pStyle w:val="TableText0"/>
              <w:spacing w:before="0"/>
              <w:jc w:val="center"/>
              <w:rPr>
                <w:snapToGrid w:val="0"/>
                <w:szCs w:val="20"/>
              </w:rPr>
            </w:pPr>
            <w:r w:rsidRPr="00880257">
              <w:rPr>
                <w:szCs w:val="20"/>
              </w:rPr>
              <w:t>(42.5 to 54.0)</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3274336F" w14:textId="77777777" w:rsidR="001B1FE0" w:rsidRPr="00880257" w:rsidRDefault="001B1FE0" w:rsidP="00A47D97">
            <w:pPr>
              <w:pStyle w:val="TableText0"/>
              <w:spacing w:before="0"/>
              <w:jc w:val="center"/>
              <w:rPr>
                <w:szCs w:val="20"/>
                <w:lang w:eastAsia="en-AU"/>
              </w:rPr>
            </w:pPr>
            <w:r w:rsidRPr="00880257">
              <w:rPr>
                <w:szCs w:val="20"/>
                <w:lang w:eastAsia="en-AU"/>
              </w:rPr>
              <w:t>-45.41 ±2.91</w:t>
            </w:r>
          </w:p>
          <w:p w14:paraId="2EE605B6" w14:textId="77777777" w:rsidR="001B1FE0" w:rsidRPr="00880257" w:rsidRDefault="001B1FE0" w:rsidP="00A47D97">
            <w:pPr>
              <w:pStyle w:val="TableText0"/>
              <w:spacing w:before="0"/>
              <w:jc w:val="center"/>
              <w:rPr>
                <w:szCs w:val="20"/>
                <w:lang w:eastAsia="en-AU"/>
              </w:rPr>
            </w:pPr>
            <w:r w:rsidRPr="00880257">
              <w:rPr>
                <w:szCs w:val="20"/>
                <w:lang w:eastAsia="en-AU"/>
              </w:rPr>
              <w:t>(-51.12 to -39.71)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975EF88" w14:textId="77777777" w:rsidR="001B1FE0" w:rsidRPr="00880257" w:rsidRDefault="001B1FE0" w:rsidP="00A47D97">
            <w:pPr>
              <w:pStyle w:val="Tabletext"/>
              <w:keepNext/>
              <w:jc w:val="center"/>
              <w:rPr>
                <w:snapToGrid w:val="0"/>
              </w:rPr>
            </w:pPr>
            <w:r w:rsidRPr="00880257">
              <w:rPr>
                <w:snapToGrid w:val="0"/>
              </w:rPr>
              <w:t>p&lt;0.0001</w:t>
            </w:r>
          </w:p>
        </w:tc>
      </w:tr>
      <w:tr w:rsidR="001B1FE0" w:rsidRPr="00880257" w14:paraId="7C97D38B" w14:textId="77777777" w:rsidTr="001B1FE0">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76E4C250" w14:textId="77777777" w:rsidR="001B1FE0" w:rsidRPr="00880257" w:rsidRDefault="001B1FE0" w:rsidP="00A47D97">
            <w:pPr>
              <w:pStyle w:val="Tabletext"/>
              <w:rPr>
                <w:snapToGrid w:val="0"/>
              </w:rPr>
            </w:pPr>
            <w:r w:rsidRPr="00880257">
              <w:rPr>
                <w:snapToGrid w:val="0"/>
              </w:rPr>
              <w:t>36 months</w:t>
            </w:r>
          </w:p>
        </w:tc>
        <w:tc>
          <w:tcPr>
            <w:tcW w:w="629" w:type="pct"/>
            <w:tcBorders>
              <w:top w:val="single" w:sz="4" w:space="0" w:color="auto"/>
              <w:left w:val="single" w:sz="4" w:space="0" w:color="auto"/>
              <w:bottom w:val="single" w:sz="4" w:space="0" w:color="auto"/>
              <w:right w:val="single" w:sz="4" w:space="0" w:color="auto"/>
            </w:tcBorders>
            <w:vAlign w:val="center"/>
          </w:tcPr>
          <w:p w14:paraId="40FF6488" w14:textId="77777777" w:rsidR="001B1FE0" w:rsidRPr="00880257" w:rsidRDefault="001B1FE0" w:rsidP="00A47D97">
            <w:pPr>
              <w:pStyle w:val="Tabletext"/>
              <w:jc w:val="center"/>
              <w:rPr>
                <w:snapToGrid w:val="0"/>
              </w:rPr>
            </w:pPr>
            <w:r w:rsidRPr="00880257">
              <w:rPr>
                <w:snapToGrid w:val="0"/>
              </w:rPr>
              <w:t>Critical</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20C09DC9" w14:textId="77777777" w:rsidR="001B1FE0" w:rsidRPr="00880257" w:rsidRDefault="001B1FE0" w:rsidP="00A47D97">
            <w:pPr>
              <w:pStyle w:val="TableText0"/>
              <w:spacing w:before="0"/>
              <w:jc w:val="center"/>
              <w:rPr>
                <w:snapToGrid w:val="0"/>
                <w:szCs w:val="20"/>
              </w:rPr>
            </w:pPr>
            <w:r w:rsidRPr="00880257">
              <w:rPr>
                <w:snapToGrid w:val="0"/>
                <w:szCs w:val="20"/>
              </w:rPr>
              <w:t>4.1 ±7.9</w:t>
            </w:r>
          </w:p>
          <w:p w14:paraId="1871DC79" w14:textId="77777777" w:rsidR="001B1FE0" w:rsidRPr="00880257" w:rsidRDefault="001B1FE0" w:rsidP="00A47D97">
            <w:pPr>
              <w:pStyle w:val="TableText0"/>
              <w:spacing w:before="0"/>
              <w:jc w:val="center"/>
              <w:rPr>
                <w:snapToGrid w:val="0"/>
                <w:szCs w:val="20"/>
              </w:rPr>
            </w:pPr>
            <w:r w:rsidRPr="00880257">
              <w:rPr>
                <w:snapToGrid w:val="0"/>
                <w:szCs w:val="20"/>
              </w:rPr>
              <w:t>(1.3 to 6.9)</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323C720" w14:textId="77777777" w:rsidR="001B1FE0" w:rsidRPr="00880257" w:rsidRDefault="001B1FE0" w:rsidP="00A47D97">
            <w:pPr>
              <w:pStyle w:val="TableText0"/>
              <w:spacing w:before="0"/>
              <w:jc w:val="center"/>
              <w:rPr>
                <w:snapToGrid w:val="0"/>
                <w:szCs w:val="20"/>
              </w:rPr>
            </w:pPr>
            <w:r w:rsidRPr="00880257">
              <w:rPr>
                <w:snapToGrid w:val="0"/>
                <w:szCs w:val="20"/>
              </w:rPr>
              <w:t>49.5 ±13.3</w:t>
            </w:r>
          </w:p>
          <w:p w14:paraId="6E9B072A" w14:textId="77777777" w:rsidR="001B1FE0" w:rsidRPr="00880257" w:rsidRDefault="001B1FE0" w:rsidP="00A47D97">
            <w:pPr>
              <w:pStyle w:val="TableText0"/>
              <w:spacing w:before="0"/>
              <w:jc w:val="center"/>
              <w:rPr>
                <w:snapToGrid w:val="0"/>
                <w:szCs w:val="20"/>
              </w:rPr>
            </w:pPr>
            <w:r w:rsidRPr="00880257">
              <w:rPr>
                <w:snapToGrid w:val="0"/>
                <w:szCs w:val="20"/>
              </w:rPr>
              <w:t>(42.7 to 56.2)</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4C6ECFB7" w14:textId="77777777" w:rsidR="001B1FE0" w:rsidRPr="00880257" w:rsidRDefault="001B1FE0" w:rsidP="00A47D97">
            <w:pPr>
              <w:pStyle w:val="TableText0"/>
              <w:spacing w:before="0"/>
              <w:jc w:val="center"/>
              <w:rPr>
                <w:snapToGrid w:val="0"/>
                <w:szCs w:val="20"/>
              </w:rPr>
            </w:pPr>
            <w:r w:rsidRPr="00880257">
              <w:rPr>
                <w:snapToGrid w:val="0"/>
                <w:szCs w:val="20"/>
              </w:rPr>
              <w:t>-45.38 ±3.02</w:t>
            </w:r>
          </w:p>
          <w:p w14:paraId="52238A41" w14:textId="77777777" w:rsidR="001B1FE0" w:rsidRPr="00880257" w:rsidRDefault="001B1FE0" w:rsidP="00A47D97">
            <w:pPr>
              <w:pStyle w:val="TableText0"/>
              <w:spacing w:before="0"/>
              <w:jc w:val="center"/>
              <w:rPr>
                <w:snapToGrid w:val="0"/>
                <w:szCs w:val="20"/>
              </w:rPr>
            </w:pPr>
            <w:r w:rsidRPr="00880257">
              <w:rPr>
                <w:snapToGrid w:val="0"/>
                <w:szCs w:val="20"/>
              </w:rPr>
              <w:t>(-51.30 to -39.47)</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87BB33C" w14:textId="77777777" w:rsidR="001B1FE0" w:rsidRPr="00880257" w:rsidRDefault="001B1FE0" w:rsidP="00A47D97">
            <w:pPr>
              <w:pStyle w:val="Tabletext"/>
              <w:jc w:val="center"/>
              <w:rPr>
                <w:snapToGrid w:val="0"/>
              </w:rPr>
            </w:pPr>
            <w:r w:rsidRPr="00880257">
              <w:rPr>
                <w:snapToGrid w:val="0"/>
              </w:rPr>
              <w:t>p&lt;0.0001</w:t>
            </w:r>
          </w:p>
        </w:tc>
      </w:tr>
    </w:tbl>
    <w:p w14:paraId="679B7806" w14:textId="5A21F4E4" w:rsidR="001B1FE0" w:rsidRPr="005D4D3F" w:rsidRDefault="001B1FE0" w:rsidP="003861A2">
      <w:pPr>
        <w:pStyle w:val="Tablenotes"/>
      </w:pPr>
      <w:r>
        <w:t xml:space="preserve">Source: </w:t>
      </w:r>
      <w:r w:rsidR="005D4D3F">
        <w:t xml:space="preserve">Table 4, pxviii of the </w:t>
      </w:r>
      <w:r w:rsidR="008141AD">
        <w:t>c</w:t>
      </w:r>
      <w:r w:rsidR="005D4D3F">
        <w:t>ommentary</w:t>
      </w:r>
    </w:p>
    <w:p w14:paraId="52587A2F" w14:textId="3F92B428" w:rsidR="001B1FE0" w:rsidRDefault="008141AD" w:rsidP="003861A2">
      <w:pPr>
        <w:pStyle w:val="Tablenotes"/>
        <w:rPr>
          <w:szCs w:val="18"/>
        </w:rPr>
      </w:pPr>
      <w:r>
        <w:t xml:space="preserve">Abbreviations: </w:t>
      </w:r>
      <w:r w:rsidR="001B1FE0">
        <w:t>CI = confidence interval;</w:t>
      </w:r>
      <w:r w:rsidR="00233CE5">
        <w:t xml:space="preserve"> MF=microfracture;</w:t>
      </w:r>
      <w:r w:rsidR="001B1FE0">
        <w:t xml:space="preserve"> </w:t>
      </w:r>
      <w:r w:rsidR="001B1FE0" w:rsidRPr="0048459B">
        <w:t>SD</w:t>
      </w:r>
      <w:r w:rsidR="001B1FE0">
        <w:t xml:space="preserve"> = </w:t>
      </w:r>
      <w:r w:rsidR="001B1FE0" w:rsidRPr="0048459B">
        <w:t xml:space="preserve">standard deviation; </w:t>
      </w:r>
      <w:r w:rsidR="001B1FE0">
        <w:t xml:space="preserve">SE = standard error; WOMAC = </w:t>
      </w:r>
      <w:r w:rsidR="001B1FE0" w:rsidRPr="0011158D">
        <w:rPr>
          <w:szCs w:val="18"/>
        </w:rPr>
        <w:t>Western Ontario and McMaster Universities Osteoarthritis Index</w:t>
      </w:r>
    </w:p>
    <w:p w14:paraId="27544E84" w14:textId="77777777" w:rsidR="001B1FE0" w:rsidRDefault="001B1FE0" w:rsidP="003861A2">
      <w:pPr>
        <w:pStyle w:val="Tablenotes"/>
      </w:pPr>
      <w:r>
        <w:t>Note: Subscale scores are reported in Section B.6.</w:t>
      </w:r>
    </w:p>
    <w:p w14:paraId="73A5FA60" w14:textId="1EAC2C18" w:rsidR="00FD17A0" w:rsidRDefault="001B1FE0" w:rsidP="003861A2">
      <w:pPr>
        <w:pStyle w:val="Tablenotes"/>
      </w:pPr>
      <w:r w:rsidRPr="00D3159F">
        <w:rPr>
          <w:vertAlign w:val="superscript"/>
        </w:rPr>
        <w:t>†</w:t>
      </w:r>
      <w:r>
        <w:t xml:space="preserve"> Assessed for </w:t>
      </w:r>
      <w:r w:rsidR="008141AD">
        <w:t>c</w:t>
      </w:r>
      <w:r>
        <w:t>ommentary</w:t>
      </w:r>
    </w:p>
    <w:p w14:paraId="18B440F4" w14:textId="4A32CFCC" w:rsidR="00C14A40" w:rsidRDefault="00FD17A0" w:rsidP="00C477EB">
      <w:pPr>
        <w:spacing w:after="240"/>
      </w:pPr>
      <w:r>
        <w:t xml:space="preserve">The pre-ESC response indicated that 4-year results are available for the treatment group from the JointRep study (Indelli et al. </w:t>
      </w:r>
      <w:r w:rsidR="00C14A40">
        <w:t>2021</w:t>
      </w:r>
      <w:r w:rsidR="00C14A40">
        <w:rPr>
          <w:rStyle w:val="FootnoteReference"/>
        </w:rPr>
        <w:footnoteReference w:id="2"/>
      </w:r>
      <w:r w:rsidR="00C14A40">
        <w:t xml:space="preserve">). The applicant noted that the </w:t>
      </w:r>
      <w:r w:rsidR="00C14A40" w:rsidRPr="00C14A40">
        <w:t xml:space="preserve">WOMAC scores </w:t>
      </w:r>
      <w:r w:rsidR="00C14A40">
        <w:t>were</w:t>
      </w:r>
      <w:r w:rsidR="00C14A40" w:rsidRPr="00C14A40">
        <w:t xml:space="preserve"> maintained at 4 years demonstrating a durable treatment effect.</w:t>
      </w:r>
    </w:p>
    <w:p w14:paraId="3B847E36" w14:textId="34C60633" w:rsidR="00C14A40" w:rsidRDefault="00C14A40">
      <w:r>
        <w:lastRenderedPageBreak/>
        <w:t xml:space="preserve">The </w:t>
      </w:r>
      <w:r w:rsidR="00D079EF">
        <w:t xml:space="preserve">pre-MSAC response reiterated </w:t>
      </w:r>
      <w:r>
        <w:t xml:space="preserve">that an </w:t>
      </w:r>
      <w:r w:rsidR="00D079EF">
        <w:t xml:space="preserve">ongoing </w:t>
      </w:r>
      <w:r w:rsidRPr="00C14A40">
        <w:t xml:space="preserve">international (Australian/Canadian/New Zealand) clinical trial </w:t>
      </w:r>
      <w:r w:rsidR="00D079EF">
        <w:t>may</w:t>
      </w:r>
      <w:r w:rsidRPr="00C14A40">
        <w:t xml:space="preserve"> address con</w:t>
      </w:r>
      <w:r>
        <w:t xml:space="preserve">cerns raised in the </w:t>
      </w:r>
      <w:r w:rsidR="008141AD">
        <w:t>c</w:t>
      </w:r>
      <w:r>
        <w:t>ommentary.</w:t>
      </w:r>
      <w:r w:rsidRPr="00C14A40">
        <w:t xml:space="preserve"> </w:t>
      </w:r>
      <w:r w:rsidRPr="00B94618">
        <w:rPr>
          <w:i/>
        </w:rPr>
        <w:t>‘A Comparison of JointRep™ and Microfracture in Repair of Cartilage Lesions on the Femoral Condyle or Trochlea (JMAC)’</w:t>
      </w:r>
      <w:r w:rsidRPr="00C14A40">
        <w:t xml:space="preserve"> is a multicentre </w:t>
      </w:r>
      <w:r>
        <w:t>randomised controlled trial (</w:t>
      </w:r>
      <w:r w:rsidRPr="00C14A40">
        <w:t>RCT</w:t>
      </w:r>
      <w:r>
        <w:t>)</w:t>
      </w:r>
      <w:r w:rsidRPr="00C14A40">
        <w:t xml:space="preserve"> to assess the effec</w:t>
      </w:r>
      <w:r>
        <w:t>tiveness and safety of JointRep (</w:t>
      </w:r>
      <w:hyperlink r:id="rId20" w:history="1">
        <w:r w:rsidRPr="00C14A40">
          <w:rPr>
            <w:rStyle w:val="Hyperlink"/>
          </w:rPr>
          <w:t>NCT04840147</w:t>
        </w:r>
      </w:hyperlink>
      <w:r>
        <w:t>)</w:t>
      </w:r>
      <w:r w:rsidRPr="00C14A40">
        <w:t>.</w:t>
      </w:r>
      <w:r w:rsidR="00DF59A8">
        <w:t xml:space="preserve"> The primary outcome is percentage lesion fill (24 months post procedure) measured by magnetic resonance imaging (MRI). Secondary outcomes included VAS pain score, MRI parameters, treatment failure, knee injury and osteoarthritis outcome score (KOOS), tenger activity scale, safety and EQ-5D. </w:t>
      </w:r>
      <w:r w:rsidR="00DF59A8" w:rsidRPr="00DF59A8">
        <w:t>The estimated enrolment is 185 participants randomised 2:1 to eit</w:t>
      </w:r>
      <w:r w:rsidR="00DF59A8">
        <w:t>her microfracture plus JointRep</w:t>
      </w:r>
      <w:r w:rsidR="00DF59A8" w:rsidRPr="00DF59A8">
        <w:t xml:space="preserve"> or microfracture alone. The post-operative rehabilitation regime will be followed, amongst it the progression to full weight bearing and the return to previous activity level.</w:t>
      </w:r>
      <w:r w:rsidR="00DF59A8">
        <w:t xml:space="preserve"> The estimated study completion date is December 2025.</w:t>
      </w:r>
    </w:p>
    <w:p w14:paraId="31EA3C63" w14:textId="79F205A9" w:rsidR="001B1FE0" w:rsidRPr="00B02E35" w:rsidRDefault="001B1FE0" w:rsidP="00C477EB">
      <w:pPr>
        <w:pStyle w:val="Heading2"/>
        <w:spacing w:before="240"/>
      </w:pPr>
      <w:r>
        <w:t xml:space="preserve">JointRep </w:t>
      </w:r>
      <w:r w:rsidR="00233CE5">
        <w:t xml:space="preserve">plus microfracture </w:t>
      </w:r>
      <w:r>
        <w:t>v</w:t>
      </w:r>
      <w:r w:rsidR="002326E9">
        <w:t>er</w:t>
      </w:r>
      <w:r>
        <w:t>s</w:t>
      </w:r>
      <w:r w:rsidR="002326E9">
        <w:t>us</w:t>
      </w:r>
      <w:r>
        <w:t xml:space="preserve"> BST-CarGel</w:t>
      </w:r>
      <w:r w:rsidR="00233CE5">
        <w:t xml:space="preserve"> plus microfracture</w:t>
      </w:r>
    </w:p>
    <w:p w14:paraId="6B12494C" w14:textId="49F932C7" w:rsidR="00EF5647" w:rsidRDefault="00EF5647" w:rsidP="00EF5647">
      <w:r w:rsidRPr="00DE4FE0">
        <w:t>The ADAR does not compare the baseline characteristics for the control groups in the JointRep study and BST-CarGel trial, nor does it present WOMAC scores for the BST-CarGel control group</w:t>
      </w:r>
      <w:r w:rsidR="00233CE5">
        <w:t xml:space="preserve"> (microfracture alone)</w:t>
      </w:r>
      <w:r w:rsidRPr="00DE4FE0">
        <w:t xml:space="preserve">. </w:t>
      </w:r>
      <w:r w:rsidRPr="00D41748">
        <w:t>Therefore,</w:t>
      </w:r>
      <w:r>
        <w:t xml:space="preserve"> the commentary considered</w:t>
      </w:r>
      <w:r w:rsidRPr="00D41748">
        <w:t xml:space="preserve"> it was not possible to confirm the appropriateness of the indirect comparison of the intervention groups in these studies. Differences between the studies </w:t>
      </w:r>
      <w:r w:rsidR="00B51BAE">
        <w:t>were</w:t>
      </w:r>
      <w:r w:rsidR="00B51BAE" w:rsidRPr="00D41748">
        <w:t xml:space="preserve"> </w:t>
      </w:r>
      <w:r w:rsidRPr="00D41748">
        <w:t xml:space="preserve">noted with regard to eligibility criteria, demographics, </w:t>
      </w:r>
      <w:r w:rsidR="00FD17A0">
        <w:t>microfracture</w:t>
      </w:r>
      <w:r w:rsidRPr="00D41748">
        <w:t xml:space="preserve"> technique, simultaneous surgical treatments and rehabilitation protocols, which impacts the validity of the indirect comparison.</w:t>
      </w:r>
    </w:p>
    <w:p w14:paraId="1A0B8489" w14:textId="66D9D953" w:rsidR="00EF5647" w:rsidRPr="004A1B82" w:rsidRDefault="00EF5647" w:rsidP="00C477EB">
      <w:pPr>
        <w:spacing w:before="240"/>
      </w:pPr>
      <w:r>
        <w:t xml:space="preserve">The BST-CarGel trial used a visual analogue scale (VAS) format for WOMAC scoring whereas the JointRep study used the Likert scale. In the absence of any available published algorithms for VAS to Likert transformation, the ADAR proposed a conversion factor computed by dividing the maximum plausible value for sub-scores of the Likert scale by the corresponding maximum values of the VAS scale. </w:t>
      </w:r>
      <w:r w:rsidRPr="00D41748">
        <w:t xml:space="preserve">The </w:t>
      </w:r>
      <w:r>
        <w:t xml:space="preserve">commentary considered the </w:t>
      </w:r>
      <w:r w:rsidRPr="00D41748">
        <w:t>proposed conversion factor of 0.4 is problematic</w:t>
      </w:r>
      <w:r w:rsidR="007851C1">
        <w:t>.</w:t>
      </w:r>
    </w:p>
    <w:p w14:paraId="0D77961F" w14:textId="4B8E9E81" w:rsidR="00EF5647" w:rsidRDefault="00EF5647" w:rsidP="00C477EB">
      <w:pPr>
        <w:spacing w:before="240"/>
      </w:pPr>
      <w:r>
        <w:t xml:space="preserve">The comparison of JointRep </w:t>
      </w:r>
      <w:r w:rsidR="00233CE5">
        <w:t xml:space="preserve">plus microfracture </w:t>
      </w:r>
      <w:r>
        <w:t xml:space="preserve">and </w:t>
      </w:r>
      <w:r w:rsidRPr="0055279A">
        <w:t>BST-CarGel</w:t>
      </w:r>
      <w:r w:rsidR="00233CE5">
        <w:t xml:space="preserve"> plus microfracture</w:t>
      </w:r>
      <w:r>
        <w:t xml:space="preserve"> results presented by the ADAR are reproduced in </w:t>
      </w:r>
      <w:r>
        <w:fldChar w:fldCharType="begin"/>
      </w:r>
      <w:r>
        <w:instrText xml:space="preserve"> REF _Ref68620845 \h </w:instrText>
      </w:r>
      <w:r>
        <w:fldChar w:fldCharType="separate"/>
      </w:r>
      <w:r>
        <w:t xml:space="preserve">Table </w:t>
      </w:r>
      <w:r>
        <w:rPr>
          <w:noProof/>
        </w:rPr>
        <w:t>4</w:t>
      </w:r>
      <w:r>
        <w:fldChar w:fldCharType="end"/>
      </w:r>
      <w:r>
        <w:t xml:space="preserve">. These results are mean scores for the intervention group at particular time points; they do not account for differences between the JointRep </w:t>
      </w:r>
      <w:r w:rsidR="00233CE5">
        <w:t xml:space="preserve">plus microfracture </w:t>
      </w:r>
      <w:r>
        <w:t xml:space="preserve">and </w:t>
      </w:r>
      <w:r w:rsidRPr="0055279A">
        <w:t>BST-CarGel</w:t>
      </w:r>
      <w:r w:rsidR="00233CE5">
        <w:t xml:space="preserve"> plus micr</w:t>
      </w:r>
      <w:r w:rsidR="008B310A">
        <w:t>o</w:t>
      </w:r>
      <w:r w:rsidR="00233CE5">
        <w:t>fracture</w:t>
      </w:r>
      <w:r>
        <w:t xml:space="preserve"> groups at baseline.</w:t>
      </w:r>
    </w:p>
    <w:p w14:paraId="3FC6E0A1" w14:textId="0BBA2389" w:rsidR="00EF5647" w:rsidRDefault="00EF5647" w:rsidP="00C477EB">
      <w:pPr>
        <w:pStyle w:val="Caption"/>
        <w:spacing w:before="240"/>
      </w:pPr>
      <w:bookmarkStart w:id="5" w:name="_Ref68620845"/>
      <w:r>
        <w:t xml:space="preserve">Table </w:t>
      </w:r>
      <w:r w:rsidR="00875DA4">
        <w:fldChar w:fldCharType="begin"/>
      </w:r>
      <w:r w:rsidR="00875DA4">
        <w:instrText xml:space="preserve"> SEQ Table \* ARABIC </w:instrText>
      </w:r>
      <w:r w:rsidR="00875DA4">
        <w:fldChar w:fldCharType="separate"/>
      </w:r>
      <w:r>
        <w:rPr>
          <w:noProof/>
        </w:rPr>
        <w:t>4</w:t>
      </w:r>
      <w:r w:rsidR="00875DA4">
        <w:rPr>
          <w:noProof/>
        </w:rPr>
        <w:fldChar w:fldCharType="end"/>
      </w:r>
      <w:bookmarkEnd w:id="5"/>
      <w:r>
        <w:tab/>
        <w:t xml:space="preserve">Comparison of JointRep and </w:t>
      </w:r>
      <w:r w:rsidRPr="0055279A">
        <w:t>BST-CarGel</w:t>
      </w:r>
      <w:r>
        <w:t xml:space="preserve"> mean WOMAC scores at various time points</w:t>
      </w:r>
    </w:p>
    <w:tbl>
      <w:tblPr>
        <w:tblStyle w:val="TableGrid"/>
        <w:tblW w:w="0" w:type="auto"/>
        <w:tblLook w:val="04A0" w:firstRow="1" w:lastRow="0" w:firstColumn="1" w:lastColumn="0" w:noHBand="0" w:noVBand="1"/>
        <w:tblCaption w:val="Comparison of JointRep and BST-CarGel mean WOMAC scores at various time points"/>
        <w:tblDescription w:val="The table sumarises the outcome measures for JointRep and BST Cargel for 12, 36 and 60 months. "/>
      </w:tblPr>
      <w:tblGrid>
        <w:gridCol w:w="1271"/>
        <w:gridCol w:w="1936"/>
        <w:gridCol w:w="1936"/>
        <w:gridCol w:w="1936"/>
        <w:gridCol w:w="1937"/>
      </w:tblGrid>
      <w:tr w:rsidR="00EF5647" w:rsidRPr="0076283E" w14:paraId="5D1EED26" w14:textId="77777777" w:rsidTr="001E0BC1">
        <w:trPr>
          <w:tblHeader/>
        </w:trPr>
        <w:tc>
          <w:tcPr>
            <w:tcW w:w="1271" w:type="dxa"/>
            <w:tcBorders>
              <w:bottom w:val="nil"/>
            </w:tcBorders>
          </w:tcPr>
          <w:p w14:paraId="4BA45143" w14:textId="77777777" w:rsidR="00EF5647" w:rsidRPr="0076283E" w:rsidRDefault="00EF5647" w:rsidP="00B94618">
            <w:pPr>
              <w:pStyle w:val="TableHeading"/>
              <w:ind w:left="0" w:firstLine="0"/>
            </w:pPr>
            <w:r w:rsidRPr="0076283E">
              <w:t>Outcome measure</w:t>
            </w:r>
          </w:p>
        </w:tc>
        <w:tc>
          <w:tcPr>
            <w:tcW w:w="1936" w:type="dxa"/>
          </w:tcPr>
          <w:p w14:paraId="79CE49D5" w14:textId="06C04A24" w:rsidR="00EF5647" w:rsidRPr="0076283E" w:rsidRDefault="00EF5647" w:rsidP="00B94618">
            <w:pPr>
              <w:pStyle w:val="TableHeading"/>
              <w:ind w:left="0" w:firstLine="0"/>
              <w:jc w:val="center"/>
            </w:pPr>
            <w:r w:rsidRPr="0076283E">
              <w:t>JointRep</w:t>
            </w:r>
            <w:r w:rsidR="00233CE5">
              <w:t>+MF</w:t>
            </w:r>
          </w:p>
          <w:p w14:paraId="79F3700E" w14:textId="77777777" w:rsidR="00EF5647" w:rsidRPr="00DF7024" w:rsidRDefault="00EF5647" w:rsidP="00B94618">
            <w:pPr>
              <w:pStyle w:val="TableHeading"/>
              <w:ind w:left="0" w:firstLine="0"/>
              <w:jc w:val="center"/>
            </w:pPr>
            <w:r w:rsidRPr="0076283E">
              <w:t>12 months</w:t>
            </w:r>
          </w:p>
        </w:tc>
        <w:tc>
          <w:tcPr>
            <w:tcW w:w="1936" w:type="dxa"/>
          </w:tcPr>
          <w:p w14:paraId="0B1EB6B6" w14:textId="50B04ADF" w:rsidR="00EF5647" w:rsidRPr="0076283E" w:rsidRDefault="00EF5647" w:rsidP="00B94618">
            <w:pPr>
              <w:pStyle w:val="TableHeading"/>
              <w:ind w:left="0" w:firstLine="0"/>
              <w:jc w:val="center"/>
            </w:pPr>
            <w:r w:rsidRPr="0076283E">
              <w:t>BST-Car</w:t>
            </w:r>
            <w:r>
              <w:t>G</w:t>
            </w:r>
            <w:r w:rsidRPr="0076283E">
              <w:t>el</w:t>
            </w:r>
            <w:r w:rsidR="00233CE5">
              <w:t>+MF</w:t>
            </w:r>
          </w:p>
          <w:p w14:paraId="34540DB4" w14:textId="77777777" w:rsidR="00EF5647" w:rsidRPr="00DF7024" w:rsidRDefault="00EF5647" w:rsidP="00B94618">
            <w:pPr>
              <w:pStyle w:val="TableHeading"/>
              <w:ind w:left="0" w:firstLine="0"/>
              <w:jc w:val="center"/>
            </w:pPr>
            <w:r w:rsidRPr="0076283E">
              <w:t>12 months</w:t>
            </w:r>
          </w:p>
        </w:tc>
        <w:tc>
          <w:tcPr>
            <w:tcW w:w="1936" w:type="dxa"/>
          </w:tcPr>
          <w:p w14:paraId="179E84F7" w14:textId="0C7A0380" w:rsidR="00EF5647" w:rsidRPr="0076283E" w:rsidRDefault="00EF5647" w:rsidP="00B94618">
            <w:pPr>
              <w:pStyle w:val="TableHeading"/>
              <w:ind w:left="0" w:firstLine="0"/>
              <w:jc w:val="center"/>
            </w:pPr>
            <w:r w:rsidRPr="0076283E">
              <w:t>JointRep</w:t>
            </w:r>
            <w:r w:rsidR="00233CE5">
              <w:t>+MF</w:t>
            </w:r>
          </w:p>
          <w:p w14:paraId="375FB1A7" w14:textId="77777777" w:rsidR="00EF5647" w:rsidRPr="00DF7024" w:rsidRDefault="00EF5647" w:rsidP="00B94618">
            <w:pPr>
              <w:pStyle w:val="TableHeading"/>
              <w:ind w:left="0" w:firstLine="0"/>
              <w:jc w:val="center"/>
            </w:pPr>
            <w:r w:rsidRPr="0076283E">
              <w:t>36 months</w:t>
            </w:r>
          </w:p>
        </w:tc>
        <w:tc>
          <w:tcPr>
            <w:tcW w:w="1937" w:type="dxa"/>
          </w:tcPr>
          <w:p w14:paraId="6D2F16CD" w14:textId="0F32F85B" w:rsidR="00EF5647" w:rsidRPr="0076283E" w:rsidRDefault="00EF5647" w:rsidP="00B94618">
            <w:pPr>
              <w:pStyle w:val="TableHeading"/>
              <w:ind w:left="0" w:firstLine="0"/>
              <w:jc w:val="center"/>
            </w:pPr>
            <w:r w:rsidRPr="0076283E">
              <w:t>BST-Car</w:t>
            </w:r>
            <w:r>
              <w:t>G</w:t>
            </w:r>
            <w:r w:rsidRPr="0076283E">
              <w:t>el</w:t>
            </w:r>
            <w:r w:rsidR="00233CE5">
              <w:t>+MF</w:t>
            </w:r>
          </w:p>
          <w:p w14:paraId="428AAD16" w14:textId="77777777" w:rsidR="00EF5647" w:rsidRPr="00DF7024" w:rsidRDefault="00EF5647" w:rsidP="00B94618">
            <w:pPr>
              <w:pStyle w:val="TableHeading"/>
              <w:ind w:left="0" w:firstLine="0"/>
              <w:jc w:val="center"/>
            </w:pPr>
            <w:r w:rsidRPr="0076283E">
              <w:t>60 months</w:t>
            </w:r>
          </w:p>
        </w:tc>
      </w:tr>
      <w:tr w:rsidR="00EF5647" w:rsidRPr="0076283E" w14:paraId="1C6ED699" w14:textId="77777777" w:rsidTr="001E0BC1">
        <w:trPr>
          <w:tblHeader/>
        </w:trPr>
        <w:tc>
          <w:tcPr>
            <w:tcW w:w="1271" w:type="dxa"/>
            <w:tcBorders>
              <w:top w:val="nil"/>
            </w:tcBorders>
          </w:tcPr>
          <w:p w14:paraId="067CA193" w14:textId="77777777" w:rsidR="00EF5647" w:rsidRPr="0076283E" w:rsidRDefault="00EF5647" w:rsidP="00B94618">
            <w:pPr>
              <w:pStyle w:val="TableHeading"/>
              <w:ind w:left="0" w:firstLine="0"/>
            </w:pPr>
          </w:p>
        </w:tc>
        <w:tc>
          <w:tcPr>
            <w:tcW w:w="1936" w:type="dxa"/>
          </w:tcPr>
          <w:p w14:paraId="764F44EA" w14:textId="77777777" w:rsidR="00EF5647" w:rsidRPr="0076283E" w:rsidRDefault="00EF5647" w:rsidP="00B94618">
            <w:pPr>
              <w:pStyle w:val="TableHeading"/>
              <w:ind w:left="0" w:firstLine="0"/>
              <w:jc w:val="center"/>
            </w:pPr>
            <w:r w:rsidRPr="00D67B0A">
              <w:t>Mean (</w:t>
            </w:r>
            <w:r>
              <w:t>±</w:t>
            </w:r>
            <w:r w:rsidRPr="00D67B0A">
              <w:t>SD)</w:t>
            </w:r>
          </w:p>
        </w:tc>
        <w:tc>
          <w:tcPr>
            <w:tcW w:w="1936" w:type="dxa"/>
          </w:tcPr>
          <w:p w14:paraId="5A13ADE8" w14:textId="77777777" w:rsidR="00EF5647" w:rsidRPr="0076283E" w:rsidRDefault="00EF5647" w:rsidP="00B94618">
            <w:pPr>
              <w:pStyle w:val="TableHeading"/>
              <w:ind w:left="0" w:firstLine="0"/>
              <w:jc w:val="center"/>
            </w:pPr>
            <w:r w:rsidRPr="00D67B0A">
              <w:t>Mean converted from VAS to Likert</w:t>
            </w:r>
          </w:p>
        </w:tc>
        <w:tc>
          <w:tcPr>
            <w:tcW w:w="1936" w:type="dxa"/>
          </w:tcPr>
          <w:p w14:paraId="40038282" w14:textId="77777777" w:rsidR="00EF5647" w:rsidRPr="0076283E" w:rsidRDefault="00EF5647" w:rsidP="00B94618">
            <w:pPr>
              <w:pStyle w:val="TableHeading"/>
              <w:ind w:left="0" w:firstLine="0"/>
              <w:jc w:val="center"/>
            </w:pPr>
            <w:r w:rsidRPr="00D67B0A">
              <w:t>Mean (</w:t>
            </w:r>
            <w:r>
              <w:t>±</w:t>
            </w:r>
            <w:r w:rsidRPr="00D67B0A">
              <w:t>SD)</w:t>
            </w:r>
          </w:p>
        </w:tc>
        <w:tc>
          <w:tcPr>
            <w:tcW w:w="1937" w:type="dxa"/>
          </w:tcPr>
          <w:p w14:paraId="61B29E46" w14:textId="77777777" w:rsidR="00EF5647" w:rsidRPr="0076283E" w:rsidRDefault="00EF5647" w:rsidP="00B94618">
            <w:pPr>
              <w:pStyle w:val="TableHeading"/>
              <w:ind w:left="0" w:firstLine="0"/>
              <w:jc w:val="center"/>
            </w:pPr>
            <w:r w:rsidRPr="00D67B0A">
              <w:t>Mean converted from VAS to Likert</w:t>
            </w:r>
          </w:p>
        </w:tc>
      </w:tr>
      <w:tr w:rsidR="00EF5647" w14:paraId="3EAD2810" w14:textId="77777777" w:rsidTr="001E0BC1">
        <w:tc>
          <w:tcPr>
            <w:tcW w:w="1271" w:type="dxa"/>
          </w:tcPr>
          <w:p w14:paraId="632B6606" w14:textId="77777777" w:rsidR="00EF5647" w:rsidRDefault="00EF5647">
            <w:pPr>
              <w:pStyle w:val="Tabletext"/>
            </w:pPr>
            <w:r w:rsidRPr="00212679">
              <w:t>Pain</w:t>
            </w:r>
          </w:p>
        </w:tc>
        <w:tc>
          <w:tcPr>
            <w:tcW w:w="1936" w:type="dxa"/>
          </w:tcPr>
          <w:p w14:paraId="12F5E819" w14:textId="77777777" w:rsidR="00EF5647" w:rsidRPr="008141AD" w:rsidRDefault="00EF5647">
            <w:pPr>
              <w:pStyle w:val="Tabletext"/>
              <w:jc w:val="center"/>
            </w:pPr>
            <w:r w:rsidRPr="008141AD">
              <w:rPr>
                <w:strike/>
              </w:rPr>
              <w:t>0.9 ±2.3</w:t>
            </w:r>
            <w:r w:rsidRPr="008141AD">
              <w:rPr>
                <w:rStyle w:val="EMPHASISFORTABLES"/>
                <w:color w:val="auto"/>
              </w:rPr>
              <w:t xml:space="preserve"> 1.1 ±1.4</w:t>
            </w:r>
            <w:r w:rsidRPr="008141AD">
              <w:rPr>
                <w:rStyle w:val="EMPHASISFORTABLES"/>
                <w:color w:val="auto"/>
                <w:vertAlign w:val="superscript"/>
              </w:rPr>
              <w:t>a</w:t>
            </w:r>
          </w:p>
        </w:tc>
        <w:tc>
          <w:tcPr>
            <w:tcW w:w="1936" w:type="dxa"/>
          </w:tcPr>
          <w:p w14:paraId="7ED5BA7B" w14:textId="77777777" w:rsidR="00EF5647" w:rsidRDefault="00EF5647">
            <w:pPr>
              <w:pStyle w:val="Tabletext"/>
              <w:jc w:val="center"/>
            </w:pPr>
            <w:r w:rsidRPr="00FF7D19">
              <w:t>2.1</w:t>
            </w:r>
          </w:p>
        </w:tc>
        <w:tc>
          <w:tcPr>
            <w:tcW w:w="1936" w:type="dxa"/>
          </w:tcPr>
          <w:p w14:paraId="685FF1C0" w14:textId="77777777" w:rsidR="00EF5647" w:rsidRDefault="00EF5647">
            <w:pPr>
              <w:pStyle w:val="Tabletext"/>
              <w:jc w:val="center"/>
            </w:pPr>
            <w:r w:rsidRPr="00FF7D19">
              <w:t xml:space="preserve">0.9 </w:t>
            </w:r>
            <w:r>
              <w:t>±</w:t>
            </w:r>
            <w:r w:rsidRPr="00FF7D19">
              <w:t>2.3</w:t>
            </w:r>
          </w:p>
        </w:tc>
        <w:tc>
          <w:tcPr>
            <w:tcW w:w="1937" w:type="dxa"/>
          </w:tcPr>
          <w:p w14:paraId="43CA3056" w14:textId="77777777" w:rsidR="00EF5647" w:rsidRDefault="00EF5647">
            <w:pPr>
              <w:pStyle w:val="Tabletext"/>
              <w:jc w:val="center"/>
            </w:pPr>
            <w:r w:rsidRPr="00FF7D19">
              <w:t>2.3</w:t>
            </w:r>
          </w:p>
        </w:tc>
      </w:tr>
      <w:tr w:rsidR="00EF5647" w14:paraId="70D834F2" w14:textId="77777777" w:rsidTr="001E0BC1">
        <w:tc>
          <w:tcPr>
            <w:tcW w:w="1271" w:type="dxa"/>
          </w:tcPr>
          <w:p w14:paraId="13E6B8F8" w14:textId="77777777" w:rsidR="00EF5647" w:rsidRDefault="00EF5647">
            <w:pPr>
              <w:pStyle w:val="Tabletext"/>
            </w:pPr>
            <w:r w:rsidRPr="00212679">
              <w:t>Stiffness</w:t>
            </w:r>
          </w:p>
        </w:tc>
        <w:tc>
          <w:tcPr>
            <w:tcW w:w="1936" w:type="dxa"/>
          </w:tcPr>
          <w:p w14:paraId="1552BCB1" w14:textId="77777777" w:rsidR="00EF5647" w:rsidRPr="008141AD" w:rsidRDefault="00EF5647">
            <w:pPr>
              <w:pStyle w:val="Tabletext"/>
              <w:jc w:val="center"/>
            </w:pPr>
            <w:r w:rsidRPr="008141AD">
              <w:rPr>
                <w:strike/>
              </w:rPr>
              <w:t>0.4 ±1.2</w:t>
            </w:r>
            <w:r w:rsidRPr="008141AD">
              <w:rPr>
                <w:rStyle w:val="EMPHASISFORTABLES"/>
                <w:color w:val="auto"/>
              </w:rPr>
              <w:t xml:space="preserve"> 0.5 ±1.3</w:t>
            </w:r>
            <w:r w:rsidRPr="008141AD">
              <w:rPr>
                <w:rStyle w:val="EMPHASISFORTABLES"/>
                <w:color w:val="auto"/>
                <w:vertAlign w:val="superscript"/>
              </w:rPr>
              <w:t>a</w:t>
            </w:r>
          </w:p>
        </w:tc>
        <w:tc>
          <w:tcPr>
            <w:tcW w:w="1936" w:type="dxa"/>
          </w:tcPr>
          <w:p w14:paraId="221D876D" w14:textId="77777777" w:rsidR="00EF5647" w:rsidRDefault="00EF5647">
            <w:pPr>
              <w:pStyle w:val="Tabletext"/>
              <w:jc w:val="center"/>
            </w:pPr>
            <w:r w:rsidRPr="00FF7D19">
              <w:t>1.8</w:t>
            </w:r>
          </w:p>
        </w:tc>
        <w:tc>
          <w:tcPr>
            <w:tcW w:w="1936" w:type="dxa"/>
          </w:tcPr>
          <w:p w14:paraId="61E1321E" w14:textId="77777777" w:rsidR="00EF5647" w:rsidRDefault="00EF5647">
            <w:pPr>
              <w:pStyle w:val="Tabletext"/>
              <w:jc w:val="center"/>
            </w:pPr>
            <w:r w:rsidRPr="00FF7D19">
              <w:t xml:space="preserve">0.4 </w:t>
            </w:r>
            <w:r>
              <w:t>±</w:t>
            </w:r>
            <w:r w:rsidRPr="00FF7D19">
              <w:t>1.2</w:t>
            </w:r>
          </w:p>
        </w:tc>
        <w:tc>
          <w:tcPr>
            <w:tcW w:w="1937" w:type="dxa"/>
          </w:tcPr>
          <w:p w14:paraId="174C9AB8" w14:textId="77777777" w:rsidR="00EF5647" w:rsidRDefault="00EF5647">
            <w:pPr>
              <w:pStyle w:val="Tabletext"/>
              <w:jc w:val="center"/>
            </w:pPr>
            <w:r w:rsidRPr="00FF7D19">
              <w:t>1.8</w:t>
            </w:r>
          </w:p>
        </w:tc>
      </w:tr>
      <w:tr w:rsidR="00EF5647" w14:paraId="5D4838AC" w14:textId="77777777" w:rsidTr="001E0BC1">
        <w:tc>
          <w:tcPr>
            <w:tcW w:w="1271" w:type="dxa"/>
          </w:tcPr>
          <w:p w14:paraId="31741948" w14:textId="77777777" w:rsidR="00EF5647" w:rsidRDefault="00EF5647">
            <w:pPr>
              <w:pStyle w:val="Tabletext"/>
            </w:pPr>
            <w:r w:rsidRPr="00212679">
              <w:t>Physical</w:t>
            </w:r>
          </w:p>
        </w:tc>
        <w:tc>
          <w:tcPr>
            <w:tcW w:w="1936" w:type="dxa"/>
          </w:tcPr>
          <w:p w14:paraId="4DFAB240" w14:textId="77777777" w:rsidR="00EF5647" w:rsidRPr="008141AD" w:rsidRDefault="00EF5647">
            <w:pPr>
              <w:pStyle w:val="Tabletext"/>
              <w:jc w:val="center"/>
            </w:pPr>
            <w:r w:rsidRPr="008141AD">
              <w:rPr>
                <w:strike/>
              </w:rPr>
              <w:t>2.6 ±4.3</w:t>
            </w:r>
            <w:r w:rsidRPr="008141AD">
              <w:t xml:space="preserve"> </w:t>
            </w:r>
            <w:r w:rsidRPr="008141AD">
              <w:rPr>
                <w:rStyle w:val="EMPHASISFORTABLES"/>
                <w:color w:val="auto"/>
              </w:rPr>
              <w:t>3.2 ±5.1</w:t>
            </w:r>
            <w:r w:rsidRPr="008141AD">
              <w:rPr>
                <w:rStyle w:val="EMPHASISFORTABLES"/>
                <w:color w:val="auto"/>
                <w:vertAlign w:val="superscript"/>
              </w:rPr>
              <w:t>a</w:t>
            </w:r>
          </w:p>
        </w:tc>
        <w:tc>
          <w:tcPr>
            <w:tcW w:w="1936" w:type="dxa"/>
          </w:tcPr>
          <w:p w14:paraId="25952BF3" w14:textId="77777777" w:rsidR="00EF5647" w:rsidRDefault="00EF5647">
            <w:pPr>
              <w:pStyle w:val="Tabletext"/>
              <w:jc w:val="center"/>
            </w:pPr>
            <w:r w:rsidRPr="00FF7D19">
              <w:t>8.7</w:t>
            </w:r>
          </w:p>
        </w:tc>
        <w:tc>
          <w:tcPr>
            <w:tcW w:w="1936" w:type="dxa"/>
          </w:tcPr>
          <w:p w14:paraId="66C3D5ED" w14:textId="77777777" w:rsidR="00EF5647" w:rsidRDefault="00EF5647">
            <w:pPr>
              <w:pStyle w:val="Tabletext"/>
              <w:jc w:val="center"/>
            </w:pPr>
            <w:r w:rsidRPr="00FF7D19">
              <w:t xml:space="preserve">2.6 </w:t>
            </w:r>
            <w:r>
              <w:t>±</w:t>
            </w:r>
            <w:r w:rsidRPr="00FF7D19">
              <w:t>4.3</w:t>
            </w:r>
          </w:p>
        </w:tc>
        <w:tc>
          <w:tcPr>
            <w:tcW w:w="1937" w:type="dxa"/>
          </w:tcPr>
          <w:p w14:paraId="01F2DE56" w14:textId="77777777" w:rsidR="00EF5647" w:rsidRPr="008141AD" w:rsidRDefault="00EF5647">
            <w:pPr>
              <w:pStyle w:val="Tabletext"/>
              <w:jc w:val="center"/>
            </w:pPr>
            <w:r w:rsidRPr="008141AD">
              <w:rPr>
                <w:strike/>
              </w:rPr>
              <w:t>8.2</w:t>
            </w:r>
            <w:r w:rsidRPr="008141AD">
              <w:t xml:space="preserve"> </w:t>
            </w:r>
            <w:r w:rsidRPr="008141AD">
              <w:rPr>
                <w:rStyle w:val="EMPHASISFORTABLES"/>
                <w:color w:val="auto"/>
              </w:rPr>
              <w:t>8.8</w:t>
            </w:r>
            <w:r w:rsidRPr="008141AD">
              <w:rPr>
                <w:rStyle w:val="EMPHASISFORTABLES"/>
                <w:color w:val="auto"/>
                <w:vertAlign w:val="superscript"/>
              </w:rPr>
              <w:t>b</w:t>
            </w:r>
          </w:p>
        </w:tc>
      </w:tr>
      <w:tr w:rsidR="00EF5647" w14:paraId="21503428" w14:textId="77777777" w:rsidTr="001E0BC1">
        <w:tc>
          <w:tcPr>
            <w:tcW w:w="1271" w:type="dxa"/>
          </w:tcPr>
          <w:p w14:paraId="36B2F781" w14:textId="77777777" w:rsidR="00EF5647" w:rsidRDefault="00EF5647">
            <w:pPr>
              <w:pStyle w:val="Tabletext"/>
            </w:pPr>
            <w:r w:rsidRPr="00212679">
              <w:t>Total</w:t>
            </w:r>
          </w:p>
        </w:tc>
        <w:tc>
          <w:tcPr>
            <w:tcW w:w="1936" w:type="dxa"/>
          </w:tcPr>
          <w:p w14:paraId="0ACDD241" w14:textId="77777777" w:rsidR="00EF5647" w:rsidRPr="008141AD" w:rsidRDefault="00EF5647">
            <w:pPr>
              <w:pStyle w:val="Tabletext"/>
              <w:jc w:val="center"/>
            </w:pPr>
            <w:r w:rsidRPr="008141AD">
              <w:rPr>
                <w:strike/>
              </w:rPr>
              <w:t>3.9 ±7.8</w:t>
            </w:r>
            <w:r w:rsidRPr="008141AD">
              <w:t xml:space="preserve"> </w:t>
            </w:r>
            <w:r w:rsidRPr="008141AD">
              <w:rPr>
                <w:rStyle w:val="EMPHASISFORTABLES"/>
                <w:color w:val="auto"/>
              </w:rPr>
              <w:t>4.8 ±7.4</w:t>
            </w:r>
            <w:r w:rsidRPr="008141AD">
              <w:rPr>
                <w:rStyle w:val="EMPHASISFORTABLES"/>
                <w:color w:val="auto"/>
                <w:vertAlign w:val="superscript"/>
              </w:rPr>
              <w:t>a</w:t>
            </w:r>
          </w:p>
        </w:tc>
        <w:tc>
          <w:tcPr>
            <w:tcW w:w="1936" w:type="dxa"/>
          </w:tcPr>
          <w:p w14:paraId="1507B88B" w14:textId="77777777" w:rsidR="00EF5647" w:rsidRDefault="00EF5647">
            <w:pPr>
              <w:pStyle w:val="Tabletext"/>
              <w:jc w:val="center"/>
            </w:pPr>
            <w:r w:rsidRPr="00FF7D19">
              <w:t>12.7</w:t>
            </w:r>
          </w:p>
        </w:tc>
        <w:tc>
          <w:tcPr>
            <w:tcW w:w="1936" w:type="dxa"/>
          </w:tcPr>
          <w:p w14:paraId="643F776C" w14:textId="77777777" w:rsidR="00EF5647" w:rsidRDefault="00EF5647">
            <w:pPr>
              <w:pStyle w:val="Tabletext"/>
              <w:jc w:val="center"/>
            </w:pPr>
            <w:r w:rsidRPr="00FF7D19">
              <w:t xml:space="preserve">4.1 </w:t>
            </w:r>
            <w:r>
              <w:t>±</w:t>
            </w:r>
            <w:r w:rsidRPr="00FF7D19">
              <w:t>7.9</w:t>
            </w:r>
          </w:p>
        </w:tc>
        <w:tc>
          <w:tcPr>
            <w:tcW w:w="1937" w:type="dxa"/>
          </w:tcPr>
          <w:p w14:paraId="71D55CA6" w14:textId="77777777" w:rsidR="00EF5647" w:rsidRPr="008141AD" w:rsidRDefault="00EF5647">
            <w:pPr>
              <w:pStyle w:val="Tabletext"/>
              <w:jc w:val="center"/>
            </w:pPr>
            <w:r w:rsidRPr="008141AD">
              <w:rPr>
                <w:strike/>
              </w:rPr>
              <w:t>12.3</w:t>
            </w:r>
            <w:r w:rsidRPr="008141AD">
              <w:t xml:space="preserve"> </w:t>
            </w:r>
            <w:r w:rsidRPr="008141AD">
              <w:rPr>
                <w:rStyle w:val="EMPHASISFORTABLES"/>
                <w:color w:val="auto"/>
              </w:rPr>
              <w:t>12.7</w:t>
            </w:r>
            <w:r w:rsidRPr="008141AD">
              <w:rPr>
                <w:rStyle w:val="EMPHASISFORTABLES"/>
                <w:color w:val="auto"/>
                <w:vertAlign w:val="superscript"/>
              </w:rPr>
              <w:t>b</w:t>
            </w:r>
          </w:p>
        </w:tc>
      </w:tr>
    </w:tbl>
    <w:p w14:paraId="1CEDB315" w14:textId="2F61717C" w:rsidR="00EF5647" w:rsidRPr="00B94618" w:rsidRDefault="00EF5647" w:rsidP="003861A2">
      <w:pPr>
        <w:pStyle w:val="Tablenotes"/>
        <w:rPr>
          <w:iCs/>
        </w:rPr>
      </w:pPr>
      <w:r>
        <w:t>Source: Table 15 of the ADAR (p.56)</w:t>
      </w:r>
      <w:r w:rsidRPr="00F92D09">
        <w:rPr>
          <w:i/>
          <w:iCs/>
          <w:color w:val="1F497D" w:themeColor="text2"/>
        </w:rPr>
        <w:t xml:space="preserve">, </w:t>
      </w:r>
      <w:r w:rsidRPr="008141AD">
        <w:t xml:space="preserve">with </w:t>
      </w:r>
      <w:r w:rsidR="008141AD" w:rsidRPr="008141AD">
        <w:t>c</w:t>
      </w:r>
      <w:r w:rsidRPr="008141AD">
        <w:t>ommentary corrections in italics</w:t>
      </w:r>
      <w:r w:rsidRPr="008141AD">
        <w:rPr>
          <w:i/>
          <w:iCs/>
        </w:rPr>
        <w:t xml:space="preserve"> </w:t>
      </w:r>
      <w:r>
        <w:rPr>
          <w:iCs/>
        </w:rPr>
        <w:t xml:space="preserve">[Table 5, pxix of the </w:t>
      </w:r>
      <w:r w:rsidR="008141AD">
        <w:rPr>
          <w:iCs/>
        </w:rPr>
        <w:t>c</w:t>
      </w:r>
      <w:r>
        <w:rPr>
          <w:iCs/>
        </w:rPr>
        <w:t>ommentary]</w:t>
      </w:r>
    </w:p>
    <w:p w14:paraId="65FBEA38" w14:textId="47A17046" w:rsidR="00EF5647" w:rsidRDefault="008141AD" w:rsidP="003861A2">
      <w:pPr>
        <w:pStyle w:val="Tablenotes"/>
      </w:pPr>
      <w:r>
        <w:t xml:space="preserve">Abbreviations: </w:t>
      </w:r>
      <w:r w:rsidR="00233CE5">
        <w:t xml:space="preserve">MF=microfracture; </w:t>
      </w:r>
      <w:r w:rsidR="00EF5647">
        <w:t xml:space="preserve">SD = standard deviation; VAS = visual analogue scale; WOMAC = </w:t>
      </w:r>
      <w:r w:rsidR="00EF5647" w:rsidRPr="0011158D">
        <w:rPr>
          <w:szCs w:val="18"/>
        </w:rPr>
        <w:t>Western Ontario and McMaster Universities Osteoarthritis Index</w:t>
      </w:r>
    </w:p>
    <w:p w14:paraId="0C554C06" w14:textId="77777777" w:rsidR="00EF5647" w:rsidRDefault="00EF5647" w:rsidP="003861A2">
      <w:pPr>
        <w:pStyle w:val="Tablenotes"/>
      </w:pPr>
      <w:r>
        <w:t xml:space="preserve">Note: WOMAC scores for </w:t>
      </w:r>
      <w:r w:rsidRPr="0055279A">
        <w:t>BST-CarGel</w:t>
      </w:r>
      <w:r>
        <w:t xml:space="preserve"> were converted from VAS to Likert by multiplying by 0.4 (ADAR p.57).</w:t>
      </w:r>
    </w:p>
    <w:p w14:paraId="3F524850" w14:textId="77777777" w:rsidR="00EF5647" w:rsidRPr="00570065" w:rsidRDefault="00EF5647" w:rsidP="003861A2">
      <w:pPr>
        <w:pStyle w:val="Tablenotes"/>
      </w:pPr>
      <w:r w:rsidRPr="00570065">
        <w:rPr>
          <w:b/>
          <w:bCs/>
        </w:rPr>
        <w:t>a</w:t>
      </w:r>
      <w:r w:rsidRPr="00570065">
        <w:t xml:space="preserve"> Corrected using data in Table 14 of the ADAR (p.56).</w:t>
      </w:r>
    </w:p>
    <w:p w14:paraId="52ACFF80" w14:textId="77777777" w:rsidR="00EF5647" w:rsidRPr="00570065" w:rsidRDefault="00EF5647" w:rsidP="003861A2">
      <w:pPr>
        <w:pStyle w:val="Tablenotes"/>
      </w:pPr>
      <w:r w:rsidRPr="00570065">
        <w:rPr>
          <w:b/>
          <w:bCs/>
        </w:rPr>
        <w:t>b</w:t>
      </w:r>
      <w:r w:rsidRPr="00570065">
        <w:t xml:space="preserve"> Corrected using data on p.57 of the ADAR.</w:t>
      </w:r>
    </w:p>
    <w:p w14:paraId="51D2B48E" w14:textId="2F2F714C" w:rsidR="00EF5647" w:rsidRPr="00594BA7" w:rsidRDefault="00EF5647" w:rsidP="00EF5647">
      <w:r>
        <w:t xml:space="preserve">The ADAR acknowledges that no conclusions can be drawn regarding the comparative effectiveness of JointRep </w:t>
      </w:r>
      <w:r w:rsidR="00233CE5">
        <w:t xml:space="preserve">plus microfracture </w:t>
      </w:r>
      <w:r>
        <w:t xml:space="preserve">and </w:t>
      </w:r>
      <w:r w:rsidRPr="0055279A">
        <w:t>BST-CarGel</w:t>
      </w:r>
      <w:r>
        <w:t xml:space="preserve"> </w:t>
      </w:r>
      <w:r w:rsidR="00233CE5">
        <w:t xml:space="preserve">plus microfracture </w:t>
      </w:r>
      <w:r>
        <w:t xml:space="preserve">on the basis </w:t>
      </w:r>
      <w:r>
        <w:lastRenderedPageBreak/>
        <w:t>of the data available. The commentary considered that t</w:t>
      </w:r>
      <w:r w:rsidRPr="00B94618">
        <w:t xml:space="preserve">his conclusion </w:t>
      </w:r>
      <w:r>
        <w:t>wa</w:t>
      </w:r>
      <w:r w:rsidRPr="00B94618">
        <w:t xml:space="preserve">s appropriate as the common comparator groups </w:t>
      </w:r>
      <w:r w:rsidR="00B51BAE">
        <w:t>were</w:t>
      </w:r>
      <w:r w:rsidR="00B51BAE" w:rsidRPr="00B94618">
        <w:t xml:space="preserve"> </w:t>
      </w:r>
      <w:r w:rsidRPr="00B94618">
        <w:t xml:space="preserve">not exchangeable between the JointRep and BST-CarGel studies. Due to overall differences between the two studies in terms of eligibility criteria, demographics, microfracture technique, simultaneous surgical treatments and rehabilitation protocols, any indirect comparison of the intervention groups has limited validity. </w:t>
      </w:r>
      <w:r w:rsidR="00577242">
        <w:t>The commentary also considered a</w:t>
      </w:r>
      <w:r w:rsidRPr="00B94618">
        <w:t xml:space="preserve"> meaningful comparison of outcomes is also prevented due to serious limitations with the conversion of VAS scores to align with Likert scores and the lack of change from baseline data for the JointRep study.</w:t>
      </w:r>
    </w:p>
    <w:p w14:paraId="0F98AC67" w14:textId="77777777" w:rsidR="00D627C7" w:rsidRDefault="00D627C7" w:rsidP="00C477EB">
      <w:pPr>
        <w:pStyle w:val="Heading2"/>
        <w:spacing w:before="240"/>
      </w:pPr>
      <w:r>
        <w:t>Clinical claim</w:t>
      </w:r>
    </w:p>
    <w:p w14:paraId="490B3DD5" w14:textId="79BCDCE2" w:rsidR="00577242" w:rsidRDefault="00577242" w:rsidP="00B94618">
      <w:pPr>
        <w:pStyle w:val="Heading3"/>
      </w:pPr>
      <w:r>
        <w:t xml:space="preserve">JointRep </w:t>
      </w:r>
      <w:r w:rsidR="00233CE5">
        <w:t xml:space="preserve">plus microfracture </w:t>
      </w:r>
      <w:r>
        <w:t>versus microfracture</w:t>
      </w:r>
      <w:r w:rsidR="00233CE5">
        <w:t xml:space="preserve"> alone</w:t>
      </w:r>
    </w:p>
    <w:p w14:paraId="1508C6E4" w14:textId="57533B56" w:rsidR="00577242" w:rsidRDefault="00577242" w:rsidP="00577242">
      <w:r>
        <w:t>On the basis of the benefits and harms reported in the evidence base, the ADAR</w:t>
      </w:r>
      <w:r w:rsidRPr="007613A4">
        <w:t xml:space="preserve"> proposes that, relative to </w:t>
      </w:r>
      <w:r>
        <w:t>microfracture alone, JointRep in conjunction with microfracture</w:t>
      </w:r>
      <w:r w:rsidRPr="007613A4">
        <w:t xml:space="preserve"> has non-inferio</w:t>
      </w:r>
      <w:r>
        <w:t>r</w:t>
      </w:r>
      <w:r w:rsidRPr="007613A4">
        <w:t xml:space="preserve"> safety and superio</w:t>
      </w:r>
      <w:r>
        <w:t>r</w:t>
      </w:r>
      <w:r w:rsidRPr="007613A4">
        <w:t xml:space="preserve"> effectiveness.</w:t>
      </w:r>
    </w:p>
    <w:p w14:paraId="0AA85DF6" w14:textId="69952CBA" w:rsidR="00577242" w:rsidRDefault="00577242" w:rsidP="00C477EB">
      <w:pPr>
        <w:spacing w:before="240"/>
      </w:pPr>
      <w:r w:rsidRPr="00577242">
        <w:t xml:space="preserve">The </w:t>
      </w:r>
      <w:r>
        <w:t xml:space="preserve">commentary considered the </w:t>
      </w:r>
      <w:r w:rsidRPr="00577242">
        <w:t xml:space="preserve">evidence presented in the ADAR consists of a single, small, non-randomised study with very serious risk of bias. The study population is poorly defined and poorly described and does not align well with the PICO population. The claim of non-inferior safety is not justified; </w:t>
      </w:r>
      <w:r w:rsidR="00B51BAE">
        <w:t>due to</w:t>
      </w:r>
      <w:r w:rsidRPr="00577242">
        <w:t xml:space="preserve"> concerns regarding the reliability of the reporting of </w:t>
      </w:r>
      <w:r w:rsidR="00233CE5">
        <w:t>AE</w:t>
      </w:r>
      <w:r w:rsidRPr="00577242">
        <w:t xml:space="preserve"> in the JointRep study. While a large effect size is demonstrated in relation to the primary effectiveness outcome (self-reported WOMAC score), the study design, execution and reporting is too problematic to provide any reliable evidence of treatment effect. On this basis, the clinical claim of superior effectiveness is not justified.</w:t>
      </w:r>
    </w:p>
    <w:p w14:paraId="74D19C59" w14:textId="57B716F4" w:rsidR="00577242" w:rsidRPr="00B02E35" w:rsidRDefault="00577242" w:rsidP="00702B36">
      <w:pPr>
        <w:pStyle w:val="Heading3"/>
        <w:spacing w:before="240"/>
      </w:pPr>
      <w:r>
        <w:t xml:space="preserve">JointRep </w:t>
      </w:r>
      <w:r w:rsidR="00233CE5">
        <w:t xml:space="preserve">plus microfracture </w:t>
      </w:r>
      <w:r>
        <w:t>versus BST-CarGel</w:t>
      </w:r>
      <w:r w:rsidR="00233CE5">
        <w:t xml:space="preserve"> plus microfracture</w:t>
      </w:r>
    </w:p>
    <w:p w14:paraId="7F62F44F" w14:textId="0F2D048A" w:rsidR="00577242" w:rsidRDefault="00577242" w:rsidP="00577242">
      <w:r>
        <w:t>The ADAR presents no interpretation of the clinical evidence of the comparative effectiveness of JointRep</w:t>
      </w:r>
      <w:r w:rsidR="00233CE5">
        <w:t xml:space="preserve"> plus microfracture</w:t>
      </w:r>
      <w:r>
        <w:t xml:space="preserve"> </w:t>
      </w:r>
      <w:r w:rsidR="00233CE5">
        <w:t xml:space="preserve">versus </w:t>
      </w:r>
      <w:r w:rsidRPr="0055279A">
        <w:t>BST-CarGel</w:t>
      </w:r>
      <w:r w:rsidR="00233CE5">
        <w:t xml:space="preserve"> plus microfracture</w:t>
      </w:r>
      <w:r>
        <w:t>. The ADAR states that “it is possible th</w:t>
      </w:r>
      <w:r>
        <w:rPr>
          <w:bCs/>
        </w:rPr>
        <w:t>at JointRep</w:t>
      </w:r>
      <w:r w:rsidR="00233CE5">
        <w:rPr>
          <w:bCs/>
        </w:rPr>
        <w:t xml:space="preserve"> plus microfracture</w:t>
      </w:r>
      <w:r>
        <w:rPr>
          <w:bCs/>
        </w:rPr>
        <w:t xml:space="preserve"> and BST-CarGel</w:t>
      </w:r>
      <w:r w:rsidR="00233CE5">
        <w:rPr>
          <w:bCs/>
        </w:rPr>
        <w:t xml:space="preserve"> plus microfracture</w:t>
      </w:r>
      <w:r>
        <w:rPr>
          <w:bCs/>
        </w:rPr>
        <w:t xml:space="preserve"> will have a similar level of effectiveness</w:t>
      </w:r>
      <w:r>
        <w:t>”.</w:t>
      </w:r>
    </w:p>
    <w:p w14:paraId="5080469E" w14:textId="2B52EB2B" w:rsidR="00385D19" w:rsidRDefault="00385D19" w:rsidP="00702B36">
      <w:pPr>
        <w:pStyle w:val="Heading2"/>
        <w:spacing w:before="240"/>
      </w:pPr>
      <w:r>
        <w:t>Translation issues</w:t>
      </w:r>
    </w:p>
    <w:p w14:paraId="4F222C00" w14:textId="2A31B883" w:rsidR="00385D19" w:rsidRDefault="00385D19" w:rsidP="00B94618">
      <w:pPr>
        <w:pStyle w:val="Heading3"/>
      </w:pPr>
      <w:r>
        <w:t>Applicability</w:t>
      </w:r>
    </w:p>
    <w:p w14:paraId="4F626C1B" w14:textId="6B6D52D2" w:rsidR="00385D19" w:rsidRDefault="00385D19" w:rsidP="00385D19">
      <w:r>
        <w:t xml:space="preserve">The ADAR acknowledges applicability issues between the </w:t>
      </w:r>
      <w:r w:rsidR="00233CE5">
        <w:t xml:space="preserve">JointRep </w:t>
      </w:r>
      <w:r>
        <w:t xml:space="preserve">study population and the patient population defined in the PICO, but notes that it is the most applicable published information available. The WOMAC outcome measure fulfils the PASC recommendation for consistency of outcomes between </w:t>
      </w:r>
      <w:r w:rsidRPr="0055279A">
        <w:t>BST-CarGel</w:t>
      </w:r>
      <w:r>
        <w:t xml:space="preserve"> </w:t>
      </w:r>
      <w:r w:rsidR="00233CE5">
        <w:t xml:space="preserve">plus microfracture </w:t>
      </w:r>
      <w:r>
        <w:t>and JointRep</w:t>
      </w:r>
      <w:r w:rsidR="00233CE5">
        <w:t xml:space="preserve"> plus microfracture</w:t>
      </w:r>
      <w:r>
        <w:t xml:space="preserve">. </w:t>
      </w:r>
      <w:r w:rsidRPr="00B94618">
        <w:t xml:space="preserve">However, </w:t>
      </w:r>
      <w:r>
        <w:t xml:space="preserve">the commentary considered </w:t>
      </w:r>
      <w:r w:rsidRPr="00B94618">
        <w:t xml:space="preserve">its applicability to the PICO population with focal chondral defects is unclear, as the WOMAC has been validated in a population with hip and knee osteoarthritis, and patients with established osteoarthritis </w:t>
      </w:r>
      <w:r w:rsidR="00B51BAE">
        <w:t>were</w:t>
      </w:r>
      <w:r w:rsidR="00B51BAE" w:rsidRPr="00B94618">
        <w:t xml:space="preserve"> </w:t>
      </w:r>
      <w:r w:rsidRPr="00B94618">
        <w:t>specifically excluded from the PICO population.</w:t>
      </w:r>
    </w:p>
    <w:p w14:paraId="023DFF00" w14:textId="34FB619E" w:rsidR="00385D19" w:rsidRDefault="00385D19" w:rsidP="00702B36">
      <w:pPr>
        <w:pStyle w:val="Heading3"/>
        <w:spacing w:before="240"/>
      </w:pPr>
      <w:r>
        <w:t>Extrapolation</w:t>
      </w:r>
    </w:p>
    <w:p w14:paraId="0DDA3043" w14:textId="330BDB7B" w:rsidR="00385D19" w:rsidRDefault="00385D19" w:rsidP="00385D19">
      <w:r>
        <w:t xml:space="preserve">The base case analysis of 3 years is within available follow up data. Extrapolation beyond the available data assumes no further change in utility for either </w:t>
      </w:r>
      <w:r w:rsidRPr="00D22503">
        <w:t xml:space="preserve">intervention or comparison. </w:t>
      </w:r>
      <w:r>
        <w:t>The commentary considered that t</w:t>
      </w:r>
      <w:r w:rsidRPr="00B94618">
        <w:t>he direction of bias this introduces is unclear. This is because the microfracture procedure is not considered to be a long-term curative intervention and subsequent interventions may be required.</w:t>
      </w:r>
    </w:p>
    <w:p w14:paraId="52FB81A1" w14:textId="06D488C0" w:rsidR="00385D19" w:rsidRDefault="00385D19" w:rsidP="00702B36">
      <w:pPr>
        <w:pStyle w:val="Heading3"/>
        <w:spacing w:before="240"/>
      </w:pPr>
      <w:r>
        <w:t>Transformation</w:t>
      </w:r>
    </w:p>
    <w:p w14:paraId="2420D72C" w14:textId="42DD82AA" w:rsidR="00385D19" w:rsidRDefault="00385D19" w:rsidP="00702B36">
      <w:pPr>
        <w:spacing w:after="240"/>
      </w:pPr>
      <w:r>
        <w:t xml:space="preserve">The WOMAC total scores were mapped to 5-dimension EuroQol (EQ-5D) </w:t>
      </w:r>
      <w:r w:rsidR="00473A6A">
        <w:t xml:space="preserve">using Australian </w:t>
      </w:r>
      <w:r>
        <w:t xml:space="preserve">utility values to allow </w:t>
      </w:r>
      <w:r w:rsidR="003A53E6">
        <w:t xml:space="preserve">calculation </w:t>
      </w:r>
      <w:r>
        <w:t xml:space="preserve">of quality-adjusted life years (QALYs). The commentary </w:t>
      </w:r>
      <w:r>
        <w:lastRenderedPageBreak/>
        <w:t>considered that t</w:t>
      </w:r>
      <w:r w:rsidRPr="00B94618">
        <w:t xml:space="preserve">he approach taken </w:t>
      </w:r>
      <w:r w:rsidR="00D70280">
        <w:t>was</w:t>
      </w:r>
      <w:r w:rsidRPr="00B94618">
        <w:t xml:space="preserve"> transparent and involved relevant expertise. Potential issues with this approach relate to whether WOMAC responses in an Australian population would correlate to EQ-5D responses in the same way as in the Spanish population preparing for joint replacement surgery, in which this approach was </w:t>
      </w:r>
      <w:r w:rsidR="0013263B">
        <w:t xml:space="preserve">originally </w:t>
      </w:r>
      <w:r w:rsidR="00723CAD">
        <w:t>applied</w:t>
      </w:r>
      <w:r w:rsidRPr="00B94618">
        <w:t>.</w:t>
      </w:r>
    </w:p>
    <w:p w14:paraId="1A2CC11E" w14:textId="3E85FB6C" w:rsidR="000632EF" w:rsidRPr="003861A2" w:rsidRDefault="00065623" w:rsidP="0071498A">
      <w:pPr>
        <w:pStyle w:val="Heading1"/>
        <w:rPr>
          <w:rFonts w:ascii="Arial" w:hAnsi="Arial" w:cs="Arial"/>
        </w:rPr>
      </w:pPr>
      <w:r w:rsidRPr="003861A2">
        <w:rPr>
          <w:rFonts w:ascii="Arial" w:hAnsi="Arial" w:cs="Arial"/>
        </w:rPr>
        <w:t>Economic evaluation</w:t>
      </w:r>
    </w:p>
    <w:p w14:paraId="572F8C09" w14:textId="088EDA57" w:rsidR="00385D19" w:rsidRDefault="00385D19" w:rsidP="00702B36">
      <w:pPr>
        <w:spacing w:before="240" w:after="240"/>
      </w:pPr>
      <w:r>
        <w:t xml:space="preserve">The economic evaluation is summarised in </w:t>
      </w:r>
      <w:r>
        <w:fldChar w:fldCharType="begin"/>
      </w:r>
      <w:r>
        <w:instrText xml:space="preserve"> REF _Ref404370956 \h </w:instrText>
      </w:r>
      <w:r>
        <w:fldChar w:fldCharType="separate"/>
      </w:r>
      <w:r>
        <w:t xml:space="preserve">Table </w:t>
      </w:r>
      <w:r>
        <w:rPr>
          <w:noProof/>
        </w:rPr>
        <w:t>5</w:t>
      </w:r>
      <w:r>
        <w:fldChar w:fldCharType="end"/>
      </w:r>
      <w:r>
        <w:t>.</w:t>
      </w:r>
    </w:p>
    <w:p w14:paraId="561C27FC" w14:textId="6B5AFF30" w:rsidR="00385D19" w:rsidRPr="00183E4D" w:rsidRDefault="00385D19">
      <w:pPr>
        <w:pStyle w:val="Caption"/>
      </w:pPr>
      <w:bookmarkStart w:id="6" w:name="_Ref404370956"/>
      <w:bookmarkStart w:id="7" w:name="_Ref394419656"/>
      <w:bookmarkStart w:id="8" w:name="_Toc399251123"/>
      <w:r>
        <w:t xml:space="preserve">Table </w:t>
      </w:r>
      <w:r w:rsidR="00875DA4">
        <w:fldChar w:fldCharType="begin"/>
      </w:r>
      <w:r w:rsidR="00875DA4">
        <w:instrText xml:space="preserve"> SEQ Table \* ARABIC </w:instrText>
      </w:r>
      <w:r w:rsidR="00875DA4">
        <w:fldChar w:fldCharType="separate"/>
      </w:r>
      <w:r>
        <w:rPr>
          <w:noProof/>
        </w:rPr>
        <w:t>5</w:t>
      </w:r>
      <w:r w:rsidR="00875DA4">
        <w:rPr>
          <w:noProof/>
        </w:rPr>
        <w:fldChar w:fldCharType="end"/>
      </w:r>
      <w:bookmarkEnd w:id="6"/>
      <w:r w:rsidRPr="00183E4D">
        <w:tab/>
        <w:t>Summary of the economic evaluation</w:t>
      </w:r>
      <w:bookmarkEnd w:id="7"/>
      <w:bookmarkEnd w:id="8"/>
      <w:r w:rsidRPr="00183E4D">
        <w:t xml:space="preserve"> </w:t>
      </w:r>
    </w:p>
    <w:tbl>
      <w:tblPr>
        <w:tblStyle w:val="TableGrid1"/>
        <w:tblW w:w="5000" w:type="pct"/>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3109"/>
        <w:gridCol w:w="5907"/>
      </w:tblGrid>
      <w:tr w:rsidR="00385D19" w:rsidRPr="00183E4D" w14:paraId="7B936A76" w14:textId="77777777" w:rsidTr="00ED48D4">
        <w:trPr>
          <w:cnfStyle w:val="100000000000" w:firstRow="1" w:lastRow="0" w:firstColumn="0" w:lastColumn="0" w:oddVBand="0" w:evenVBand="0" w:oddHBand="0" w:evenHBand="0" w:firstRowFirstColumn="0" w:firstRowLastColumn="0" w:lastRowFirstColumn="0" w:lastRowLastColumn="0"/>
          <w:trHeight w:val="20"/>
        </w:trPr>
        <w:tc>
          <w:tcPr>
            <w:tcW w:w="1724" w:type="pct"/>
          </w:tcPr>
          <w:p w14:paraId="1136CBE9" w14:textId="77777777" w:rsidR="00385D19" w:rsidRPr="001B17AC" w:rsidRDefault="00385D19" w:rsidP="001E0BC1">
            <w:pPr>
              <w:pStyle w:val="Tabletext"/>
              <w:rPr>
                <w:b/>
                <w:bCs/>
              </w:rPr>
            </w:pPr>
            <w:r w:rsidRPr="001B17AC">
              <w:rPr>
                <w:b/>
                <w:bCs/>
              </w:rPr>
              <w:t>Perspective</w:t>
            </w:r>
          </w:p>
        </w:tc>
        <w:tc>
          <w:tcPr>
            <w:tcW w:w="3276" w:type="pct"/>
          </w:tcPr>
          <w:p w14:paraId="7E39698E" w14:textId="77777777" w:rsidR="00385D19" w:rsidRPr="00183E4D" w:rsidRDefault="00385D19" w:rsidP="001E0BC1">
            <w:pPr>
              <w:pStyle w:val="Tabletext"/>
            </w:pPr>
            <w:r w:rsidRPr="00FC3639">
              <w:t>Australian health</w:t>
            </w:r>
            <w:r>
              <w:t xml:space="preserve"> care</w:t>
            </w:r>
            <w:r w:rsidRPr="00FC3639">
              <w:t xml:space="preserve"> system</w:t>
            </w:r>
          </w:p>
        </w:tc>
      </w:tr>
      <w:tr w:rsidR="00385D19" w:rsidRPr="00183E4D" w14:paraId="294F5522" w14:textId="77777777" w:rsidTr="00ED48D4">
        <w:trPr>
          <w:trHeight w:val="20"/>
        </w:trPr>
        <w:tc>
          <w:tcPr>
            <w:tcW w:w="1724" w:type="pct"/>
          </w:tcPr>
          <w:p w14:paraId="61683710" w14:textId="77777777" w:rsidR="00385D19" w:rsidRPr="001B17AC" w:rsidRDefault="00385D19" w:rsidP="001E0BC1">
            <w:pPr>
              <w:pStyle w:val="Tabletext"/>
              <w:rPr>
                <w:b/>
                <w:bCs/>
              </w:rPr>
            </w:pPr>
            <w:r w:rsidRPr="001B17AC">
              <w:rPr>
                <w:b/>
                <w:bCs/>
              </w:rPr>
              <w:t>Comparators</w:t>
            </w:r>
          </w:p>
        </w:tc>
        <w:tc>
          <w:tcPr>
            <w:tcW w:w="3276" w:type="pct"/>
          </w:tcPr>
          <w:p w14:paraId="761546F0" w14:textId="77777777" w:rsidR="00385D19" w:rsidRPr="00183E4D" w:rsidRDefault="00385D19" w:rsidP="001E0BC1">
            <w:pPr>
              <w:pStyle w:val="Tabletext"/>
            </w:pPr>
            <w:r>
              <w:t xml:space="preserve">Microfracture alone, </w:t>
            </w:r>
            <w:r w:rsidRPr="00F00A40">
              <w:t>BST-Car</w:t>
            </w:r>
            <w:r>
              <w:t>G</w:t>
            </w:r>
            <w:r w:rsidRPr="00F00A40">
              <w:t>el</w:t>
            </w:r>
            <w:r>
              <w:t xml:space="preserve"> + microfracture</w:t>
            </w:r>
          </w:p>
        </w:tc>
      </w:tr>
      <w:tr w:rsidR="00385D19" w:rsidRPr="00183E4D" w14:paraId="7E392E55" w14:textId="77777777" w:rsidTr="00ED48D4">
        <w:trPr>
          <w:trHeight w:val="20"/>
        </w:trPr>
        <w:tc>
          <w:tcPr>
            <w:tcW w:w="1724" w:type="pct"/>
          </w:tcPr>
          <w:p w14:paraId="6381BB36" w14:textId="77777777" w:rsidR="00385D19" w:rsidRPr="001B17AC" w:rsidRDefault="00385D19" w:rsidP="001E0BC1">
            <w:pPr>
              <w:pStyle w:val="Tabletext"/>
              <w:rPr>
                <w:b/>
                <w:bCs/>
              </w:rPr>
            </w:pPr>
            <w:r w:rsidRPr="001B17AC">
              <w:rPr>
                <w:b/>
                <w:bCs/>
              </w:rPr>
              <w:t>Type of economic evaluation</w:t>
            </w:r>
          </w:p>
        </w:tc>
        <w:tc>
          <w:tcPr>
            <w:tcW w:w="3276" w:type="pct"/>
          </w:tcPr>
          <w:p w14:paraId="02F7F9DC" w14:textId="77777777" w:rsidR="00385D19" w:rsidRPr="00183E4D" w:rsidRDefault="00385D19" w:rsidP="001E0BC1">
            <w:pPr>
              <w:pStyle w:val="Tabletext"/>
            </w:pPr>
            <w:r w:rsidRPr="00FC3639">
              <w:t>Cost</w:t>
            </w:r>
            <w:r>
              <w:t>-</w:t>
            </w:r>
            <w:r w:rsidRPr="00FC3639">
              <w:t>utility analysis</w:t>
            </w:r>
          </w:p>
        </w:tc>
      </w:tr>
      <w:tr w:rsidR="00385D19" w:rsidRPr="00183E4D" w14:paraId="76578CCC" w14:textId="77777777" w:rsidTr="00ED48D4">
        <w:trPr>
          <w:trHeight w:val="20"/>
        </w:trPr>
        <w:tc>
          <w:tcPr>
            <w:tcW w:w="1724" w:type="pct"/>
          </w:tcPr>
          <w:p w14:paraId="72B362AC" w14:textId="77777777" w:rsidR="00385D19" w:rsidRPr="001B17AC" w:rsidRDefault="00385D19" w:rsidP="001E0BC1">
            <w:pPr>
              <w:pStyle w:val="Tabletext"/>
              <w:rPr>
                <w:b/>
                <w:bCs/>
              </w:rPr>
            </w:pPr>
            <w:r w:rsidRPr="001B17AC">
              <w:rPr>
                <w:b/>
                <w:bCs/>
              </w:rPr>
              <w:t>Sources of evidence</w:t>
            </w:r>
          </w:p>
        </w:tc>
        <w:tc>
          <w:tcPr>
            <w:tcW w:w="3276" w:type="pct"/>
          </w:tcPr>
          <w:p w14:paraId="66DD51B3" w14:textId="77777777" w:rsidR="00385D19" w:rsidRPr="008141AD" w:rsidRDefault="00385D19" w:rsidP="001E0BC1">
            <w:pPr>
              <w:pStyle w:val="Tabletext"/>
            </w:pPr>
            <w:r w:rsidRPr="008141AD">
              <w:rPr>
                <w:strike/>
              </w:rPr>
              <w:t>RCT</w:t>
            </w:r>
            <w:r w:rsidRPr="008141AD">
              <w:t>, Economic evaluation studies</w:t>
            </w:r>
          </w:p>
          <w:p w14:paraId="53942B8C" w14:textId="77777777" w:rsidR="00385D19" w:rsidRPr="008141AD" w:rsidRDefault="00385D19" w:rsidP="00B94618">
            <w:pPr>
              <w:pStyle w:val="CommentTabletext"/>
              <w:ind w:left="0"/>
              <w:rPr>
                <w:color w:val="auto"/>
              </w:rPr>
            </w:pPr>
            <w:r w:rsidRPr="008141AD">
              <w:rPr>
                <w:color w:val="auto"/>
              </w:rPr>
              <w:t>The evidence for JointRep is from a non-randomised study. The evidence for BST-CarGel is an RCT (12 months) and an extension study thereafter.</w:t>
            </w:r>
          </w:p>
        </w:tc>
      </w:tr>
      <w:tr w:rsidR="00385D19" w:rsidRPr="00183E4D" w14:paraId="09AF29E6" w14:textId="77777777" w:rsidTr="00ED48D4">
        <w:trPr>
          <w:trHeight w:val="20"/>
        </w:trPr>
        <w:tc>
          <w:tcPr>
            <w:tcW w:w="1724" w:type="pct"/>
            <w:hideMark/>
          </w:tcPr>
          <w:p w14:paraId="17C16061" w14:textId="77777777" w:rsidR="00385D19" w:rsidRPr="001B17AC" w:rsidRDefault="00385D19" w:rsidP="001E0BC1">
            <w:pPr>
              <w:pStyle w:val="Tabletext"/>
              <w:rPr>
                <w:b/>
                <w:bCs/>
              </w:rPr>
            </w:pPr>
            <w:r w:rsidRPr="001B17AC">
              <w:rPr>
                <w:b/>
                <w:bCs/>
              </w:rPr>
              <w:t>Time horizon</w:t>
            </w:r>
          </w:p>
        </w:tc>
        <w:tc>
          <w:tcPr>
            <w:tcW w:w="3276" w:type="pct"/>
            <w:hideMark/>
          </w:tcPr>
          <w:p w14:paraId="709B1CDC" w14:textId="77777777" w:rsidR="00385D19" w:rsidRPr="00183E4D" w:rsidRDefault="00385D19" w:rsidP="001E0BC1">
            <w:pPr>
              <w:pStyle w:val="Tabletext"/>
            </w:pPr>
            <w:r w:rsidRPr="007801E0">
              <w:t>3 years in base</w:t>
            </w:r>
            <w:r>
              <w:t xml:space="preserve"> </w:t>
            </w:r>
            <w:r w:rsidRPr="007801E0">
              <w:t>case</w:t>
            </w:r>
          </w:p>
        </w:tc>
      </w:tr>
      <w:tr w:rsidR="00385D19" w:rsidRPr="00183E4D" w14:paraId="1F260FD7" w14:textId="77777777" w:rsidTr="00ED48D4">
        <w:trPr>
          <w:trHeight w:val="20"/>
        </w:trPr>
        <w:tc>
          <w:tcPr>
            <w:tcW w:w="1724" w:type="pct"/>
            <w:hideMark/>
          </w:tcPr>
          <w:p w14:paraId="1FE70757" w14:textId="77777777" w:rsidR="00385D19" w:rsidRPr="001B17AC" w:rsidRDefault="00385D19" w:rsidP="001E0BC1">
            <w:pPr>
              <w:pStyle w:val="Tabletext"/>
              <w:rPr>
                <w:b/>
                <w:bCs/>
              </w:rPr>
            </w:pPr>
            <w:r w:rsidRPr="001B17AC">
              <w:rPr>
                <w:b/>
                <w:bCs/>
              </w:rPr>
              <w:t>Outcomes</w:t>
            </w:r>
          </w:p>
        </w:tc>
        <w:tc>
          <w:tcPr>
            <w:tcW w:w="3276" w:type="pct"/>
          </w:tcPr>
          <w:p w14:paraId="7D116394" w14:textId="77777777" w:rsidR="00385D19" w:rsidRPr="00183E4D" w:rsidRDefault="00385D19" w:rsidP="001E0BC1">
            <w:pPr>
              <w:pStyle w:val="Tabletext"/>
            </w:pPr>
            <w:r>
              <w:t>Q</w:t>
            </w:r>
            <w:r w:rsidRPr="00FC3639">
              <w:t>ALYs</w:t>
            </w:r>
            <w:r>
              <w:t xml:space="preserve"> gained</w:t>
            </w:r>
          </w:p>
        </w:tc>
      </w:tr>
      <w:tr w:rsidR="00385D19" w:rsidRPr="00183E4D" w14:paraId="236BC528" w14:textId="77777777" w:rsidTr="00ED48D4">
        <w:trPr>
          <w:trHeight w:val="20"/>
        </w:trPr>
        <w:tc>
          <w:tcPr>
            <w:tcW w:w="1724" w:type="pct"/>
            <w:hideMark/>
          </w:tcPr>
          <w:p w14:paraId="123A7450" w14:textId="77777777" w:rsidR="00385D19" w:rsidRPr="001B17AC" w:rsidRDefault="00385D19" w:rsidP="001E0BC1">
            <w:pPr>
              <w:pStyle w:val="Tabletext"/>
              <w:rPr>
                <w:b/>
                <w:bCs/>
              </w:rPr>
            </w:pPr>
            <w:r w:rsidRPr="001B17AC">
              <w:rPr>
                <w:b/>
                <w:bCs/>
              </w:rPr>
              <w:t>Methods used to generate results</w:t>
            </w:r>
          </w:p>
        </w:tc>
        <w:tc>
          <w:tcPr>
            <w:tcW w:w="3276" w:type="pct"/>
          </w:tcPr>
          <w:p w14:paraId="678CE64B" w14:textId="77777777" w:rsidR="00385D19" w:rsidRPr="00183E4D" w:rsidRDefault="00385D19" w:rsidP="001E0BC1">
            <w:pPr>
              <w:pStyle w:val="Tabletext"/>
            </w:pPr>
            <w:r w:rsidRPr="00FC3639">
              <w:t>Decision analytic Markov model</w:t>
            </w:r>
          </w:p>
        </w:tc>
      </w:tr>
      <w:tr w:rsidR="00385D19" w:rsidRPr="00183E4D" w14:paraId="3CF8BBE4" w14:textId="77777777" w:rsidTr="00ED48D4">
        <w:trPr>
          <w:trHeight w:val="20"/>
        </w:trPr>
        <w:tc>
          <w:tcPr>
            <w:tcW w:w="1724" w:type="pct"/>
          </w:tcPr>
          <w:p w14:paraId="7877574F" w14:textId="77777777" w:rsidR="00385D19" w:rsidRPr="001B17AC" w:rsidRDefault="00385D19" w:rsidP="001E0BC1">
            <w:pPr>
              <w:pStyle w:val="Tabletext"/>
              <w:rPr>
                <w:b/>
                <w:bCs/>
              </w:rPr>
            </w:pPr>
            <w:r w:rsidRPr="001B17AC">
              <w:rPr>
                <w:b/>
                <w:bCs/>
              </w:rPr>
              <w:t>Health states</w:t>
            </w:r>
          </w:p>
        </w:tc>
        <w:tc>
          <w:tcPr>
            <w:tcW w:w="3276" w:type="pct"/>
          </w:tcPr>
          <w:p w14:paraId="155D725B" w14:textId="77777777" w:rsidR="00385D19" w:rsidRPr="00183E4D" w:rsidRDefault="00385D19" w:rsidP="001E0BC1">
            <w:pPr>
              <w:pStyle w:val="Tabletext"/>
            </w:pPr>
            <w:r>
              <w:t>Alive, Dead</w:t>
            </w:r>
          </w:p>
        </w:tc>
      </w:tr>
      <w:tr w:rsidR="00385D19" w:rsidRPr="00183E4D" w14:paraId="2DE399B5" w14:textId="77777777" w:rsidTr="00ED48D4">
        <w:trPr>
          <w:trHeight w:val="20"/>
        </w:trPr>
        <w:tc>
          <w:tcPr>
            <w:tcW w:w="1724" w:type="pct"/>
            <w:hideMark/>
          </w:tcPr>
          <w:p w14:paraId="2D4CE176" w14:textId="77777777" w:rsidR="00385D19" w:rsidRPr="001B17AC" w:rsidRDefault="00385D19" w:rsidP="001E0BC1">
            <w:pPr>
              <w:pStyle w:val="Tabletext"/>
              <w:rPr>
                <w:b/>
                <w:bCs/>
              </w:rPr>
            </w:pPr>
            <w:r w:rsidRPr="001B17AC">
              <w:rPr>
                <w:b/>
                <w:bCs/>
              </w:rPr>
              <w:t>Cycle length</w:t>
            </w:r>
          </w:p>
        </w:tc>
        <w:tc>
          <w:tcPr>
            <w:tcW w:w="3276" w:type="pct"/>
          </w:tcPr>
          <w:p w14:paraId="79723837" w14:textId="77777777" w:rsidR="00385D19" w:rsidRPr="00183E4D" w:rsidRDefault="00385D19" w:rsidP="001E0BC1">
            <w:pPr>
              <w:pStyle w:val="Tabletext"/>
            </w:pPr>
            <w:r>
              <w:t>12 months</w:t>
            </w:r>
          </w:p>
        </w:tc>
      </w:tr>
      <w:tr w:rsidR="00385D19" w:rsidRPr="00183E4D" w14:paraId="7D406FD3" w14:textId="77777777" w:rsidTr="00ED48D4">
        <w:trPr>
          <w:trHeight w:val="20"/>
        </w:trPr>
        <w:tc>
          <w:tcPr>
            <w:tcW w:w="1724" w:type="pct"/>
            <w:hideMark/>
          </w:tcPr>
          <w:p w14:paraId="0F8C74D2" w14:textId="77777777" w:rsidR="00385D19" w:rsidRPr="001B17AC" w:rsidRDefault="00385D19" w:rsidP="001E0BC1">
            <w:pPr>
              <w:pStyle w:val="Tabletext"/>
              <w:rPr>
                <w:b/>
                <w:bCs/>
              </w:rPr>
            </w:pPr>
            <w:r w:rsidRPr="001B17AC">
              <w:rPr>
                <w:b/>
                <w:bCs/>
              </w:rPr>
              <w:t>Discount rate</w:t>
            </w:r>
          </w:p>
        </w:tc>
        <w:tc>
          <w:tcPr>
            <w:tcW w:w="3276" w:type="pct"/>
          </w:tcPr>
          <w:p w14:paraId="1A6A5B62" w14:textId="77777777" w:rsidR="00385D19" w:rsidRPr="00183E4D" w:rsidRDefault="00385D19" w:rsidP="001E0BC1">
            <w:pPr>
              <w:pStyle w:val="Tabletext"/>
              <w:tabs>
                <w:tab w:val="left" w:pos="3317"/>
              </w:tabs>
            </w:pPr>
            <w:r>
              <w:t>5% per annum (0 and 3.5% per annum tested in scenario analyses)</w:t>
            </w:r>
          </w:p>
        </w:tc>
      </w:tr>
      <w:tr w:rsidR="00385D19" w:rsidRPr="00183E4D" w14:paraId="3519AFE9" w14:textId="77777777" w:rsidTr="00ED48D4">
        <w:trPr>
          <w:trHeight w:val="20"/>
        </w:trPr>
        <w:tc>
          <w:tcPr>
            <w:tcW w:w="1724" w:type="pct"/>
            <w:hideMark/>
          </w:tcPr>
          <w:p w14:paraId="2C0EFED2" w14:textId="77777777" w:rsidR="00385D19" w:rsidRPr="001B17AC" w:rsidRDefault="00385D19" w:rsidP="001E0BC1">
            <w:pPr>
              <w:pStyle w:val="Tabletext"/>
              <w:rPr>
                <w:b/>
                <w:bCs/>
              </w:rPr>
            </w:pPr>
            <w:r w:rsidRPr="001B17AC">
              <w:rPr>
                <w:b/>
                <w:bCs/>
              </w:rPr>
              <w:t>Software packages used</w:t>
            </w:r>
          </w:p>
        </w:tc>
        <w:tc>
          <w:tcPr>
            <w:tcW w:w="3276" w:type="pct"/>
          </w:tcPr>
          <w:p w14:paraId="565279DB" w14:textId="77777777" w:rsidR="00385D19" w:rsidRPr="00183E4D" w:rsidRDefault="00385D19" w:rsidP="001E0BC1">
            <w:pPr>
              <w:pStyle w:val="Tabletext"/>
            </w:pPr>
            <w:r>
              <w:t>Excel 2016</w:t>
            </w:r>
          </w:p>
        </w:tc>
      </w:tr>
    </w:tbl>
    <w:p w14:paraId="70B60827" w14:textId="3768939F" w:rsidR="00385D19" w:rsidRDefault="00385D19" w:rsidP="003861A2">
      <w:pPr>
        <w:pStyle w:val="Tablenotes"/>
      </w:pPr>
      <w:r>
        <w:t xml:space="preserve">Source: Table 6, pxx of the </w:t>
      </w:r>
      <w:r w:rsidR="008141AD">
        <w:t>c</w:t>
      </w:r>
      <w:r>
        <w:t>ommentary</w:t>
      </w:r>
    </w:p>
    <w:p w14:paraId="357E3FF5" w14:textId="3DBF4BE9" w:rsidR="00385D19" w:rsidRPr="00912001" w:rsidRDefault="008141AD" w:rsidP="003861A2">
      <w:pPr>
        <w:pStyle w:val="Tablenotes"/>
      </w:pPr>
      <w:r>
        <w:t xml:space="preserve">Abbreviations: </w:t>
      </w:r>
      <w:r w:rsidR="00385D19" w:rsidRPr="00912001">
        <w:t>QALY</w:t>
      </w:r>
      <w:r w:rsidR="00385D19">
        <w:t xml:space="preserve"> </w:t>
      </w:r>
      <w:r w:rsidR="00385D19" w:rsidRPr="00912001">
        <w:t>=</w:t>
      </w:r>
      <w:r w:rsidR="00385D19">
        <w:t xml:space="preserve"> q</w:t>
      </w:r>
      <w:r w:rsidR="00385D19" w:rsidRPr="00912001">
        <w:t>uality</w:t>
      </w:r>
      <w:r w:rsidR="00385D19">
        <w:t>-</w:t>
      </w:r>
      <w:r w:rsidR="00385D19" w:rsidRPr="00912001">
        <w:t>adjusted life year</w:t>
      </w:r>
      <w:r w:rsidR="00385D19">
        <w:t>; RCT = randomised controlled trial</w:t>
      </w:r>
    </w:p>
    <w:p w14:paraId="47686A54" w14:textId="3900A48F" w:rsidR="00385D19" w:rsidRPr="004D43E3" w:rsidRDefault="00385D19" w:rsidP="00B94618">
      <w:r>
        <w:t xml:space="preserve">The </w:t>
      </w:r>
      <w:r w:rsidR="007851C1">
        <w:t xml:space="preserve">commentary noted the </w:t>
      </w:r>
      <w:r>
        <w:t xml:space="preserve">time horizon </w:t>
      </w:r>
      <w:r w:rsidR="0087104F">
        <w:t>was</w:t>
      </w:r>
      <w:r>
        <w:t xml:space="preserve"> within available data for the main comparison. The potential need for reoperation </w:t>
      </w:r>
      <w:r w:rsidR="0087104F">
        <w:t>was</w:t>
      </w:r>
      <w:r>
        <w:t xml:space="preserve"> considered in a scenario analysis but </w:t>
      </w:r>
      <w:r w:rsidR="0040573E">
        <w:t xml:space="preserve">used </w:t>
      </w:r>
      <w:r>
        <w:t xml:space="preserve">indirect data. The </w:t>
      </w:r>
      <w:r w:rsidR="00E73954">
        <w:t xml:space="preserve">approach to </w:t>
      </w:r>
      <w:r>
        <w:t xml:space="preserve">economic evaluation, especially for the base case, </w:t>
      </w:r>
      <w:r w:rsidR="00E251E7">
        <w:t xml:space="preserve">was </w:t>
      </w:r>
      <w:r w:rsidR="008902B9">
        <w:t xml:space="preserve">very simple which </w:t>
      </w:r>
      <w:r w:rsidR="00E73954">
        <w:t>may limit the usefulness of the model.</w:t>
      </w:r>
      <w:r>
        <w:t xml:space="preserve"> </w:t>
      </w:r>
      <w:r w:rsidR="007851C1">
        <w:t>However, t</w:t>
      </w:r>
      <w:r>
        <w:t xml:space="preserve">o increase the number of health states (e.g., ‘treatment success’ versus chronic or intermittent pain) would necessitate </w:t>
      </w:r>
      <w:r w:rsidR="006307FE">
        <w:t xml:space="preserve">the </w:t>
      </w:r>
      <w:r>
        <w:t xml:space="preserve">use of data from </w:t>
      </w:r>
      <w:r w:rsidR="006307FE">
        <w:t xml:space="preserve">other </w:t>
      </w:r>
      <w:r>
        <w:t>interventions to inform transition probabilities, further increasing uncertainty of the outputs.</w:t>
      </w:r>
    </w:p>
    <w:p w14:paraId="79D6213E" w14:textId="3D114D09" w:rsidR="00C40DAF" w:rsidRDefault="00C40DAF" w:rsidP="00702B36">
      <w:pPr>
        <w:spacing w:before="240"/>
        <w:jc w:val="both"/>
      </w:pPr>
      <w:r>
        <w:t>Model u</w:t>
      </w:r>
      <w:r w:rsidRPr="00C40DAF">
        <w:t xml:space="preserve">tility values were derived from a transformation of WOMAC subscales and total score, adjusted for age and sex, to Australian time trade-off derived EQ-5D-based utility values. The disutility values for </w:t>
      </w:r>
      <w:r w:rsidR="00C56B82">
        <w:t>total knee arthroplasty</w:t>
      </w:r>
      <w:r w:rsidR="00C56B82" w:rsidRPr="00C40DAF">
        <w:t xml:space="preserve"> </w:t>
      </w:r>
      <w:r w:rsidR="00B51BAE">
        <w:t>we</w:t>
      </w:r>
      <w:r w:rsidRPr="00C40DAF">
        <w:t>re derived from the study by Mather et al. 2014</w:t>
      </w:r>
      <w:r w:rsidR="008B310A">
        <w:t xml:space="preserve"> </w:t>
      </w:r>
      <w:r w:rsidR="00B51BAE">
        <w:t>(</w:t>
      </w:r>
      <w:r>
        <w:fldChar w:fldCharType="begin"/>
      </w:r>
      <w:r>
        <w:instrText xml:space="preserve"> REF _Ref68620950 \h </w:instrText>
      </w:r>
      <w:r>
        <w:fldChar w:fldCharType="separate"/>
      </w:r>
      <w:r>
        <w:t xml:space="preserve">Table </w:t>
      </w:r>
      <w:r>
        <w:rPr>
          <w:noProof/>
        </w:rPr>
        <w:t>6</w:t>
      </w:r>
      <w:r>
        <w:fldChar w:fldCharType="end"/>
      </w:r>
      <w:r w:rsidR="00B51BAE">
        <w:t>)</w:t>
      </w:r>
      <w:r w:rsidRPr="00C40DAF">
        <w:t>.</w:t>
      </w:r>
    </w:p>
    <w:p w14:paraId="645FDE41" w14:textId="0B31CF5E" w:rsidR="00C40DAF" w:rsidRDefault="00C40DAF" w:rsidP="00C40DAF">
      <w:pPr>
        <w:pStyle w:val="Caption"/>
      </w:pPr>
      <w:bookmarkStart w:id="9" w:name="_Ref68620950"/>
      <w:bookmarkStart w:id="10" w:name="_Ref75773430"/>
      <w:r>
        <w:lastRenderedPageBreak/>
        <w:t xml:space="preserve">Table </w:t>
      </w:r>
      <w:r w:rsidR="00875DA4">
        <w:fldChar w:fldCharType="begin"/>
      </w:r>
      <w:r w:rsidR="00875DA4">
        <w:instrText xml:space="preserve"> SEQ Table \* ARABIC </w:instrText>
      </w:r>
      <w:r w:rsidR="00875DA4">
        <w:fldChar w:fldCharType="separate"/>
      </w:r>
      <w:r>
        <w:rPr>
          <w:noProof/>
        </w:rPr>
        <w:t>6</w:t>
      </w:r>
      <w:r w:rsidR="00875DA4">
        <w:rPr>
          <w:noProof/>
        </w:rPr>
        <w:fldChar w:fldCharType="end"/>
      </w:r>
      <w:bookmarkEnd w:id="9"/>
      <w:r>
        <w:t xml:space="preserve"> </w:t>
      </w:r>
      <w:r w:rsidRPr="00C40DAF">
        <w:t>Model</w:t>
      </w:r>
      <w:r>
        <w:t xml:space="preserve"> utilities</w:t>
      </w:r>
      <w:bookmarkEnd w:id="10"/>
    </w:p>
    <w:tbl>
      <w:tblPr>
        <w:tblStyle w:val="TableClassic1"/>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odel utilities"/>
        <w:tblDescription w:val="This table outlines the model cycle over a three year period for JointRep, microfracture, alone, BST CarGel and microfracture."/>
      </w:tblPr>
      <w:tblGrid>
        <w:gridCol w:w="1630"/>
        <w:gridCol w:w="1365"/>
        <w:gridCol w:w="1113"/>
        <w:gridCol w:w="1104"/>
        <w:gridCol w:w="953"/>
        <w:gridCol w:w="1484"/>
        <w:gridCol w:w="1113"/>
      </w:tblGrid>
      <w:tr w:rsidR="00C40DAF" w:rsidRPr="000056DC" w14:paraId="48590C96" w14:textId="77777777" w:rsidTr="00C40D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0" w:type="pct"/>
            <w:tcBorders>
              <w:bottom w:val="nil"/>
            </w:tcBorders>
            <w:noWrap/>
          </w:tcPr>
          <w:p w14:paraId="4CDE4864" w14:textId="77777777" w:rsidR="00C40DAF" w:rsidRPr="00C40DAF" w:rsidRDefault="00C40DAF" w:rsidP="00C40DAF">
            <w:pPr>
              <w:pStyle w:val="Tabletextboldleft"/>
              <w:rPr>
                <w:i w:val="0"/>
                <w:iCs w:val="0"/>
              </w:rPr>
            </w:pPr>
            <w:r w:rsidRPr="00C40DAF">
              <w:rPr>
                <w:i w:val="0"/>
                <w:iCs w:val="0"/>
              </w:rPr>
              <w:t>Model cycle</w:t>
            </w:r>
          </w:p>
        </w:tc>
        <w:tc>
          <w:tcPr>
            <w:tcW w:w="779" w:type="pct"/>
            <w:tcBorders>
              <w:right w:val="nil"/>
            </w:tcBorders>
          </w:tcPr>
          <w:p w14:paraId="068C09EF"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JointRep +</w:t>
            </w:r>
          </w:p>
        </w:tc>
        <w:tc>
          <w:tcPr>
            <w:tcW w:w="635" w:type="pct"/>
            <w:tcBorders>
              <w:left w:val="nil"/>
            </w:tcBorders>
          </w:tcPr>
          <w:p w14:paraId="4565D4FD"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microfracture</w:t>
            </w:r>
          </w:p>
        </w:tc>
        <w:tc>
          <w:tcPr>
            <w:tcW w:w="630" w:type="pct"/>
            <w:tcBorders>
              <w:right w:val="nil"/>
            </w:tcBorders>
          </w:tcPr>
          <w:p w14:paraId="6EA8CC78"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Microfracture</w:t>
            </w:r>
          </w:p>
        </w:tc>
        <w:tc>
          <w:tcPr>
            <w:tcW w:w="544" w:type="pct"/>
            <w:tcBorders>
              <w:left w:val="nil"/>
            </w:tcBorders>
          </w:tcPr>
          <w:p w14:paraId="5CB8FA46"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alone</w:t>
            </w:r>
          </w:p>
        </w:tc>
        <w:tc>
          <w:tcPr>
            <w:tcW w:w="847" w:type="pct"/>
            <w:tcBorders>
              <w:right w:val="nil"/>
            </w:tcBorders>
          </w:tcPr>
          <w:p w14:paraId="3F6631D0"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rFonts w:cstheme="minorHAnsi"/>
                <w:bCs/>
                <w:i w:val="0"/>
                <w:iCs w:val="0"/>
              </w:rPr>
              <w:t>BST-CarGel +</w:t>
            </w:r>
          </w:p>
        </w:tc>
        <w:tc>
          <w:tcPr>
            <w:tcW w:w="635" w:type="pct"/>
            <w:tcBorders>
              <w:left w:val="nil"/>
            </w:tcBorders>
          </w:tcPr>
          <w:p w14:paraId="4E91BEFF"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rFonts w:cstheme="minorHAnsi"/>
                <w:bCs/>
                <w:i w:val="0"/>
                <w:iCs w:val="0"/>
              </w:rPr>
              <w:t>microfracture</w:t>
            </w:r>
          </w:p>
        </w:tc>
      </w:tr>
      <w:tr w:rsidR="00C40DAF" w:rsidRPr="00C40DAF" w14:paraId="1F8C59D7" w14:textId="77777777" w:rsidTr="00C40D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0" w:type="pct"/>
            <w:tcBorders>
              <w:top w:val="nil"/>
              <w:bottom w:val="single" w:sz="4" w:space="0" w:color="auto"/>
            </w:tcBorders>
            <w:noWrap/>
          </w:tcPr>
          <w:p w14:paraId="1B44A911" w14:textId="77777777" w:rsidR="00C40DAF" w:rsidRPr="00C40DAF" w:rsidRDefault="00C40DAF" w:rsidP="00B85268">
            <w:pPr>
              <w:pStyle w:val="TableHeading"/>
              <w:rPr>
                <w:i w:val="0"/>
                <w:iCs w:val="0"/>
                <w:sz w:val="18"/>
                <w:szCs w:val="18"/>
              </w:rPr>
            </w:pPr>
          </w:p>
        </w:tc>
        <w:tc>
          <w:tcPr>
            <w:tcW w:w="779" w:type="pct"/>
            <w:tcBorders>
              <w:bottom w:val="single" w:sz="4" w:space="0" w:color="auto"/>
            </w:tcBorders>
          </w:tcPr>
          <w:p w14:paraId="3416AB19"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Mean WOMAC Likert score (SD)</w:t>
            </w:r>
          </w:p>
        </w:tc>
        <w:tc>
          <w:tcPr>
            <w:tcW w:w="635" w:type="pct"/>
            <w:tcBorders>
              <w:bottom w:val="single" w:sz="4" w:space="0" w:color="auto"/>
            </w:tcBorders>
          </w:tcPr>
          <w:p w14:paraId="64AEA137"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Estimated utility value*</w:t>
            </w:r>
          </w:p>
        </w:tc>
        <w:tc>
          <w:tcPr>
            <w:tcW w:w="630" w:type="pct"/>
            <w:tcBorders>
              <w:bottom w:val="single" w:sz="4" w:space="0" w:color="auto"/>
            </w:tcBorders>
          </w:tcPr>
          <w:p w14:paraId="1A6BB198"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Mean WOMAC score (SD)</w:t>
            </w:r>
          </w:p>
        </w:tc>
        <w:tc>
          <w:tcPr>
            <w:tcW w:w="544" w:type="pct"/>
            <w:tcBorders>
              <w:bottom w:val="single" w:sz="4" w:space="0" w:color="auto"/>
            </w:tcBorders>
          </w:tcPr>
          <w:p w14:paraId="3088DC4D"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Estimated utility value*</w:t>
            </w:r>
          </w:p>
        </w:tc>
        <w:tc>
          <w:tcPr>
            <w:tcW w:w="847" w:type="pct"/>
          </w:tcPr>
          <w:p w14:paraId="0D7845C6"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Mean WOMAC score**</w:t>
            </w:r>
          </w:p>
        </w:tc>
        <w:tc>
          <w:tcPr>
            <w:tcW w:w="635" w:type="pct"/>
          </w:tcPr>
          <w:p w14:paraId="5A198190" w14:textId="77777777" w:rsidR="00C40DAF" w:rsidRPr="00C40DAF" w:rsidRDefault="00C40DAF" w:rsidP="00C40DAF">
            <w:pPr>
              <w:pStyle w:val="Tabletextboldlef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Estimated utility value*</w:t>
            </w:r>
          </w:p>
        </w:tc>
      </w:tr>
      <w:tr w:rsidR="00C40DAF" w:rsidRPr="000056DC" w14:paraId="20E63433" w14:textId="77777777" w:rsidTr="00C40D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0" w:type="pct"/>
            <w:tcBorders>
              <w:top w:val="single" w:sz="4" w:space="0" w:color="auto"/>
              <w:left w:val="single" w:sz="4" w:space="0" w:color="auto"/>
              <w:bottom w:val="single" w:sz="4" w:space="0" w:color="auto"/>
              <w:right w:val="single" w:sz="4" w:space="0" w:color="auto"/>
            </w:tcBorders>
            <w:noWrap/>
          </w:tcPr>
          <w:p w14:paraId="665F4F7D" w14:textId="77777777" w:rsidR="00C40DAF" w:rsidRPr="00C40DAF" w:rsidRDefault="00C40DAF" w:rsidP="00C40DAF">
            <w:pPr>
              <w:pStyle w:val="Tabletext"/>
              <w:rPr>
                <w:i w:val="0"/>
                <w:iCs w:val="0"/>
              </w:rPr>
            </w:pPr>
            <w:r w:rsidRPr="00C40DAF">
              <w:rPr>
                <w:i w:val="0"/>
                <w:iCs w:val="0"/>
              </w:rPr>
              <w:t>0 months (Baseline)</w:t>
            </w:r>
          </w:p>
        </w:tc>
        <w:tc>
          <w:tcPr>
            <w:tcW w:w="779" w:type="pct"/>
            <w:tcBorders>
              <w:top w:val="single" w:sz="4" w:space="0" w:color="auto"/>
              <w:left w:val="single" w:sz="4" w:space="0" w:color="auto"/>
              <w:bottom w:val="single" w:sz="4" w:space="0" w:color="auto"/>
              <w:right w:val="single" w:sz="4" w:space="0" w:color="auto"/>
            </w:tcBorders>
          </w:tcPr>
          <w:p w14:paraId="71796C10"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56.5 (10.5)</w:t>
            </w:r>
          </w:p>
        </w:tc>
        <w:tc>
          <w:tcPr>
            <w:tcW w:w="635" w:type="pct"/>
            <w:tcBorders>
              <w:top w:val="single" w:sz="4" w:space="0" w:color="auto"/>
              <w:left w:val="single" w:sz="4" w:space="0" w:color="auto"/>
              <w:bottom w:val="single" w:sz="4" w:space="0" w:color="auto"/>
              <w:right w:val="single" w:sz="4" w:space="0" w:color="auto"/>
            </w:tcBorders>
          </w:tcPr>
          <w:p w14:paraId="5A33931A"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0.419</w:t>
            </w:r>
          </w:p>
        </w:tc>
        <w:tc>
          <w:tcPr>
            <w:tcW w:w="630" w:type="pct"/>
            <w:tcBorders>
              <w:top w:val="single" w:sz="4" w:space="0" w:color="auto"/>
              <w:left w:val="single" w:sz="4" w:space="0" w:color="auto"/>
              <w:bottom w:val="single" w:sz="4" w:space="0" w:color="auto"/>
              <w:right w:val="single" w:sz="4" w:space="0" w:color="auto"/>
            </w:tcBorders>
          </w:tcPr>
          <w:p w14:paraId="079F3EDD"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54.7 (4)</w:t>
            </w:r>
          </w:p>
        </w:tc>
        <w:tc>
          <w:tcPr>
            <w:tcW w:w="544" w:type="pct"/>
            <w:tcBorders>
              <w:top w:val="single" w:sz="4" w:space="0" w:color="auto"/>
              <w:left w:val="single" w:sz="4" w:space="0" w:color="auto"/>
              <w:bottom w:val="single" w:sz="4" w:space="0" w:color="auto"/>
              <w:right w:val="single" w:sz="4" w:space="0" w:color="auto"/>
            </w:tcBorders>
          </w:tcPr>
          <w:p w14:paraId="033B65C7"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0.479</w:t>
            </w:r>
          </w:p>
        </w:tc>
        <w:tc>
          <w:tcPr>
            <w:tcW w:w="847" w:type="pct"/>
            <w:tcBorders>
              <w:left w:val="single" w:sz="4" w:space="0" w:color="auto"/>
              <w:right w:val="single" w:sz="4" w:space="0" w:color="auto"/>
            </w:tcBorders>
          </w:tcPr>
          <w:p w14:paraId="18BC2D55"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VAS:108.3</w:t>
            </w:r>
          </w:p>
          <w:p w14:paraId="0623C58A"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Likert:43.3</w:t>
            </w:r>
          </w:p>
        </w:tc>
        <w:tc>
          <w:tcPr>
            <w:tcW w:w="635" w:type="pct"/>
            <w:tcBorders>
              <w:left w:val="single" w:sz="4" w:space="0" w:color="auto"/>
              <w:right w:val="single" w:sz="4" w:space="0" w:color="auto"/>
            </w:tcBorders>
          </w:tcPr>
          <w:p w14:paraId="255DF755"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0.553</w:t>
            </w:r>
          </w:p>
        </w:tc>
      </w:tr>
      <w:tr w:rsidR="00C40DAF" w:rsidRPr="000056DC" w14:paraId="25D5BCCD" w14:textId="77777777" w:rsidTr="00C40D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0" w:type="pct"/>
            <w:tcBorders>
              <w:top w:val="single" w:sz="4" w:space="0" w:color="auto"/>
              <w:left w:val="single" w:sz="4" w:space="0" w:color="auto"/>
              <w:bottom w:val="single" w:sz="4" w:space="0" w:color="auto"/>
              <w:right w:val="single" w:sz="4" w:space="0" w:color="auto"/>
            </w:tcBorders>
            <w:noWrap/>
          </w:tcPr>
          <w:p w14:paraId="3A6D4478" w14:textId="77777777" w:rsidR="00C40DAF" w:rsidRPr="00C40DAF" w:rsidRDefault="00C40DAF" w:rsidP="00C40DAF">
            <w:pPr>
              <w:pStyle w:val="Tabletext"/>
              <w:rPr>
                <w:i w:val="0"/>
                <w:iCs w:val="0"/>
              </w:rPr>
            </w:pPr>
            <w:r w:rsidRPr="00C40DAF">
              <w:rPr>
                <w:i w:val="0"/>
                <w:iCs w:val="0"/>
              </w:rPr>
              <w:t>0-6 months</w:t>
            </w:r>
          </w:p>
        </w:tc>
        <w:tc>
          <w:tcPr>
            <w:tcW w:w="779" w:type="pct"/>
            <w:tcBorders>
              <w:top w:val="single" w:sz="4" w:space="0" w:color="auto"/>
              <w:left w:val="single" w:sz="4" w:space="0" w:color="auto"/>
              <w:bottom w:val="single" w:sz="4" w:space="0" w:color="auto"/>
              <w:right w:val="single" w:sz="4" w:space="0" w:color="auto"/>
            </w:tcBorders>
          </w:tcPr>
          <w:p w14:paraId="0CE8956D"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7.1 (8.8)</w:t>
            </w:r>
          </w:p>
        </w:tc>
        <w:tc>
          <w:tcPr>
            <w:tcW w:w="635" w:type="pct"/>
            <w:tcBorders>
              <w:top w:val="single" w:sz="4" w:space="0" w:color="auto"/>
              <w:left w:val="single" w:sz="4" w:space="0" w:color="auto"/>
              <w:bottom w:val="single" w:sz="4" w:space="0" w:color="auto"/>
              <w:right w:val="single" w:sz="4" w:space="0" w:color="auto"/>
            </w:tcBorders>
          </w:tcPr>
          <w:p w14:paraId="51B9244E"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0.899</w:t>
            </w:r>
          </w:p>
        </w:tc>
        <w:tc>
          <w:tcPr>
            <w:tcW w:w="630" w:type="pct"/>
            <w:tcBorders>
              <w:top w:val="single" w:sz="4" w:space="0" w:color="auto"/>
              <w:left w:val="single" w:sz="4" w:space="0" w:color="auto"/>
              <w:bottom w:val="single" w:sz="4" w:space="0" w:color="auto"/>
              <w:right w:val="single" w:sz="4" w:space="0" w:color="auto"/>
            </w:tcBorders>
          </w:tcPr>
          <w:p w14:paraId="46B29688"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27.3 (4.3)</w:t>
            </w:r>
          </w:p>
        </w:tc>
        <w:tc>
          <w:tcPr>
            <w:tcW w:w="544" w:type="pct"/>
            <w:tcBorders>
              <w:top w:val="single" w:sz="4" w:space="0" w:color="auto"/>
              <w:left w:val="single" w:sz="4" w:space="0" w:color="auto"/>
              <w:bottom w:val="single" w:sz="4" w:space="0" w:color="auto"/>
              <w:right w:val="single" w:sz="4" w:space="0" w:color="auto"/>
            </w:tcBorders>
          </w:tcPr>
          <w:p w14:paraId="4C45C336"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0.709</w:t>
            </w:r>
          </w:p>
        </w:tc>
        <w:tc>
          <w:tcPr>
            <w:tcW w:w="847" w:type="pct"/>
            <w:tcBorders>
              <w:left w:val="single" w:sz="4" w:space="0" w:color="auto"/>
              <w:right w:val="single" w:sz="4" w:space="0" w:color="auto"/>
            </w:tcBorders>
          </w:tcPr>
          <w:p w14:paraId="2B5EC65C"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NR</w:t>
            </w:r>
          </w:p>
        </w:tc>
        <w:tc>
          <w:tcPr>
            <w:tcW w:w="635" w:type="pct"/>
            <w:tcBorders>
              <w:left w:val="single" w:sz="4" w:space="0" w:color="auto"/>
              <w:right w:val="single" w:sz="4" w:space="0" w:color="auto"/>
            </w:tcBorders>
          </w:tcPr>
          <w:p w14:paraId="6DEC85CB"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NR</w:t>
            </w:r>
          </w:p>
        </w:tc>
      </w:tr>
      <w:tr w:rsidR="00C40DAF" w:rsidRPr="000056DC" w14:paraId="48B48293" w14:textId="77777777" w:rsidTr="00C40D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0" w:type="pct"/>
            <w:tcBorders>
              <w:top w:val="single" w:sz="4" w:space="0" w:color="auto"/>
              <w:left w:val="single" w:sz="4" w:space="0" w:color="auto"/>
              <w:bottom w:val="single" w:sz="4" w:space="0" w:color="auto"/>
              <w:right w:val="single" w:sz="4" w:space="0" w:color="auto"/>
            </w:tcBorders>
            <w:noWrap/>
          </w:tcPr>
          <w:p w14:paraId="13B8C849" w14:textId="77777777" w:rsidR="00C40DAF" w:rsidRPr="00C40DAF" w:rsidRDefault="00C40DAF" w:rsidP="00C40DAF">
            <w:pPr>
              <w:pStyle w:val="Tabletext"/>
              <w:rPr>
                <w:i w:val="0"/>
                <w:iCs w:val="0"/>
              </w:rPr>
            </w:pPr>
            <w:r w:rsidRPr="00C40DAF">
              <w:rPr>
                <w:i w:val="0"/>
                <w:iCs w:val="0"/>
              </w:rPr>
              <w:t>6-12 months</w:t>
            </w:r>
          </w:p>
        </w:tc>
        <w:tc>
          <w:tcPr>
            <w:tcW w:w="779" w:type="pct"/>
            <w:tcBorders>
              <w:top w:val="single" w:sz="4" w:space="0" w:color="auto"/>
              <w:left w:val="single" w:sz="4" w:space="0" w:color="auto"/>
              <w:bottom w:val="single" w:sz="4" w:space="0" w:color="auto"/>
              <w:right w:val="single" w:sz="4" w:space="0" w:color="auto"/>
            </w:tcBorders>
          </w:tcPr>
          <w:p w14:paraId="32E85AC2"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4.6 (7.1)</w:t>
            </w:r>
          </w:p>
        </w:tc>
        <w:tc>
          <w:tcPr>
            <w:tcW w:w="635" w:type="pct"/>
            <w:tcBorders>
              <w:top w:val="single" w:sz="4" w:space="0" w:color="auto"/>
              <w:left w:val="single" w:sz="4" w:space="0" w:color="auto"/>
              <w:bottom w:val="single" w:sz="4" w:space="0" w:color="auto"/>
              <w:right w:val="single" w:sz="4" w:space="0" w:color="auto"/>
            </w:tcBorders>
          </w:tcPr>
          <w:p w14:paraId="16EE8DD6"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0.915</w:t>
            </w:r>
          </w:p>
        </w:tc>
        <w:tc>
          <w:tcPr>
            <w:tcW w:w="630" w:type="pct"/>
            <w:tcBorders>
              <w:top w:val="single" w:sz="4" w:space="0" w:color="auto"/>
              <w:left w:val="single" w:sz="4" w:space="0" w:color="auto"/>
              <w:bottom w:val="single" w:sz="4" w:space="0" w:color="auto"/>
              <w:right w:val="single" w:sz="4" w:space="0" w:color="auto"/>
            </w:tcBorders>
          </w:tcPr>
          <w:p w14:paraId="58C3F78C"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40.7 (14.4)</w:t>
            </w:r>
          </w:p>
        </w:tc>
        <w:tc>
          <w:tcPr>
            <w:tcW w:w="544" w:type="pct"/>
            <w:tcBorders>
              <w:top w:val="single" w:sz="4" w:space="0" w:color="auto"/>
              <w:left w:val="single" w:sz="4" w:space="0" w:color="auto"/>
              <w:bottom w:val="single" w:sz="4" w:space="0" w:color="auto"/>
              <w:right w:val="single" w:sz="4" w:space="0" w:color="auto"/>
            </w:tcBorders>
          </w:tcPr>
          <w:p w14:paraId="70FCA786"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0.599</w:t>
            </w:r>
          </w:p>
        </w:tc>
        <w:tc>
          <w:tcPr>
            <w:tcW w:w="847" w:type="pct"/>
            <w:tcBorders>
              <w:left w:val="single" w:sz="4" w:space="0" w:color="auto"/>
              <w:right w:val="single" w:sz="4" w:space="0" w:color="auto"/>
            </w:tcBorders>
          </w:tcPr>
          <w:p w14:paraId="27B3AE93"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NR</w:t>
            </w:r>
          </w:p>
        </w:tc>
        <w:tc>
          <w:tcPr>
            <w:tcW w:w="635" w:type="pct"/>
            <w:tcBorders>
              <w:left w:val="single" w:sz="4" w:space="0" w:color="auto"/>
              <w:right w:val="single" w:sz="4" w:space="0" w:color="auto"/>
            </w:tcBorders>
          </w:tcPr>
          <w:p w14:paraId="333D10A6"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NR</w:t>
            </w:r>
          </w:p>
        </w:tc>
      </w:tr>
      <w:tr w:rsidR="00C40DAF" w:rsidRPr="000056DC" w14:paraId="3997C186" w14:textId="77777777" w:rsidTr="00C40D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0" w:type="pct"/>
            <w:tcBorders>
              <w:top w:val="nil"/>
              <w:left w:val="single" w:sz="4" w:space="0" w:color="auto"/>
              <w:bottom w:val="single" w:sz="4" w:space="0" w:color="auto"/>
              <w:right w:val="single" w:sz="4" w:space="0" w:color="auto"/>
            </w:tcBorders>
            <w:noWrap/>
          </w:tcPr>
          <w:p w14:paraId="50022C2D" w14:textId="77777777" w:rsidR="00C40DAF" w:rsidRPr="00C40DAF" w:rsidRDefault="00C40DAF" w:rsidP="00C40DAF">
            <w:pPr>
              <w:pStyle w:val="Tabletext"/>
              <w:rPr>
                <w:i w:val="0"/>
                <w:iCs w:val="0"/>
              </w:rPr>
            </w:pPr>
            <w:r w:rsidRPr="00C40DAF">
              <w:rPr>
                <w:i w:val="0"/>
                <w:iCs w:val="0"/>
              </w:rPr>
              <w:t>Cycle 1 (Year 1)</w:t>
            </w:r>
          </w:p>
        </w:tc>
        <w:tc>
          <w:tcPr>
            <w:tcW w:w="779" w:type="pct"/>
            <w:tcBorders>
              <w:top w:val="nil"/>
              <w:left w:val="single" w:sz="4" w:space="0" w:color="auto"/>
              <w:bottom w:val="single" w:sz="4" w:space="0" w:color="auto"/>
              <w:right w:val="single" w:sz="4" w:space="0" w:color="auto"/>
            </w:tcBorders>
          </w:tcPr>
          <w:p w14:paraId="7E658DF7"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w:t>
            </w:r>
          </w:p>
        </w:tc>
        <w:tc>
          <w:tcPr>
            <w:tcW w:w="635" w:type="pct"/>
            <w:tcBorders>
              <w:top w:val="nil"/>
              <w:left w:val="single" w:sz="4" w:space="0" w:color="auto"/>
              <w:bottom w:val="single" w:sz="4" w:space="0" w:color="auto"/>
              <w:right w:val="single" w:sz="4" w:space="0" w:color="auto"/>
            </w:tcBorders>
          </w:tcPr>
          <w:p w14:paraId="190431D9"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0.907</w:t>
            </w:r>
          </w:p>
        </w:tc>
        <w:tc>
          <w:tcPr>
            <w:tcW w:w="630" w:type="pct"/>
            <w:tcBorders>
              <w:top w:val="nil"/>
              <w:left w:val="single" w:sz="4" w:space="0" w:color="auto"/>
              <w:bottom w:val="single" w:sz="4" w:space="0" w:color="auto"/>
              <w:right w:val="single" w:sz="4" w:space="0" w:color="auto"/>
            </w:tcBorders>
          </w:tcPr>
          <w:p w14:paraId="50F901B6"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w:t>
            </w:r>
          </w:p>
        </w:tc>
        <w:tc>
          <w:tcPr>
            <w:tcW w:w="544" w:type="pct"/>
            <w:tcBorders>
              <w:top w:val="nil"/>
              <w:left w:val="single" w:sz="4" w:space="0" w:color="auto"/>
              <w:bottom w:val="single" w:sz="4" w:space="0" w:color="auto"/>
              <w:right w:val="single" w:sz="4" w:space="0" w:color="auto"/>
            </w:tcBorders>
          </w:tcPr>
          <w:p w14:paraId="7BC37F93"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0.654</w:t>
            </w:r>
          </w:p>
        </w:tc>
        <w:tc>
          <w:tcPr>
            <w:tcW w:w="847" w:type="pct"/>
            <w:tcBorders>
              <w:left w:val="single" w:sz="4" w:space="0" w:color="auto"/>
              <w:right w:val="single" w:sz="4" w:space="0" w:color="auto"/>
            </w:tcBorders>
          </w:tcPr>
          <w:p w14:paraId="16023027"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VAS:31.7</w:t>
            </w:r>
          </w:p>
          <w:p w14:paraId="6CFE047C"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Likert:12.7</w:t>
            </w:r>
          </w:p>
        </w:tc>
        <w:tc>
          <w:tcPr>
            <w:tcW w:w="635" w:type="pct"/>
            <w:tcBorders>
              <w:left w:val="single" w:sz="4" w:space="0" w:color="auto"/>
              <w:right w:val="single" w:sz="4" w:space="0" w:color="auto"/>
            </w:tcBorders>
          </w:tcPr>
          <w:p w14:paraId="67FEEB5A"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0.848</w:t>
            </w:r>
          </w:p>
        </w:tc>
      </w:tr>
      <w:tr w:rsidR="00C40DAF" w:rsidRPr="000056DC" w14:paraId="1550273D" w14:textId="77777777" w:rsidTr="00C40D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0" w:type="pct"/>
            <w:tcBorders>
              <w:top w:val="single" w:sz="4" w:space="0" w:color="auto"/>
            </w:tcBorders>
            <w:noWrap/>
          </w:tcPr>
          <w:p w14:paraId="0DE805C1" w14:textId="77777777" w:rsidR="00C40DAF" w:rsidRPr="00C40DAF" w:rsidRDefault="00C40DAF" w:rsidP="00C40DAF">
            <w:pPr>
              <w:pStyle w:val="Tabletext"/>
              <w:rPr>
                <w:i w:val="0"/>
                <w:iCs w:val="0"/>
              </w:rPr>
            </w:pPr>
            <w:r w:rsidRPr="00C40DAF">
              <w:rPr>
                <w:i w:val="0"/>
                <w:iCs w:val="0"/>
              </w:rPr>
              <w:t>Cycle 2 (Year 2)</w:t>
            </w:r>
          </w:p>
        </w:tc>
        <w:tc>
          <w:tcPr>
            <w:tcW w:w="779" w:type="pct"/>
            <w:tcBorders>
              <w:top w:val="single" w:sz="4" w:space="0" w:color="auto"/>
            </w:tcBorders>
          </w:tcPr>
          <w:p w14:paraId="193168F3"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2.8 (5.6)</w:t>
            </w:r>
          </w:p>
        </w:tc>
        <w:tc>
          <w:tcPr>
            <w:tcW w:w="635" w:type="pct"/>
            <w:tcBorders>
              <w:top w:val="single" w:sz="4" w:space="0" w:color="auto"/>
            </w:tcBorders>
          </w:tcPr>
          <w:p w14:paraId="1793EFB9"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0.926</w:t>
            </w:r>
          </w:p>
        </w:tc>
        <w:tc>
          <w:tcPr>
            <w:tcW w:w="630" w:type="pct"/>
            <w:tcBorders>
              <w:top w:val="single" w:sz="4" w:space="0" w:color="auto"/>
            </w:tcBorders>
          </w:tcPr>
          <w:p w14:paraId="21603D96"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46.3 (12.8)</w:t>
            </w:r>
          </w:p>
        </w:tc>
        <w:tc>
          <w:tcPr>
            <w:tcW w:w="544" w:type="pct"/>
            <w:tcBorders>
              <w:top w:val="single" w:sz="4" w:space="0" w:color="auto"/>
              <w:right w:val="single" w:sz="4" w:space="0" w:color="auto"/>
            </w:tcBorders>
          </w:tcPr>
          <w:p w14:paraId="042771DF"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0.548</w:t>
            </w:r>
          </w:p>
        </w:tc>
        <w:tc>
          <w:tcPr>
            <w:tcW w:w="847" w:type="pct"/>
            <w:tcBorders>
              <w:right w:val="single" w:sz="4" w:space="0" w:color="auto"/>
            </w:tcBorders>
          </w:tcPr>
          <w:p w14:paraId="78482B56"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Same as cycle 1</w:t>
            </w:r>
          </w:p>
        </w:tc>
        <w:tc>
          <w:tcPr>
            <w:tcW w:w="635" w:type="pct"/>
            <w:tcBorders>
              <w:right w:val="single" w:sz="4" w:space="0" w:color="auto"/>
            </w:tcBorders>
          </w:tcPr>
          <w:p w14:paraId="03B36C58"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Same as cycle 1</w:t>
            </w:r>
          </w:p>
        </w:tc>
      </w:tr>
      <w:tr w:rsidR="00C40DAF" w:rsidRPr="000056DC" w14:paraId="15A2664D" w14:textId="77777777" w:rsidTr="00C40D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0" w:type="pct"/>
            <w:noWrap/>
          </w:tcPr>
          <w:p w14:paraId="3EFE1CA3" w14:textId="77777777" w:rsidR="00C40DAF" w:rsidRPr="00C40DAF" w:rsidRDefault="00C40DAF" w:rsidP="00C40DAF">
            <w:pPr>
              <w:pStyle w:val="Tabletext"/>
              <w:rPr>
                <w:i w:val="0"/>
                <w:iCs w:val="0"/>
              </w:rPr>
            </w:pPr>
            <w:r w:rsidRPr="00C40DAF">
              <w:rPr>
                <w:i w:val="0"/>
                <w:iCs w:val="0"/>
              </w:rPr>
              <w:t>Cycle 3 (Year 3)</w:t>
            </w:r>
          </w:p>
        </w:tc>
        <w:tc>
          <w:tcPr>
            <w:tcW w:w="779" w:type="pct"/>
          </w:tcPr>
          <w:p w14:paraId="359D6C03"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3.9 (7.6)</w:t>
            </w:r>
          </w:p>
        </w:tc>
        <w:tc>
          <w:tcPr>
            <w:tcW w:w="635" w:type="pct"/>
          </w:tcPr>
          <w:p w14:paraId="73457DE9"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0.920</w:t>
            </w:r>
          </w:p>
        </w:tc>
        <w:tc>
          <w:tcPr>
            <w:tcW w:w="630" w:type="pct"/>
          </w:tcPr>
          <w:p w14:paraId="4BFC5725"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47.5 (12.8)</w:t>
            </w:r>
          </w:p>
        </w:tc>
        <w:tc>
          <w:tcPr>
            <w:tcW w:w="544" w:type="pct"/>
            <w:tcBorders>
              <w:right w:val="single" w:sz="4" w:space="0" w:color="auto"/>
            </w:tcBorders>
          </w:tcPr>
          <w:p w14:paraId="2AA7F7E4"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0.541</w:t>
            </w:r>
          </w:p>
        </w:tc>
        <w:tc>
          <w:tcPr>
            <w:tcW w:w="847" w:type="pct"/>
            <w:tcBorders>
              <w:right w:val="single" w:sz="4" w:space="0" w:color="auto"/>
            </w:tcBorders>
          </w:tcPr>
          <w:p w14:paraId="08DDAA51"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Same as cycle 1</w:t>
            </w:r>
          </w:p>
        </w:tc>
        <w:tc>
          <w:tcPr>
            <w:tcW w:w="635" w:type="pct"/>
            <w:tcBorders>
              <w:right w:val="single" w:sz="4" w:space="0" w:color="auto"/>
            </w:tcBorders>
          </w:tcPr>
          <w:p w14:paraId="3ADB99A7" w14:textId="77777777" w:rsidR="00C40DAF" w:rsidRPr="00C40DAF" w:rsidRDefault="00C40DAF" w:rsidP="00C40DAF">
            <w:pPr>
              <w:pStyle w:val="Tabletext"/>
              <w:cnfStyle w:val="100000000000" w:firstRow="1" w:lastRow="0" w:firstColumn="0" w:lastColumn="0" w:oddVBand="0" w:evenVBand="0" w:oddHBand="0" w:evenHBand="0" w:firstRowFirstColumn="0" w:firstRowLastColumn="0" w:lastRowFirstColumn="0" w:lastRowLastColumn="0"/>
              <w:rPr>
                <w:i w:val="0"/>
                <w:iCs w:val="0"/>
              </w:rPr>
            </w:pPr>
            <w:r w:rsidRPr="00C40DAF">
              <w:rPr>
                <w:i w:val="0"/>
                <w:iCs w:val="0"/>
              </w:rPr>
              <w:t>Same as cycle 1</w:t>
            </w:r>
          </w:p>
        </w:tc>
      </w:tr>
    </w:tbl>
    <w:p w14:paraId="123B4828" w14:textId="204F6656" w:rsidR="00C40DAF" w:rsidRPr="000D769D" w:rsidRDefault="00C40DAF" w:rsidP="00C40DAF">
      <w:pPr>
        <w:rPr>
          <w:rFonts w:ascii="Arial Narrow" w:hAnsi="Arial Narrow" w:cs="Arial"/>
          <w:sz w:val="18"/>
          <w:szCs w:val="18"/>
        </w:rPr>
      </w:pPr>
      <w:r w:rsidRPr="000D769D">
        <w:rPr>
          <w:rFonts w:ascii="Arial Narrow" w:hAnsi="Arial Narrow" w:cs="Arial"/>
          <w:sz w:val="18"/>
          <w:szCs w:val="18"/>
        </w:rPr>
        <w:t xml:space="preserve">Source: </w:t>
      </w:r>
      <w:r>
        <w:rPr>
          <w:rFonts w:ascii="Arial Narrow" w:hAnsi="Arial Narrow" w:cs="Arial"/>
          <w:sz w:val="18"/>
          <w:szCs w:val="18"/>
        </w:rPr>
        <w:t xml:space="preserve">Table 40, p87 of the </w:t>
      </w:r>
      <w:r w:rsidR="008141AD">
        <w:rPr>
          <w:rFonts w:ascii="Arial Narrow" w:hAnsi="Arial Narrow" w:cs="Arial"/>
          <w:sz w:val="18"/>
          <w:szCs w:val="18"/>
        </w:rPr>
        <w:t>c</w:t>
      </w:r>
      <w:r>
        <w:rPr>
          <w:rFonts w:ascii="Arial Narrow" w:hAnsi="Arial Narrow" w:cs="Arial"/>
          <w:sz w:val="18"/>
          <w:szCs w:val="18"/>
        </w:rPr>
        <w:t>ommentary</w:t>
      </w:r>
    </w:p>
    <w:p w14:paraId="074BD225" w14:textId="684D534F" w:rsidR="00C40DAF" w:rsidRPr="005545E2" w:rsidRDefault="008141AD" w:rsidP="00C40DAF">
      <w:pPr>
        <w:rPr>
          <w:rFonts w:ascii="Arial Narrow" w:hAnsi="Arial Narrow" w:cs="Arial"/>
          <w:sz w:val="18"/>
          <w:szCs w:val="18"/>
        </w:rPr>
      </w:pPr>
      <w:r>
        <w:rPr>
          <w:rFonts w:ascii="Arial Narrow" w:hAnsi="Arial Narrow" w:cs="Arial"/>
          <w:sz w:val="18"/>
          <w:szCs w:val="18"/>
        </w:rPr>
        <w:t xml:space="preserve">Abbreviations: </w:t>
      </w:r>
      <w:r w:rsidR="00C40DAF">
        <w:rPr>
          <w:rFonts w:ascii="Arial Narrow" w:hAnsi="Arial Narrow" w:cs="Arial"/>
          <w:sz w:val="18"/>
          <w:szCs w:val="18"/>
        </w:rPr>
        <w:t xml:space="preserve">NR = not reported; </w:t>
      </w:r>
      <w:r w:rsidR="00C40DAF" w:rsidRPr="005545E2">
        <w:rPr>
          <w:rFonts w:ascii="Arial Narrow" w:hAnsi="Arial Narrow" w:cs="Arial"/>
          <w:sz w:val="18"/>
          <w:szCs w:val="18"/>
        </w:rPr>
        <w:t>SD</w:t>
      </w:r>
      <w:r w:rsidR="00C40DAF">
        <w:rPr>
          <w:rFonts w:ascii="Arial Narrow" w:hAnsi="Arial Narrow" w:cs="Arial"/>
          <w:sz w:val="18"/>
          <w:szCs w:val="18"/>
        </w:rPr>
        <w:t xml:space="preserve"> </w:t>
      </w:r>
      <w:r w:rsidR="00C40DAF" w:rsidRPr="005545E2">
        <w:rPr>
          <w:rFonts w:ascii="Arial Narrow" w:hAnsi="Arial Narrow" w:cs="Arial"/>
          <w:sz w:val="18"/>
          <w:szCs w:val="18"/>
        </w:rPr>
        <w:t>=</w:t>
      </w:r>
      <w:r w:rsidR="00C40DAF">
        <w:rPr>
          <w:rFonts w:ascii="Arial Narrow" w:hAnsi="Arial Narrow" w:cs="Arial"/>
          <w:sz w:val="18"/>
          <w:szCs w:val="18"/>
        </w:rPr>
        <w:t xml:space="preserve"> s</w:t>
      </w:r>
      <w:r w:rsidR="00C40DAF" w:rsidRPr="005545E2">
        <w:rPr>
          <w:rFonts w:ascii="Arial Narrow" w:hAnsi="Arial Narrow" w:cs="Arial"/>
          <w:sz w:val="18"/>
          <w:szCs w:val="18"/>
        </w:rPr>
        <w:t xml:space="preserve">tandard </w:t>
      </w:r>
      <w:r w:rsidR="00C40DAF">
        <w:rPr>
          <w:rFonts w:ascii="Arial Narrow" w:hAnsi="Arial Narrow" w:cs="Arial"/>
          <w:sz w:val="18"/>
          <w:szCs w:val="18"/>
        </w:rPr>
        <w:t>d</w:t>
      </w:r>
      <w:r w:rsidR="00C40DAF" w:rsidRPr="005545E2">
        <w:rPr>
          <w:rFonts w:ascii="Arial Narrow" w:hAnsi="Arial Narrow" w:cs="Arial"/>
          <w:sz w:val="18"/>
          <w:szCs w:val="18"/>
        </w:rPr>
        <w:t xml:space="preserve">eviation; </w:t>
      </w:r>
      <w:r w:rsidR="00C40DAF">
        <w:rPr>
          <w:rFonts w:ascii="Arial Narrow" w:hAnsi="Arial Narrow" w:cs="Arial"/>
          <w:sz w:val="18"/>
          <w:szCs w:val="18"/>
        </w:rPr>
        <w:t xml:space="preserve">VAS = visual analogue scale; </w:t>
      </w:r>
      <w:r w:rsidR="00C40DAF" w:rsidRPr="005545E2">
        <w:rPr>
          <w:rFonts w:ascii="Arial Narrow" w:hAnsi="Arial Narrow" w:cs="Arial"/>
          <w:sz w:val="18"/>
          <w:szCs w:val="18"/>
        </w:rPr>
        <w:t>WOMAC</w:t>
      </w:r>
      <w:r w:rsidR="00C40DAF">
        <w:rPr>
          <w:rFonts w:ascii="Arial Narrow" w:hAnsi="Arial Narrow" w:cs="Arial"/>
          <w:sz w:val="18"/>
          <w:szCs w:val="18"/>
        </w:rPr>
        <w:t xml:space="preserve"> </w:t>
      </w:r>
      <w:r w:rsidR="00C40DAF" w:rsidRPr="005545E2">
        <w:rPr>
          <w:rFonts w:ascii="Arial Narrow" w:hAnsi="Arial Narrow" w:cs="Arial"/>
          <w:sz w:val="18"/>
          <w:szCs w:val="18"/>
        </w:rPr>
        <w:t>= Western Ontario and McMaster Universities Osteoarthritis index</w:t>
      </w:r>
    </w:p>
    <w:p w14:paraId="02C97DFB" w14:textId="77777777" w:rsidR="00C40DAF" w:rsidRPr="005545E2" w:rsidRDefault="00C40DAF" w:rsidP="00C40DAF">
      <w:pPr>
        <w:rPr>
          <w:rFonts w:ascii="Arial Narrow" w:hAnsi="Arial Narrow" w:cs="Arial"/>
          <w:sz w:val="18"/>
          <w:szCs w:val="18"/>
        </w:rPr>
      </w:pPr>
      <w:r w:rsidRPr="005545E2">
        <w:rPr>
          <w:rFonts w:ascii="Arial Narrow" w:hAnsi="Arial Narrow" w:cs="Arial"/>
          <w:sz w:val="18"/>
          <w:szCs w:val="18"/>
        </w:rPr>
        <w:t>*</w:t>
      </w:r>
      <w:r>
        <w:rPr>
          <w:rFonts w:ascii="Arial Narrow" w:hAnsi="Arial Narrow" w:cs="Arial"/>
          <w:sz w:val="18"/>
          <w:szCs w:val="18"/>
        </w:rPr>
        <w:t>Reported as a w</w:t>
      </w:r>
      <w:r w:rsidRPr="005545E2">
        <w:rPr>
          <w:rFonts w:ascii="Arial Narrow" w:hAnsi="Arial Narrow" w:cs="Arial"/>
          <w:sz w:val="18"/>
          <w:szCs w:val="18"/>
        </w:rPr>
        <w:t xml:space="preserve">eighted </w:t>
      </w:r>
      <w:r>
        <w:rPr>
          <w:rFonts w:ascii="Arial Narrow" w:hAnsi="Arial Narrow" w:cs="Arial"/>
          <w:sz w:val="18"/>
          <w:szCs w:val="18"/>
        </w:rPr>
        <w:t xml:space="preserve">average (weighted </w:t>
      </w:r>
      <w:r w:rsidRPr="005545E2">
        <w:rPr>
          <w:rFonts w:ascii="Arial Narrow" w:hAnsi="Arial Narrow" w:cs="Arial"/>
          <w:sz w:val="18"/>
          <w:szCs w:val="18"/>
        </w:rPr>
        <w:t>by gender distribution in each treatment arm</w:t>
      </w:r>
      <w:r>
        <w:rPr>
          <w:rFonts w:ascii="Arial Narrow" w:hAnsi="Arial Narrow" w:cs="Arial"/>
          <w:sz w:val="18"/>
          <w:szCs w:val="18"/>
        </w:rPr>
        <w:t>)</w:t>
      </w:r>
      <w:r w:rsidRPr="005545E2">
        <w:rPr>
          <w:rFonts w:ascii="Arial Narrow" w:hAnsi="Arial Narrow" w:cs="Arial"/>
          <w:sz w:val="18"/>
          <w:szCs w:val="18"/>
        </w:rPr>
        <w:t>.</w:t>
      </w:r>
    </w:p>
    <w:p w14:paraId="06F2C3EE" w14:textId="77777777" w:rsidR="00C40DAF" w:rsidRDefault="00C40DAF" w:rsidP="003861A2">
      <w:pPr>
        <w:spacing w:after="240"/>
        <w:rPr>
          <w:rFonts w:ascii="Arial Narrow" w:hAnsi="Arial Narrow" w:cs="Arial"/>
          <w:sz w:val="18"/>
          <w:szCs w:val="18"/>
        </w:rPr>
      </w:pPr>
      <w:r w:rsidRPr="005545E2">
        <w:rPr>
          <w:rFonts w:ascii="Arial Narrow" w:hAnsi="Arial Narrow" w:cs="Arial"/>
          <w:sz w:val="18"/>
          <w:szCs w:val="18"/>
        </w:rPr>
        <w:t>**WOMAC Likert score = WOMAC VAS score x 0.4 (conversion factor based on maximum plausible sub</w:t>
      </w:r>
      <w:r>
        <w:rPr>
          <w:rFonts w:ascii="Arial Narrow" w:hAnsi="Arial Narrow" w:cs="Arial"/>
          <w:sz w:val="18"/>
          <w:szCs w:val="18"/>
        </w:rPr>
        <w:t>-scores</w:t>
      </w:r>
      <w:r w:rsidRPr="005545E2">
        <w:rPr>
          <w:rFonts w:ascii="Arial Narrow" w:hAnsi="Arial Narrow" w:cs="Arial"/>
          <w:sz w:val="18"/>
          <w:szCs w:val="18"/>
        </w:rPr>
        <w:t xml:space="preserve"> of WOMAC versions)</w:t>
      </w:r>
      <w:r>
        <w:rPr>
          <w:rFonts w:ascii="Arial Narrow" w:hAnsi="Arial Narrow" w:cs="Arial"/>
          <w:sz w:val="18"/>
          <w:szCs w:val="18"/>
        </w:rPr>
        <w:t>.</w:t>
      </w:r>
    </w:p>
    <w:p w14:paraId="2A53285A" w14:textId="04BB2B5F" w:rsidR="00C40DAF" w:rsidRDefault="00C40DAF" w:rsidP="00C40DAF">
      <w:r>
        <w:t xml:space="preserve">The commentary </w:t>
      </w:r>
      <w:r w:rsidR="00377791">
        <w:t xml:space="preserve">considered that </w:t>
      </w:r>
      <w:r w:rsidRPr="001E5BCA">
        <w:t xml:space="preserve">comparing utility values between JointRep with microfracture and microfracture alone </w:t>
      </w:r>
      <w:r w:rsidR="00377791">
        <w:t>may be subject to confounding</w:t>
      </w:r>
      <w:r w:rsidR="00302233">
        <w:t>,</w:t>
      </w:r>
      <w:r w:rsidR="00377791">
        <w:t xml:space="preserve"> due to the non-randomised nature of the study</w:t>
      </w:r>
      <w:r w:rsidR="00BF0557">
        <w:t xml:space="preserve">, </w:t>
      </w:r>
      <w:r w:rsidR="00BF0557" w:rsidRPr="001E5BCA">
        <w:t xml:space="preserve">multiple </w:t>
      </w:r>
      <w:r w:rsidR="00BF0557">
        <w:t xml:space="preserve">identified </w:t>
      </w:r>
      <w:r w:rsidR="00BF0557" w:rsidRPr="001E5BCA">
        <w:t>sources of potential bias</w:t>
      </w:r>
      <w:r w:rsidR="00BF0557">
        <w:t>,</w:t>
      </w:r>
      <w:r w:rsidR="00302233">
        <w:t xml:space="preserve"> and inadequate reporting</w:t>
      </w:r>
      <w:r w:rsidR="00377791">
        <w:t xml:space="preserve">. </w:t>
      </w:r>
      <w:r w:rsidR="009F6CD6">
        <w:t>Although a large difference in treatment effect was reported between the intervention and comparison groups, these data are not reliable due to significant between-group differences in baseline characteristics, heterogeneity within the control group at baseline, and a</w:t>
      </w:r>
      <w:r w:rsidR="009F6CD6" w:rsidRPr="001E5BCA">
        <w:t xml:space="preserve"> non-standard rehabilitation protocol </w:t>
      </w:r>
      <w:r w:rsidR="009F6CD6">
        <w:t xml:space="preserve">that </w:t>
      </w:r>
      <w:r w:rsidR="009F6CD6" w:rsidRPr="001E5BCA">
        <w:t>may have led to unfavourable clinical outcomes for the control group.</w:t>
      </w:r>
      <w:r w:rsidR="009F6CD6">
        <w:t xml:space="preserve"> </w:t>
      </w:r>
      <w:r w:rsidR="004A6C3F">
        <w:t xml:space="preserve">This uncertainty carries over </w:t>
      </w:r>
      <w:r w:rsidR="004A6C3F" w:rsidRPr="001E5BCA">
        <w:t>to the interpretation of the reported ICERs</w:t>
      </w:r>
      <w:r w:rsidR="004A6C3F">
        <w:t>, to the extent t</w:t>
      </w:r>
      <w:r w:rsidRPr="001E5BCA">
        <w:t xml:space="preserve">he utility values </w:t>
      </w:r>
      <w:r w:rsidR="004A6C3F">
        <w:t xml:space="preserve">are a determinant of </w:t>
      </w:r>
      <w:r w:rsidRPr="001E5BCA">
        <w:t>the QALYs gained.</w:t>
      </w:r>
      <w:r>
        <w:t xml:space="preserve"> </w:t>
      </w:r>
    </w:p>
    <w:p w14:paraId="0BC3E792" w14:textId="785BA5AD" w:rsidR="00385D19" w:rsidRDefault="00385D19" w:rsidP="00702B36">
      <w:pPr>
        <w:spacing w:before="240"/>
        <w:jc w:val="both"/>
      </w:pPr>
      <w:r w:rsidRPr="00183E4D">
        <w:t xml:space="preserve">The overall costs and outcomes, and incremental costs and outcomes as calculated for the intervention and comparator in </w:t>
      </w:r>
      <w:r>
        <w:t xml:space="preserve">the model </w:t>
      </w:r>
      <w:r w:rsidRPr="00183E4D">
        <w:t xml:space="preserve">are shown in </w:t>
      </w:r>
      <w:r>
        <w:rPr>
          <w:highlight w:val="yellow"/>
        </w:rPr>
        <w:fldChar w:fldCharType="begin"/>
      </w:r>
      <w:r>
        <w:instrText xml:space="preserve"> REF _Ref68627876 \h </w:instrText>
      </w:r>
      <w:r>
        <w:rPr>
          <w:highlight w:val="yellow"/>
        </w:rPr>
      </w:r>
      <w:r>
        <w:rPr>
          <w:highlight w:val="yellow"/>
        </w:rPr>
        <w:fldChar w:fldCharType="separate"/>
      </w:r>
      <w:r w:rsidR="00C40DAF" w:rsidRPr="00941547">
        <w:t xml:space="preserve">Table </w:t>
      </w:r>
      <w:r w:rsidR="00C40DAF">
        <w:rPr>
          <w:noProof/>
        </w:rPr>
        <w:t>7</w:t>
      </w:r>
      <w:r>
        <w:rPr>
          <w:highlight w:val="yellow"/>
        </w:rPr>
        <w:fldChar w:fldCharType="end"/>
      </w:r>
      <w:r w:rsidRPr="00183E4D">
        <w:t>.</w:t>
      </w:r>
    </w:p>
    <w:p w14:paraId="7597715A" w14:textId="106E19B7" w:rsidR="00385D19" w:rsidRPr="00941547" w:rsidRDefault="00385D19" w:rsidP="00702B36">
      <w:pPr>
        <w:pStyle w:val="Caption"/>
        <w:spacing w:before="240"/>
      </w:pPr>
      <w:bookmarkStart w:id="11" w:name="_Ref68627876"/>
      <w:bookmarkStart w:id="12" w:name="_Toc399251124"/>
      <w:r w:rsidRPr="00941547">
        <w:t xml:space="preserve">Table </w:t>
      </w:r>
      <w:r w:rsidR="00875DA4">
        <w:fldChar w:fldCharType="begin"/>
      </w:r>
      <w:r w:rsidR="00875DA4">
        <w:instrText xml:space="preserve"> SEQ Table \* ARABIC </w:instrText>
      </w:r>
      <w:r w:rsidR="00875DA4">
        <w:fldChar w:fldCharType="separate"/>
      </w:r>
      <w:r w:rsidR="00C40DAF">
        <w:rPr>
          <w:noProof/>
        </w:rPr>
        <w:t>7</w:t>
      </w:r>
      <w:r w:rsidR="00875DA4">
        <w:rPr>
          <w:noProof/>
        </w:rPr>
        <w:fldChar w:fldCharType="end"/>
      </w:r>
      <w:bookmarkEnd w:id="11"/>
      <w:r w:rsidRPr="00941547">
        <w:tab/>
      </w:r>
      <w:bookmarkEnd w:id="12"/>
      <w:r w:rsidRPr="00083F63">
        <w:t>Base case incremental cost-effectiveness ratio QALY outcomes</w:t>
      </w:r>
    </w:p>
    <w:tbl>
      <w:tblPr>
        <w:tblStyle w:val="TableGrid2"/>
        <w:tblW w:w="5000" w:type="pct"/>
        <w:tblLayout w:type="fixed"/>
        <w:tblCellMar>
          <w:left w:w="28" w:type="dxa"/>
          <w:right w:w="28" w:type="dxa"/>
        </w:tblCellMar>
        <w:tblLook w:val="04A0" w:firstRow="1" w:lastRow="0" w:firstColumn="1" w:lastColumn="0" w:noHBand="0" w:noVBand="1"/>
        <w:tblCaption w:val="Base case incremental cost effectiveness ration QALY outcomes"/>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130"/>
        <w:gridCol w:w="847"/>
        <w:gridCol w:w="991"/>
        <w:gridCol w:w="992"/>
        <w:gridCol w:w="992"/>
        <w:gridCol w:w="994"/>
        <w:gridCol w:w="994"/>
        <w:gridCol w:w="1039"/>
        <w:gridCol w:w="1037"/>
      </w:tblGrid>
      <w:tr w:rsidR="00385D19" w:rsidRPr="005B2D12" w14:paraId="1FA5139E" w14:textId="77777777" w:rsidTr="001E0BC1">
        <w:trPr>
          <w:cnfStyle w:val="100000000000" w:firstRow="1" w:lastRow="0" w:firstColumn="0" w:lastColumn="0" w:oddVBand="0" w:evenVBand="0" w:oddHBand="0" w:evenHBand="0" w:firstRowFirstColumn="0" w:firstRowLastColumn="0" w:lastRowFirstColumn="0" w:lastRowLastColumn="0"/>
          <w:trHeight w:val="336"/>
          <w:tblHeader/>
        </w:trPr>
        <w:tc>
          <w:tcPr>
            <w:tcW w:w="627" w:type="pct"/>
            <w:tcBorders>
              <w:bottom w:val="nil"/>
            </w:tcBorders>
            <w:shd w:val="clear" w:color="auto" w:fill="auto"/>
            <w:vAlign w:val="center"/>
          </w:tcPr>
          <w:p w14:paraId="4DE47511" w14:textId="77777777" w:rsidR="00385D19" w:rsidRPr="005B2D12" w:rsidRDefault="00385D19" w:rsidP="00B94618">
            <w:pPr>
              <w:pStyle w:val="TableHeading"/>
              <w:ind w:left="0" w:firstLine="0"/>
              <w:rPr>
                <w:sz w:val="18"/>
                <w:szCs w:val="18"/>
              </w:rPr>
            </w:pPr>
            <w:r>
              <w:rPr>
                <w:sz w:val="18"/>
                <w:szCs w:val="18"/>
              </w:rPr>
              <w:t>Treatment</w:t>
            </w:r>
          </w:p>
        </w:tc>
        <w:tc>
          <w:tcPr>
            <w:tcW w:w="470" w:type="pct"/>
            <w:tcBorders>
              <w:bottom w:val="nil"/>
            </w:tcBorders>
            <w:shd w:val="clear" w:color="auto" w:fill="auto"/>
            <w:vAlign w:val="center"/>
          </w:tcPr>
          <w:p w14:paraId="506BF241" w14:textId="77777777" w:rsidR="00385D19" w:rsidRPr="005B2D12" w:rsidRDefault="00385D19" w:rsidP="00B94618">
            <w:pPr>
              <w:pStyle w:val="TableHeading"/>
              <w:ind w:left="0" w:firstLine="0"/>
              <w:jc w:val="center"/>
              <w:rPr>
                <w:sz w:val="18"/>
                <w:szCs w:val="18"/>
              </w:rPr>
            </w:pPr>
            <w:r w:rsidRPr="005B2D12">
              <w:rPr>
                <w:sz w:val="18"/>
                <w:szCs w:val="18"/>
              </w:rPr>
              <w:t xml:space="preserve">Total </w:t>
            </w:r>
            <w:r>
              <w:rPr>
                <w:sz w:val="18"/>
                <w:szCs w:val="18"/>
              </w:rPr>
              <w:t>c</w:t>
            </w:r>
            <w:r w:rsidRPr="005B2D12">
              <w:rPr>
                <w:sz w:val="18"/>
                <w:szCs w:val="18"/>
              </w:rPr>
              <w:t>ost</w:t>
            </w:r>
          </w:p>
        </w:tc>
        <w:tc>
          <w:tcPr>
            <w:tcW w:w="550" w:type="pct"/>
            <w:tcBorders>
              <w:bottom w:val="single" w:sz="4" w:space="0" w:color="auto"/>
              <w:right w:val="nil"/>
            </w:tcBorders>
            <w:shd w:val="clear" w:color="auto" w:fill="auto"/>
            <w:vAlign w:val="center"/>
          </w:tcPr>
          <w:p w14:paraId="583982BA" w14:textId="77777777" w:rsidR="00385D19" w:rsidRPr="005B2D12" w:rsidRDefault="00385D19" w:rsidP="00B94618">
            <w:pPr>
              <w:pStyle w:val="TableHeading"/>
              <w:ind w:left="0" w:firstLine="0"/>
              <w:jc w:val="right"/>
              <w:rPr>
                <w:sz w:val="18"/>
                <w:szCs w:val="18"/>
              </w:rPr>
            </w:pPr>
            <w:r w:rsidRPr="005B2D12">
              <w:rPr>
                <w:sz w:val="18"/>
                <w:szCs w:val="18"/>
              </w:rPr>
              <w:t>Incremental</w:t>
            </w:r>
          </w:p>
        </w:tc>
        <w:tc>
          <w:tcPr>
            <w:tcW w:w="550" w:type="pct"/>
            <w:tcBorders>
              <w:left w:val="nil"/>
              <w:bottom w:val="single" w:sz="4" w:space="0" w:color="auto"/>
            </w:tcBorders>
            <w:shd w:val="clear" w:color="auto" w:fill="auto"/>
            <w:vAlign w:val="center"/>
          </w:tcPr>
          <w:p w14:paraId="3158EE9D" w14:textId="77777777" w:rsidR="00385D19" w:rsidRPr="005B2D12" w:rsidRDefault="00385D19" w:rsidP="00B94618">
            <w:pPr>
              <w:pStyle w:val="TableHeading"/>
              <w:ind w:left="0" w:firstLine="0"/>
              <w:rPr>
                <w:sz w:val="18"/>
                <w:szCs w:val="18"/>
              </w:rPr>
            </w:pPr>
            <w:r>
              <w:rPr>
                <w:sz w:val="18"/>
                <w:szCs w:val="18"/>
              </w:rPr>
              <w:t>cost</w:t>
            </w:r>
          </w:p>
        </w:tc>
        <w:tc>
          <w:tcPr>
            <w:tcW w:w="550" w:type="pct"/>
            <w:tcBorders>
              <w:bottom w:val="nil"/>
            </w:tcBorders>
            <w:shd w:val="clear" w:color="auto" w:fill="auto"/>
            <w:vAlign w:val="center"/>
          </w:tcPr>
          <w:p w14:paraId="3BC6DD18" w14:textId="77777777" w:rsidR="00385D19" w:rsidRPr="005B2D12" w:rsidRDefault="00385D19" w:rsidP="00B94618">
            <w:pPr>
              <w:pStyle w:val="TableHeading"/>
              <w:ind w:left="0" w:firstLine="0"/>
              <w:jc w:val="center"/>
              <w:rPr>
                <w:sz w:val="18"/>
                <w:szCs w:val="18"/>
              </w:rPr>
            </w:pPr>
            <w:r w:rsidRPr="005B2D12">
              <w:rPr>
                <w:sz w:val="18"/>
                <w:szCs w:val="18"/>
              </w:rPr>
              <w:t xml:space="preserve">Total </w:t>
            </w:r>
            <w:r>
              <w:rPr>
                <w:sz w:val="18"/>
                <w:szCs w:val="18"/>
              </w:rPr>
              <w:t>e</w:t>
            </w:r>
            <w:r w:rsidRPr="005B2D12">
              <w:rPr>
                <w:sz w:val="18"/>
                <w:szCs w:val="18"/>
              </w:rPr>
              <w:t>ffectiveness (QALYs)</w:t>
            </w:r>
          </w:p>
        </w:tc>
        <w:tc>
          <w:tcPr>
            <w:tcW w:w="551" w:type="pct"/>
            <w:tcBorders>
              <w:bottom w:val="single" w:sz="4" w:space="0" w:color="auto"/>
              <w:right w:val="nil"/>
            </w:tcBorders>
            <w:shd w:val="clear" w:color="auto" w:fill="auto"/>
            <w:vAlign w:val="center"/>
          </w:tcPr>
          <w:p w14:paraId="571CB650" w14:textId="77777777" w:rsidR="00385D19" w:rsidRPr="005B2D12" w:rsidRDefault="00385D19" w:rsidP="00B94618">
            <w:pPr>
              <w:pStyle w:val="TableHeading"/>
              <w:ind w:left="0" w:firstLine="0"/>
              <w:jc w:val="right"/>
              <w:rPr>
                <w:sz w:val="18"/>
                <w:szCs w:val="18"/>
              </w:rPr>
            </w:pPr>
            <w:r w:rsidRPr="005B2D12">
              <w:rPr>
                <w:sz w:val="18"/>
                <w:szCs w:val="18"/>
              </w:rPr>
              <w:t>Incremental</w:t>
            </w:r>
            <w:r>
              <w:rPr>
                <w:sz w:val="18"/>
                <w:szCs w:val="18"/>
              </w:rPr>
              <w:t xml:space="preserve"> </w:t>
            </w:r>
          </w:p>
        </w:tc>
        <w:tc>
          <w:tcPr>
            <w:tcW w:w="551" w:type="pct"/>
            <w:tcBorders>
              <w:left w:val="nil"/>
              <w:bottom w:val="single" w:sz="4" w:space="0" w:color="auto"/>
            </w:tcBorders>
            <w:shd w:val="clear" w:color="auto" w:fill="auto"/>
            <w:vAlign w:val="center"/>
          </w:tcPr>
          <w:p w14:paraId="038AF7AE" w14:textId="77777777" w:rsidR="00385D19" w:rsidRPr="005B2D12" w:rsidRDefault="00385D19" w:rsidP="00B94618">
            <w:pPr>
              <w:pStyle w:val="TableHeading"/>
              <w:ind w:left="0" w:firstLine="0"/>
              <w:rPr>
                <w:sz w:val="18"/>
                <w:szCs w:val="18"/>
              </w:rPr>
            </w:pPr>
            <w:r w:rsidRPr="005B2D12">
              <w:rPr>
                <w:sz w:val="18"/>
                <w:szCs w:val="18"/>
              </w:rPr>
              <w:t>effectiveness</w:t>
            </w:r>
          </w:p>
        </w:tc>
        <w:tc>
          <w:tcPr>
            <w:tcW w:w="576" w:type="pct"/>
            <w:tcBorders>
              <w:bottom w:val="single" w:sz="4" w:space="0" w:color="auto"/>
              <w:right w:val="nil"/>
            </w:tcBorders>
            <w:shd w:val="clear" w:color="auto" w:fill="auto"/>
            <w:vAlign w:val="center"/>
          </w:tcPr>
          <w:p w14:paraId="054C6ECF" w14:textId="77777777" w:rsidR="00385D19" w:rsidRPr="005B2D12" w:rsidRDefault="00385D19" w:rsidP="00B94618">
            <w:pPr>
              <w:pStyle w:val="TableHeading"/>
              <w:ind w:left="0" w:firstLine="0"/>
              <w:jc w:val="right"/>
              <w:rPr>
                <w:sz w:val="18"/>
                <w:szCs w:val="18"/>
              </w:rPr>
            </w:pPr>
            <w:r w:rsidRPr="005B2D12">
              <w:rPr>
                <w:sz w:val="18"/>
                <w:szCs w:val="18"/>
              </w:rPr>
              <w:t>ICER</w:t>
            </w:r>
          </w:p>
        </w:tc>
        <w:tc>
          <w:tcPr>
            <w:tcW w:w="576" w:type="pct"/>
            <w:tcBorders>
              <w:left w:val="nil"/>
              <w:bottom w:val="single" w:sz="4" w:space="0" w:color="auto"/>
            </w:tcBorders>
            <w:shd w:val="clear" w:color="auto" w:fill="auto"/>
            <w:vAlign w:val="center"/>
          </w:tcPr>
          <w:p w14:paraId="6043AF33" w14:textId="77777777" w:rsidR="00385D19" w:rsidRPr="005B2D12" w:rsidRDefault="00385D19" w:rsidP="00B94618">
            <w:pPr>
              <w:pStyle w:val="TableHeading"/>
              <w:ind w:left="0" w:firstLine="0"/>
              <w:rPr>
                <w:sz w:val="18"/>
                <w:szCs w:val="18"/>
              </w:rPr>
            </w:pPr>
          </w:p>
        </w:tc>
      </w:tr>
      <w:tr w:rsidR="00385D19" w:rsidRPr="005B2D12" w14:paraId="20AAF273" w14:textId="77777777" w:rsidTr="001E0BC1">
        <w:trPr>
          <w:cnfStyle w:val="100000000000" w:firstRow="1" w:lastRow="0" w:firstColumn="0" w:lastColumn="0" w:oddVBand="0" w:evenVBand="0" w:oddHBand="0" w:evenHBand="0" w:firstRowFirstColumn="0" w:firstRowLastColumn="0" w:lastRowFirstColumn="0" w:lastRowLastColumn="0"/>
          <w:tblHeader/>
        </w:trPr>
        <w:tc>
          <w:tcPr>
            <w:tcW w:w="627" w:type="pct"/>
            <w:tcBorders>
              <w:top w:val="nil"/>
              <w:bottom w:val="single" w:sz="4" w:space="0" w:color="auto"/>
            </w:tcBorders>
            <w:shd w:val="clear" w:color="auto" w:fill="auto"/>
            <w:vAlign w:val="center"/>
          </w:tcPr>
          <w:p w14:paraId="1AEE50F1" w14:textId="77777777" w:rsidR="00385D19" w:rsidRPr="005B2D12" w:rsidRDefault="00385D19" w:rsidP="00B94618">
            <w:pPr>
              <w:pStyle w:val="TableHeading"/>
              <w:ind w:left="0" w:firstLine="0"/>
              <w:rPr>
                <w:sz w:val="18"/>
                <w:szCs w:val="18"/>
              </w:rPr>
            </w:pPr>
          </w:p>
        </w:tc>
        <w:tc>
          <w:tcPr>
            <w:tcW w:w="470" w:type="pct"/>
            <w:tcBorders>
              <w:top w:val="nil"/>
              <w:bottom w:val="single" w:sz="4" w:space="0" w:color="auto"/>
            </w:tcBorders>
            <w:shd w:val="clear" w:color="auto" w:fill="auto"/>
            <w:vAlign w:val="center"/>
          </w:tcPr>
          <w:p w14:paraId="43A3FE66" w14:textId="77777777" w:rsidR="00385D19" w:rsidRPr="005B2D12" w:rsidRDefault="00385D19" w:rsidP="00B94618">
            <w:pPr>
              <w:pStyle w:val="TableHeading"/>
              <w:ind w:left="0" w:firstLine="0"/>
              <w:rPr>
                <w:sz w:val="18"/>
                <w:szCs w:val="18"/>
              </w:rPr>
            </w:pPr>
          </w:p>
        </w:tc>
        <w:tc>
          <w:tcPr>
            <w:tcW w:w="550" w:type="pct"/>
            <w:tcBorders>
              <w:bottom w:val="single" w:sz="4" w:space="0" w:color="auto"/>
            </w:tcBorders>
            <w:shd w:val="clear" w:color="auto" w:fill="auto"/>
            <w:vAlign w:val="center"/>
          </w:tcPr>
          <w:p w14:paraId="05636886" w14:textId="77777777" w:rsidR="00385D19" w:rsidRPr="005B2D12" w:rsidRDefault="00385D19" w:rsidP="00B94618">
            <w:pPr>
              <w:pStyle w:val="TableHeading"/>
              <w:ind w:left="0" w:firstLine="0"/>
              <w:jc w:val="right"/>
              <w:rPr>
                <w:sz w:val="18"/>
                <w:szCs w:val="18"/>
              </w:rPr>
            </w:pPr>
            <w:r w:rsidRPr="005B2D12">
              <w:rPr>
                <w:sz w:val="18"/>
                <w:szCs w:val="18"/>
              </w:rPr>
              <w:t xml:space="preserve">vs </w:t>
            </w:r>
            <w:r>
              <w:rPr>
                <w:sz w:val="18"/>
                <w:szCs w:val="18"/>
              </w:rPr>
              <w:t>MF</w:t>
            </w:r>
            <w:r w:rsidRPr="005B2D12">
              <w:rPr>
                <w:sz w:val="18"/>
                <w:szCs w:val="18"/>
              </w:rPr>
              <w:t xml:space="preserve"> alone</w:t>
            </w:r>
          </w:p>
        </w:tc>
        <w:tc>
          <w:tcPr>
            <w:tcW w:w="550" w:type="pct"/>
            <w:tcBorders>
              <w:bottom w:val="single" w:sz="4" w:space="0" w:color="auto"/>
            </w:tcBorders>
            <w:shd w:val="clear" w:color="auto" w:fill="auto"/>
            <w:vAlign w:val="center"/>
          </w:tcPr>
          <w:p w14:paraId="51AD8B82" w14:textId="77777777" w:rsidR="00385D19" w:rsidRPr="005B2D12" w:rsidRDefault="00385D19" w:rsidP="00B94618">
            <w:pPr>
              <w:pStyle w:val="TableHeading"/>
              <w:ind w:left="0" w:firstLine="0"/>
              <w:jc w:val="right"/>
              <w:rPr>
                <w:sz w:val="18"/>
                <w:szCs w:val="18"/>
              </w:rPr>
            </w:pPr>
            <w:r w:rsidRPr="005B2D12">
              <w:rPr>
                <w:sz w:val="18"/>
                <w:szCs w:val="18"/>
              </w:rPr>
              <w:t xml:space="preserve">vs </w:t>
            </w:r>
            <w:r>
              <w:rPr>
                <w:rFonts w:cstheme="minorHAnsi"/>
                <w:sz w:val="18"/>
                <w:szCs w:val="18"/>
              </w:rPr>
              <w:t>BST-CarGel</w:t>
            </w:r>
            <w:r w:rsidRPr="005B2D12">
              <w:rPr>
                <w:rFonts w:cstheme="minorHAnsi"/>
                <w:sz w:val="18"/>
                <w:szCs w:val="18"/>
              </w:rPr>
              <w:t xml:space="preserve"> + </w:t>
            </w:r>
            <w:r>
              <w:rPr>
                <w:rFonts w:cstheme="minorHAnsi"/>
                <w:sz w:val="18"/>
                <w:szCs w:val="18"/>
              </w:rPr>
              <w:t>MF</w:t>
            </w:r>
          </w:p>
        </w:tc>
        <w:tc>
          <w:tcPr>
            <w:tcW w:w="550" w:type="pct"/>
            <w:tcBorders>
              <w:top w:val="nil"/>
              <w:bottom w:val="single" w:sz="4" w:space="0" w:color="auto"/>
            </w:tcBorders>
            <w:shd w:val="clear" w:color="auto" w:fill="auto"/>
            <w:vAlign w:val="center"/>
          </w:tcPr>
          <w:p w14:paraId="09CDE83A" w14:textId="77777777" w:rsidR="00385D19" w:rsidRPr="005B2D12" w:rsidRDefault="00385D19" w:rsidP="00B94618">
            <w:pPr>
              <w:pStyle w:val="TableHeading"/>
              <w:ind w:left="0" w:firstLine="0"/>
              <w:jc w:val="right"/>
              <w:rPr>
                <w:sz w:val="18"/>
                <w:szCs w:val="18"/>
              </w:rPr>
            </w:pPr>
          </w:p>
        </w:tc>
        <w:tc>
          <w:tcPr>
            <w:tcW w:w="551" w:type="pct"/>
            <w:tcBorders>
              <w:bottom w:val="single" w:sz="4" w:space="0" w:color="auto"/>
            </w:tcBorders>
            <w:shd w:val="clear" w:color="auto" w:fill="auto"/>
            <w:vAlign w:val="center"/>
          </w:tcPr>
          <w:p w14:paraId="3B529F0F" w14:textId="77777777" w:rsidR="00385D19" w:rsidRPr="005B2D12" w:rsidRDefault="00385D19" w:rsidP="00B94618">
            <w:pPr>
              <w:pStyle w:val="TableHeading"/>
              <w:ind w:left="0" w:firstLine="0"/>
              <w:jc w:val="right"/>
              <w:rPr>
                <w:sz w:val="18"/>
                <w:szCs w:val="18"/>
              </w:rPr>
            </w:pPr>
            <w:r w:rsidRPr="005B2D12">
              <w:rPr>
                <w:sz w:val="18"/>
                <w:szCs w:val="18"/>
              </w:rPr>
              <w:t xml:space="preserve">vs </w:t>
            </w:r>
            <w:r>
              <w:rPr>
                <w:sz w:val="18"/>
                <w:szCs w:val="18"/>
              </w:rPr>
              <w:t>MF</w:t>
            </w:r>
            <w:r w:rsidRPr="005B2D12">
              <w:rPr>
                <w:sz w:val="18"/>
                <w:szCs w:val="18"/>
              </w:rPr>
              <w:t xml:space="preserve"> alone</w:t>
            </w:r>
          </w:p>
        </w:tc>
        <w:tc>
          <w:tcPr>
            <w:tcW w:w="551" w:type="pct"/>
            <w:tcBorders>
              <w:bottom w:val="single" w:sz="4" w:space="0" w:color="auto"/>
            </w:tcBorders>
            <w:shd w:val="clear" w:color="auto" w:fill="auto"/>
            <w:vAlign w:val="center"/>
          </w:tcPr>
          <w:p w14:paraId="6BACDFCF" w14:textId="77777777" w:rsidR="00385D19" w:rsidRPr="005B2D12" w:rsidRDefault="00385D19" w:rsidP="00B94618">
            <w:pPr>
              <w:pStyle w:val="TableHeading"/>
              <w:ind w:left="0" w:firstLine="0"/>
              <w:jc w:val="right"/>
              <w:rPr>
                <w:sz w:val="18"/>
                <w:szCs w:val="18"/>
              </w:rPr>
            </w:pPr>
            <w:r w:rsidRPr="005B2D12">
              <w:rPr>
                <w:sz w:val="18"/>
                <w:szCs w:val="18"/>
              </w:rPr>
              <w:t xml:space="preserve">vs </w:t>
            </w:r>
            <w:r>
              <w:rPr>
                <w:rFonts w:cstheme="minorHAnsi"/>
                <w:sz w:val="18"/>
                <w:szCs w:val="18"/>
              </w:rPr>
              <w:t>BST-CarGel</w:t>
            </w:r>
            <w:r w:rsidRPr="005B2D12">
              <w:rPr>
                <w:rFonts w:cstheme="minorHAnsi"/>
                <w:sz w:val="18"/>
                <w:szCs w:val="18"/>
              </w:rPr>
              <w:t xml:space="preserve"> + </w:t>
            </w:r>
            <w:r>
              <w:rPr>
                <w:rFonts w:cstheme="minorHAnsi"/>
                <w:sz w:val="18"/>
                <w:szCs w:val="18"/>
              </w:rPr>
              <w:t>MF</w:t>
            </w:r>
          </w:p>
        </w:tc>
        <w:tc>
          <w:tcPr>
            <w:tcW w:w="576" w:type="pct"/>
            <w:tcBorders>
              <w:bottom w:val="single" w:sz="4" w:space="0" w:color="auto"/>
            </w:tcBorders>
            <w:shd w:val="clear" w:color="auto" w:fill="auto"/>
            <w:vAlign w:val="center"/>
          </w:tcPr>
          <w:p w14:paraId="6212EE79" w14:textId="77777777" w:rsidR="00385D19" w:rsidRPr="005B2D12" w:rsidRDefault="00385D19" w:rsidP="00B94618">
            <w:pPr>
              <w:pStyle w:val="TableHeading"/>
              <w:ind w:left="0" w:firstLine="0"/>
              <w:jc w:val="right"/>
              <w:rPr>
                <w:sz w:val="18"/>
                <w:szCs w:val="18"/>
              </w:rPr>
            </w:pPr>
            <w:r w:rsidRPr="005B2D12">
              <w:rPr>
                <w:sz w:val="18"/>
                <w:szCs w:val="18"/>
              </w:rPr>
              <w:t xml:space="preserve">vs </w:t>
            </w:r>
            <w:r>
              <w:rPr>
                <w:sz w:val="18"/>
                <w:szCs w:val="18"/>
              </w:rPr>
              <w:t xml:space="preserve">MF </w:t>
            </w:r>
            <w:r w:rsidRPr="005B2D12">
              <w:rPr>
                <w:sz w:val="18"/>
                <w:szCs w:val="18"/>
              </w:rPr>
              <w:t>alone</w:t>
            </w:r>
          </w:p>
        </w:tc>
        <w:tc>
          <w:tcPr>
            <w:tcW w:w="576" w:type="pct"/>
            <w:tcBorders>
              <w:bottom w:val="single" w:sz="4" w:space="0" w:color="auto"/>
            </w:tcBorders>
            <w:shd w:val="clear" w:color="auto" w:fill="auto"/>
            <w:vAlign w:val="center"/>
          </w:tcPr>
          <w:p w14:paraId="0B5395EA" w14:textId="77777777" w:rsidR="00385D19" w:rsidRPr="005B2D12" w:rsidRDefault="00385D19" w:rsidP="00B94618">
            <w:pPr>
              <w:pStyle w:val="TableHeading"/>
              <w:ind w:left="0" w:firstLine="0"/>
              <w:jc w:val="right"/>
              <w:rPr>
                <w:sz w:val="18"/>
                <w:szCs w:val="18"/>
              </w:rPr>
            </w:pPr>
            <w:r w:rsidRPr="005B2D12">
              <w:rPr>
                <w:sz w:val="18"/>
                <w:szCs w:val="18"/>
              </w:rPr>
              <w:t xml:space="preserve">vs </w:t>
            </w:r>
            <w:r>
              <w:rPr>
                <w:rFonts w:cstheme="minorHAnsi"/>
                <w:sz w:val="18"/>
                <w:szCs w:val="18"/>
              </w:rPr>
              <w:t>BST-CarGel</w:t>
            </w:r>
            <w:r w:rsidRPr="005B2D12">
              <w:rPr>
                <w:rFonts w:cstheme="minorHAnsi"/>
                <w:sz w:val="18"/>
                <w:szCs w:val="18"/>
              </w:rPr>
              <w:t xml:space="preserve"> + </w:t>
            </w:r>
            <w:r>
              <w:rPr>
                <w:rFonts w:cstheme="minorHAnsi"/>
                <w:sz w:val="18"/>
                <w:szCs w:val="18"/>
              </w:rPr>
              <w:t>MF</w:t>
            </w:r>
          </w:p>
        </w:tc>
      </w:tr>
      <w:tr w:rsidR="00385D19" w:rsidRPr="005B2D12" w14:paraId="52C24F34" w14:textId="77777777" w:rsidTr="001E0BC1">
        <w:tc>
          <w:tcPr>
            <w:tcW w:w="627" w:type="pct"/>
            <w:vAlign w:val="center"/>
          </w:tcPr>
          <w:p w14:paraId="5923E158" w14:textId="77777777" w:rsidR="00385D19" w:rsidRPr="005B2D12" w:rsidRDefault="00385D19">
            <w:pPr>
              <w:pStyle w:val="TableText0"/>
              <w:rPr>
                <w:sz w:val="18"/>
                <w:szCs w:val="18"/>
              </w:rPr>
            </w:pPr>
            <w:r w:rsidRPr="005B2D12">
              <w:rPr>
                <w:sz w:val="18"/>
                <w:szCs w:val="18"/>
              </w:rPr>
              <w:t xml:space="preserve">JointRep + </w:t>
            </w:r>
            <w:r>
              <w:rPr>
                <w:sz w:val="18"/>
                <w:szCs w:val="18"/>
              </w:rPr>
              <w:t>MF</w:t>
            </w:r>
          </w:p>
        </w:tc>
        <w:tc>
          <w:tcPr>
            <w:tcW w:w="470" w:type="pct"/>
            <w:vAlign w:val="center"/>
          </w:tcPr>
          <w:p w14:paraId="5088D651" w14:textId="77777777" w:rsidR="00385D19" w:rsidRPr="005B2D12" w:rsidRDefault="00385D19">
            <w:pPr>
              <w:pStyle w:val="TableText0"/>
              <w:jc w:val="right"/>
              <w:rPr>
                <w:sz w:val="18"/>
                <w:szCs w:val="18"/>
              </w:rPr>
            </w:pPr>
            <w:r w:rsidRPr="005B2D12">
              <w:rPr>
                <w:sz w:val="18"/>
                <w:szCs w:val="18"/>
              </w:rPr>
              <w:t>$12,758</w:t>
            </w:r>
          </w:p>
        </w:tc>
        <w:tc>
          <w:tcPr>
            <w:tcW w:w="550" w:type="pct"/>
            <w:vAlign w:val="center"/>
          </w:tcPr>
          <w:p w14:paraId="2C92CA1A" w14:textId="77777777" w:rsidR="00385D19" w:rsidRPr="005B2D12" w:rsidRDefault="00385D19">
            <w:pPr>
              <w:pStyle w:val="TableText0"/>
              <w:jc w:val="right"/>
              <w:rPr>
                <w:sz w:val="18"/>
                <w:szCs w:val="18"/>
              </w:rPr>
            </w:pPr>
            <w:r w:rsidRPr="005B2D12">
              <w:rPr>
                <w:sz w:val="18"/>
                <w:szCs w:val="18"/>
              </w:rPr>
              <w:t>$6,022</w:t>
            </w:r>
          </w:p>
        </w:tc>
        <w:tc>
          <w:tcPr>
            <w:tcW w:w="550" w:type="pct"/>
            <w:vAlign w:val="center"/>
          </w:tcPr>
          <w:p w14:paraId="166017C5" w14:textId="77777777" w:rsidR="00385D19" w:rsidRPr="005B2D12" w:rsidRDefault="00385D19">
            <w:pPr>
              <w:pStyle w:val="TableText0"/>
              <w:jc w:val="right"/>
              <w:rPr>
                <w:sz w:val="18"/>
                <w:szCs w:val="18"/>
              </w:rPr>
            </w:pPr>
            <w:r w:rsidRPr="005B2D12">
              <w:rPr>
                <w:sz w:val="18"/>
                <w:szCs w:val="18"/>
              </w:rPr>
              <w:t>$0</w:t>
            </w:r>
          </w:p>
        </w:tc>
        <w:tc>
          <w:tcPr>
            <w:tcW w:w="550" w:type="pct"/>
            <w:vAlign w:val="center"/>
          </w:tcPr>
          <w:p w14:paraId="7F7CAF9D" w14:textId="77777777" w:rsidR="00385D19" w:rsidRPr="005B2D12" w:rsidRDefault="00385D19">
            <w:pPr>
              <w:pStyle w:val="TableText0"/>
              <w:jc w:val="right"/>
              <w:rPr>
                <w:sz w:val="18"/>
                <w:szCs w:val="18"/>
              </w:rPr>
            </w:pPr>
            <w:r w:rsidRPr="005B2D12">
              <w:rPr>
                <w:sz w:val="18"/>
                <w:szCs w:val="18"/>
              </w:rPr>
              <w:t>2.61</w:t>
            </w:r>
          </w:p>
        </w:tc>
        <w:tc>
          <w:tcPr>
            <w:tcW w:w="551" w:type="pct"/>
            <w:vAlign w:val="center"/>
          </w:tcPr>
          <w:p w14:paraId="6D6A0C13" w14:textId="77777777" w:rsidR="00385D19" w:rsidRPr="005B2D12" w:rsidRDefault="00385D19">
            <w:pPr>
              <w:pStyle w:val="TableText0"/>
              <w:jc w:val="right"/>
              <w:rPr>
                <w:sz w:val="18"/>
                <w:szCs w:val="18"/>
              </w:rPr>
            </w:pPr>
            <w:r w:rsidRPr="005B2D12">
              <w:rPr>
                <w:sz w:val="18"/>
                <w:szCs w:val="18"/>
              </w:rPr>
              <w:t>0.95</w:t>
            </w:r>
          </w:p>
        </w:tc>
        <w:tc>
          <w:tcPr>
            <w:tcW w:w="551" w:type="pct"/>
            <w:vAlign w:val="center"/>
          </w:tcPr>
          <w:p w14:paraId="185E206D" w14:textId="77777777" w:rsidR="00385D19" w:rsidRPr="005B2D12" w:rsidRDefault="00385D19">
            <w:pPr>
              <w:pStyle w:val="TableText0"/>
              <w:jc w:val="right"/>
              <w:rPr>
                <w:sz w:val="18"/>
                <w:szCs w:val="18"/>
              </w:rPr>
            </w:pPr>
            <w:r w:rsidRPr="005B2D12">
              <w:rPr>
                <w:sz w:val="18"/>
                <w:szCs w:val="18"/>
              </w:rPr>
              <w:t>0.20</w:t>
            </w:r>
          </w:p>
        </w:tc>
        <w:tc>
          <w:tcPr>
            <w:tcW w:w="576" w:type="pct"/>
            <w:vAlign w:val="center"/>
          </w:tcPr>
          <w:p w14:paraId="6E0EC23F" w14:textId="77777777" w:rsidR="00385D19" w:rsidRPr="005B2D12" w:rsidRDefault="00385D19">
            <w:pPr>
              <w:pStyle w:val="TableText0"/>
              <w:jc w:val="right"/>
              <w:rPr>
                <w:sz w:val="18"/>
                <w:szCs w:val="18"/>
              </w:rPr>
            </w:pPr>
            <w:r w:rsidRPr="005B2D12">
              <w:rPr>
                <w:sz w:val="18"/>
                <w:szCs w:val="18"/>
              </w:rPr>
              <w:t>$6,329</w:t>
            </w:r>
          </w:p>
        </w:tc>
        <w:tc>
          <w:tcPr>
            <w:tcW w:w="576" w:type="pct"/>
            <w:vAlign w:val="center"/>
          </w:tcPr>
          <w:p w14:paraId="473EE41F" w14:textId="77777777" w:rsidR="00385D19" w:rsidRPr="005B2D12" w:rsidRDefault="00385D19">
            <w:pPr>
              <w:pStyle w:val="TableText0"/>
              <w:jc w:val="right"/>
              <w:rPr>
                <w:sz w:val="18"/>
                <w:szCs w:val="18"/>
              </w:rPr>
            </w:pPr>
            <w:r w:rsidRPr="005B2D12">
              <w:rPr>
                <w:sz w:val="18"/>
                <w:szCs w:val="18"/>
              </w:rPr>
              <w:t>$0</w:t>
            </w:r>
          </w:p>
        </w:tc>
      </w:tr>
      <w:tr w:rsidR="00385D19" w:rsidRPr="005B2D12" w14:paraId="3A3AFA2F" w14:textId="77777777" w:rsidTr="001E0BC1">
        <w:tc>
          <w:tcPr>
            <w:tcW w:w="627" w:type="pct"/>
            <w:vAlign w:val="center"/>
          </w:tcPr>
          <w:p w14:paraId="036564D9" w14:textId="77777777" w:rsidR="00385D19" w:rsidRPr="005B2D12" w:rsidRDefault="00385D19">
            <w:pPr>
              <w:pStyle w:val="TableText0"/>
              <w:rPr>
                <w:sz w:val="18"/>
                <w:szCs w:val="18"/>
              </w:rPr>
            </w:pPr>
            <w:r>
              <w:rPr>
                <w:sz w:val="18"/>
                <w:szCs w:val="18"/>
              </w:rPr>
              <w:t>MF</w:t>
            </w:r>
            <w:r w:rsidRPr="005B2D12">
              <w:rPr>
                <w:sz w:val="18"/>
                <w:szCs w:val="18"/>
              </w:rPr>
              <w:t xml:space="preserve"> alone</w:t>
            </w:r>
          </w:p>
        </w:tc>
        <w:tc>
          <w:tcPr>
            <w:tcW w:w="470" w:type="pct"/>
            <w:vAlign w:val="center"/>
          </w:tcPr>
          <w:p w14:paraId="63DA7BF9" w14:textId="77777777" w:rsidR="00385D19" w:rsidRPr="005B2D12" w:rsidRDefault="00385D19">
            <w:pPr>
              <w:pStyle w:val="TableText0"/>
              <w:jc w:val="right"/>
              <w:rPr>
                <w:sz w:val="18"/>
                <w:szCs w:val="18"/>
              </w:rPr>
            </w:pPr>
            <w:r w:rsidRPr="005B2D12">
              <w:rPr>
                <w:sz w:val="18"/>
                <w:szCs w:val="18"/>
              </w:rPr>
              <w:t>$6,737</w:t>
            </w:r>
          </w:p>
        </w:tc>
        <w:tc>
          <w:tcPr>
            <w:tcW w:w="550" w:type="pct"/>
            <w:vAlign w:val="center"/>
          </w:tcPr>
          <w:p w14:paraId="4FD2E090" w14:textId="77777777" w:rsidR="00385D19" w:rsidRPr="005B2D12" w:rsidRDefault="00385D19">
            <w:pPr>
              <w:pStyle w:val="TableText0"/>
              <w:jc w:val="right"/>
              <w:rPr>
                <w:sz w:val="18"/>
                <w:szCs w:val="18"/>
              </w:rPr>
            </w:pPr>
            <w:r w:rsidRPr="005B2D12">
              <w:rPr>
                <w:sz w:val="18"/>
                <w:szCs w:val="18"/>
              </w:rPr>
              <w:t>-</w:t>
            </w:r>
          </w:p>
        </w:tc>
        <w:tc>
          <w:tcPr>
            <w:tcW w:w="550" w:type="pct"/>
            <w:vAlign w:val="center"/>
          </w:tcPr>
          <w:p w14:paraId="67FDDDBC" w14:textId="77777777" w:rsidR="00385D19" w:rsidRPr="005B2D12" w:rsidRDefault="00385D19">
            <w:pPr>
              <w:pStyle w:val="TableText0"/>
              <w:jc w:val="right"/>
              <w:rPr>
                <w:sz w:val="18"/>
                <w:szCs w:val="18"/>
              </w:rPr>
            </w:pPr>
            <w:r w:rsidRPr="005B2D12">
              <w:rPr>
                <w:sz w:val="18"/>
                <w:szCs w:val="18"/>
              </w:rPr>
              <w:t>-</w:t>
            </w:r>
          </w:p>
        </w:tc>
        <w:tc>
          <w:tcPr>
            <w:tcW w:w="550" w:type="pct"/>
            <w:vAlign w:val="center"/>
          </w:tcPr>
          <w:p w14:paraId="113064F1" w14:textId="77777777" w:rsidR="00385D19" w:rsidRPr="005B2D12" w:rsidRDefault="00385D19">
            <w:pPr>
              <w:pStyle w:val="TableText0"/>
              <w:jc w:val="right"/>
              <w:rPr>
                <w:sz w:val="18"/>
                <w:szCs w:val="18"/>
              </w:rPr>
            </w:pPr>
            <w:r w:rsidRPr="005B2D12">
              <w:rPr>
                <w:sz w:val="18"/>
                <w:szCs w:val="18"/>
              </w:rPr>
              <w:t>1.66</w:t>
            </w:r>
          </w:p>
        </w:tc>
        <w:tc>
          <w:tcPr>
            <w:tcW w:w="551" w:type="pct"/>
            <w:vAlign w:val="center"/>
          </w:tcPr>
          <w:p w14:paraId="089D3DC2" w14:textId="77777777" w:rsidR="00385D19" w:rsidRPr="005B2D12" w:rsidRDefault="00385D19">
            <w:pPr>
              <w:pStyle w:val="TableText0"/>
              <w:jc w:val="right"/>
              <w:rPr>
                <w:sz w:val="18"/>
                <w:szCs w:val="18"/>
              </w:rPr>
            </w:pPr>
            <w:r w:rsidRPr="005B2D12">
              <w:rPr>
                <w:sz w:val="18"/>
                <w:szCs w:val="18"/>
              </w:rPr>
              <w:t>-</w:t>
            </w:r>
          </w:p>
        </w:tc>
        <w:tc>
          <w:tcPr>
            <w:tcW w:w="551" w:type="pct"/>
            <w:vAlign w:val="center"/>
          </w:tcPr>
          <w:p w14:paraId="1356E48A" w14:textId="77777777" w:rsidR="00385D19" w:rsidRPr="005B2D12" w:rsidRDefault="00385D19">
            <w:pPr>
              <w:pStyle w:val="TableText0"/>
              <w:jc w:val="right"/>
              <w:rPr>
                <w:sz w:val="18"/>
                <w:szCs w:val="18"/>
              </w:rPr>
            </w:pPr>
            <w:r w:rsidRPr="005B2D12">
              <w:rPr>
                <w:sz w:val="18"/>
                <w:szCs w:val="18"/>
              </w:rPr>
              <w:t>-</w:t>
            </w:r>
          </w:p>
        </w:tc>
        <w:tc>
          <w:tcPr>
            <w:tcW w:w="576" w:type="pct"/>
            <w:vAlign w:val="center"/>
          </w:tcPr>
          <w:p w14:paraId="078A4A4B" w14:textId="77777777" w:rsidR="00385D19" w:rsidRPr="005B2D12" w:rsidRDefault="00385D19">
            <w:pPr>
              <w:pStyle w:val="TableText0"/>
              <w:jc w:val="right"/>
              <w:rPr>
                <w:sz w:val="18"/>
                <w:szCs w:val="18"/>
              </w:rPr>
            </w:pPr>
            <w:r w:rsidRPr="005B2D12">
              <w:rPr>
                <w:sz w:val="18"/>
                <w:szCs w:val="18"/>
              </w:rPr>
              <w:t>-</w:t>
            </w:r>
          </w:p>
        </w:tc>
        <w:tc>
          <w:tcPr>
            <w:tcW w:w="576" w:type="pct"/>
            <w:vAlign w:val="center"/>
          </w:tcPr>
          <w:p w14:paraId="5F50CFA6" w14:textId="77777777" w:rsidR="00385D19" w:rsidRPr="005B2D12" w:rsidRDefault="00385D19">
            <w:pPr>
              <w:pStyle w:val="TableText0"/>
              <w:jc w:val="right"/>
              <w:rPr>
                <w:sz w:val="18"/>
                <w:szCs w:val="18"/>
              </w:rPr>
            </w:pPr>
            <w:r w:rsidRPr="005B2D12">
              <w:rPr>
                <w:sz w:val="18"/>
                <w:szCs w:val="18"/>
              </w:rPr>
              <w:t>-</w:t>
            </w:r>
          </w:p>
        </w:tc>
      </w:tr>
      <w:tr w:rsidR="00385D19" w:rsidRPr="005B2D12" w14:paraId="5C2D6FFC" w14:textId="77777777" w:rsidTr="001E0BC1">
        <w:tc>
          <w:tcPr>
            <w:tcW w:w="627" w:type="pct"/>
            <w:vAlign w:val="center"/>
          </w:tcPr>
          <w:p w14:paraId="039C9F9D" w14:textId="77777777" w:rsidR="00385D19" w:rsidRPr="005B2D12" w:rsidRDefault="00385D19">
            <w:pPr>
              <w:pStyle w:val="TableText0"/>
              <w:rPr>
                <w:b/>
                <w:bCs/>
                <w:sz w:val="18"/>
                <w:szCs w:val="18"/>
              </w:rPr>
            </w:pPr>
            <w:r>
              <w:rPr>
                <w:rFonts w:cstheme="minorHAnsi"/>
                <w:sz w:val="18"/>
                <w:szCs w:val="18"/>
              </w:rPr>
              <w:t>BST-CarGel</w:t>
            </w:r>
            <w:r w:rsidRPr="005B2D12">
              <w:rPr>
                <w:rFonts w:cstheme="minorHAnsi"/>
                <w:sz w:val="18"/>
                <w:szCs w:val="18"/>
              </w:rPr>
              <w:t xml:space="preserve"> +</w:t>
            </w:r>
            <w:r>
              <w:rPr>
                <w:rFonts w:cstheme="minorHAnsi"/>
                <w:sz w:val="18"/>
                <w:szCs w:val="18"/>
              </w:rPr>
              <w:t xml:space="preserve"> MF</w:t>
            </w:r>
          </w:p>
        </w:tc>
        <w:tc>
          <w:tcPr>
            <w:tcW w:w="470" w:type="pct"/>
            <w:vAlign w:val="center"/>
          </w:tcPr>
          <w:p w14:paraId="2AA408E7" w14:textId="77777777" w:rsidR="00385D19" w:rsidRPr="005B2D12" w:rsidRDefault="00385D19">
            <w:pPr>
              <w:pStyle w:val="TableText0"/>
              <w:jc w:val="right"/>
              <w:rPr>
                <w:sz w:val="18"/>
                <w:szCs w:val="18"/>
              </w:rPr>
            </w:pPr>
            <w:r w:rsidRPr="005B2D12">
              <w:rPr>
                <w:sz w:val="18"/>
                <w:szCs w:val="18"/>
              </w:rPr>
              <w:t>$12,758</w:t>
            </w:r>
          </w:p>
        </w:tc>
        <w:tc>
          <w:tcPr>
            <w:tcW w:w="550" w:type="pct"/>
            <w:vAlign w:val="center"/>
          </w:tcPr>
          <w:p w14:paraId="71F6489A" w14:textId="77777777" w:rsidR="00385D19" w:rsidRPr="005B2D12" w:rsidRDefault="00385D19">
            <w:pPr>
              <w:pStyle w:val="TableText0"/>
              <w:jc w:val="right"/>
              <w:rPr>
                <w:sz w:val="18"/>
                <w:szCs w:val="18"/>
              </w:rPr>
            </w:pPr>
            <w:r w:rsidRPr="005B2D12">
              <w:rPr>
                <w:sz w:val="18"/>
                <w:szCs w:val="18"/>
              </w:rPr>
              <w:t>-</w:t>
            </w:r>
          </w:p>
        </w:tc>
        <w:tc>
          <w:tcPr>
            <w:tcW w:w="550" w:type="pct"/>
            <w:vAlign w:val="center"/>
          </w:tcPr>
          <w:p w14:paraId="104C2F1D" w14:textId="77777777" w:rsidR="00385D19" w:rsidRPr="005B2D12" w:rsidRDefault="00385D19">
            <w:pPr>
              <w:pStyle w:val="TableText0"/>
              <w:jc w:val="right"/>
              <w:rPr>
                <w:sz w:val="18"/>
                <w:szCs w:val="18"/>
              </w:rPr>
            </w:pPr>
            <w:r w:rsidRPr="005B2D12">
              <w:rPr>
                <w:sz w:val="18"/>
                <w:szCs w:val="18"/>
              </w:rPr>
              <w:t>-</w:t>
            </w:r>
          </w:p>
        </w:tc>
        <w:tc>
          <w:tcPr>
            <w:tcW w:w="550" w:type="pct"/>
            <w:vAlign w:val="center"/>
          </w:tcPr>
          <w:p w14:paraId="55B8260E" w14:textId="77777777" w:rsidR="00385D19" w:rsidRPr="005B2D12" w:rsidRDefault="00385D19">
            <w:pPr>
              <w:pStyle w:val="TableText0"/>
              <w:jc w:val="right"/>
              <w:rPr>
                <w:sz w:val="18"/>
                <w:szCs w:val="18"/>
              </w:rPr>
            </w:pPr>
            <w:r w:rsidRPr="005B2D12">
              <w:rPr>
                <w:sz w:val="18"/>
                <w:szCs w:val="18"/>
              </w:rPr>
              <w:t>2.41</w:t>
            </w:r>
          </w:p>
        </w:tc>
        <w:tc>
          <w:tcPr>
            <w:tcW w:w="551" w:type="pct"/>
            <w:vAlign w:val="center"/>
          </w:tcPr>
          <w:p w14:paraId="1498BB9C" w14:textId="77777777" w:rsidR="00385D19" w:rsidRPr="005B2D12" w:rsidRDefault="00385D19">
            <w:pPr>
              <w:pStyle w:val="TableText0"/>
              <w:jc w:val="right"/>
              <w:rPr>
                <w:sz w:val="18"/>
                <w:szCs w:val="18"/>
              </w:rPr>
            </w:pPr>
            <w:r w:rsidRPr="005B2D12">
              <w:rPr>
                <w:sz w:val="18"/>
                <w:szCs w:val="18"/>
              </w:rPr>
              <w:t>-</w:t>
            </w:r>
          </w:p>
        </w:tc>
        <w:tc>
          <w:tcPr>
            <w:tcW w:w="551" w:type="pct"/>
            <w:vAlign w:val="center"/>
          </w:tcPr>
          <w:p w14:paraId="4261FEF4" w14:textId="77777777" w:rsidR="00385D19" w:rsidRPr="005B2D12" w:rsidRDefault="00385D19">
            <w:pPr>
              <w:pStyle w:val="TableText0"/>
              <w:jc w:val="right"/>
              <w:rPr>
                <w:sz w:val="18"/>
                <w:szCs w:val="18"/>
              </w:rPr>
            </w:pPr>
            <w:r w:rsidRPr="005B2D12">
              <w:rPr>
                <w:sz w:val="18"/>
                <w:szCs w:val="18"/>
              </w:rPr>
              <w:t>-</w:t>
            </w:r>
          </w:p>
        </w:tc>
        <w:tc>
          <w:tcPr>
            <w:tcW w:w="576" w:type="pct"/>
            <w:vAlign w:val="center"/>
          </w:tcPr>
          <w:p w14:paraId="447EA1B8" w14:textId="77777777" w:rsidR="00385D19" w:rsidRPr="005B2D12" w:rsidRDefault="00385D19">
            <w:pPr>
              <w:pStyle w:val="TableText0"/>
              <w:jc w:val="right"/>
              <w:rPr>
                <w:sz w:val="18"/>
                <w:szCs w:val="18"/>
              </w:rPr>
            </w:pPr>
            <w:r w:rsidRPr="005B2D12">
              <w:rPr>
                <w:sz w:val="18"/>
                <w:szCs w:val="18"/>
              </w:rPr>
              <w:t>-</w:t>
            </w:r>
          </w:p>
        </w:tc>
        <w:tc>
          <w:tcPr>
            <w:tcW w:w="576" w:type="pct"/>
            <w:vAlign w:val="center"/>
          </w:tcPr>
          <w:p w14:paraId="490EE9D5" w14:textId="77777777" w:rsidR="00385D19" w:rsidRPr="005B2D12" w:rsidRDefault="00385D19">
            <w:pPr>
              <w:pStyle w:val="TableText0"/>
              <w:jc w:val="right"/>
              <w:rPr>
                <w:sz w:val="18"/>
                <w:szCs w:val="18"/>
              </w:rPr>
            </w:pPr>
            <w:r w:rsidRPr="005B2D12">
              <w:rPr>
                <w:sz w:val="18"/>
                <w:szCs w:val="18"/>
              </w:rPr>
              <w:t>-</w:t>
            </w:r>
          </w:p>
        </w:tc>
      </w:tr>
    </w:tbl>
    <w:p w14:paraId="562E0E0E" w14:textId="77777777" w:rsidR="00385D19" w:rsidRPr="000D769D" w:rsidRDefault="00385D19" w:rsidP="00385D19">
      <w:pPr>
        <w:rPr>
          <w:rFonts w:ascii="Arial Narrow" w:hAnsi="Arial Narrow" w:cs="Arial"/>
          <w:sz w:val="18"/>
          <w:szCs w:val="18"/>
        </w:rPr>
      </w:pPr>
      <w:r w:rsidRPr="000D769D">
        <w:rPr>
          <w:rFonts w:ascii="Arial Narrow" w:hAnsi="Arial Narrow" w:cs="Arial"/>
          <w:sz w:val="18"/>
          <w:szCs w:val="18"/>
        </w:rPr>
        <w:t xml:space="preserve">Source: ADAR Table </w:t>
      </w:r>
      <w:r>
        <w:rPr>
          <w:rFonts w:ascii="Arial Narrow" w:hAnsi="Arial Narrow" w:cs="Arial"/>
          <w:sz w:val="18"/>
          <w:szCs w:val="18"/>
        </w:rPr>
        <w:t>27,</w:t>
      </w:r>
      <w:r w:rsidRPr="000D769D">
        <w:rPr>
          <w:rFonts w:ascii="Arial Narrow" w:hAnsi="Arial Narrow" w:cs="Arial"/>
          <w:sz w:val="18"/>
          <w:szCs w:val="18"/>
        </w:rPr>
        <w:t xml:space="preserve"> p.</w:t>
      </w:r>
      <w:r>
        <w:rPr>
          <w:rFonts w:ascii="Arial Narrow" w:hAnsi="Arial Narrow" w:cs="Arial"/>
          <w:sz w:val="18"/>
          <w:szCs w:val="18"/>
        </w:rPr>
        <w:t>83</w:t>
      </w:r>
    </w:p>
    <w:p w14:paraId="3FDE246D" w14:textId="37A7A626" w:rsidR="00385D19" w:rsidRPr="000529EF" w:rsidRDefault="008141AD" w:rsidP="00B94618">
      <w:pPr>
        <w:pStyle w:val="Tablenotes1"/>
      </w:pPr>
      <w:r>
        <w:t xml:space="preserve">Abbreviations: </w:t>
      </w:r>
      <w:r w:rsidR="00385D19" w:rsidRPr="00DB1C0F">
        <w:t>ICER</w:t>
      </w:r>
      <w:r w:rsidR="00385D19">
        <w:t xml:space="preserve"> </w:t>
      </w:r>
      <w:r w:rsidR="00385D19" w:rsidRPr="00DB1C0F">
        <w:t xml:space="preserve">= </w:t>
      </w:r>
      <w:r w:rsidR="00385D19">
        <w:t>i</w:t>
      </w:r>
      <w:r w:rsidR="00385D19" w:rsidRPr="00DB1C0F">
        <w:t xml:space="preserve">ncremental </w:t>
      </w:r>
      <w:r w:rsidR="00385D19">
        <w:t>c</w:t>
      </w:r>
      <w:r w:rsidR="00385D19" w:rsidRPr="00DB1C0F">
        <w:t>ost</w:t>
      </w:r>
      <w:r w:rsidR="00385D19">
        <w:t>-e</w:t>
      </w:r>
      <w:r w:rsidR="00385D19" w:rsidRPr="00DB1C0F">
        <w:t xml:space="preserve">ffectiveness </w:t>
      </w:r>
      <w:r w:rsidR="00385D19">
        <w:t>r</w:t>
      </w:r>
      <w:r w:rsidR="00385D19" w:rsidRPr="00DB1C0F">
        <w:t>atio</w:t>
      </w:r>
      <w:r w:rsidR="00385D19">
        <w:t>; MF = microfracture; QALY = quality-adjusted life year</w:t>
      </w:r>
    </w:p>
    <w:p w14:paraId="48282E4F" w14:textId="0CD8E5E1" w:rsidR="00385D19" w:rsidRDefault="00385D19" w:rsidP="00B94618">
      <w:r>
        <w:t xml:space="preserve">The </w:t>
      </w:r>
      <w:r w:rsidR="007851C1">
        <w:t xml:space="preserve">commentary considered that the </w:t>
      </w:r>
      <w:r>
        <w:t xml:space="preserve">costs </w:t>
      </w:r>
      <w:r w:rsidR="006D7DDE">
        <w:t>were</w:t>
      </w:r>
      <w:r>
        <w:t xml:space="preserve"> broadly reasonable, albeit with fairly limited consideration of downstream interventions required, and those </w:t>
      </w:r>
      <w:r w:rsidR="00F60730">
        <w:t>relying on</w:t>
      </w:r>
      <w:r>
        <w:t xml:space="preserve"> indirect data. The quality of the available data and the potential issues with applicability to the PICO population mean the claim of effectiveness is subject to considerable uncertainty and – as the WOMAC outcome measures drives the effectiveness measure of QALYs in the economic evaluation – </w:t>
      </w:r>
      <w:r>
        <w:lastRenderedPageBreak/>
        <w:t>the magnitude and direction of the incremental cost-effectiveness ratio (ICER) are similarly subject to considerable uncertainty.</w:t>
      </w:r>
    </w:p>
    <w:p w14:paraId="4E313316" w14:textId="3A679F79" w:rsidR="005E1FE6" w:rsidRDefault="00B62F4C" w:rsidP="00702B36">
      <w:pPr>
        <w:spacing w:before="240"/>
      </w:pPr>
      <w:r>
        <w:t>O</w:t>
      </w:r>
      <w:r w:rsidRPr="00AB3599">
        <w:t>ne-way sensitivity analyses (OWSA) w</w:t>
      </w:r>
      <w:r>
        <w:t>ere</w:t>
      </w:r>
      <w:r w:rsidRPr="00AB3599">
        <w:t xml:space="preserve"> conducted to identify the key drivers of the economic evaluation and </w:t>
      </w:r>
      <w:r>
        <w:t xml:space="preserve">to </w:t>
      </w:r>
      <w:r w:rsidRPr="00AB3599">
        <w:t>assess the impact of changing the parameter values on model results. The analys</w:t>
      </w:r>
      <w:r>
        <w:t>e</w:t>
      </w:r>
      <w:r w:rsidRPr="00AB3599">
        <w:t>s evaluated lower and upper bounds for each model parameter considered</w:t>
      </w:r>
      <w:r>
        <w:t>.</w:t>
      </w:r>
      <w:r w:rsidRPr="00AB3599">
        <w:t xml:space="preserve"> </w:t>
      </w:r>
      <w:r>
        <w:t>The model varied input</w:t>
      </w:r>
      <w:r w:rsidRPr="00AB3599">
        <w:t xml:space="preserve"> parameters by plus and minus 20% of the base</w:t>
      </w:r>
      <w:r>
        <w:t xml:space="preserve"> </w:t>
      </w:r>
      <w:r w:rsidRPr="00AB3599">
        <w:t>case parameter value</w:t>
      </w:r>
      <w:r>
        <w:t>. It was assumed that a range of 20% variation would capture deviation from the base case values.</w:t>
      </w:r>
      <w:r w:rsidRPr="00AB3599">
        <w:t xml:space="preserve"> The results of OWSA were plotted on a tornado diagram to provide a visual representation of </w:t>
      </w:r>
      <w:r>
        <w:t xml:space="preserve">sensitivity of model results to </w:t>
      </w:r>
      <w:r w:rsidRPr="00AB3599">
        <w:t>input parameters</w:t>
      </w:r>
      <w:r>
        <w:t xml:space="preserve">. </w:t>
      </w:r>
      <w:r w:rsidR="00385D19" w:rsidRPr="00183E4D">
        <w:t xml:space="preserve">The modelled results were sensitive to </w:t>
      </w:r>
      <w:r w:rsidR="00385D19">
        <w:t>utility inputs</w:t>
      </w:r>
      <w:r w:rsidR="00771AB8">
        <w:t xml:space="preserve"> and were not affected by</w:t>
      </w:r>
      <w:r w:rsidR="00C56B82">
        <w:t xml:space="preserve"> follow up vis</w:t>
      </w:r>
      <w:r w:rsidR="001C6A71">
        <w:t>i</w:t>
      </w:r>
      <w:r w:rsidR="00C56B82">
        <w:t>t costs</w:t>
      </w:r>
      <w:r w:rsidR="008C5EC7">
        <w:t xml:space="preserve"> (</w:t>
      </w:r>
      <w:r w:rsidR="00C56B82" w:rsidRPr="00C56B82">
        <w:fldChar w:fldCharType="begin"/>
      </w:r>
      <w:r w:rsidR="00C56B82" w:rsidRPr="00C56B82">
        <w:instrText xml:space="preserve"> REF _Ref48927297 \h  \* MERGEFORMAT </w:instrText>
      </w:r>
      <w:r w:rsidR="00C56B82" w:rsidRPr="00C56B82">
        <w:fldChar w:fldCharType="separate"/>
      </w:r>
      <w:r w:rsidR="00C56B82" w:rsidRPr="008B310A">
        <w:t>Figure 2</w:t>
      </w:r>
      <w:r w:rsidR="00C56B82" w:rsidRPr="00C56B82">
        <w:fldChar w:fldCharType="end"/>
      </w:r>
      <w:r w:rsidR="00C56B82" w:rsidRPr="00C56B82">
        <w:t>)</w:t>
      </w:r>
      <w:r w:rsidR="00385D19" w:rsidRPr="00C56B82">
        <w:t>.</w:t>
      </w:r>
    </w:p>
    <w:p w14:paraId="660B2DDC" w14:textId="0E4AEB38" w:rsidR="00C56B82" w:rsidRPr="00702B36" w:rsidRDefault="00C56B82" w:rsidP="00702B36">
      <w:pPr>
        <w:spacing w:before="240"/>
        <w:rPr>
          <w:rFonts w:ascii="Arial Narrow" w:hAnsi="Arial Narrow"/>
          <w:b/>
          <w:bCs/>
          <w:sz w:val="20"/>
        </w:rPr>
      </w:pPr>
      <w:r w:rsidRPr="00702B36">
        <w:rPr>
          <w:rFonts w:ascii="Arial Narrow" w:hAnsi="Arial Narrow"/>
          <w:b/>
          <w:bCs/>
          <w:sz w:val="20"/>
        </w:rPr>
        <w:t xml:space="preserve">Figure </w:t>
      </w:r>
      <w:r w:rsidR="009008D9" w:rsidRPr="00702B36">
        <w:rPr>
          <w:rFonts w:ascii="Arial Narrow" w:hAnsi="Arial Narrow"/>
          <w:b/>
          <w:bCs/>
          <w:sz w:val="20"/>
        </w:rPr>
        <w:fldChar w:fldCharType="begin"/>
      </w:r>
      <w:r w:rsidR="009008D9" w:rsidRPr="00702B36">
        <w:rPr>
          <w:rFonts w:ascii="Arial Narrow" w:hAnsi="Arial Narrow"/>
          <w:b/>
          <w:bCs/>
          <w:sz w:val="20"/>
        </w:rPr>
        <w:instrText xml:space="preserve"> SEQ Figure \* ARABIC </w:instrText>
      </w:r>
      <w:r w:rsidR="009008D9" w:rsidRPr="00702B36">
        <w:rPr>
          <w:rFonts w:ascii="Arial Narrow" w:hAnsi="Arial Narrow"/>
          <w:b/>
          <w:bCs/>
          <w:sz w:val="20"/>
        </w:rPr>
        <w:fldChar w:fldCharType="separate"/>
      </w:r>
      <w:r w:rsidRPr="00702B36">
        <w:rPr>
          <w:rFonts w:ascii="Arial Narrow" w:hAnsi="Arial Narrow"/>
          <w:b/>
          <w:bCs/>
          <w:sz w:val="20"/>
        </w:rPr>
        <w:t>2</w:t>
      </w:r>
      <w:r w:rsidR="009008D9" w:rsidRPr="00702B36">
        <w:rPr>
          <w:rFonts w:ascii="Arial Narrow" w:hAnsi="Arial Narrow"/>
          <w:b/>
          <w:bCs/>
          <w:sz w:val="20"/>
        </w:rPr>
        <w:fldChar w:fldCharType="end"/>
      </w:r>
      <w:bookmarkStart w:id="13" w:name="_Hlk52868912"/>
      <w:r w:rsidRPr="00702B36">
        <w:rPr>
          <w:rFonts w:ascii="Arial Narrow" w:hAnsi="Arial Narrow"/>
          <w:b/>
          <w:bCs/>
          <w:sz w:val="20"/>
        </w:rPr>
        <w:tab/>
        <w:t>OWSA results for comparator (microfracture alone) and outcome (ICER)</w:t>
      </w:r>
      <w:bookmarkEnd w:id="13"/>
      <w:r w:rsidR="001C6A71" w:rsidRPr="001C6A71">
        <w:rPr>
          <w:noProof/>
        </w:rPr>
        <w:t xml:space="preserve"> </w:t>
      </w:r>
      <w:r w:rsidR="001C6A71">
        <w:rPr>
          <w:noProof/>
        </w:rPr>
        <w:drawing>
          <wp:inline distT="0" distB="0" distL="0" distR="0" wp14:anchorId="34E911D5" wp14:editId="2A5ABA49">
            <wp:extent cx="5731510" cy="3258185"/>
            <wp:effectExtent l="0" t="0" r="2540" b="18415"/>
            <wp:docPr id="1" name="Chart 1" descr="OWSA results for comparator (microfracture alone) and outcome (ICER)">
              <a:extLst xmlns:a="http://schemas.openxmlformats.org/drawingml/2006/main">
                <a:ext uri="{FF2B5EF4-FFF2-40B4-BE49-F238E27FC236}">
                  <a16:creationId xmlns:a16="http://schemas.microsoft.com/office/drawing/2014/main" id="{D8B313BC-D2D9-4232-A45F-8129F4FAF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EB4B34" w14:textId="677884FD" w:rsidR="00C56B82" w:rsidRPr="00801509" w:rsidRDefault="00C56B82" w:rsidP="00C56B82">
      <w:pPr>
        <w:rPr>
          <w:rFonts w:ascii="Arial Narrow" w:hAnsi="Arial Narrow" w:cs="Arial"/>
          <w:sz w:val="18"/>
          <w:szCs w:val="18"/>
          <w:vertAlign w:val="superscript"/>
        </w:rPr>
      </w:pPr>
      <w:r w:rsidRPr="000D769D">
        <w:rPr>
          <w:rFonts w:ascii="Arial Narrow" w:hAnsi="Arial Narrow" w:cs="Arial"/>
          <w:sz w:val="18"/>
          <w:szCs w:val="18"/>
        </w:rPr>
        <w:t xml:space="preserve">Source: </w:t>
      </w:r>
      <w:r w:rsidR="001C6A71" w:rsidRPr="00801509">
        <w:rPr>
          <w:rFonts w:ascii="Arial Narrow" w:hAnsi="Arial Narrow" w:cs="Arial"/>
          <w:i/>
          <w:sz w:val="18"/>
          <w:szCs w:val="18"/>
        </w:rPr>
        <w:t>Compiled from ADAR economic model</w:t>
      </w:r>
      <w:r w:rsidR="001C6A71">
        <w:rPr>
          <w:rFonts w:ascii="Arial Narrow" w:hAnsi="Arial Narrow" w:cs="Arial"/>
          <w:i/>
          <w:sz w:val="18"/>
          <w:szCs w:val="18"/>
          <w:vertAlign w:val="superscript"/>
        </w:rPr>
        <w:t>a</w:t>
      </w:r>
    </w:p>
    <w:p w14:paraId="23CAD436" w14:textId="6DCEBB8E" w:rsidR="001C6A71" w:rsidRDefault="00C56B82" w:rsidP="00801509">
      <w:pPr>
        <w:rPr>
          <w:rFonts w:ascii="Arial Narrow" w:hAnsi="Arial Narrow" w:cs="Arial"/>
          <w:sz w:val="18"/>
          <w:szCs w:val="18"/>
        </w:rPr>
      </w:pPr>
      <w:r>
        <w:rPr>
          <w:rFonts w:ascii="Arial Narrow" w:hAnsi="Arial Narrow" w:cs="Arial"/>
          <w:sz w:val="18"/>
          <w:szCs w:val="18"/>
        </w:rPr>
        <w:t xml:space="preserve">Abbreviations: </w:t>
      </w:r>
      <w:r w:rsidRPr="00525D29">
        <w:rPr>
          <w:rFonts w:ascii="Arial Narrow" w:hAnsi="Arial Narrow" w:cs="Arial"/>
          <w:sz w:val="18"/>
          <w:szCs w:val="18"/>
        </w:rPr>
        <w:t>ICER</w:t>
      </w:r>
      <w:r>
        <w:rPr>
          <w:rFonts w:ascii="Arial Narrow" w:hAnsi="Arial Narrow" w:cs="Arial"/>
          <w:sz w:val="18"/>
          <w:szCs w:val="18"/>
        </w:rPr>
        <w:t xml:space="preserve"> </w:t>
      </w:r>
      <w:r w:rsidRPr="00525D29">
        <w:rPr>
          <w:rFonts w:ascii="Arial Narrow" w:hAnsi="Arial Narrow" w:cs="Arial"/>
          <w:sz w:val="18"/>
          <w:szCs w:val="18"/>
        </w:rPr>
        <w:t xml:space="preserve">= </w:t>
      </w:r>
      <w:r>
        <w:rPr>
          <w:rFonts w:ascii="Arial Narrow" w:hAnsi="Arial Narrow" w:cs="Arial"/>
          <w:sz w:val="18"/>
          <w:szCs w:val="18"/>
        </w:rPr>
        <w:t>i</w:t>
      </w:r>
      <w:r w:rsidRPr="00525D29">
        <w:rPr>
          <w:rFonts w:ascii="Arial Narrow" w:hAnsi="Arial Narrow" w:cs="Arial"/>
          <w:sz w:val="18"/>
          <w:szCs w:val="18"/>
        </w:rPr>
        <w:t xml:space="preserve">ncremental </w:t>
      </w:r>
      <w:r>
        <w:rPr>
          <w:rFonts w:ascii="Arial Narrow" w:hAnsi="Arial Narrow" w:cs="Arial"/>
          <w:sz w:val="18"/>
          <w:szCs w:val="18"/>
        </w:rPr>
        <w:t>c</w:t>
      </w:r>
      <w:r w:rsidRPr="00525D29">
        <w:rPr>
          <w:rFonts w:ascii="Arial Narrow" w:hAnsi="Arial Narrow" w:cs="Arial"/>
          <w:sz w:val="18"/>
          <w:szCs w:val="18"/>
        </w:rPr>
        <w:t>ost</w:t>
      </w:r>
      <w:r>
        <w:rPr>
          <w:rFonts w:ascii="Arial Narrow" w:hAnsi="Arial Narrow" w:cs="Arial"/>
          <w:sz w:val="18"/>
          <w:szCs w:val="18"/>
        </w:rPr>
        <w:t>-e</w:t>
      </w:r>
      <w:r w:rsidRPr="00525D29">
        <w:rPr>
          <w:rFonts w:ascii="Arial Narrow" w:hAnsi="Arial Narrow" w:cs="Arial"/>
          <w:sz w:val="18"/>
          <w:szCs w:val="18"/>
        </w:rPr>
        <w:t xml:space="preserve">ffectiveness </w:t>
      </w:r>
      <w:r>
        <w:rPr>
          <w:rFonts w:ascii="Arial Narrow" w:hAnsi="Arial Narrow" w:cs="Arial"/>
          <w:sz w:val="18"/>
          <w:szCs w:val="18"/>
        </w:rPr>
        <w:t>r</w:t>
      </w:r>
      <w:r w:rsidRPr="00525D29">
        <w:rPr>
          <w:rFonts w:ascii="Arial Narrow" w:hAnsi="Arial Narrow" w:cs="Arial"/>
          <w:sz w:val="18"/>
          <w:szCs w:val="18"/>
        </w:rPr>
        <w:t xml:space="preserve">atio; </w:t>
      </w:r>
      <w:r>
        <w:rPr>
          <w:rFonts w:ascii="Arial Narrow" w:hAnsi="Arial Narrow" w:cs="Arial"/>
          <w:sz w:val="18"/>
          <w:szCs w:val="18"/>
        </w:rPr>
        <w:t xml:space="preserve">OWSA = one-way sensitivity analyses; </w:t>
      </w:r>
      <w:r w:rsidRPr="00525D29">
        <w:rPr>
          <w:rFonts w:ascii="Arial Narrow" w:hAnsi="Arial Narrow" w:cs="Arial"/>
          <w:sz w:val="18"/>
          <w:szCs w:val="18"/>
        </w:rPr>
        <w:t>TKA</w:t>
      </w:r>
      <w:r>
        <w:rPr>
          <w:rFonts w:ascii="Arial Narrow" w:hAnsi="Arial Narrow" w:cs="Arial"/>
          <w:sz w:val="18"/>
          <w:szCs w:val="18"/>
        </w:rPr>
        <w:t xml:space="preserve"> </w:t>
      </w:r>
      <w:r w:rsidRPr="00525D29">
        <w:rPr>
          <w:rFonts w:ascii="Arial Narrow" w:hAnsi="Arial Narrow" w:cs="Arial"/>
          <w:sz w:val="18"/>
          <w:szCs w:val="18"/>
        </w:rPr>
        <w:t xml:space="preserve">= </w:t>
      </w:r>
      <w:r>
        <w:rPr>
          <w:rFonts w:ascii="Arial Narrow" w:hAnsi="Arial Narrow" w:cs="Arial"/>
          <w:sz w:val="18"/>
          <w:szCs w:val="18"/>
        </w:rPr>
        <w:t>t</w:t>
      </w:r>
      <w:r w:rsidRPr="00525D29">
        <w:rPr>
          <w:rFonts w:ascii="Arial Narrow" w:hAnsi="Arial Narrow" w:cs="Arial"/>
          <w:sz w:val="18"/>
          <w:szCs w:val="18"/>
        </w:rPr>
        <w:t xml:space="preserve">otal </w:t>
      </w:r>
      <w:r>
        <w:rPr>
          <w:rFonts w:ascii="Arial Narrow" w:hAnsi="Arial Narrow" w:cs="Arial"/>
          <w:sz w:val="18"/>
          <w:szCs w:val="18"/>
        </w:rPr>
        <w:t>k</w:t>
      </w:r>
      <w:r w:rsidRPr="00525D29">
        <w:rPr>
          <w:rFonts w:ascii="Arial Narrow" w:hAnsi="Arial Narrow" w:cs="Arial"/>
          <w:sz w:val="18"/>
          <w:szCs w:val="18"/>
        </w:rPr>
        <w:t xml:space="preserve">nee </w:t>
      </w:r>
      <w:r>
        <w:rPr>
          <w:rFonts w:ascii="Arial Narrow" w:hAnsi="Arial Narrow" w:cs="Arial"/>
          <w:sz w:val="18"/>
          <w:szCs w:val="18"/>
        </w:rPr>
        <w:t>a</w:t>
      </w:r>
      <w:r w:rsidRPr="00525D29">
        <w:rPr>
          <w:rFonts w:ascii="Arial Narrow" w:hAnsi="Arial Narrow" w:cs="Arial"/>
          <w:sz w:val="18"/>
          <w:szCs w:val="18"/>
        </w:rPr>
        <w:t>rthroplasty</w:t>
      </w:r>
    </w:p>
    <w:p w14:paraId="2EFE2D93" w14:textId="44EC3471" w:rsidR="001C6A71" w:rsidRPr="00801509" w:rsidRDefault="001C6A71" w:rsidP="00702B36">
      <w:pPr>
        <w:spacing w:after="240"/>
        <w:rPr>
          <w:rFonts w:ascii="Arial Narrow" w:hAnsi="Arial Narrow" w:cs="Arial"/>
          <w:i/>
          <w:sz w:val="18"/>
          <w:szCs w:val="18"/>
        </w:rPr>
      </w:pPr>
      <w:r w:rsidRPr="00801509">
        <w:rPr>
          <w:rFonts w:ascii="Arial Narrow" w:hAnsi="Arial Narrow" w:cs="Arial"/>
          <w:i/>
          <w:sz w:val="18"/>
          <w:szCs w:val="18"/>
          <w:vertAlign w:val="superscript"/>
        </w:rPr>
        <w:t xml:space="preserve">a </w:t>
      </w:r>
      <w:r w:rsidRPr="00801509">
        <w:rPr>
          <w:rFonts w:ascii="Arial Narrow" w:hAnsi="Arial Narrow" w:cs="Arial"/>
          <w:i/>
          <w:sz w:val="18"/>
          <w:szCs w:val="18"/>
        </w:rPr>
        <w:t>The OWSA for</w:t>
      </w:r>
      <w:r w:rsidR="008C5EC7" w:rsidRPr="00801509">
        <w:rPr>
          <w:rFonts w:ascii="Arial Narrow" w:hAnsi="Arial Narrow" w:cs="Arial"/>
          <w:i/>
          <w:sz w:val="18"/>
          <w:szCs w:val="18"/>
        </w:rPr>
        <w:t xml:space="preserve"> the proportion of patients receiving TKA in both model arms were removed as the base case value was 0%, and thus there was no variation in the upper and lower estimates which varied plus and minus 20% of the base-case parameter value</w:t>
      </w:r>
    </w:p>
    <w:p w14:paraId="253DB908" w14:textId="2D4017ED" w:rsidR="00DF59A8" w:rsidRDefault="008C2D5D" w:rsidP="007851C1">
      <w:r>
        <w:t>S</w:t>
      </w:r>
      <w:r w:rsidRPr="0080490A">
        <w:t xml:space="preserve">everal scenario analyses were performed to understand the effect of various model settings or assumptions of the analysis on model results. </w:t>
      </w:r>
      <w:r>
        <w:t xml:space="preserve">The results showed that including one patient with TKA in the intervention arm (base case </w:t>
      </w:r>
      <w:r w:rsidR="008B310A">
        <w:t xml:space="preserve">model </w:t>
      </w:r>
      <w:r>
        <w:t xml:space="preserve">did not include patients with TKA in </w:t>
      </w:r>
      <w:r w:rsidR="008B310A">
        <w:t>either model arm</w:t>
      </w:r>
      <w:r>
        <w:t>) and excluding patients with lesion size ≤ 2 cm</w:t>
      </w:r>
      <w:r>
        <w:rPr>
          <w:vertAlign w:val="superscript"/>
        </w:rPr>
        <w:t xml:space="preserve">2 </w:t>
      </w:r>
      <w:r>
        <w:t xml:space="preserve">yielded only a small increase in the ICER, and the remaining </w:t>
      </w:r>
      <w:r w:rsidR="00385D19">
        <w:t>alternat</w:t>
      </w:r>
      <w:r w:rsidR="00B65635">
        <w:t>ive scenarios</w:t>
      </w:r>
      <w:r w:rsidR="00385D19">
        <w:t xml:space="preserve"> yielded a decreased ICER relative to the base case analysis </w:t>
      </w:r>
      <w:r w:rsidR="00385D19" w:rsidRPr="007851C1">
        <w:t>(</w:t>
      </w:r>
      <w:r w:rsidR="00385D19" w:rsidRPr="000126E2">
        <w:rPr>
          <w:highlight w:val="yellow"/>
        </w:rPr>
        <w:fldChar w:fldCharType="begin"/>
      </w:r>
      <w:r w:rsidR="00385D19" w:rsidRPr="007851C1">
        <w:instrText xml:space="preserve"> REF _Ref68627877 \h </w:instrText>
      </w:r>
      <w:r w:rsidR="00385D19" w:rsidRPr="007851C1">
        <w:rPr>
          <w:highlight w:val="yellow"/>
        </w:rPr>
        <w:instrText xml:space="preserve"> \* MERGEFORMAT </w:instrText>
      </w:r>
      <w:r w:rsidR="00385D19" w:rsidRPr="000126E2">
        <w:rPr>
          <w:highlight w:val="yellow"/>
        </w:rPr>
      </w:r>
      <w:r w:rsidR="00385D19" w:rsidRPr="000126E2">
        <w:rPr>
          <w:highlight w:val="yellow"/>
        </w:rPr>
        <w:fldChar w:fldCharType="separate"/>
      </w:r>
      <w:r w:rsidR="007851C1" w:rsidRPr="00083F63">
        <w:t xml:space="preserve">Table </w:t>
      </w:r>
      <w:r w:rsidR="007851C1">
        <w:t>7</w:t>
      </w:r>
      <w:r w:rsidR="00385D19" w:rsidRPr="000126E2">
        <w:rPr>
          <w:highlight w:val="yellow"/>
        </w:rPr>
        <w:fldChar w:fldCharType="end"/>
      </w:r>
      <w:r w:rsidR="00385D19" w:rsidRPr="007851C1">
        <w:t>).</w:t>
      </w:r>
    </w:p>
    <w:p w14:paraId="3E3A8AA5" w14:textId="389DD499" w:rsidR="00385D19" w:rsidRPr="00083F63" w:rsidRDefault="00385D19" w:rsidP="00385D19">
      <w:pPr>
        <w:pStyle w:val="Caption"/>
      </w:pPr>
      <w:bookmarkStart w:id="14" w:name="_Ref68627877"/>
      <w:r w:rsidRPr="00083F63">
        <w:lastRenderedPageBreak/>
        <w:t xml:space="preserve">Table </w:t>
      </w:r>
      <w:r w:rsidR="00875DA4">
        <w:fldChar w:fldCharType="begin"/>
      </w:r>
      <w:r w:rsidR="00875DA4">
        <w:instrText xml:space="preserve"> SEQ Table \* ARABIC </w:instrText>
      </w:r>
      <w:r w:rsidR="00875DA4">
        <w:fldChar w:fldCharType="separate"/>
      </w:r>
      <w:r w:rsidR="00C40DAF">
        <w:rPr>
          <w:noProof/>
        </w:rPr>
        <w:t>8</w:t>
      </w:r>
      <w:r w:rsidR="00875DA4">
        <w:rPr>
          <w:noProof/>
        </w:rPr>
        <w:fldChar w:fldCharType="end"/>
      </w:r>
      <w:bookmarkEnd w:id="14"/>
      <w:r w:rsidRPr="00083F63">
        <w:tab/>
        <w:t>Scenario analysis results for comparator, microfracture alone</w:t>
      </w:r>
    </w:p>
    <w:tbl>
      <w:tblPr>
        <w:tblStyle w:val="TableGrid1"/>
        <w:tblW w:w="5000" w:type="pct"/>
        <w:tblLook w:val="0420" w:firstRow="1" w:lastRow="0" w:firstColumn="0" w:lastColumn="0" w:noHBand="0" w:noVBand="1"/>
        <w:tblCaption w:val="Scenario analysis results for comparator microfracture alone"/>
        <w:tblDescription w:val="This table outlines the base case setting and value, scenario setting and value, incremental cost-effectiveness ratio and percentage change from base case ICER for patients with or without total knee arthroplasty and undergoing reoperation."/>
      </w:tblPr>
      <w:tblGrid>
        <w:gridCol w:w="2266"/>
        <w:gridCol w:w="3258"/>
        <w:gridCol w:w="1985"/>
        <w:gridCol w:w="1507"/>
      </w:tblGrid>
      <w:tr w:rsidR="00385D19" w:rsidRPr="00243F9F" w14:paraId="2AC8C948" w14:textId="77777777" w:rsidTr="00ED48D4">
        <w:trPr>
          <w:cnfStyle w:val="100000000000" w:firstRow="1" w:lastRow="0" w:firstColumn="0" w:lastColumn="0" w:oddVBand="0" w:evenVBand="0" w:oddHBand="0" w:evenHBand="0" w:firstRowFirstColumn="0" w:firstRowLastColumn="0" w:lastRowFirstColumn="0" w:lastRowLastColumn="0"/>
          <w:trHeight w:val="20"/>
        </w:trPr>
        <w:tc>
          <w:tcPr>
            <w:tcW w:w="1256" w:type="pct"/>
            <w:hideMark/>
          </w:tcPr>
          <w:p w14:paraId="66E5B39B" w14:textId="77777777" w:rsidR="00385D19" w:rsidRPr="00243F9F" w:rsidRDefault="00385D19" w:rsidP="00B94618">
            <w:pPr>
              <w:pStyle w:val="TableHeading"/>
              <w:ind w:left="0" w:firstLine="0"/>
            </w:pPr>
            <w:r w:rsidRPr="00243F9F">
              <w:rPr>
                <w:lang w:val="en-IN"/>
              </w:rPr>
              <w:t xml:space="preserve">Base </w:t>
            </w:r>
            <w:r>
              <w:rPr>
                <w:lang w:val="en-IN"/>
              </w:rPr>
              <w:t>c</w:t>
            </w:r>
            <w:r w:rsidRPr="00243F9F">
              <w:rPr>
                <w:lang w:val="en-IN"/>
              </w:rPr>
              <w:t xml:space="preserve">ase </w:t>
            </w:r>
            <w:r>
              <w:rPr>
                <w:lang w:val="en-IN"/>
              </w:rPr>
              <w:t>s</w:t>
            </w:r>
            <w:r w:rsidRPr="00243F9F">
              <w:rPr>
                <w:lang w:val="en-IN"/>
              </w:rPr>
              <w:t>etting/</w:t>
            </w:r>
            <w:r>
              <w:rPr>
                <w:lang w:val="en-IN"/>
              </w:rPr>
              <w:t xml:space="preserve"> v</w:t>
            </w:r>
            <w:r w:rsidRPr="00243F9F">
              <w:rPr>
                <w:lang w:val="en-IN"/>
              </w:rPr>
              <w:t>alue</w:t>
            </w:r>
          </w:p>
        </w:tc>
        <w:tc>
          <w:tcPr>
            <w:tcW w:w="1807" w:type="pct"/>
            <w:hideMark/>
          </w:tcPr>
          <w:p w14:paraId="15282F15" w14:textId="77777777" w:rsidR="00385D19" w:rsidRPr="00243F9F" w:rsidRDefault="00385D19" w:rsidP="00B94618">
            <w:pPr>
              <w:pStyle w:val="TableHeading"/>
              <w:ind w:left="0" w:firstLine="0"/>
            </w:pPr>
            <w:r w:rsidRPr="00243F9F">
              <w:rPr>
                <w:lang w:val="en-IN"/>
              </w:rPr>
              <w:t xml:space="preserve">Scenario </w:t>
            </w:r>
            <w:r>
              <w:rPr>
                <w:lang w:val="en-IN"/>
              </w:rPr>
              <w:t>s</w:t>
            </w:r>
            <w:r w:rsidRPr="00243F9F">
              <w:rPr>
                <w:lang w:val="en-IN"/>
              </w:rPr>
              <w:t>etting/</w:t>
            </w:r>
            <w:r>
              <w:rPr>
                <w:lang w:val="en-IN"/>
              </w:rPr>
              <w:t xml:space="preserve"> v</w:t>
            </w:r>
            <w:r w:rsidRPr="00243F9F">
              <w:rPr>
                <w:lang w:val="en-IN"/>
              </w:rPr>
              <w:t>alue</w:t>
            </w:r>
          </w:p>
        </w:tc>
        <w:tc>
          <w:tcPr>
            <w:tcW w:w="1101" w:type="pct"/>
            <w:hideMark/>
          </w:tcPr>
          <w:p w14:paraId="41A2F013" w14:textId="77777777" w:rsidR="00385D19" w:rsidRPr="00243F9F" w:rsidRDefault="00385D19" w:rsidP="00B94618">
            <w:pPr>
              <w:pStyle w:val="TableHeading"/>
              <w:ind w:left="0" w:firstLine="0"/>
            </w:pPr>
            <w:r w:rsidRPr="00243F9F">
              <w:t>ICER</w:t>
            </w:r>
          </w:p>
        </w:tc>
        <w:tc>
          <w:tcPr>
            <w:tcW w:w="836" w:type="pct"/>
          </w:tcPr>
          <w:p w14:paraId="22E0F2A1" w14:textId="77777777" w:rsidR="00385D19" w:rsidRPr="00243F9F" w:rsidRDefault="00385D19" w:rsidP="00B94618">
            <w:pPr>
              <w:pStyle w:val="TableHeading"/>
              <w:ind w:left="0" w:firstLine="0"/>
            </w:pPr>
            <w:r w:rsidRPr="00243F9F">
              <w:t>% change from base case ICER</w:t>
            </w:r>
          </w:p>
        </w:tc>
      </w:tr>
      <w:tr w:rsidR="00385D19" w:rsidRPr="00243F9F" w14:paraId="6DE8AD8B" w14:textId="77777777" w:rsidTr="00ED48D4">
        <w:trPr>
          <w:trHeight w:val="226"/>
        </w:trPr>
        <w:tc>
          <w:tcPr>
            <w:tcW w:w="1256" w:type="pct"/>
            <w:hideMark/>
          </w:tcPr>
          <w:p w14:paraId="73DE8ADF" w14:textId="77777777" w:rsidR="00385D19" w:rsidRPr="00BE64D7" w:rsidRDefault="00385D19" w:rsidP="00B94618">
            <w:pPr>
              <w:pStyle w:val="TableHeading"/>
              <w:ind w:left="0" w:firstLine="0"/>
              <w:rPr>
                <w:b w:val="0"/>
                <w:szCs w:val="22"/>
                <w:lang w:val="en-IN" w:eastAsia="en-US"/>
              </w:rPr>
            </w:pPr>
            <w:r w:rsidRPr="00BE64D7">
              <w:rPr>
                <w:b w:val="0"/>
                <w:szCs w:val="22"/>
                <w:lang w:val="en-IN" w:eastAsia="en-US"/>
              </w:rPr>
              <w:t>Base case</w:t>
            </w:r>
          </w:p>
        </w:tc>
        <w:tc>
          <w:tcPr>
            <w:tcW w:w="1807" w:type="pct"/>
            <w:hideMark/>
          </w:tcPr>
          <w:p w14:paraId="3B82844C" w14:textId="77777777" w:rsidR="00385D19" w:rsidRPr="00BE64D7" w:rsidRDefault="00385D19" w:rsidP="00B94618">
            <w:pPr>
              <w:pStyle w:val="TableHeading"/>
              <w:ind w:left="0" w:firstLine="0"/>
              <w:rPr>
                <w:b w:val="0"/>
                <w:szCs w:val="22"/>
                <w:lang w:val="en-IN" w:eastAsia="en-US"/>
              </w:rPr>
            </w:pPr>
            <w:r w:rsidRPr="00BE64D7">
              <w:rPr>
                <w:b w:val="0"/>
                <w:szCs w:val="22"/>
                <w:lang w:val="en-IN" w:eastAsia="en-US"/>
              </w:rPr>
              <w:t>NA</w:t>
            </w:r>
          </w:p>
        </w:tc>
        <w:tc>
          <w:tcPr>
            <w:tcW w:w="1101" w:type="pct"/>
            <w:hideMark/>
          </w:tcPr>
          <w:p w14:paraId="191A380B" w14:textId="77777777" w:rsidR="00385D19" w:rsidRPr="00BE64D7" w:rsidRDefault="00385D19" w:rsidP="00B94618">
            <w:pPr>
              <w:pStyle w:val="TableHeading"/>
              <w:ind w:left="0" w:firstLine="0"/>
              <w:rPr>
                <w:b w:val="0"/>
                <w:szCs w:val="22"/>
                <w:lang w:val="en-IN" w:eastAsia="en-US"/>
              </w:rPr>
            </w:pPr>
            <w:r w:rsidRPr="00BE64D7">
              <w:rPr>
                <w:b w:val="0"/>
                <w:szCs w:val="22"/>
                <w:lang w:val="en-IN" w:eastAsia="en-US"/>
              </w:rPr>
              <w:t>$6,329</w:t>
            </w:r>
          </w:p>
        </w:tc>
        <w:tc>
          <w:tcPr>
            <w:tcW w:w="836" w:type="pct"/>
          </w:tcPr>
          <w:p w14:paraId="1DE4CF12" w14:textId="77777777" w:rsidR="00385D19" w:rsidRPr="00BE64D7" w:rsidRDefault="00385D19" w:rsidP="00B94618">
            <w:pPr>
              <w:pStyle w:val="TableHeading"/>
              <w:ind w:left="0" w:firstLine="0"/>
              <w:rPr>
                <w:b w:val="0"/>
                <w:szCs w:val="22"/>
                <w:lang w:val="en-IN" w:eastAsia="en-US"/>
              </w:rPr>
            </w:pPr>
            <w:r w:rsidRPr="00BE64D7">
              <w:rPr>
                <w:b w:val="0"/>
                <w:szCs w:val="22"/>
                <w:lang w:val="en-IN" w:eastAsia="en-US"/>
              </w:rPr>
              <w:t>NA</w:t>
            </w:r>
          </w:p>
        </w:tc>
      </w:tr>
      <w:tr w:rsidR="00385D19" w:rsidRPr="00243F9F" w14:paraId="703C2A12" w14:textId="77777777" w:rsidTr="00ED48D4">
        <w:trPr>
          <w:trHeight w:val="226"/>
        </w:trPr>
        <w:tc>
          <w:tcPr>
            <w:tcW w:w="1256" w:type="pct"/>
          </w:tcPr>
          <w:p w14:paraId="12569CB1" w14:textId="77777777" w:rsidR="00385D19" w:rsidRPr="003809F1" w:rsidRDefault="00385D19" w:rsidP="00B94618">
            <w:pPr>
              <w:pStyle w:val="TableText0"/>
              <w:rPr>
                <w:lang w:val="en-IN"/>
              </w:rPr>
            </w:pPr>
            <w:r>
              <w:rPr>
                <w:lang w:val="en-IN"/>
              </w:rPr>
              <w:t>Not including patients with TKA in the analysis</w:t>
            </w:r>
          </w:p>
        </w:tc>
        <w:tc>
          <w:tcPr>
            <w:tcW w:w="1807" w:type="pct"/>
          </w:tcPr>
          <w:p w14:paraId="1FC5FB0F" w14:textId="77777777" w:rsidR="00385D19" w:rsidRPr="003809F1" w:rsidRDefault="00385D19" w:rsidP="00B94618">
            <w:pPr>
              <w:pStyle w:val="TableText0"/>
              <w:rPr>
                <w:lang w:val="en-IN"/>
              </w:rPr>
            </w:pPr>
            <w:r>
              <w:rPr>
                <w:lang w:val="en-IN"/>
              </w:rPr>
              <w:t>Including one patient with TKA in JointRep + MF arm</w:t>
            </w:r>
          </w:p>
        </w:tc>
        <w:tc>
          <w:tcPr>
            <w:tcW w:w="1101" w:type="pct"/>
          </w:tcPr>
          <w:p w14:paraId="093D303D" w14:textId="77777777" w:rsidR="00385D19" w:rsidRPr="003809F1" w:rsidRDefault="00385D19" w:rsidP="00B94618">
            <w:pPr>
              <w:pStyle w:val="TableText0"/>
              <w:rPr>
                <w:lang w:val="en-IN"/>
              </w:rPr>
            </w:pPr>
            <w:r>
              <w:rPr>
                <w:lang w:val="en-IN"/>
              </w:rPr>
              <w:t>$6,814</w:t>
            </w:r>
          </w:p>
        </w:tc>
        <w:tc>
          <w:tcPr>
            <w:tcW w:w="836" w:type="pct"/>
          </w:tcPr>
          <w:p w14:paraId="0B705A12" w14:textId="77777777" w:rsidR="00385D19" w:rsidRPr="003809F1" w:rsidRDefault="00385D19">
            <w:pPr>
              <w:pStyle w:val="TableText0"/>
              <w:rPr>
                <w:lang w:val="en-IN"/>
              </w:rPr>
            </w:pPr>
            <w:r>
              <w:rPr>
                <w:lang w:val="en-IN"/>
              </w:rPr>
              <w:t>8%</w:t>
            </w:r>
          </w:p>
        </w:tc>
      </w:tr>
      <w:tr w:rsidR="00385D19" w:rsidRPr="00243F9F" w14:paraId="68EA6D5C" w14:textId="77777777" w:rsidTr="00ED48D4">
        <w:trPr>
          <w:trHeight w:val="226"/>
        </w:trPr>
        <w:tc>
          <w:tcPr>
            <w:tcW w:w="1256" w:type="pct"/>
          </w:tcPr>
          <w:p w14:paraId="4F26E3F5" w14:textId="77777777" w:rsidR="00385D19" w:rsidRDefault="00385D19" w:rsidP="00B94618">
            <w:pPr>
              <w:pStyle w:val="TableText0"/>
              <w:rPr>
                <w:lang w:val="en-IN"/>
              </w:rPr>
            </w:pPr>
            <w:r>
              <w:rPr>
                <w:lang w:val="en-IN"/>
              </w:rPr>
              <w:t>Including all patients from Pipino et al. (2019) study</w:t>
            </w:r>
          </w:p>
        </w:tc>
        <w:tc>
          <w:tcPr>
            <w:tcW w:w="1807" w:type="pct"/>
          </w:tcPr>
          <w:p w14:paraId="22040BBE" w14:textId="77777777" w:rsidR="00385D19" w:rsidRDefault="00385D19" w:rsidP="00B94618">
            <w:pPr>
              <w:pStyle w:val="TableText0"/>
              <w:rPr>
                <w:lang w:val="en-IN"/>
              </w:rPr>
            </w:pPr>
            <w:r>
              <w:rPr>
                <w:lang w:val="en-IN"/>
              </w:rPr>
              <w:t xml:space="preserve">Excluding trial patients with lesion size </w:t>
            </w:r>
            <w:r w:rsidRPr="00270DC3">
              <w:rPr>
                <w:lang w:val="en-IN"/>
              </w:rPr>
              <w:t>≤</w:t>
            </w:r>
            <w:r>
              <w:rPr>
                <w:lang w:val="en-IN"/>
              </w:rPr>
              <w:t xml:space="preserve"> 2 cm</w:t>
            </w:r>
            <w:r w:rsidRPr="000A1715">
              <w:rPr>
                <w:vertAlign w:val="superscript"/>
                <w:lang w:val="en-IN"/>
              </w:rPr>
              <w:t>2</w:t>
            </w:r>
          </w:p>
        </w:tc>
        <w:tc>
          <w:tcPr>
            <w:tcW w:w="1101" w:type="pct"/>
          </w:tcPr>
          <w:p w14:paraId="1043346B" w14:textId="4BB8C3E9" w:rsidR="00385D19" w:rsidRDefault="00385D19" w:rsidP="00B94618">
            <w:pPr>
              <w:pStyle w:val="TableText0"/>
              <w:rPr>
                <w:lang w:val="en-IN"/>
              </w:rPr>
            </w:pPr>
            <w:r>
              <w:rPr>
                <w:lang w:val="en-IN"/>
              </w:rPr>
              <w:t>$6</w:t>
            </w:r>
            <w:r w:rsidR="008C2D5D">
              <w:rPr>
                <w:lang w:val="en-IN"/>
              </w:rPr>
              <w:t>,</w:t>
            </w:r>
            <w:r>
              <w:rPr>
                <w:lang w:val="en-IN"/>
              </w:rPr>
              <w:t>414</w:t>
            </w:r>
          </w:p>
        </w:tc>
        <w:tc>
          <w:tcPr>
            <w:tcW w:w="836" w:type="pct"/>
          </w:tcPr>
          <w:p w14:paraId="7D3EAFC7" w14:textId="77777777" w:rsidR="00385D19" w:rsidRDefault="00385D19">
            <w:pPr>
              <w:pStyle w:val="TableText0"/>
              <w:rPr>
                <w:lang w:val="en-IN"/>
              </w:rPr>
            </w:pPr>
            <w:r>
              <w:rPr>
                <w:lang w:val="en-IN"/>
              </w:rPr>
              <w:t>1%</w:t>
            </w:r>
          </w:p>
        </w:tc>
      </w:tr>
      <w:tr w:rsidR="00385D19" w:rsidRPr="00243F9F" w14:paraId="57590211" w14:textId="77777777" w:rsidTr="00ED48D4">
        <w:trPr>
          <w:trHeight w:val="226"/>
        </w:trPr>
        <w:tc>
          <w:tcPr>
            <w:tcW w:w="1256" w:type="pct"/>
          </w:tcPr>
          <w:p w14:paraId="04725D3C" w14:textId="77777777" w:rsidR="00385D19" w:rsidRDefault="00385D19" w:rsidP="00B94618">
            <w:pPr>
              <w:pStyle w:val="TableText0"/>
              <w:rPr>
                <w:lang w:val="en-IN"/>
              </w:rPr>
            </w:pPr>
            <w:r>
              <w:rPr>
                <w:lang w:val="en-IN"/>
              </w:rPr>
              <w:t>Not including proportion of patients undergoing reoperation</w:t>
            </w:r>
          </w:p>
        </w:tc>
        <w:tc>
          <w:tcPr>
            <w:tcW w:w="1807" w:type="pct"/>
          </w:tcPr>
          <w:p w14:paraId="326F6F1C" w14:textId="77777777" w:rsidR="00385D19" w:rsidRDefault="00385D19" w:rsidP="00B94618">
            <w:pPr>
              <w:pStyle w:val="TableText0"/>
              <w:rPr>
                <w:lang w:val="en-IN"/>
              </w:rPr>
            </w:pPr>
            <w:r>
              <w:rPr>
                <w:lang w:val="en-IN"/>
              </w:rPr>
              <w:t>Reoperation rates at a time horizon of 15 years:</w:t>
            </w:r>
          </w:p>
          <w:p w14:paraId="7806545E" w14:textId="77777777" w:rsidR="00385D19" w:rsidRDefault="00385D19" w:rsidP="00B94618">
            <w:pPr>
              <w:pStyle w:val="TableText0"/>
              <w:rPr>
                <w:lang w:val="en-IN"/>
              </w:rPr>
            </w:pPr>
            <w:r>
              <w:rPr>
                <w:lang w:val="en-IN"/>
              </w:rPr>
              <w:t>JointRep + MF 2.44%</w:t>
            </w:r>
            <w:r w:rsidRPr="00BB0977">
              <w:rPr>
                <w:vertAlign w:val="superscript"/>
                <w:lang w:val="en-IN"/>
              </w:rPr>
              <w:t>a</w:t>
            </w:r>
          </w:p>
          <w:p w14:paraId="25DF9A21" w14:textId="77777777" w:rsidR="00385D19" w:rsidRDefault="00385D19" w:rsidP="00B94618">
            <w:pPr>
              <w:pStyle w:val="TableText0"/>
              <w:rPr>
                <w:lang w:val="en-IN"/>
              </w:rPr>
            </w:pPr>
            <w:r>
              <w:rPr>
                <w:lang w:val="en-IN"/>
              </w:rPr>
              <w:t>MF alone 18.92%</w:t>
            </w:r>
            <w:r w:rsidRPr="00BB0977">
              <w:rPr>
                <w:vertAlign w:val="superscript"/>
                <w:lang w:val="en-IN"/>
              </w:rPr>
              <w:t>a</w:t>
            </w:r>
          </w:p>
        </w:tc>
        <w:tc>
          <w:tcPr>
            <w:tcW w:w="1101" w:type="pct"/>
          </w:tcPr>
          <w:p w14:paraId="0E28A0C2" w14:textId="77777777" w:rsidR="00385D19" w:rsidRDefault="00385D19" w:rsidP="00B94618">
            <w:pPr>
              <w:pStyle w:val="TableText0"/>
              <w:rPr>
                <w:lang w:val="en-IN"/>
              </w:rPr>
            </w:pPr>
            <w:r>
              <w:rPr>
                <w:lang w:val="en-IN"/>
              </w:rPr>
              <w:t>-$11</w:t>
            </w:r>
          </w:p>
          <w:p w14:paraId="47ABF1DE" w14:textId="44CAF96E" w:rsidR="00385D19" w:rsidRDefault="00385D19" w:rsidP="00B94618">
            <w:pPr>
              <w:pStyle w:val="CommentTabletext"/>
              <w:ind w:left="0"/>
              <w:rPr>
                <w:lang w:val="en-IN"/>
              </w:rPr>
            </w:pPr>
            <w:r w:rsidRPr="008141AD">
              <w:rPr>
                <w:color w:val="auto"/>
                <w:lang w:val="en-IN"/>
              </w:rPr>
              <w:t>$44 if using lower limit of re-estimated cost of TKA</w:t>
            </w:r>
            <w:r>
              <w:rPr>
                <w:lang w:val="en-IN"/>
              </w:rPr>
              <w:t xml:space="preserve"> </w:t>
            </w:r>
          </w:p>
        </w:tc>
        <w:tc>
          <w:tcPr>
            <w:tcW w:w="836" w:type="pct"/>
          </w:tcPr>
          <w:p w14:paraId="2A6A9EC0" w14:textId="77777777" w:rsidR="00385D19" w:rsidRDefault="00385D19">
            <w:pPr>
              <w:pStyle w:val="TableText0"/>
              <w:rPr>
                <w:lang w:val="en-IN"/>
              </w:rPr>
            </w:pPr>
            <w:r>
              <w:rPr>
                <w:lang w:val="en-IN"/>
              </w:rPr>
              <w:t>-100%</w:t>
            </w:r>
          </w:p>
        </w:tc>
      </w:tr>
      <w:tr w:rsidR="00385D19" w:rsidRPr="00243F9F" w14:paraId="73BCBD31" w14:textId="77777777" w:rsidTr="00ED48D4">
        <w:trPr>
          <w:trHeight w:val="281"/>
        </w:trPr>
        <w:tc>
          <w:tcPr>
            <w:tcW w:w="1256" w:type="pct"/>
            <w:vMerge w:val="restart"/>
          </w:tcPr>
          <w:p w14:paraId="0CB1299C" w14:textId="77777777" w:rsidR="00385D19" w:rsidRPr="00243F9F" w:rsidRDefault="00385D19" w:rsidP="00B94618">
            <w:pPr>
              <w:pStyle w:val="TableText0"/>
              <w:rPr>
                <w:lang w:val="en-IN"/>
              </w:rPr>
            </w:pPr>
            <w:r>
              <w:rPr>
                <w:lang w:val="en-IN"/>
              </w:rPr>
              <w:t>Time horizon: 3 years</w:t>
            </w:r>
          </w:p>
        </w:tc>
        <w:tc>
          <w:tcPr>
            <w:tcW w:w="1807" w:type="pct"/>
          </w:tcPr>
          <w:p w14:paraId="0395FA93" w14:textId="77777777" w:rsidR="00385D19" w:rsidRPr="00243F9F" w:rsidRDefault="00385D19" w:rsidP="00B94618">
            <w:pPr>
              <w:pStyle w:val="TableText0"/>
              <w:rPr>
                <w:lang w:val="en-IN"/>
              </w:rPr>
            </w:pPr>
            <w:r w:rsidRPr="00243F9F">
              <w:rPr>
                <w:lang w:val="en-IN"/>
              </w:rPr>
              <w:t xml:space="preserve">Time </w:t>
            </w:r>
            <w:r>
              <w:rPr>
                <w:lang w:val="en-IN"/>
              </w:rPr>
              <w:t>h</w:t>
            </w:r>
            <w:r w:rsidRPr="00243F9F">
              <w:rPr>
                <w:lang w:val="en-IN"/>
              </w:rPr>
              <w:t xml:space="preserve">orizon: </w:t>
            </w:r>
            <w:r>
              <w:rPr>
                <w:lang w:val="en-IN"/>
              </w:rPr>
              <w:t>5</w:t>
            </w:r>
            <w:r w:rsidRPr="00243F9F">
              <w:rPr>
                <w:lang w:val="en-IN"/>
              </w:rPr>
              <w:t xml:space="preserve"> years</w:t>
            </w:r>
          </w:p>
        </w:tc>
        <w:tc>
          <w:tcPr>
            <w:tcW w:w="1101" w:type="pct"/>
          </w:tcPr>
          <w:p w14:paraId="2BBA9605" w14:textId="77777777" w:rsidR="00385D19" w:rsidRPr="00270DC3" w:rsidRDefault="00385D19" w:rsidP="00B94618">
            <w:pPr>
              <w:pStyle w:val="TableText0"/>
              <w:rPr>
                <w:lang w:val="en-IN"/>
              </w:rPr>
            </w:pPr>
            <w:r w:rsidRPr="00270DC3">
              <w:rPr>
                <w:lang w:val="en-IN"/>
              </w:rPr>
              <w:t>$3,809</w:t>
            </w:r>
          </w:p>
        </w:tc>
        <w:tc>
          <w:tcPr>
            <w:tcW w:w="836" w:type="pct"/>
          </w:tcPr>
          <w:p w14:paraId="301A15A2" w14:textId="77777777" w:rsidR="00385D19" w:rsidRPr="00243F9F" w:rsidRDefault="00385D19">
            <w:pPr>
              <w:pStyle w:val="TableText0"/>
              <w:rPr>
                <w:color w:val="000000"/>
              </w:rPr>
            </w:pPr>
            <w:r>
              <w:rPr>
                <w:color w:val="000000"/>
              </w:rPr>
              <w:t>-40</w:t>
            </w:r>
            <w:r w:rsidRPr="00243F9F">
              <w:rPr>
                <w:color w:val="000000"/>
              </w:rPr>
              <w:t>%</w:t>
            </w:r>
          </w:p>
        </w:tc>
      </w:tr>
      <w:tr w:rsidR="00385D19" w:rsidRPr="00243F9F" w14:paraId="474833E3" w14:textId="77777777" w:rsidTr="00ED48D4">
        <w:trPr>
          <w:trHeight w:val="281"/>
        </w:trPr>
        <w:tc>
          <w:tcPr>
            <w:tcW w:w="1256" w:type="pct"/>
            <w:vMerge/>
          </w:tcPr>
          <w:p w14:paraId="2AB2FCBC" w14:textId="77777777" w:rsidR="00385D19" w:rsidRPr="00243F9F" w:rsidRDefault="00385D19" w:rsidP="00B94618">
            <w:pPr>
              <w:pStyle w:val="TableText0"/>
              <w:rPr>
                <w:lang w:val="en-IN"/>
              </w:rPr>
            </w:pPr>
          </w:p>
        </w:tc>
        <w:tc>
          <w:tcPr>
            <w:tcW w:w="1807" w:type="pct"/>
          </w:tcPr>
          <w:p w14:paraId="2F967C8F" w14:textId="77777777" w:rsidR="00385D19" w:rsidRPr="00243F9F" w:rsidRDefault="00385D19" w:rsidP="00B94618">
            <w:pPr>
              <w:pStyle w:val="TableText0"/>
              <w:rPr>
                <w:lang w:val="en-IN"/>
              </w:rPr>
            </w:pPr>
            <w:r w:rsidRPr="00243F9F">
              <w:rPr>
                <w:lang w:val="en-IN"/>
              </w:rPr>
              <w:t xml:space="preserve">Time </w:t>
            </w:r>
            <w:r>
              <w:rPr>
                <w:lang w:val="en-IN"/>
              </w:rPr>
              <w:t>h</w:t>
            </w:r>
            <w:r w:rsidRPr="00243F9F">
              <w:rPr>
                <w:lang w:val="en-IN"/>
              </w:rPr>
              <w:t xml:space="preserve">orizon: </w:t>
            </w:r>
            <w:r>
              <w:rPr>
                <w:lang w:val="en-IN"/>
              </w:rPr>
              <w:t>1</w:t>
            </w:r>
            <w:r w:rsidRPr="00243F9F">
              <w:rPr>
                <w:lang w:val="en-IN"/>
              </w:rPr>
              <w:t>0 years</w:t>
            </w:r>
          </w:p>
        </w:tc>
        <w:tc>
          <w:tcPr>
            <w:tcW w:w="1101" w:type="pct"/>
          </w:tcPr>
          <w:p w14:paraId="3B353FA2" w14:textId="77777777" w:rsidR="00385D19" w:rsidRPr="00270DC3" w:rsidRDefault="00385D19" w:rsidP="00B94618">
            <w:pPr>
              <w:pStyle w:val="TableText0"/>
              <w:rPr>
                <w:lang w:val="en-IN"/>
              </w:rPr>
            </w:pPr>
            <w:r w:rsidRPr="00270DC3">
              <w:rPr>
                <w:lang w:val="en-IN"/>
              </w:rPr>
              <w:t>$2,088</w:t>
            </w:r>
          </w:p>
        </w:tc>
        <w:tc>
          <w:tcPr>
            <w:tcW w:w="836" w:type="pct"/>
          </w:tcPr>
          <w:p w14:paraId="04D700D9" w14:textId="77777777" w:rsidR="00385D19" w:rsidRPr="00243F9F" w:rsidRDefault="00385D19">
            <w:pPr>
              <w:pStyle w:val="TableText0"/>
              <w:rPr>
                <w:color w:val="000000"/>
              </w:rPr>
            </w:pPr>
            <w:r>
              <w:rPr>
                <w:color w:val="000000"/>
              </w:rPr>
              <w:t>-67</w:t>
            </w:r>
            <w:r w:rsidRPr="00243F9F">
              <w:rPr>
                <w:color w:val="000000"/>
              </w:rPr>
              <w:t>%</w:t>
            </w:r>
          </w:p>
        </w:tc>
      </w:tr>
      <w:tr w:rsidR="00385D19" w:rsidRPr="00243F9F" w14:paraId="09B2AEAB" w14:textId="77777777" w:rsidTr="00ED48D4">
        <w:trPr>
          <w:trHeight w:val="20"/>
        </w:trPr>
        <w:tc>
          <w:tcPr>
            <w:tcW w:w="1256" w:type="pct"/>
            <w:vMerge w:val="restart"/>
          </w:tcPr>
          <w:p w14:paraId="37FB6801" w14:textId="77777777" w:rsidR="00385D19" w:rsidRPr="00243F9F" w:rsidRDefault="00385D19" w:rsidP="00B94618">
            <w:pPr>
              <w:pStyle w:val="TableText0"/>
              <w:rPr>
                <w:lang w:val="en-IN"/>
              </w:rPr>
            </w:pPr>
            <w:r w:rsidRPr="00243F9F">
              <w:rPr>
                <w:lang w:val="en-IN"/>
              </w:rPr>
              <w:t xml:space="preserve">Discount </w:t>
            </w:r>
            <w:r>
              <w:rPr>
                <w:lang w:val="en-IN"/>
              </w:rPr>
              <w:t>r</w:t>
            </w:r>
            <w:r w:rsidRPr="00243F9F">
              <w:rPr>
                <w:lang w:val="en-IN"/>
              </w:rPr>
              <w:t>ate: 5%</w:t>
            </w:r>
          </w:p>
        </w:tc>
        <w:tc>
          <w:tcPr>
            <w:tcW w:w="1807" w:type="pct"/>
          </w:tcPr>
          <w:p w14:paraId="42D1AE5A" w14:textId="77777777" w:rsidR="00385D19" w:rsidRPr="00243F9F" w:rsidRDefault="00385D19" w:rsidP="00B94618">
            <w:pPr>
              <w:pStyle w:val="TableText0"/>
              <w:rPr>
                <w:lang w:val="en-IN"/>
              </w:rPr>
            </w:pPr>
            <w:r w:rsidRPr="00243F9F">
              <w:rPr>
                <w:lang w:val="en-IN"/>
              </w:rPr>
              <w:t xml:space="preserve">Discount </w:t>
            </w:r>
            <w:r>
              <w:rPr>
                <w:lang w:val="en-IN"/>
              </w:rPr>
              <w:t>r</w:t>
            </w:r>
            <w:r w:rsidRPr="00243F9F">
              <w:rPr>
                <w:lang w:val="en-IN"/>
              </w:rPr>
              <w:t>ate: 0%</w:t>
            </w:r>
          </w:p>
        </w:tc>
        <w:tc>
          <w:tcPr>
            <w:tcW w:w="1101" w:type="pct"/>
          </w:tcPr>
          <w:p w14:paraId="011A912F" w14:textId="77777777" w:rsidR="00385D19" w:rsidRPr="00270DC3" w:rsidRDefault="00385D19" w:rsidP="00B94618">
            <w:pPr>
              <w:pStyle w:val="TableText0"/>
              <w:rPr>
                <w:lang w:val="en-IN"/>
              </w:rPr>
            </w:pPr>
            <w:r w:rsidRPr="00270DC3">
              <w:rPr>
                <w:lang w:val="en-IN"/>
              </w:rPr>
              <w:t>$5,997</w:t>
            </w:r>
          </w:p>
        </w:tc>
        <w:tc>
          <w:tcPr>
            <w:tcW w:w="836" w:type="pct"/>
          </w:tcPr>
          <w:p w14:paraId="73406D6C" w14:textId="77777777" w:rsidR="00385D19" w:rsidRPr="00243F9F" w:rsidRDefault="00385D19">
            <w:pPr>
              <w:pStyle w:val="TableText0"/>
              <w:rPr>
                <w:color w:val="000000"/>
              </w:rPr>
            </w:pPr>
            <w:r>
              <w:rPr>
                <w:color w:val="000000"/>
              </w:rPr>
              <w:t>-5</w:t>
            </w:r>
            <w:r w:rsidRPr="00243F9F">
              <w:rPr>
                <w:color w:val="000000"/>
              </w:rPr>
              <w:t>%</w:t>
            </w:r>
          </w:p>
        </w:tc>
      </w:tr>
      <w:tr w:rsidR="00385D19" w:rsidRPr="00243F9F" w14:paraId="092D2305" w14:textId="77777777" w:rsidTr="00ED48D4">
        <w:trPr>
          <w:trHeight w:val="20"/>
        </w:trPr>
        <w:tc>
          <w:tcPr>
            <w:tcW w:w="1256" w:type="pct"/>
            <w:vMerge/>
          </w:tcPr>
          <w:p w14:paraId="26E37A77" w14:textId="77777777" w:rsidR="00385D19" w:rsidRPr="00243F9F" w:rsidRDefault="00385D19">
            <w:pPr>
              <w:pStyle w:val="TableText0"/>
              <w:rPr>
                <w:lang w:val="en-IN"/>
              </w:rPr>
            </w:pPr>
          </w:p>
        </w:tc>
        <w:tc>
          <w:tcPr>
            <w:tcW w:w="1807" w:type="pct"/>
          </w:tcPr>
          <w:p w14:paraId="7FDDDE60" w14:textId="77777777" w:rsidR="00385D19" w:rsidRPr="00243F9F" w:rsidRDefault="00385D19" w:rsidP="00B94618">
            <w:pPr>
              <w:pStyle w:val="TableText0"/>
              <w:rPr>
                <w:lang w:val="en-IN"/>
              </w:rPr>
            </w:pPr>
            <w:r w:rsidRPr="00243F9F">
              <w:rPr>
                <w:lang w:val="en-IN"/>
              </w:rPr>
              <w:t xml:space="preserve">Discount </w:t>
            </w:r>
            <w:r>
              <w:rPr>
                <w:lang w:val="en-IN"/>
              </w:rPr>
              <w:t>r</w:t>
            </w:r>
            <w:r w:rsidRPr="00243F9F">
              <w:rPr>
                <w:lang w:val="en-IN"/>
              </w:rPr>
              <w:t>ate: 3.5%</w:t>
            </w:r>
          </w:p>
        </w:tc>
        <w:tc>
          <w:tcPr>
            <w:tcW w:w="1101" w:type="pct"/>
          </w:tcPr>
          <w:p w14:paraId="7DA8FD16" w14:textId="77777777" w:rsidR="00385D19" w:rsidRPr="00270DC3" w:rsidRDefault="00385D19" w:rsidP="00B94618">
            <w:pPr>
              <w:pStyle w:val="TableText0"/>
              <w:rPr>
                <w:lang w:val="en-IN"/>
              </w:rPr>
            </w:pPr>
            <w:r w:rsidRPr="00270DC3">
              <w:rPr>
                <w:lang w:val="en-IN"/>
              </w:rPr>
              <w:t>$6,230</w:t>
            </w:r>
          </w:p>
        </w:tc>
        <w:tc>
          <w:tcPr>
            <w:tcW w:w="836" w:type="pct"/>
          </w:tcPr>
          <w:p w14:paraId="57022AB4" w14:textId="77777777" w:rsidR="00385D19" w:rsidRPr="00243F9F" w:rsidRDefault="00385D19">
            <w:pPr>
              <w:pStyle w:val="TableText0"/>
              <w:rPr>
                <w:color w:val="000000"/>
              </w:rPr>
            </w:pPr>
            <w:r>
              <w:rPr>
                <w:color w:val="000000"/>
              </w:rPr>
              <w:t>-2</w:t>
            </w:r>
            <w:r w:rsidRPr="00243F9F">
              <w:rPr>
                <w:color w:val="000000"/>
              </w:rPr>
              <w:t>%</w:t>
            </w:r>
          </w:p>
        </w:tc>
      </w:tr>
    </w:tbl>
    <w:p w14:paraId="23A53250" w14:textId="22727F90" w:rsidR="00385D19" w:rsidRPr="000D769D" w:rsidRDefault="00385D19" w:rsidP="00385D19">
      <w:pPr>
        <w:rPr>
          <w:rFonts w:ascii="Arial Narrow" w:hAnsi="Arial Narrow" w:cs="Arial"/>
          <w:sz w:val="18"/>
          <w:szCs w:val="18"/>
        </w:rPr>
      </w:pPr>
      <w:r w:rsidRPr="000D769D">
        <w:rPr>
          <w:rFonts w:ascii="Arial Narrow" w:hAnsi="Arial Narrow" w:cs="Arial"/>
          <w:sz w:val="18"/>
          <w:szCs w:val="18"/>
        </w:rPr>
        <w:t xml:space="preserve">Source: ADAR </w:t>
      </w:r>
      <w:r>
        <w:rPr>
          <w:rFonts w:ascii="Arial Narrow" w:hAnsi="Arial Narrow" w:cs="Arial"/>
          <w:sz w:val="18"/>
          <w:szCs w:val="18"/>
        </w:rPr>
        <w:t>Table 28,</w:t>
      </w:r>
      <w:r w:rsidRPr="000D769D">
        <w:rPr>
          <w:rFonts w:ascii="Arial Narrow" w:hAnsi="Arial Narrow" w:cs="Arial"/>
          <w:sz w:val="18"/>
          <w:szCs w:val="18"/>
        </w:rPr>
        <w:t xml:space="preserve"> p</w:t>
      </w:r>
      <w:r>
        <w:rPr>
          <w:rFonts w:ascii="Arial Narrow" w:hAnsi="Arial Narrow" w:cs="Arial"/>
          <w:sz w:val="18"/>
          <w:szCs w:val="18"/>
        </w:rPr>
        <w:t>p</w:t>
      </w:r>
      <w:r w:rsidRPr="000D769D">
        <w:rPr>
          <w:rFonts w:ascii="Arial Narrow" w:hAnsi="Arial Narrow" w:cs="Arial"/>
          <w:sz w:val="18"/>
          <w:szCs w:val="18"/>
        </w:rPr>
        <w:t>.</w:t>
      </w:r>
      <w:r>
        <w:rPr>
          <w:rFonts w:ascii="Arial Narrow" w:hAnsi="Arial Narrow" w:cs="Arial"/>
          <w:sz w:val="18"/>
          <w:szCs w:val="18"/>
        </w:rPr>
        <w:t xml:space="preserve">85-86, with </w:t>
      </w:r>
      <w:r w:rsidR="008141AD">
        <w:rPr>
          <w:rFonts w:ascii="Arial Narrow" w:hAnsi="Arial Narrow" w:cs="Arial"/>
          <w:sz w:val="18"/>
          <w:szCs w:val="18"/>
        </w:rPr>
        <w:t>c</w:t>
      </w:r>
      <w:r>
        <w:rPr>
          <w:rFonts w:ascii="Arial Narrow" w:hAnsi="Arial Narrow" w:cs="Arial"/>
          <w:sz w:val="18"/>
          <w:szCs w:val="18"/>
        </w:rPr>
        <w:t>ommentary in italics</w:t>
      </w:r>
    </w:p>
    <w:p w14:paraId="1387E315" w14:textId="64E577CC" w:rsidR="00385D19" w:rsidRDefault="008141AD" w:rsidP="00385D19">
      <w:pPr>
        <w:spacing w:after="360"/>
        <w:contextualSpacing/>
        <w:rPr>
          <w:rFonts w:ascii="Arial Narrow" w:hAnsi="Arial Narrow" w:cs="Arial"/>
          <w:sz w:val="18"/>
          <w:szCs w:val="18"/>
        </w:rPr>
      </w:pPr>
      <w:r>
        <w:rPr>
          <w:rFonts w:ascii="Arial Narrow" w:hAnsi="Arial Narrow" w:cs="Arial"/>
          <w:sz w:val="18"/>
          <w:szCs w:val="18"/>
        </w:rPr>
        <w:t xml:space="preserve">Abbreviations: </w:t>
      </w:r>
      <w:r w:rsidR="00385D19" w:rsidRPr="00525D29">
        <w:rPr>
          <w:rFonts w:ascii="Arial Narrow" w:hAnsi="Arial Narrow" w:cs="Arial"/>
          <w:sz w:val="18"/>
          <w:szCs w:val="18"/>
        </w:rPr>
        <w:t>ICER</w:t>
      </w:r>
      <w:r w:rsidR="00385D19">
        <w:rPr>
          <w:rFonts w:ascii="Arial Narrow" w:hAnsi="Arial Narrow" w:cs="Arial"/>
          <w:sz w:val="18"/>
          <w:szCs w:val="18"/>
        </w:rPr>
        <w:t xml:space="preserve"> </w:t>
      </w:r>
      <w:r w:rsidR="00385D19" w:rsidRPr="00525D29">
        <w:rPr>
          <w:rFonts w:ascii="Arial Narrow" w:hAnsi="Arial Narrow" w:cs="Arial"/>
          <w:sz w:val="18"/>
          <w:szCs w:val="18"/>
        </w:rPr>
        <w:t xml:space="preserve">= </w:t>
      </w:r>
      <w:r w:rsidR="00385D19">
        <w:rPr>
          <w:rFonts w:ascii="Arial Narrow" w:hAnsi="Arial Narrow" w:cs="Arial"/>
          <w:sz w:val="18"/>
          <w:szCs w:val="18"/>
        </w:rPr>
        <w:t>i</w:t>
      </w:r>
      <w:r w:rsidR="00385D19" w:rsidRPr="00525D29">
        <w:rPr>
          <w:rFonts w:ascii="Arial Narrow" w:hAnsi="Arial Narrow" w:cs="Arial"/>
          <w:sz w:val="18"/>
          <w:szCs w:val="18"/>
        </w:rPr>
        <w:t xml:space="preserve">ncremental </w:t>
      </w:r>
      <w:r w:rsidR="00385D19">
        <w:rPr>
          <w:rFonts w:ascii="Arial Narrow" w:hAnsi="Arial Narrow" w:cs="Arial"/>
          <w:sz w:val="18"/>
          <w:szCs w:val="18"/>
        </w:rPr>
        <w:t>c</w:t>
      </w:r>
      <w:r w:rsidR="00385D19" w:rsidRPr="00525D29">
        <w:rPr>
          <w:rFonts w:ascii="Arial Narrow" w:hAnsi="Arial Narrow" w:cs="Arial"/>
          <w:sz w:val="18"/>
          <w:szCs w:val="18"/>
        </w:rPr>
        <w:t>ost</w:t>
      </w:r>
      <w:r w:rsidR="00385D19">
        <w:rPr>
          <w:rFonts w:ascii="Arial Narrow" w:hAnsi="Arial Narrow" w:cs="Arial"/>
          <w:sz w:val="18"/>
          <w:szCs w:val="18"/>
        </w:rPr>
        <w:t>-e</w:t>
      </w:r>
      <w:r w:rsidR="00385D19" w:rsidRPr="00525D29">
        <w:rPr>
          <w:rFonts w:ascii="Arial Narrow" w:hAnsi="Arial Narrow" w:cs="Arial"/>
          <w:sz w:val="18"/>
          <w:szCs w:val="18"/>
        </w:rPr>
        <w:t xml:space="preserve">ffectiveness </w:t>
      </w:r>
      <w:r w:rsidR="00385D19">
        <w:rPr>
          <w:rFonts w:ascii="Arial Narrow" w:hAnsi="Arial Narrow" w:cs="Arial"/>
          <w:sz w:val="18"/>
          <w:szCs w:val="18"/>
        </w:rPr>
        <w:t>r</w:t>
      </w:r>
      <w:r w:rsidR="00385D19" w:rsidRPr="00525D29">
        <w:rPr>
          <w:rFonts w:ascii="Arial Narrow" w:hAnsi="Arial Narrow" w:cs="Arial"/>
          <w:sz w:val="18"/>
          <w:szCs w:val="18"/>
        </w:rPr>
        <w:t xml:space="preserve">atio; </w:t>
      </w:r>
      <w:r w:rsidR="00385D19">
        <w:rPr>
          <w:rFonts w:ascii="Arial Narrow" w:hAnsi="Arial Narrow" w:cs="Arial"/>
          <w:sz w:val="18"/>
          <w:szCs w:val="18"/>
        </w:rPr>
        <w:t xml:space="preserve">MF = microfracture; NA = not applicable; </w:t>
      </w:r>
      <w:r w:rsidR="00385D19" w:rsidRPr="00525D29">
        <w:rPr>
          <w:rFonts w:ascii="Arial Narrow" w:hAnsi="Arial Narrow" w:cs="Arial"/>
          <w:sz w:val="18"/>
          <w:szCs w:val="18"/>
        </w:rPr>
        <w:t>TKA</w:t>
      </w:r>
      <w:r w:rsidR="00385D19">
        <w:rPr>
          <w:rFonts w:ascii="Arial Narrow" w:hAnsi="Arial Narrow" w:cs="Arial"/>
          <w:sz w:val="18"/>
          <w:szCs w:val="18"/>
        </w:rPr>
        <w:t xml:space="preserve"> </w:t>
      </w:r>
      <w:r w:rsidR="00385D19" w:rsidRPr="00525D29">
        <w:rPr>
          <w:rFonts w:ascii="Arial Narrow" w:hAnsi="Arial Narrow" w:cs="Arial"/>
          <w:sz w:val="18"/>
          <w:szCs w:val="18"/>
        </w:rPr>
        <w:t xml:space="preserve">= </w:t>
      </w:r>
      <w:r w:rsidR="00385D19">
        <w:rPr>
          <w:rFonts w:ascii="Arial Narrow" w:hAnsi="Arial Narrow" w:cs="Arial"/>
          <w:sz w:val="18"/>
          <w:szCs w:val="18"/>
        </w:rPr>
        <w:t>t</w:t>
      </w:r>
      <w:r w:rsidR="00385D19" w:rsidRPr="00525D29">
        <w:rPr>
          <w:rFonts w:ascii="Arial Narrow" w:hAnsi="Arial Narrow" w:cs="Arial"/>
          <w:sz w:val="18"/>
          <w:szCs w:val="18"/>
        </w:rPr>
        <w:t xml:space="preserve">otal </w:t>
      </w:r>
      <w:r w:rsidR="00385D19">
        <w:rPr>
          <w:rFonts w:ascii="Arial Narrow" w:hAnsi="Arial Narrow" w:cs="Arial"/>
          <w:sz w:val="18"/>
          <w:szCs w:val="18"/>
        </w:rPr>
        <w:t>k</w:t>
      </w:r>
      <w:r w:rsidR="00385D19" w:rsidRPr="00525D29">
        <w:rPr>
          <w:rFonts w:ascii="Arial Narrow" w:hAnsi="Arial Narrow" w:cs="Arial"/>
          <w:sz w:val="18"/>
          <w:szCs w:val="18"/>
        </w:rPr>
        <w:t xml:space="preserve">nee </w:t>
      </w:r>
      <w:r w:rsidR="00385D19">
        <w:rPr>
          <w:rFonts w:ascii="Arial Narrow" w:hAnsi="Arial Narrow" w:cs="Arial"/>
          <w:sz w:val="18"/>
          <w:szCs w:val="18"/>
        </w:rPr>
        <w:t>a</w:t>
      </w:r>
      <w:r w:rsidR="00385D19" w:rsidRPr="00525D29">
        <w:rPr>
          <w:rFonts w:ascii="Arial Narrow" w:hAnsi="Arial Narrow" w:cs="Arial"/>
          <w:sz w:val="18"/>
          <w:szCs w:val="18"/>
        </w:rPr>
        <w:t>rthroplasty</w:t>
      </w:r>
    </w:p>
    <w:p w14:paraId="528DD5FF" w14:textId="7C77C38A" w:rsidR="003B02B8" w:rsidRPr="00B02E35" w:rsidRDefault="00385D19" w:rsidP="00F8174C">
      <w:pPr>
        <w:tabs>
          <w:tab w:val="left" w:pos="720"/>
          <w:tab w:val="left" w:pos="1140"/>
        </w:tabs>
        <w:rPr>
          <w:color w:val="0066FF"/>
          <w:szCs w:val="24"/>
        </w:rPr>
      </w:pPr>
      <w:r w:rsidRPr="00BB0977">
        <w:rPr>
          <w:rFonts w:ascii="Arial Narrow" w:hAnsi="Arial Narrow" w:cs="Arial"/>
          <w:b/>
          <w:bCs/>
          <w:sz w:val="18"/>
          <w:szCs w:val="18"/>
        </w:rPr>
        <w:t>a</w:t>
      </w:r>
      <w:r>
        <w:rPr>
          <w:rFonts w:ascii="Arial Narrow" w:hAnsi="Arial Narrow" w:cs="Arial"/>
          <w:sz w:val="18"/>
          <w:szCs w:val="18"/>
        </w:rPr>
        <w:t xml:space="preserve"> </w:t>
      </w:r>
      <w:r w:rsidRPr="00BB0977">
        <w:rPr>
          <w:rFonts w:ascii="Arial Narrow" w:hAnsi="Arial Narrow" w:cs="Arial"/>
          <w:sz w:val="18"/>
          <w:szCs w:val="18"/>
        </w:rPr>
        <w:t xml:space="preserve">The reoperation values were taken from Frappier </w:t>
      </w:r>
      <w:r>
        <w:rPr>
          <w:rFonts w:ascii="Arial Narrow" w:hAnsi="Arial Narrow" w:cs="Arial"/>
          <w:sz w:val="18"/>
          <w:szCs w:val="18"/>
        </w:rPr>
        <w:t xml:space="preserve">et al. </w:t>
      </w:r>
      <w:r w:rsidRPr="00BB0977">
        <w:rPr>
          <w:rFonts w:ascii="Arial Narrow" w:hAnsi="Arial Narrow" w:cs="Arial"/>
          <w:sz w:val="18"/>
          <w:szCs w:val="18"/>
        </w:rPr>
        <w:t xml:space="preserve">2014 </w:t>
      </w:r>
      <w:r>
        <w:rPr>
          <w:rFonts w:ascii="Arial Narrow" w:hAnsi="Arial Narrow" w:cs="Arial"/>
          <w:sz w:val="18"/>
          <w:szCs w:val="18"/>
        </w:rPr>
        <w:t xml:space="preserve">(Table 2) </w:t>
      </w:r>
      <w:r w:rsidRPr="00BB0977">
        <w:rPr>
          <w:rFonts w:ascii="Arial Narrow" w:hAnsi="Arial Narrow" w:cs="Arial"/>
          <w:sz w:val="18"/>
          <w:szCs w:val="18"/>
        </w:rPr>
        <w:t>comparing BST</w:t>
      </w:r>
      <w:r>
        <w:rPr>
          <w:rFonts w:ascii="Arial Narrow" w:hAnsi="Arial Narrow" w:cs="Arial"/>
          <w:sz w:val="18"/>
          <w:szCs w:val="18"/>
        </w:rPr>
        <w:t>-</w:t>
      </w:r>
      <w:r w:rsidRPr="00BB0977">
        <w:rPr>
          <w:rFonts w:ascii="Arial Narrow" w:hAnsi="Arial Narrow" w:cs="Arial"/>
          <w:sz w:val="18"/>
          <w:szCs w:val="18"/>
        </w:rPr>
        <w:t>Car</w:t>
      </w:r>
      <w:r>
        <w:rPr>
          <w:rFonts w:ascii="Arial Narrow" w:hAnsi="Arial Narrow" w:cs="Arial"/>
          <w:sz w:val="18"/>
          <w:szCs w:val="18"/>
        </w:rPr>
        <w:t>G</w:t>
      </w:r>
      <w:r w:rsidRPr="00BB0977">
        <w:rPr>
          <w:rFonts w:ascii="Arial Narrow" w:hAnsi="Arial Narrow" w:cs="Arial"/>
          <w:sz w:val="18"/>
          <w:szCs w:val="18"/>
        </w:rPr>
        <w:t xml:space="preserve">el + microfracture </w:t>
      </w:r>
      <w:r>
        <w:rPr>
          <w:rFonts w:ascii="Arial Narrow" w:hAnsi="Arial Narrow" w:cs="Arial"/>
          <w:sz w:val="18"/>
          <w:szCs w:val="18"/>
        </w:rPr>
        <w:t>with</w:t>
      </w:r>
      <w:r w:rsidRPr="00BB0977">
        <w:rPr>
          <w:rFonts w:ascii="Arial Narrow" w:hAnsi="Arial Narrow" w:cs="Arial"/>
          <w:sz w:val="18"/>
          <w:szCs w:val="18"/>
        </w:rPr>
        <w:t xml:space="preserve"> microfracture alone</w:t>
      </w:r>
    </w:p>
    <w:p w14:paraId="646300A2" w14:textId="2BE8A04E" w:rsidR="00B5345E" w:rsidRDefault="00BC13F3" w:rsidP="00702B36">
      <w:pPr>
        <w:spacing w:before="240"/>
      </w:pPr>
      <w:r>
        <w:t xml:space="preserve">The </w:t>
      </w:r>
      <w:r w:rsidR="00F174FA">
        <w:t>pre-MSAC</w:t>
      </w:r>
      <w:r>
        <w:t xml:space="preserve"> response</w:t>
      </w:r>
      <w:r w:rsidR="00F174FA">
        <w:t xml:space="preserve"> reiterated claims that</w:t>
      </w:r>
      <w:r w:rsidR="00F174FA" w:rsidRPr="00F174FA">
        <w:t xml:space="preserve"> </w:t>
      </w:r>
      <w:r w:rsidR="00F174FA">
        <w:t xml:space="preserve">JointRep plus microfracture is highly cost-effective compared to microfracture alone, arguing that </w:t>
      </w:r>
      <w:r w:rsidR="00F174FA" w:rsidRPr="00F174FA">
        <w:t>economic model presented in the ADAR is both conservative and in-line with published economic models</w:t>
      </w:r>
      <w:r w:rsidR="00F174FA">
        <w:t>. Regarding concerns raised with the transformation of WOMAC scores into health state utility values, the applicant</w:t>
      </w:r>
      <w:r w:rsidR="00B5345E">
        <w:t>:</w:t>
      </w:r>
      <w:r>
        <w:t xml:space="preserve"> </w:t>
      </w:r>
    </w:p>
    <w:p w14:paraId="6ECA2784" w14:textId="23D514C6" w:rsidR="00DF59A8" w:rsidRDefault="00BC13F3" w:rsidP="00B94618">
      <w:pPr>
        <w:pStyle w:val="ListParagraph"/>
        <w:numPr>
          <w:ilvl w:val="0"/>
          <w:numId w:val="22"/>
        </w:numPr>
      </w:pPr>
      <w:r>
        <w:t xml:space="preserve">conducted additional scenario analyses where the incremental benefit is reduced by 10%, 25%, 50% and 75% resulting in ICER of $7,033, $8,439, $12,659 and $25,318 per QALY. </w:t>
      </w:r>
    </w:p>
    <w:p w14:paraId="3BC97469" w14:textId="77777777" w:rsidR="00F174FA" w:rsidRDefault="00F174FA" w:rsidP="00F174FA">
      <w:pPr>
        <w:pStyle w:val="ListParagraph"/>
        <w:numPr>
          <w:ilvl w:val="0"/>
          <w:numId w:val="22"/>
        </w:numPr>
      </w:pPr>
      <w:r>
        <w:t>performed additional sensitivity analyses related to varying the conversion factor used to transform the WOMAC VAS scores to Likert scores for the economic evaluation of JointRep versus BST-Cargel. This showed that JointRep dominates BST-Cargel with a range of VAS to Likert conversion factors.</w:t>
      </w:r>
    </w:p>
    <w:p w14:paraId="1CA0206D" w14:textId="06E1A03D" w:rsidR="00FD17A0" w:rsidRPr="00B02E35" w:rsidRDefault="00F174FA" w:rsidP="00702B36">
      <w:pPr>
        <w:spacing w:before="240"/>
      </w:pPr>
      <w:r>
        <w:t>The pre-MSAC response also reiterated its proposal for</w:t>
      </w:r>
      <w:r w:rsidR="00DF59A8">
        <w:t xml:space="preserve"> JointRep continue to be included on the PL but at a </w:t>
      </w:r>
      <w:r w:rsidR="007A43CE">
        <w:rPr>
          <w:b/>
          <w:bCs/>
        </w:rPr>
        <w:t>redacted</w:t>
      </w:r>
      <w:r w:rsidR="00DF59A8" w:rsidRPr="00DE17F0">
        <w:t xml:space="preserve"> benefit of $</w:t>
      </w:r>
      <w:r w:rsidR="007A43CE">
        <w:rPr>
          <w:b/>
          <w:bCs/>
        </w:rPr>
        <w:t>redacted</w:t>
      </w:r>
      <w:r w:rsidR="007A43CE" w:rsidRPr="007A43CE" w:rsidDel="00A32E42">
        <w:t xml:space="preserve"> </w:t>
      </w:r>
      <w:r w:rsidR="00DF59A8" w:rsidRPr="00DE17F0">
        <w:t>until the JMAC trial reports results (December 2025).</w:t>
      </w:r>
      <w:r w:rsidR="00B5345E" w:rsidRPr="00DE17F0">
        <w:t xml:space="preserve"> </w:t>
      </w:r>
      <w:r w:rsidR="007A43CE">
        <w:rPr>
          <w:b/>
          <w:bCs/>
        </w:rPr>
        <w:t>Redacted</w:t>
      </w:r>
      <w:r w:rsidR="00B5345E" w:rsidRPr="00DE17F0">
        <w:t xml:space="preserve">. The applicant provided additional sensitivity analyses using the </w:t>
      </w:r>
      <w:r w:rsidR="007A43CE">
        <w:rPr>
          <w:b/>
          <w:bCs/>
        </w:rPr>
        <w:t>redacted</w:t>
      </w:r>
      <w:r w:rsidR="00B5345E" w:rsidRPr="00DE17F0">
        <w:t xml:space="preserve"> benefit of $</w:t>
      </w:r>
      <w:r w:rsidR="007A43CE">
        <w:rPr>
          <w:b/>
          <w:bCs/>
        </w:rPr>
        <w:t>redacted</w:t>
      </w:r>
      <w:r w:rsidR="007A43CE" w:rsidRPr="007A43CE" w:rsidDel="00DE17F0">
        <w:t xml:space="preserve"> </w:t>
      </w:r>
      <w:r w:rsidR="00B5345E" w:rsidRPr="00DE17F0">
        <w:t xml:space="preserve">and reducing the incremental </w:t>
      </w:r>
      <w:r w:rsidR="00B45EB6" w:rsidRPr="00DE17F0">
        <w:t xml:space="preserve">QALY gained </w:t>
      </w:r>
      <w:r w:rsidR="00B5345E" w:rsidRPr="00DE17F0">
        <w:t>by 10%, 25%, 50% and 75% resulting in ICER of $</w:t>
      </w:r>
      <w:r w:rsidR="007A43CE">
        <w:rPr>
          <w:b/>
          <w:bCs/>
        </w:rPr>
        <w:t>redacted</w:t>
      </w:r>
      <w:r w:rsidR="00B5345E" w:rsidRPr="00DE17F0">
        <w:t>, $</w:t>
      </w:r>
      <w:r w:rsidR="007A43CE">
        <w:rPr>
          <w:b/>
          <w:bCs/>
        </w:rPr>
        <w:t>redacted</w:t>
      </w:r>
      <w:r w:rsidR="00B5345E" w:rsidRPr="00DE17F0">
        <w:t>, $</w:t>
      </w:r>
      <w:r w:rsidR="007A43CE">
        <w:rPr>
          <w:b/>
          <w:bCs/>
        </w:rPr>
        <w:t>redacted</w:t>
      </w:r>
      <w:r w:rsidR="00B5345E" w:rsidRPr="00DE17F0">
        <w:t xml:space="preserve"> and $</w:t>
      </w:r>
      <w:r w:rsidR="007A43CE">
        <w:rPr>
          <w:b/>
          <w:bCs/>
        </w:rPr>
        <w:t>redacted</w:t>
      </w:r>
      <w:r w:rsidR="00B5345E" w:rsidRPr="00DE17F0">
        <w:t>.</w:t>
      </w:r>
    </w:p>
    <w:p w14:paraId="4519492F" w14:textId="5C94C66E" w:rsidR="00136969" w:rsidRPr="00CB6A64" w:rsidRDefault="00065623" w:rsidP="00CB6A64">
      <w:pPr>
        <w:pStyle w:val="Heading1"/>
        <w:spacing w:before="240" w:after="240"/>
        <w:rPr>
          <w:rFonts w:ascii="Arial" w:hAnsi="Arial" w:cs="Arial"/>
        </w:rPr>
      </w:pPr>
      <w:r w:rsidRPr="00CB6A64">
        <w:rPr>
          <w:rFonts w:ascii="Arial" w:hAnsi="Arial" w:cs="Arial"/>
        </w:rPr>
        <w:t>Financial/budgetary impacts</w:t>
      </w:r>
    </w:p>
    <w:p w14:paraId="2D62FD20" w14:textId="327664F9" w:rsidR="001E0BC1" w:rsidRDefault="001E0BC1" w:rsidP="001E0BC1">
      <w:r>
        <w:t>R</w:t>
      </w:r>
      <w:r w:rsidRPr="006F5C3C">
        <w:t xml:space="preserve">eal-world </w:t>
      </w:r>
      <w:r>
        <w:t xml:space="preserve">Australian </w:t>
      </w:r>
      <w:r w:rsidRPr="006F5C3C">
        <w:t xml:space="preserve">utilisation </w:t>
      </w:r>
      <w:r>
        <w:t>data (</w:t>
      </w:r>
      <w:r w:rsidRPr="008D5688">
        <w:t>Commercial-In-Confidence</w:t>
      </w:r>
      <w:r w:rsidRPr="00F06AFF">
        <w:t>)</w:t>
      </w:r>
      <w:r>
        <w:t xml:space="preserve"> </w:t>
      </w:r>
      <w:r w:rsidR="00CC579F">
        <w:t>was</w:t>
      </w:r>
      <w:r>
        <w:t xml:space="preserve"> used </w:t>
      </w:r>
      <w:r w:rsidRPr="006F5C3C">
        <w:t xml:space="preserve">as the basis to </w:t>
      </w:r>
      <w:bookmarkStart w:id="15" w:name="_Hlk75783348"/>
      <w:r w:rsidRPr="006F5C3C">
        <w:t xml:space="preserve">forecast the financial implications </w:t>
      </w:r>
      <w:r>
        <w:t xml:space="preserve">of </w:t>
      </w:r>
      <w:r w:rsidRPr="00B65BC1">
        <w:rPr>
          <w:u w:val="single"/>
        </w:rPr>
        <w:t>continued use</w:t>
      </w:r>
      <w:r>
        <w:t xml:space="preserve"> of JointRep via the MBS (</w:t>
      </w:r>
      <w:r>
        <w:fldChar w:fldCharType="begin"/>
      </w:r>
      <w:r>
        <w:instrText xml:space="preserve"> REF _Ref68681106 \h </w:instrText>
      </w:r>
      <w:r>
        <w:fldChar w:fldCharType="separate"/>
      </w:r>
      <w:r w:rsidR="00893411">
        <w:t xml:space="preserve">Table </w:t>
      </w:r>
      <w:r w:rsidR="00893411">
        <w:rPr>
          <w:noProof/>
        </w:rPr>
        <w:t>9</w:t>
      </w:r>
      <w:r>
        <w:fldChar w:fldCharType="end"/>
      </w:r>
      <w:r>
        <w:t xml:space="preserve">) and the PL </w:t>
      </w:r>
      <w:bookmarkEnd w:id="15"/>
      <w:r>
        <w:t>(</w:t>
      </w:r>
      <w:r>
        <w:fldChar w:fldCharType="begin"/>
      </w:r>
      <w:r>
        <w:instrText xml:space="preserve"> REF _Ref68682123 \h </w:instrText>
      </w:r>
      <w:r>
        <w:fldChar w:fldCharType="separate"/>
      </w:r>
      <w:r w:rsidR="00893411">
        <w:t xml:space="preserve">Table </w:t>
      </w:r>
      <w:r w:rsidR="00893411">
        <w:rPr>
          <w:noProof/>
        </w:rPr>
        <w:t>10</w:t>
      </w:r>
      <w:r>
        <w:fldChar w:fldCharType="end"/>
      </w:r>
      <w:r>
        <w:t>).</w:t>
      </w:r>
    </w:p>
    <w:p w14:paraId="4E047492" w14:textId="501D73C3" w:rsidR="00FE4CF1" w:rsidRDefault="00FE4CF1" w:rsidP="00702B36">
      <w:pPr>
        <w:spacing w:before="240"/>
      </w:pPr>
      <w:r>
        <w:t>For the estimated impact on the MBS (</w:t>
      </w:r>
      <w:r>
        <w:fldChar w:fldCharType="begin"/>
      </w:r>
      <w:r>
        <w:instrText xml:space="preserve"> REF _Ref68681106 \h </w:instrText>
      </w:r>
      <w:r>
        <w:fldChar w:fldCharType="separate"/>
      </w:r>
      <w:r>
        <w:t xml:space="preserve">Table </w:t>
      </w:r>
      <w:r>
        <w:rPr>
          <w:noProof/>
        </w:rPr>
        <w:t>9</w:t>
      </w:r>
      <w:r>
        <w:fldChar w:fldCharType="end"/>
      </w:r>
      <w:r>
        <w:t>), t</w:t>
      </w:r>
      <w:r w:rsidRPr="006B62E8">
        <w:t xml:space="preserve">he </w:t>
      </w:r>
      <w:r w:rsidRPr="00F61525">
        <w:t>base case</w:t>
      </w:r>
      <w:r>
        <w:t xml:space="preserve"> financial estimates</w:t>
      </w:r>
      <w:r w:rsidRPr="006B62E8">
        <w:t xml:space="preserve"> acknowledge a small increased risk of </w:t>
      </w:r>
      <w:r>
        <w:t>TKA</w:t>
      </w:r>
      <w:r w:rsidRPr="006B62E8">
        <w:t xml:space="preserve"> with the use of JointRep</w:t>
      </w:r>
      <w:r>
        <w:t xml:space="preserve"> (one patient in the JointRep study) and </w:t>
      </w:r>
      <w:r w:rsidRPr="006B62E8">
        <w:t xml:space="preserve">a </w:t>
      </w:r>
      <w:r>
        <w:t xml:space="preserve">lower </w:t>
      </w:r>
      <w:r w:rsidRPr="006B62E8">
        <w:t xml:space="preserve">risk of </w:t>
      </w:r>
      <w:r>
        <w:t xml:space="preserve">reoperation when </w:t>
      </w:r>
      <w:r w:rsidRPr="006B62E8">
        <w:t xml:space="preserve">JointRep </w:t>
      </w:r>
      <w:r>
        <w:t xml:space="preserve">is used </w:t>
      </w:r>
      <w:r w:rsidRPr="006B62E8">
        <w:t xml:space="preserve">in conjunction with microfracture </w:t>
      </w:r>
      <w:r>
        <w:t xml:space="preserve">(applied in Year 3 and Year 5). The commentary noted that </w:t>
      </w:r>
      <w:r w:rsidRPr="000126E2">
        <w:t>t</w:t>
      </w:r>
      <w:r w:rsidRPr="00B94618">
        <w:t>he risk of reoperation was taken from a study of BST-CarGel rather than JointRep.</w:t>
      </w:r>
      <w:r w:rsidRPr="000126E2">
        <w:t xml:space="preserve"> </w:t>
      </w:r>
    </w:p>
    <w:p w14:paraId="4128077B" w14:textId="338F5614" w:rsidR="001E0BC1" w:rsidRPr="004469B4" w:rsidRDefault="001E0BC1" w:rsidP="00702B36">
      <w:pPr>
        <w:pStyle w:val="Caption"/>
        <w:spacing w:before="240"/>
      </w:pPr>
      <w:bookmarkStart w:id="16" w:name="_Ref68681106"/>
      <w:r>
        <w:lastRenderedPageBreak/>
        <w:t xml:space="preserve">Table </w:t>
      </w:r>
      <w:r w:rsidR="00875DA4">
        <w:fldChar w:fldCharType="begin"/>
      </w:r>
      <w:r w:rsidR="00875DA4">
        <w:instrText xml:space="preserve"> SEQ Table \* ARABIC </w:instrText>
      </w:r>
      <w:r w:rsidR="00875DA4">
        <w:fldChar w:fldCharType="separate"/>
      </w:r>
      <w:r w:rsidR="00893411">
        <w:rPr>
          <w:noProof/>
        </w:rPr>
        <w:t>9</w:t>
      </w:r>
      <w:r w:rsidR="00875DA4">
        <w:rPr>
          <w:noProof/>
        </w:rPr>
        <w:fldChar w:fldCharType="end"/>
      </w:r>
      <w:bookmarkEnd w:id="16"/>
      <w:r w:rsidRPr="00183E4D">
        <w:tab/>
      </w:r>
      <w:r>
        <w:t>Total cost impact</w:t>
      </w:r>
      <w:r w:rsidRPr="00183E4D">
        <w:t xml:space="preserve"> to the MBS </w:t>
      </w:r>
      <w:r>
        <w:t>of continued listing of JointRep and the incremental costs for reoperation – Base case using sales data (Commercial-In-Confidence)</w:t>
      </w:r>
    </w:p>
    <w:tbl>
      <w:tblPr>
        <w:tblStyle w:val="TableGrid"/>
        <w:tblW w:w="5000" w:type="pct"/>
        <w:tblLayout w:type="fixed"/>
        <w:tblLook w:val="04A0" w:firstRow="1" w:lastRow="0" w:firstColumn="1" w:lastColumn="0" w:noHBand="0" w:noVBand="1"/>
        <w:tblCaption w:val="Total cost impact to the MBS of continued listing of JointRep and the incremental costs for reoperation."/>
        <w:tblDescription w:val="A summary of whether the assessment report has followed the DAP"/>
      </w:tblPr>
      <w:tblGrid>
        <w:gridCol w:w="1838"/>
        <w:gridCol w:w="1134"/>
        <w:gridCol w:w="1208"/>
        <w:gridCol w:w="1208"/>
        <w:gridCol w:w="1208"/>
        <w:gridCol w:w="1192"/>
        <w:gridCol w:w="1228"/>
      </w:tblGrid>
      <w:tr w:rsidR="001E0BC1" w14:paraId="0C6C9DC2" w14:textId="77777777" w:rsidTr="00FE4CF1">
        <w:trPr>
          <w:tblHeader/>
        </w:trPr>
        <w:tc>
          <w:tcPr>
            <w:tcW w:w="1019" w:type="pct"/>
            <w:tcBorders>
              <w:bottom w:val="single" w:sz="4" w:space="0" w:color="auto"/>
            </w:tcBorders>
          </w:tcPr>
          <w:p w14:paraId="37B3DEC3" w14:textId="33541311" w:rsidR="001E0BC1" w:rsidRDefault="001E0BC1" w:rsidP="001E0BC1">
            <w:pPr>
              <w:pStyle w:val="Tabletextboldleft"/>
              <w:keepNext w:val="0"/>
              <w:spacing w:before="40" w:after="40"/>
              <w:ind w:left="22"/>
            </w:pPr>
          </w:p>
        </w:tc>
        <w:tc>
          <w:tcPr>
            <w:tcW w:w="629" w:type="pct"/>
            <w:tcBorders>
              <w:bottom w:val="single" w:sz="4" w:space="0" w:color="auto"/>
            </w:tcBorders>
          </w:tcPr>
          <w:p w14:paraId="0A75B9F5" w14:textId="77777777" w:rsidR="001E0BC1" w:rsidRDefault="001E0BC1" w:rsidP="001E0BC1">
            <w:pPr>
              <w:pStyle w:val="Tabletextboldleft"/>
              <w:keepNext w:val="0"/>
              <w:spacing w:before="40" w:after="40"/>
              <w:ind w:left="24"/>
            </w:pPr>
            <w:r>
              <w:t>MBS item(s)</w:t>
            </w:r>
          </w:p>
        </w:tc>
        <w:tc>
          <w:tcPr>
            <w:tcW w:w="670" w:type="pct"/>
            <w:tcBorders>
              <w:bottom w:val="single" w:sz="4" w:space="0" w:color="auto"/>
            </w:tcBorders>
          </w:tcPr>
          <w:p w14:paraId="616B9AAF" w14:textId="77777777" w:rsidR="001E0BC1" w:rsidRDefault="001E0BC1" w:rsidP="001E0BC1">
            <w:pPr>
              <w:pStyle w:val="Tabletextboldleft"/>
              <w:keepNext w:val="0"/>
              <w:spacing w:before="40" w:after="40"/>
              <w:ind w:left="30"/>
              <w:jc w:val="right"/>
            </w:pPr>
            <w:r>
              <w:t>Year 1</w:t>
            </w:r>
            <w:r>
              <w:br/>
              <w:t>2021</w:t>
            </w:r>
          </w:p>
        </w:tc>
        <w:tc>
          <w:tcPr>
            <w:tcW w:w="670" w:type="pct"/>
            <w:tcBorders>
              <w:bottom w:val="single" w:sz="4" w:space="0" w:color="auto"/>
            </w:tcBorders>
          </w:tcPr>
          <w:p w14:paraId="781A0BA1" w14:textId="77777777" w:rsidR="001E0BC1" w:rsidRDefault="001E0BC1" w:rsidP="001E0BC1">
            <w:pPr>
              <w:pStyle w:val="Tabletextboldleft"/>
              <w:keepNext w:val="0"/>
              <w:spacing w:before="40" w:after="40"/>
              <w:jc w:val="right"/>
            </w:pPr>
            <w:r>
              <w:t>Year 2</w:t>
            </w:r>
            <w:r>
              <w:br/>
              <w:t>2022</w:t>
            </w:r>
          </w:p>
        </w:tc>
        <w:tc>
          <w:tcPr>
            <w:tcW w:w="670" w:type="pct"/>
            <w:tcBorders>
              <w:bottom w:val="single" w:sz="4" w:space="0" w:color="auto"/>
            </w:tcBorders>
          </w:tcPr>
          <w:p w14:paraId="1A3D1A73" w14:textId="77777777" w:rsidR="001E0BC1" w:rsidRDefault="001E0BC1" w:rsidP="001E0BC1">
            <w:pPr>
              <w:pStyle w:val="Tabletextboldleft"/>
              <w:keepNext w:val="0"/>
              <w:spacing w:before="40" w:after="40"/>
              <w:jc w:val="right"/>
            </w:pPr>
            <w:r>
              <w:t>Year 3</w:t>
            </w:r>
            <w:r>
              <w:br/>
              <w:t>2023</w:t>
            </w:r>
          </w:p>
        </w:tc>
        <w:tc>
          <w:tcPr>
            <w:tcW w:w="661" w:type="pct"/>
            <w:tcBorders>
              <w:bottom w:val="single" w:sz="4" w:space="0" w:color="auto"/>
            </w:tcBorders>
          </w:tcPr>
          <w:p w14:paraId="352C641A" w14:textId="77777777" w:rsidR="001E0BC1" w:rsidRDefault="001E0BC1" w:rsidP="001E0BC1">
            <w:pPr>
              <w:pStyle w:val="Tabletextboldleft"/>
              <w:keepNext w:val="0"/>
              <w:spacing w:before="40" w:after="40"/>
              <w:jc w:val="right"/>
            </w:pPr>
            <w:r>
              <w:t>Year 4</w:t>
            </w:r>
            <w:r>
              <w:br/>
              <w:t>2024</w:t>
            </w:r>
          </w:p>
        </w:tc>
        <w:tc>
          <w:tcPr>
            <w:tcW w:w="681" w:type="pct"/>
            <w:tcBorders>
              <w:bottom w:val="single" w:sz="4" w:space="0" w:color="auto"/>
            </w:tcBorders>
          </w:tcPr>
          <w:p w14:paraId="03090760" w14:textId="77777777" w:rsidR="001E0BC1" w:rsidRDefault="001E0BC1" w:rsidP="001E0BC1">
            <w:pPr>
              <w:pStyle w:val="Tabletextboldleft"/>
              <w:keepNext w:val="0"/>
              <w:spacing w:before="40" w:after="40"/>
              <w:ind w:left="34" w:hanging="6"/>
              <w:jc w:val="right"/>
            </w:pPr>
            <w:r>
              <w:t>Year 5</w:t>
            </w:r>
            <w:r>
              <w:br/>
              <w:t>2025</w:t>
            </w:r>
          </w:p>
        </w:tc>
      </w:tr>
      <w:tr w:rsidR="00FE4CF1" w14:paraId="71C5E44E" w14:textId="77777777" w:rsidTr="00FE4CF1">
        <w:tc>
          <w:tcPr>
            <w:tcW w:w="5000" w:type="pct"/>
            <w:gridSpan w:val="7"/>
          </w:tcPr>
          <w:p w14:paraId="73A0901F" w14:textId="695B7FB1" w:rsidR="00FE4CF1" w:rsidRPr="00F61525" w:rsidRDefault="00FE4CF1" w:rsidP="00570065">
            <w:pPr>
              <w:pStyle w:val="Tabletextboldleft"/>
              <w:spacing w:before="40" w:after="40"/>
              <w:ind w:left="34" w:hanging="6"/>
              <w:rPr>
                <w:b w:val="0"/>
                <w:bCs/>
              </w:rPr>
            </w:pPr>
            <w:r w:rsidRPr="00FE4CF1">
              <w:t>Estimated utilisation of JointRep</w:t>
            </w:r>
          </w:p>
        </w:tc>
      </w:tr>
      <w:tr w:rsidR="00FE4CF1" w14:paraId="011B908A" w14:textId="77777777" w:rsidTr="00FE4CF1">
        <w:tc>
          <w:tcPr>
            <w:tcW w:w="1019" w:type="pct"/>
          </w:tcPr>
          <w:p w14:paraId="2DFB10E4" w14:textId="4BCADD67" w:rsidR="00FE4CF1" w:rsidRDefault="00FE4CF1" w:rsidP="00FE4CF1">
            <w:pPr>
              <w:pStyle w:val="Tabletextboldleft"/>
              <w:keepNext w:val="0"/>
              <w:spacing w:before="40" w:after="40"/>
              <w:ind w:left="22"/>
              <w:rPr>
                <w:b w:val="0"/>
                <w:bCs/>
              </w:rPr>
            </w:pPr>
            <w:r w:rsidRPr="008352F6">
              <w:rPr>
                <w:b w:val="0"/>
                <w:bCs/>
              </w:rPr>
              <w:t>Base case</w:t>
            </w:r>
          </w:p>
        </w:tc>
        <w:tc>
          <w:tcPr>
            <w:tcW w:w="629" w:type="pct"/>
          </w:tcPr>
          <w:p w14:paraId="13C3CEAD" w14:textId="77777777" w:rsidR="00FE4CF1" w:rsidRDefault="00FE4CF1" w:rsidP="00FE4CF1">
            <w:pPr>
              <w:pStyle w:val="Tabletextboldleft"/>
              <w:keepNext w:val="0"/>
              <w:spacing w:before="40" w:after="40"/>
              <w:ind w:left="24"/>
              <w:rPr>
                <w:b w:val="0"/>
                <w:bCs/>
              </w:rPr>
            </w:pPr>
          </w:p>
        </w:tc>
        <w:tc>
          <w:tcPr>
            <w:tcW w:w="670" w:type="pct"/>
          </w:tcPr>
          <w:p w14:paraId="59DC8023" w14:textId="0957D48F" w:rsidR="00FE4CF1" w:rsidRPr="00F61525" w:rsidRDefault="007A43CE" w:rsidP="00FE4CF1">
            <w:pPr>
              <w:pStyle w:val="Tabletextboldleft"/>
              <w:spacing w:before="40" w:after="40"/>
              <w:ind w:left="30"/>
              <w:jc w:val="right"/>
              <w:rPr>
                <w:b w:val="0"/>
                <w:bCs/>
              </w:rPr>
            </w:pPr>
            <w:r w:rsidRPr="007A43CE">
              <w:t>redacted</w:t>
            </w:r>
            <w:r w:rsidRPr="0074781C" w:rsidDel="007A43CE">
              <w:rPr>
                <w:b w:val="0"/>
                <w:bCs/>
                <w:color w:val="FF0000"/>
              </w:rPr>
              <w:t xml:space="preserve"> </w:t>
            </w:r>
          </w:p>
        </w:tc>
        <w:tc>
          <w:tcPr>
            <w:tcW w:w="670" w:type="pct"/>
          </w:tcPr>
          <w:p w14:paraId="7B2CAEE1" w14:textId="098232E1" w:rsidR="00FE4CF1" w:rsidRPr="00F61525" w:rsidRDefault="007A43CE" w:rsidP="00FE4CF1">
            <w:pPr>
              <w:pStyle w:val="Tabletextboldleft"/>
              <w:spacing w:before="40" w:after="40"/>
              <w:jc w:val="right"/>
              <w:rPr>
                <w:b w:val="0"/>
                <w:bCs/>
              </w:rPr>
            </w:pPr>
            <w:r w:rsidRPr="007A43CE">
              <w:t>redacted</w:t>
            </w:r>
            <w:r w:rsidR="0039475B" w:rsidRPr="008352F6" w:rsidDel="0074781C">
              <w:rPr>
                <w:b w:val="0"/>
                <w:bCs/>
              </w:rPr>
              <w:t xml:space="preserve"> </w:t>
            </w:r>
          </w:p>
        </w:tc>
        <w:tc>
          <w:tcPr>
            <w:tcW w:w="670" w:type="pct"/>
          </w:tcPr>
          <w:p w14:paraId="7C3DEAB7" w14:textId="62E6910E" w:rsidR="00FE4CF1" w:rsidRPr="00F61525" w:rsidRDefault="007A43CE" w:rsidP="00FE4CF1">
            <w:pPr>
              <w:pStyle w:val="Tabletextboldleft"/>
              <w:spacing w:before="40" w:after="40"/>
              <w:jc w:val="right"/>
              <w:rPr>
                <w:b w:val="0"/>
                <w:bCs/>
              </w:rPr>
            </w:pPr>
            <w:r w:rsidRPr="007A43CE">
              <w:t>redacted</w:t>
            </w:r>
            <w:r w:rsidR="0039475B" w:rsidRPr="008352F6" w:rsidDel="0074781C">
              <w:rPr>
                <w:b w:val="0"/>
                <w:bCs/>
              </w:rPr>
              <w:t xml:space="preserve"> </w:t>
            </w:r>
          </w:p>
        </w:tc>
        <w:tc>
          <w:tcPr>
            <w:tcW w:w="661" w:type="pct"/>
          </w:tcPr>
          <w:p w14:paraId="6E626DC8" w14:textId="4257A7D5" w:rsidR="00FE4CF1" w:rsidRPr="00F61525" w:rsidRDefault="007A43CE" w:rsidP="00FE4CF1">
            <w:pPr>
              <w:pStyle w:val="Tabletextboldleft"/>
              <w:spacing w:before="40" w:after="40"/>
              <w:jc w:val="right"/>
              <w:rPr>
                <w:b w:val="0"/>
                <w:bCs/>
              </w:rPr>
            </w:pPr>
            <w:r w:rsidRPr="007A43CE">
              <w:t>redacted</w:t>
            </w:r>
            <w:r w:rsidR="0039475B" w:rsidRPr="008352F6" w:rsidDel="0074781C">
              <w:rPr>
                <w:b w:val="0"/>
                <w:bCs/>
              </w:rPr>
              <w:t xml:space="preserve"> </w:t>
            </w:r>
          </w:p>
        </w:tc>
        <w:tc>
          <w:tcPr>
            <w:tcW w:w="681" w:type="pct"/>
          </w:tcPr>
          <w:p w14:paraId="511A82DF" w14:textId="37CE5B2A" w:rsidR="00FE4CF1" w:rsidRPr="00F61525" w:rsidRDefault="007A43CE" w:rsidP="00FE4CF1">
            <w:pPr>
              <w:pStyle w:val="Tabletextboldleft"/>
              <w:spacing w:before="40" w:after="40"/>
              <w:ind w:left="34" w:hanging="6"/>
              <w:jc w:val="right"/>
              <w:rPr>
                <w:b w:val="0"/>
                <w:bCs/>
              </w:rPr>
            </w:pPr>
            <w:r w:rsidRPr="007A43CE">
              <w:t>redacted</w:t>
            </w:r>
            <w:r w:rsidRPr="0074781C" w:rsidDel="007A43CE">
              <w:rPr>
                <w:b w:val="0"/>
                <w:bCs/>
                <w:color w:val="FF0000"/>
              </w:rPr>
              <w:t xml:space="preserve"> </w:t>
            </w:r>
          </w:p>
        </w:tc>
      </w:tr>
      <w:tr w:rsidR="00FE4CF1" w14:paraId="02B69485" w14:textId="77777777" w:rsidTr="00FE4CF1">
        <w:tc>
          <w:tcPr>
            <w:tcW w:w="5000" w:type="pct"/>
            <w:gridSpan w:val="7"/>
          </w:tcPr>
          <w:p w14:paraId="4E0A7851" w14:textId="7E002766" w:rsidR="00FE4CF1" w:rsidRPr="00F61525" w:rsidRDefault="00FE4CF1" w:rsidP="00570065">
            <w:pPr>
              <w:pStyle w:val="Tabletextboldleft"/>
              <w:spacing w:before="40" w:after="40"/>
              <w:ind w:left="34" w:hanging="6"/>
              <w:rPr>
                <w:b w:val="0"/>
                <w:bCs/>
              </w:rPr>
            </w:pPr>
            <w:r>
              <w:t>Cost per year (base case)</w:t>
            </w:r>
          </w:p>
        </w:tc>
      </w:tr>
      <w:tr w:rsidR="007439FA" w14:paraId="22B8960B" w14:textId="77777777" w:rsidTr="00FE4CF1">
        <w:tc>
          <w:tcPr>
            <w:tcW w:w="1019" w:type="pct"/>
          </w:tcPr>
          <w:p w14:paraId="3DECD194" w14:textId="77777777" w:rsidR="007439FA" w:rsidRPr="008352F6" w:rsidRDefault="007439FA" w:rsidP="007439FA">
            <w:pPr>
              <w:pStyle w:val="Tabletextboldleft"/>
              <w:keepNext w:val="0"/>
              <w:spacing w:before="40" w:after="40"/>
              <w:ind w:left="22"/>
              <w:rPr>
                <w:b w:val="0"/>
                <w:bCs/>
              </w:rPr>
            </w:pPr>
            <w:r>
              <w:rPr>
                <w:b w:val="0"/>
                <w:bCs/>
              </w:rPr>
              <w:t>Microfracture procedure</w:t>
            </w:r>
          </w:p>
        </w:tc>
        <w:tc>
          <w:tcPr>
            <w:tcW w:w="629" w:type="pct"/>
          </w:tcPr>
          <w:p w14:paraId="4130EAC8" w14:textId="77777777" w:rsidR="007439FA" w:rsidRPr="00B23055" w:rsidRDefault="007439FA" w:rsidP="007439FA">
            <w:pPr>
              <w:pStyle w:val="Tabletextboldleft"/>
              <w:keepNext w:val="0"/>
              <w:spacing w:before="40" w:after="40"/>
              <w:ind w:left="24"/>
              <w:rPr>
                <w:b w:val="0"/>
                <w:bCs/>
              </w:rPr>
            </w:pPr>
            <w:r>
              <w:rPr>
                <w:b w:val="0"/>
                <w:bCs/>
              </w:rPr>
              <w:t>MBS 49562</w:t>
            </w:r>
          </w:p>
        </w:tc>
        <w:tc>
          <w:tcPr>
            <w:tcW w:w="670" w:type="pct"/>
          </w:tcPr>
          <w:p w14:paraId="0CABC4EA" w14:textId="028C2A5C" w:rsidR="007439FA" w:rsidRPr="00F61525" w:rsidRDefault="00BE0486" w:rsidP="007439FA">
            <w:pPr>
              <w:pStyle w:val="Tabletextboldleft"/>
              <w:spacing w:before="40" w:after="40"/>
              <w:ind w:left="30"/>
              <w:jc w:val="right"/>
              <w:rPr>
                <w:b w:val="0"/>
                <w:bCs/>
              </w:rPr>
            </w:pPr>
            <w:r>
              <w:t>$</w:t>
            </w:r>
            <w:r w:rsidR="007A43CE" w:rsidRPr="007A43CE">
              <w:t>redacted</w:t>
            </w:r>
            <w:r w:rsidR="0039475B" w:rsidRPr="00F61525" w:rsidDel="0074781C">
              <w:rPr>
                <w:b w:val="0"/>
                <w:bCs/>
              </w:rPr>
              <w:t xml:space="preserve"> </w:t>
            </w:r>
          </w:p>
        </w:tc>
        <w:tc>
          <w:tcPr>
            <w:tcW w:w="670" w:type="pct"/>
          </w:tcPr>
          <w:p w14:paraId="34ADF8B6" w14:textId="5641C591" w:rsidR="007439FA" w:rsidRPr="00F61525" w:rsidRDefault="00BE0486" w:rsidP="007439FA">
            <w:pPr>
              <w:pStyle w:val="Tabletextboldleft"/>
              <w:spacing w:before="40" w:after="40"/>
              <w:jc w:val="right"/>
              <w:rPr>
                <w:b w:val="0"/>
                <w:bCs/>
              </w:rPr>
            </w:pPr>
            <w:r>
              <w:t>$</w:t>
            </w:r>
            <w:r w:rsidR="007A43CE" w:rsidRPr="007A43CE">
              <w:t>redacted</w:t>
            </w:r>
            <w:r w:rsidR="007A43CE" w:rsidRPr="00F61525" w:rsidDel="0074781C">
              <w:rPr>
                <w:b w:val="0"/>
                <w:bCs/>
              </w:rPr>
              <w:t xml:space="preserve"> </w:t>
            </w:r>
          </w:p>
        </w:tc>
        <w:tc>
          <w:tcPr>
            <w:tcW w:w="670" w:type="pct"/>
          </w:tcPr>
          <w:p w14:paraId="112B1E55" w14:textId="344523B8" w:rsidR="007439FA" w:rsidRPr="00F61525" w:rsidRDefault="00BE0486" w:rsidP="007439FA">
            <w:pPr>
              <w:pStyle w:val="Tabletextboldleft"/>
              <w:spacing w:before="40" w:after="40"/>
              <w:jc w:val="right"/>
              <w:rPr>
                <w:b w:val="0"/>
                <w:bCs/>
              </w:rPr>
            </w:pPr>
            <w:r>
              <w:t>$</w:t>
            </w:r>
            <w:r w:rsidR="007A43CE" w:rsidRPr="007A43CE">
              <w:t>redacted</w:t>
            </w:r>
            <w:r w:rsidR="007A43CE" w:rsidRPr="00F61525" w:rsidDel="0074781C">
              <w:rPr>
                <w:b w:val="0"/>
                <w:bCs/>
              </w:rPr>
              <w:t xml:space="preserve"> </w:t>
            </w:r>
          </w:p>
        </w:tc>
        <w:tc>
          <w:tcPr>
            <w:tcW w:w="661" w:type="pct"/>
          </w:tcPr>
          <w:p w14:paraId="3E376FE8" w14:textId="5B7824BB" w:rsidR="007439FA" w:rsidRPr="00F61525" w:rsidRDefault="00BE0486" w:rsidP="007439FA">
            <w:pPr>
              <w:pStyle w:val="Tabletextboldleft"/>
              <w:spacing w:before="40" w:after="40"/>
              <w:jc w:val="right"/>
              <w:rPr>
                <w:b w:val="0"/>
                <w:bCs/>
              </w:rPr>
            </w:pPr>
            <w:r>
              <w:t>$</w:t>
            </w:r>
            <w:r w:rsidR="007A43CE" w:rsidRPr="007A43CE">
              <w:t>redacted</w:t>
            </w:r>
            <w:r w:rsidR="007A43CE" w:rsidRPr="00F61525" w:rsidDel="0074781C">
              <w:rPr>
                <w:b w:val="0"/>
                <w:bCs/>
              </w:rPr>
              <w:t xml:space="preserve"> </w:t>
            </w:r>
          </w:p>
        </w:tc>
        <w:tc>
          <w:tcPr>
            <w:tcW w:w="681" w:type="pct"/>
          </w:tcPr>
          <w:p w14:paraId="6FCCE6A1" w14:textId="2B260070" w:rsidR="007439FA" w:rsidRPr="00F61525" w:rsidRDefault="00BE0486" w:rsidP="007439FA">
            <w:pPr>
              <w:pStyle w:val="Tabletextboldleft"/>
              <w:spacing w:before="40" w:after="40"/>
              <w:ind w:left="34" w:hanging="6"/>
              <w:jc w:val="right"/>
              <w:rPr>
                <w:b w:val="0"/>
                <w:bCs/>
              </w:rPr>
            </w:pPr>
            <w:r>
              <w:t>$</w:t>
            </w:r>
            <w:r w:rsidR="007A43CE" w:rsidRPr="007A43CE">
              <w:t>redacted</w:t>
            </w:r>
            <w:r w:rsidR="007A43CE" w:rsidRPr="00F61525" w:rsidDel="0074781C">
              <w:rPr>
                <w:b w:val="0"/>
                <w:bCs/>
              </w:rPr>
              <w:t xml:space="preserve"> </w:t>
            </w:r>
          </w:p>
        </w:tc>
      </w:tr>
      <w:tr w:rsidR="007439FA" w14:paraId="08DB001B" w14:textId="77777777" w:rsidTr="00FE4CF1">
        <w:tc>
          <w:tcPr>
            <w:tcW w:w="1019" w:type="pct"/>
          </w:tcPr>
          <w:p w14:paraId="1E60D8AC" w14:textId="77777777" w:rsidR="007439FA" w:rsidRDefault="007439FA" w:rsidP="007439FA">
            <w:pPr>
              <w:pStyle w:val="Tabletextboldleft"/>
              <w:keepNext w:val="0"/>
              <w:spacing w:before="40" w:after="40"/>
              <w:ind w:left="22"/>
              <w:rPr>
                <w:b w:val="0"/>
                <w:bCs/>
              </w:rPr>
            </w:pPr>
            <w:r>
              <w:rPr>
                <w:b w:val="0"/>
                <w:bCs/>
              </w:rPr>
              <w:t>Anaesthesia</w:t>
            </w:r>
          </w:p>
        </w:tc>
        <w:tc>
          <w:tcPr>
            <w:tcW w:w="629" w:type="pct"/>
          </w:tcPr>
          <w:p w14:paraId="04650C90" w14:textId="77777777" w:rsidR="007439FA" w:rsidRPr="00B23055" w:rsidRDefault="007439FA" w:rsidP="007439FA">
            <w:pPr>
              <w:pStyle w:val="Tabletextboldleft"/>
              <w:keepNext w:val="0"/>
              <w:spacing w:before="40" w:after="40"/>
              <w:ind w:left="24"/>
              <w:rPr>
                <w:b w:val="0"/>
                <w:bCs/>
              </w:rPr>
            </w:pPr>
            <w:r>
              <w:rPr>
                <w:b w:val="0"/>
                <w:bCs/>
              </w:rPr>
              <w:t>MBS 17610</w:t>
            </w:r>
            <w:r>
              <w:rPr>
                <w:b w:val="0"/>
                <w:bCs/>
              </w:rPr>
              <w:br/>
              <w:t>MBS 21382</w:t>
            </w:r>
            <w:r>
              <w:rPr>
                <w:b w:val="0"/>
                <w:bCs/>
              </w:rPr>
              <w:br/>
              <w:t>MBS 23065</w:t>
            </w:r>
          </w:p>
        </w:tc>
        <w:tc>
          <w:tcPr>
            <w:tcW w:w="670" w:type="pct"/>
          </w:tcPr>
          <w:p w14:paraId="339FAE21" w14:textId="6BEB8EBE" w:rsidR="007439FA" w:rsidRPr="00F61525" w:rsidRDefault="00BE0486" w:rsidP="007439FA">
            <w:pPr>
              <w:pStyle w:val="Tabletextboldleft"/>
              <w:spacing w:before="40" w:after="40"/>
              <w:ind w:left="30"/>
              <w:jc w:val="right"/>
              <w:rPr>
                <w:b w:val="0"/>
                <w:bCs/>
              </w:rPr>
            </w:pPr>
            <w:r>
              <w:t>$</w:t>
            </w:r>
            <w:r w:rsidRPr="007A43CE">
              <w:t>redacted</w:t>
            </w:r>
            <w:r w:rsidRPr="00F61525" w:rsidDel="0074781C">
              <w:rPr>
                <w:b w:val="0"/>
                <w:bCs/>
              </w:rPr>
              <w:t xml:space="preserve"> </w:t>
            </w:r>
          </w:p>
        </w:tc>
        <w:tc>
          <w:tcPr>
            <w:tcW w:w="670" w:type="pct"/>
          </w:tcPr>
          <w:p w14:paraId="0FE7FC36" w14:textId="46D008DB"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70" w:type="pct"/>
          </w:tcPr>
          <w:p w14:paraId="51C35D63" w14:textId="35F0A0E3"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61" w:type="pct"/>
          </w:tcPr>
          <w:p w14:paraId="4EE27A87" w14:textId="6B58EA72"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81" w:type="pct"/>
          </w:tcPr>
          <w:p w14:paraId="61836588" w14:textId="4D270A47" w:rsidR="007439FA" w:rsidRPr="00F61525" w:rsidRDefault="00BE0486" w:rsidP="007439FA">
            <w:pPr>
              <w:pStyle w:val="Tabletextboldleft"/>
              <w:spacing w:before="40" w:after="40"/>
              <w:ind w:left="34" w:hanging="6"/>
              <w:jc w:val="right"/>
              <w:rPr>
                <w:b w:val="0"/>
                <w:bCs/>
              </w:rPr>
            </w:pPr>
            <w:r>
              <w:t>$</w:t>
            </w:r>
            <w:r w:rsidRPr="007A43CE">
              <w:t>redacted</w:t>
            </w:r>
            <w:r w:rsidRPr="00F61525" w:rsidDel="0074781C">
              <w:rPr>
                <w:b w:val="0"/>
                <w:bCs/>
              </w:rPr>
              <w:t xml:space="preserve"> </w:t>
            </w:r>
          </w:p>
        </w:tc>
      </w:tr>
      <w:tr w:rsidR="007439FA" w14:paraId="321F6079" w14:textId="77777777" w:rsidTr="00FE4CF1">
        <w:tc>
          <w:tcPr>
            <w:tcW w:w="1019" w:type="pct"/>
          </w:tcPr>
          <w:p w14:paraId="549FBC49" w14:textId="77777777" w:rsidR="007439FA" w:rsidRDefault="007439FA" w:rsidP="007439FA">
            <w:pPr>
              <w:pStyle w:val="Tabletextboldleft"/>
              <w:keepNext w:val="0"/>
              <w:spacing w:before="40" w:after="40"/>
              <w:ind w:left="22"/>
              <w:rPr>
                <w:b w:val="0"/>
                <w:bCs/>
              </w:rPr>
            </w:pPr>
            <w:r>
              <w:rPr>
                <w:b w:val="0"/>
                <w:bCs/>
              </w:rPr>
              <w:t>Assistant</w:t>
            </w:r>
          </w:p>
        </w:tc>
        <w:tc>
          <w:tcPr>
            <w:tcW w:w="629" w:type="pct"/>
          </w:tcPr>
          <w:p w14:paraId="0F072A5E" w14:textId="77777777" w:rsidR="007439FA" w:rsidRPr="00B23055" w:rsidRDefault="007439FA" w:rsidP="007439FA">
            <w:pPr>
              <w:pStyle w:val="Tabletextboldleft"/>
              <w:keepNext w:val="0"/>
              <w:spacing w:before="40" w:after="40"/>
              <w:ind w:left="24"/>
              <w:rPr>
                <w:b w:val="0"/>
                <w:bCs/>
              </w:rPr>
            </w:pPr>
            <w:r>
              <w:rPr>
                <w:b w:val="0"/>
                <w:bCs/>
              </w:rPr>
              <w:t>MBS 51303</w:t>
            </w:r>
          </w:p>
        </w:tc>
        <w:tc>
          <w:tcPr>
            <w:tcW w:w="670" w:type="pct"/>
          </w:tcPr>
          <w:p w14:paraId="20F11691" w14:textId="6DC2312A" w:rsidR="007439FA" w:rsidRPr="00F61525" w:rsidRDefault="00BE0486" w:rsidP="007439FA">
            <w:pPr>
              <w:pStyle w:val="Tabletextboldleft"/>
              <w:spacing w:before="40" w:after="40"/>
              <w:ind w:left="30"/>
              <w:jc w:val="right"/>
              <w:rPr>
                <w:b w:val="0"/>
                <w:bCs/>
              </w:rPr>
            </w:pPr>
            <w:r>
              <w:t>$</w:t>
            </w:r>
            <w:r w:rsidRPr="007A43CE">
              <w:t>redacted</w:t>
            </w:r>
            <w:r w:rsidRPr="00F61525" w:rsidDel="0074781C">
              <w:rPr>
                <w:b w:val="0"/>
                <w:bCs/>
              </w:rPr>
              <w:t xml:space="preserve"> </w:t>
            </w:r>
          </w:p>
        </w:tc>
        <w:tc>
          <w:tcPr>
            <w:tcW w:w="670" w:type="pct"/>
          </w:tcPr>
          <w:p w14:paraId="5BFB77EA" w14:textId="4DE4FD43"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70" w:type="pct"/>
          </w:tcPr>
          <w:p w14:paraId="59343189" w14:textId="64D4C77B"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61" w:type="pct"/>
          </w:tcPr>
          <w:p w14:paraId="425D3354" w14:textId="51F5B936"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81" w:type="pct"/>
          </w:tcPr>
          <w:p w14:paraId="0C870033" w14:textId="5ACF2C4D" w:rsidR="007439FA" w:rsidRPr="00F61525" w:rsidRDefault="00BE0486" w:rsidP="007439FA">
            <w:pPr>
              <w:pStyle w:val="Tabletextboldleft"/>
              <w:spacing w:before="40" w:after="40"/>
              <w:ind w:left="34" w:hanging="6"/>
              <w:jc w:val="right"/>
              <w:rPr>
                <w:b w:val="0"/>
                <w:bCs/>
              </w:rPr>
            </w:pPr>
            <w:r>
              <w:t>$</w:t>
            </w:r>
            <w:r w:rsidRPr="007A43CE">
              <w:t>redacted</w:t>
            </w:r>
            <w:r w:rsidRPr="00F61525" w:rsidDel="0074781C">
              <w:rPr>
                <w:b w:val="0"/>
                <w:bCs/>
              </w:rPr>
              <w:t xml:space="preserve"> </w:t>
            </w:r>
          </w:p>
        </w:tc>
      </w:tr>
      <w:tr w:rsidR="007439FA" w14:paraId="6F28EA05" w14:textId="77777777" w:rsidTr="00FE4CF1">
        <w:tc>
          <w:tcPr>
            <w:tcW w:w="1019" w:type="pct"/>
          </w:tcPr>
          <w:p w14:paraId="78C4C16B" w14:textId="77777777" w:rsidR="007439FA" w:rsidRPr="008352F6" w:rsidRDefault="007439FA" w:rsidP="007439FA">
            <w:pPr>
              <w:pStyle w:val="Tabletextboldleft"/>
              <w:keepNext w:val="0"/>
              <w:spacing w:before="40" w:after="40"/>
              <w:ind w:left="22"/>
              <w:rPr>
                <w:b w:val="0"/>
                <w:bCs/>
              </w:rPr>
            </w:pPr>
            <w:r>
              <w:rPr>
                <w:b w:val="0"/>
                <w:bCs/>
              </w:rPr>
              <w:t>Follow-up visits</w:t>
            </w:r>
            <w:r>
              <w:rPr>
                <w:vertAlign w:val="superscript"/>
              </w:rPr>
              <w:t>a</w:t>
            </w:r>
          </w:p>
        </w:tc>
        <w:tc>
          <w:tcPr>
            <w:tcW w:w="629" w:type="pct"/>
          </w:tcPr>
          <w:p w14:paraId="2F3D204E" w14:textId="77777777" w:rsidR="007439FA" w:rsidRPr="00B23055" w:rsidRDefault="007439FA" w:rsidP="007439FA">
            <w:pPr>
              <w:pStyle w:val="Tabletextboldleft"/>
              <w:keepNext w:val="0"/>
              <w:spacing w:before="40" w:after="40"/>
              <w:ind w:left="24"/>
              <w:rPr>
                <w:b w:val="0"/>
                <w:bCs/>
              </w:rPr>
            </w:pPr>
            <w:r>
              <w:rPr>
                <w:b w:val="0"/>
                <w:bCs/>
              </w:rPr>
              <w:t>MBS105</w:t>
            </w:r>
          </w:p>
        </w:tc>
        <w:tc>
          <w:tcPr>
            <w:tcW w:w="670" w:type="pct"/>
          </w:tcPr>
          <w:p w14:paraId="570D22AE" w14:textId="58E35E16" w:rsidR="007439FA" w:rsidRPr="00F61525" w:rsidRDefault="00BE0486" w:rsidP="007439FA">
            <w:pPr>
              <w:pStyle w:val="Tabletextboldleft"/>
              <w:spacing w:before="40" w:after="40"/>
              <w:ind w:left="30"/>
              <w:jc w:val="right"/>
              <w:rPr>
                <w:b w:val="0"/>
                <w:bCs/>
              </w:rPr>
            </w:pPr>
            <w:r>
              <w:t>$</w:t>
            </w:r>
            <w:r w:rsidRPr="007A43CE">
              <w:t>redacted</w:t>
            </w:r>
            <w:r w:rsidRPr="00F61525" w:rsidDel="0074781C">
              <w:rPr>
                <w:b w:val="0"/>
                <w:bCs/>
              </w:rPr>
              <w:t xml:space="preserve"> </w:t>
            </w:r>
          </w:p>
        </w:tc>
        <w:tc>
          <w:tcPr>
            <w:tcW w:w="670" w:type="pct"/>
          </w:tcPr>
          <w:p w14:paraId="2DF85EF4" w14:textId="259D6336"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70" w:type="pct"/>
          </w:tcPr>
          <w:p w14:paraId="2C5F8624" w14:textId="21F3D3B4"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61" w:type="pct"/>
          </w:tcPr>
          <w:p w14:paraId="67A9E233" w14:textId="220D6600"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81" w:type="pct"/>
          </w:tcPr>
          <w:p w14:paraId="7B57B789" w14:textId="770EDE05" w:rsidR="007439FA" w:rsidRPr="00F61525" w:rsidRDefault="00BE0486" w:rsidP="007439FA">
            <w:pPr>
              <w:pStyle w:val="Tabletextboldleft"/>
              <w:spacing w:before="40" w:after="40"/>
              <w:ind w:left="34" w:hanging="6"/>
              <w:jc w:val="right"/>
              <w:rPr>
                <w:b w:val="0"/>
                <w:bCs/>
              </w:rPr>
            </w:pPr>
            <w:r>
              <w:t>$</w:t>
            </w:r>
            <w:r w:rsidRPr="007A43CE">
              <w:t>redacted</w:t>
            </w:r>
            <w:r w:rsidRPr="00F61525" w:rsidDel="0074781C">
              <w:rPr>
                <w:b w:val="0"/>
                <w:bCs/>
              </w:rPr>
              <w:t xml:space="preserve"> </w:t>
            </w:r>
          </w:p>
        </w:tc>
      </w:tr>
      <w:tr w:rsidR="007439FA" w14:paraId="0145EA5A" w14:textId="77777777" w:rsidTr="00FE4CF1">
        <w:tc>
          <w:tcPr>
            <w:tcW w:w="1019" w:type="pct"/>
            <w:tcBorders>
              <w:bottom w:val="single" w:sz="4" w:space="0" w:color="auto"/>
            </w:tcBorders>
          </w:tcPr>
          <w:p w14:paraId="0FA6A759" w14:textId="77777777" w:rsidR="007439FA" w:rsidRPr="008352F6" w:rsidRDefault="007439FA" w:rsidP="007439FA">
            <w:pPr>
              <w:pStyle w:val="Tabletextboldleft"/>
              <w:keepNext w:val="0"/>
              <w:spacing w:before="40" w:after="40"/>
              <w:ind w:left="22"/>
              <w:rPr>
                <w:b w:val="0"/>
                <w:bCs/>
              </w:rPr>
            </w:pPr>
            <w:r>
              <w:rPr>
                <w:b w:val="0"/>
                <w:bCs/>
              </w:rPr>
              <w:t>Follow-up MRI</w:t>
            </w:r>
            <w:r>
              <w:rPr>
                <w:vertAlign w:val="superscript"/>
              </w:rPr>
              <w:t>a</w:t>
            </w:r>
          </w:p>
        </w:tc>
        <w:tc>
          <w:tcPr>
            <w:tcW w:w="629" w:type="pct"/>
            <w:tcBorders>
              <w:bottom w:val="single" w:sz="4" w:space="0" w:color="auto"/>
            </w:tcBorders>
          </w:tcPr>
          <w:p w14:paraId="076EB99B" w14:textId="77777777" w:rsidR="007439FA" w:rsidRPr="00B23055" w:rsidRDefault="007439FA" w:rsidP="007439FA">
            <w:pPr>
              <w:pStyle w:val="Tabletextboldleft"/>
              <w:keepNext w:val="0"/>
              <w:spacing w:before="40" w:after="40"/>
              <w:ind w:left="24"/>
              <w:rPr>
                <w:b w:val="0"/>
                <w:bCs/>
              </w:rPr>
            </w:pPr>
            <w:r>
              <w:rPr>
                <w:b w:val="0"/>
                <w:bCs/>
              </w:rPr>
              <w:t>MBS 63328</w:t>
            </w:r>
          </w:p>
        </w:tc>
        <w:tc>
          <w:tcPr>
            <w:tcW w:w="670" w:type="pct"/>
            <w:tcBorders>
              <w:bottom w:val="single" w:sz="4" w:space="0" w:color="auto"/>
            </w:tcBorders>
          </w:tcPr>
          <w:p w14:paraId="3DD33298" w14:textId="106865B9" w:rsidR="007439FA" w:rsidRPr="00F61525" w:rsidRDefault="00BE0486" w:rsidP="007439FA">
            <w:pPr>
              <w:pStyle w:val="Tabletextboldleft"/>
              <w:spacing w:before="40" w:after="40"/>
              <w:ind w:left="30"/>
              <w:jc w:val="right"/>
              <w:rPr>
                <w:b w:val="0"/>
                <w:bCs/>
              </w:rPr>
            </w:pPr>
            <w:r>
              <w:t>$</w:t>
            </w:r>
            <w:r w:rsidRPr="007A43CE">
              <w:t>redacted</w:t>
            </w:r>
            <w:r w:rsidRPr="00F61525" w:rsidDel="0074781C">
              <w:rPr>
                <w:b w:val="0"/>
                <w:bCs/>
              </w:rPr>
              <w:t xml:space="preserve"> </w:t>
            </w:r>
          </w:p>
        </w:tc>
        <w:tc>
          <w:tcPr>
            <w:tcW w:w="670" w:type="pct"/>
            <w:tcBorders>
              <w:bottom w:val="single" w:sz="4" w:space="0" w:color="auto"/>
            </w:tcBorders>
          </w:tcPr>
          <w:p w14:paraId="6A48CF67" w14:textId="10132015"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70" w:type="pct"/>
            <w:tcBorders>
              <w:bottom w:val="single" w:sz="4" w:space="0" w:color="auto"/>
            </w:tcBorders>
          </w:tcPr>
          <w:p w14:paraId="064988A0" w14:textId="48C2901B"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61" w:type="pct"/>
            <w:tcBorders>
              <w:bottom w:val="single" w:sz="4" w:space="0" w:color="auto"/>
            </w:tcBorders>
          </w:tcPr>
          <w:p w14:paraId="4E0B0C4F" w14:textId="6B1F4AC6"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81" w:type="pct"/>
          </w:tcPr>
          <w:p w14:paraId="18E416A8" w14:textId="2A848E82" w:rsidR="007439FA" w:rsidRPr="00F61525" w:rsidRDefault="00BE0486" w:rsidP="007439FA">
            <w:pPr>
              <w:pStyle w:val="Tabletextboldleft"/>
              <w:spacing w:before="40" w:after="40"/>
              <w:ind w:left="34" w:hanging="6"/>
              <w:jc w:val="right"/>
              <w:rPr>
                <w:b w:val="0"/>
                <w:bCs/>
              </w:rPr>
            </w:pPr>
            <w:r>
              <w:t>$</w:t>
            </w:r>
            <w:r w:rsidRPr="007A43CE">
              <w:t>redacted</w:t>
            </w:r>
            <w:r w:rsidRPr="00F61525" w:rsidDel="0074781C">
              <w:rPr>
                <w:b w:val="0"/>
                <w:bCs/>
              </w:rPr>
              <w:t xml:space="preserve"> </w:t>
            </w:r>
          </w:p>
        </w:tc>
      </w:tr>
      <w:tr w:rsidR="007439FA" w14:paraId="272BBABD" w14:textId="77777777" w:rsidTr="00FE4CF1">
        <w:tc>
          <w:tcPr>
            <w:tcW w:w="1019" w:type="pct"/>
          </w:tcPr>
          <w:p w14:paraId="723C1E76" w14:textId="77777777" w:rsidR="007439FA" w:rsidRDefault="007439FA" w:rsidP="007439FA">
            <w:pPr>
              <w:pStyle w:val="Tabletextboldleft"/>
              <w:spacing w:before="40" w:after="40"/>
              <w:ind w:left="22"/>
              <w:rPr>
                <w:b w:val="0"/>
                <w:bCs/>
              </w:rPr>
            </w:pPr>
            <w:r>
              <w:rPr>
                <w:b w:val="0"/>
                <w:bCs/>
              </w:rPr>
              <w:t>Knee arthroplasty costs</w:t>
            </w:r>
            <w:r>
              <w:rPr>
                <w:vertAlign w:val="superscript"/>
              </w:rPr>
              <w:t>b</w:t>
            </w:r>
          </w:p>
        </w:tc>
        <w:tc>
          <w:tcPr>
            <w:tcW w:w="629" w:type="pct"/>
          </w:tcPr>
          <w:p w14:paraId="076995AD" w14:textId="77777777" w:rsidR="007439FA" w:rsidRPr="00B23055" w:rsidRDefault="007439FA" w:rsidP="007439FA">
            <w:pPr>
              <w:pStyle w:val="Tabletextboldleft"/>
              <w:spacing w:before="40" w:after="40"/>
              <w:ind w:left="24"/>
              <w:rPr>
                <w:b w:val="0"/>
                <w:bCs/>
              </w:rPr>
            </w:pPr>
            <w:r>
              <w:rPr>
                <w:b w:val="0"/>
                <w:bCs/>
              </w:rPr>
              <w:t>MBS 17610</w:t>
            </w:r>
            <w:r>
              <w:rPr>
                <w:b w:val="0"/>
                <w:bCs/>
              </w:rPr>
              <w:br/>
              <w:t>MBS 21402</w:t>
            </w:r>
            <w:r>
              <w:rPr>
                <w:b w:val="0"/>
                <w:bCs/>
              </w:rPr>
              <w:br/>
              <w:t>MBS 23085</w:t>
            </w:r>
            <w:r>
              <w:rPr>
                <w:b w:val="0"/>
                <w:bCs/>
              </w:rPr>
              <w:br/>
              <w:t>MBS 49518</w:t>
            </w:r>
            <w:r>
              <w:rPr>
                <w:b w:val="0"/>
                <w:bCs/>
              </w:rPr>
              <w:br/>
              <w:t>MBS 51303</w:t>
            </w:r>
          </w:p>
        </w:tc>
        <w:tc>
          <w:tcPr>
            <w:tcW w:w="670" w:type="pct"/>
          </w:tcPr>
          <w:p w14:paraId="789FAFC9" w14:textId="3A5BDF61" w:rsidR="007439FA" w:rsidRPr="00F61525" w:rsidRDefault="00BE0486" w:rsidP="007439FA">
            <w:pPr>
              <w:pStyle w:val="Tabletextboldleft"/>
              <w:spacing w:before="40" w:after="40"/>
              <w:ind w:left="30"/>
              <w:jc w:val="right"/>
              <w:rPr>
                <w:b w:val="0"/>
                <w:bCs/>
              </w:rPr>
            </w:pPr>
            <w:r>
              <w:t>$</w:t>
            </w:r>
            <w:r w:rsidRPr="007A43CE">
              <w:t>redacted</w:t>
            </w:r>
            <w:r w:rsidRPr="00F61525" w:rsidDel="0074781C">
              <w:rPr>
                <w:b w:val="0"/>
                <w:bCs/>
              </w:rPr>
              <w:t xml:space="preserve"> </w:t>
            </w:r>
          </w:p>
        </w:tc>
        <w:tc>
          <w:tcPr>
            <w:tcW w:w="670" w:type="pct"/>
          </w:tcPr>
          <w:p w14:paraId="2127BD17" w14:textId="71955105"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70" w:type="pct"/>
          </w:tcPr>
          <w:p w14:paraId="0C8DD3A1" w14:textId="08522348"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61" w:type="pct"/>
          </w:tcPr>
          <w:p w14:paraId="37FC8AC6" w14:textId="52203B60"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81" w:type="pct"/>
          </w:tcPr>
          <w:p w14:paraId="6E64AC1D" w14:textId="3992B0E3" w:rsidR="007439FA" w:rsidRPr="00F61525" w:rsidRDefault="00BE0486" w:rsidP="007439FA">
            <w:pPr>
              <w:pStyle w:val="Tabletextboldleft"/>
              <w:spacing w:before="40" w:after="40"/>
              <w:ind w:left="34" w:hanging="6"/>
              <w:jc w:val="right"/>
              <w:rPr>
                <w:b w:val="0"/>
                <w:bCs/>
              </w:rPr>
            </w:pPr>
            <w:r>
              <w:t>$</w:t>
            </w:r>
            <w:r w:rsidRPr="007A43CE">
              <w:t>redacted</w:t>
            </w:r>
            <w:r w:rsidRPr="00F61525" w:rsidDel="0074781C">
              <w:rPr>
                <w:b w:val="0"/>
                <w:bCs/>
              </w:rPr>
              <w:t xml:space="preserve"> </w:t>
            </w:r>
          </w:p>
        </w:tc>
      </w:tr>
      <w:tr w:rsidR="007439FA" w14:paraId="4D2AF555" w14:textId="77777777" w:rsidTr="00FE4CF1">
        <w:tc>
          <w:tcPr>
            <w:tcW w:w="1019" w:type="pct"/>
          </w:tcPr>
          <w:p w14:paraId="53A7B535" w14:textId="77777777" w:rsidR="007439FA" w:rsidRDefault="007439FA" w:rsidP="007439FA">
            <w:pPr>
              <w:pStyle w:val="Tabletextboldleft"/>
              <w:keepNext w:val="0"/>
              <w:spacing w:before="40" w:after="40"/>
              <w:ind w:left="22"/>
              <w:rPr>
                <w:b w:val="0"/>
                <w:bCs/>
              </w:rPr>
            </w:pPr>
            <w:r>
              <w:rPr>
                <w:b w:val="0"/>
                <w:bCs/>
              </w:rPr>
              <w:t>Reoperation costs</w:t>
            </w:r>
            <w:r>
              <w:rPr>
                <w:vertAlign w:val="superscript"/>
              </w:rPr>
              <w:t>a,c</w:t>
            </w:r>
          </w:p>
        </w:tc>
        <w:tc>
          <w:tcPr>
            <w:tcW w:w="629" w:type="pct"/>
          </w:tcPr>
          <w:p w14:paraId="63DF9635" w14:textId="77777777" w:rsidR="007439FA" w:rsidRDefault="007439FA" w:rsidP="007439FA">
            <w:pPr>
              <w:pStyle w:val="Tabletextboldleft"/>
              <w:keepNext w:val="0"/>
              <w:spacing w:before="40" w:after="40"/>
              <w:ind w:left="24"/>
              <w:rPr>
                <w:b w:val="0"/>
                <w:bCs/>
              </w:rPr>
            </w:pPr>
            <w:r>
              <w:rPr>
                <w:b w:val="0"/>
                <w:bCs/>
              </w:rPr>
              <w:t xml:space="preserve">As for initial procedure </w:t>
            </w:r>
          </w:p>
        </w:tc>
        <w:tc>
          <w:tcPr>
            <w:tcW w:w="670" w:type="pct"/>
          </w:tcPr>
          <w:p w14:paraId="139254EF" w14:textId="4B98B43A" w:rsidR="007439FA" w:rsidRPr="00F61525" w:rsidRDefault="00BE0486" w:rsidP="007439FA">
            <w:pPr>
              <w:pStyle w:val="Tabletextboldleft"/>
              <w:spacing w:before="40" w:after="40"/>
              <w:ind w:left="30"/>
              <w:jc w:val="right"/>
              <w:rPr>
                <w:b w:val="0"/>
                <w:bCs/>
              </w:rPr>
            </w:pPr>
            <w:r>
              <w:t>$</w:t>
            </w:r>
            <w:r w:rsidRPr="007A43CE">
              <w:t>redacted</w:t>
            </w:r>
            <w:r w:rsidRPr="00F61525" w:rsidDel="0074781C">
              <w:rPr>
                <w:b w:val="0"/>
                <w:bCs/>
              </w:rPr>
              <w:t xml:space="preserve"> </w:t>
            </w:r>
          </w:p>
        </w:tc>
        <w:tc>
          <w:tcPr>
            <w:tcW w:w="670" w:type="pct"/>
          </w:tcPr>
          <w:p w14:paraId="6FD11AF4" w14:textId="3C470504"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70" w:type="pct"/>
          </w:tcPr>
          <w:p w14:paraId="44040371" w14:textId="0B982C2B"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61" w:type="pct"/>
          </w:tcPr>
          <w:p w14:paraId="6904E92E" w14:textId="67E32C8F" w:rsidR="007439FA" w:rsidRPr="00F61525" w:rsidRDefault="00BE0486" w:rsidP="007439FA">
            <w:pPr>
              <w:pStyle w:val="Tabletextboldleft"/>
              <w:spacing w:before="40" w:after="40"/>
              <w:jc w:val="right"/>
              <w:rPr>
                <w:b w:val="0"/>
                <w:bCs/>
              </w:rPr>
            </w:pPr>
            <w:r>
              <w:t>$</w:t>
            </w:r>
            <w:r w:rsidRPr="007A43CE">
              <w:t>redacted</w:t>
            </w:r>
            <w:r w:rsidRPr="00F61525" w:rsidDel="0074781C">
              <w:rPr>
                <w:b w:val="0"/>
                <w:bCs/>
              </w:rPr>
              <w:t xml:space="preserve"> </w:t>
            </w:r>
          </w:p>
        </w:tc>
        <w:tc>
          <w:tcPr>
            <w:tcW w:w="681" w:type="pct"/>
          </w:tcPr>
          <w:p w14:paraId="7C726F76" w14:textId="113159F8" w:rsidR="007439FA" w:rsidRPr="00F61525" w:rsidRDefault="00BE0486" w:rsidP="007439FA">
            <w:pPr>
              <w:pStyle w:val="Tabletextboldleft"/>
              <w:spacing w:before="40" w:after="40"/>
              <w:ind w:left="34" w:hanging="6"/>
              <w:jc w:val="right"/>
              <w:rPr>
                <w:b w:val="0"/>
                <w:bCs/>
              </w:rPr>
            </w:pPr>
            <w:r>
              <w:t>$</w:t>
            </w:r>
            <w:r w:rsidRPr="007A43CE">
              <w:t>redacted</w:t>
            </w:r>
            <w:r w:rsidRPr="00F61525" w:rsidDel="0074781C">
              <w:rPr>
                <w:b w:val="0"/>
                <w:bCs/>
              </w:rPr>
              <w:t xml:space="preserve"> </w:t>
            </w:r>
          </w:p>
        </w:tc>
      </w:tr>
      <w:tr w:rsidR="007439FA" w14:paraId="43775509" w14:textId="77777777" w:rsidTr="00FE4CF1">
        <w:tc>
          <w:tcPr>
            <w:tcW w:w="1019" w:type="pct"/>
            <w:shd w:val="clear" w:color="auto" w:fill="F2F2F2" w:themeFill="background1" w:themeFillShade="F2"/>
          </w:tcPr>
          <w:p w14:paraId="04129446" w14:textId="77777777" w:rsidR="007439FA" w:rsidRPr="008925A7" w:rsidRDefault="007439FA" w:rsidP="007439FA">
            <w:pPr>
              <w:pStyle w:val="Tabletextboldleft"/>
              <w:keepNext w:val="0"/>
              <w:spacing w:before="40" w:after="40"/>
              <w:ind w:left="22"/>
            </w:pPr>
            <w:r w:rsidRPr="008925A7">
              <w:t>TOTAL</w:t>
            </w:r>
          </w:p>
        </w:tc>
        <w:tc>
          <w:tcPr>
            <w:tcW w:w="629" w:type="pct"/>
            <w:shd w:val="clear" w:color="auto" w:fill="F2F2F2" w:themeFill="background1" w:themeFillShade="F2"/>
          </w:tcPr>
          <w:p w14:paraId="57CF0577" w14:textId="77777777" w:rsidR="007439FA" w:rsidRPr="008925A7" w:rsidRDefault="007439FA" w:rsidP="007439FA">
            <w:pPr>
              <w:pStyle w:val="Tabletextboldleft"/>
              <w:keepNext w:val="0"/>
              <w:spacing w:before="40" w:after="40"/>
              <w:ind w:left="24"/>
            </w:pPr>
            <w:r>
              <w:t>-</w:t>
            </w:r>
          </w:p>
        </w:tc>
        <w:tc>
          <w:tcPr>
            <w:tcW w:w="670" w:type="pct"/>
            <w:shd w:val="clear" w:color="auto" w:fill="F2F2F2" w:themeFill="background1" w:themeFillShade="F2"/>
          </w:tcPr>
          <w:p w14:paraId="3C117D5F" w14:textId="2D5547C7" w:rsidR="007439FA" w:rsidRPr="00F61525" w:rsidRDefault="00BE0486" w:rsidP="007439FA">
            <w:pPr>
              <w:pStyle w:val="Tabletextboldleft"/>
              <w:spacing w:before="40" w:after="40"/>
              <w:ind w:left="30"/>
              <w:jc w:val="right"/>
            </w:pPr>
            <w:r>
              <w:t>$</w:t>
            </w:r>
            <w:r w:rsidRPr="007A43CE">
              <w:t>redacted</w:t>
            </w:r>
            <w:r w:rsidRPr="00F61525" w:rsidDel="0074781C">
              <w:rPr>
                <w:b w:val="0"/>
                <w:bCs/>
              </w:rPr>
              <w:t xml:space="preserve"> </w:t>
            </w:r>
          </w:p>
        </w:tc>
        <w:tc>
          <w:tcPr>
            <w:tcW w:w="670" w:type="pct"/>
            <w:shd w:val="clear" w:color="auto" w:fill="F2F2F2" w:themeFill="background1" w:themeFillShade="F2"/>
          </w:tcPr>
          <w:p w14:paraId="060388DF" w14:textId="3BAF581D" w:rsidR="007439FA" w:rsidRPr="00F61525" w:rsidRDefault="00BE0486" w:rsidP="007439FA">
            <w:pPr>
              <w:pStyle w:val="Tabletextboldleft"/>
              <w:spacing w:before="40" w:after="40"/>
              <w:jc w:val="right"/>
            </w:pPr>
            <w:r>
              <w:t>$</w:t>
            </w:r>
            <w:r w:rsidRPr="007A43CE">
              <w:t>redacted</w:t>
            </w:r>
            <w:r w:rsidRPr="00F61525" w:rsidDel="0074781C">
              <w:rPr>
                <w:b w:val="0"/>
                <w:bCs/>
              </w:rPr>
              <w:t xml:space="preserve"> </w:t>
            </w:r>
          </w:p>
        </w:tc>
        <w:tc>
          <w:tcPr>
            <w:tcW w:w="670" w:type="pct"/>
            <w:shd w:val="clear" w:color="auto" w:fill="F2F2F2" w:themeFill="background1" w:themeFillShade="F2"/>
          </w:tcPr>
          <w:p w14:paraId="50A680F1" w14:textId="50D41A90" w:rsidR="007439FA" w:rsidRPr="00F61525" w:rsidRDefault="00BE0486" w:rsidP="007439FA">
            <w:pPr>
              <w:pStyle w:val="Tabletextboldleft"/>
              <w:spacing w:before="40" w:after="40"/>
              <w:jc w:val="right"/>
            </w:pPr>
            <w:r>
              <w:t>$</w:t>
            </w:r>
            <w:r w:rsidRPr="007A43CE">
              <w:t>redacted</w:t>
            </w:r>
            <w:r w:rsidRPr="00F61525" w:rsidDel="0074781C">
              <w:rPr>
                <w:b w:val="0"/>
                <w:bCs/>
              </w:rPr>
              <w:t xml:space="preserve"> </w:t>
            </w:r>
          </w:p>
        </w:tc>
        <w:tc>
          <w:tcPr>
            <w:tcW w:w="661" w:type="pct"/>
            <w:shd w:val="clear" w:color="auto" w:fill="F2F2F2" w:themeFill="background1" w:themeFillShade="F2"/>
          </w:tcPr>
          <w:p w14:paraId="1EAD84A8" w14:textId="740BF1D5" w:rsidR="007439FA" w:rsidRPr="00F61525" w:rsidRDefault="00BE0486" w:rsidP="007439FA">
            <w:pPr>
              <w:pStyle w:val="Tabletextboldleft"/>
              <w:spacing w:before="40" w:after="40"/>
              <w:jc w:val="right"/>
            </w:pPr>
            <w:r>
              <w:t>$</w:t>
            </w:r>
            <w:r w:rsidRPr="007A43CE">
              <w:t>redacted</w:t>
            </w:r>
            <w:r w:rsidRPr="00F61525" w:rsidDel="0074781C">
              <w:rPr>
                <w:b w:val="0"/>
                <w:bCs/>
              </w:rPr>
              <w:t xml:space="preserve"> </w:t>
            </w:r>
          </w:p>
        </w:tc>
        <w:tc>
          <w:tcPr>
            <w:tcW w:w="681" w:type="pct"/>
            <w:shd w:val="clear" w:color="auto" w:fill="F2F2F2" w:themeFill="background1" w:themeFillShade="F2"/>
          </w:tcPr>
          <w:p w14:paraId="01C6D21D" w14:textId="09496B53" w:rsidR="007439FA" w:rsidRPr="00F61525" w:rsidRDefault="00BE0486" w:rsidP="007439FA">
            <w:pPr>
              <w:pStyle w:val="Tabletextboldleft"/>
              <w:spacing w:before="40" w:after="40"/>
              <w:ind w:left="34" w:hanging="6"/>
              <w:jc w:val="right"/>
            </w:pPr>
            <w:r>
              <w:t>$</w:t>
            </w:r>
            <w:r w:rsidRPr="007A43CE">
              <w:t>redacted</w:t>
            </w:r>
            <w:r w:rsidRPr="00F61525" w:rsidDel="0074781C">
              <w:rPr>
                <w:b w:val="0"/>
                <w:bCs/>
              </w:rPr>
              <w:t xml:space="preserve"> </w:t>
            </w:r>
          </w:p>
        </w:tc>
      </w:tr>
    </w:tbl>
    <w:p w14:paraId="54062472" w14:textId="5645356A" w:rsidR="001E0BC1" w:rsidRPr="007B241E" w:rsidRDefault="001E0BC1" w:rsidP="003861A2">
      <w:pPr>
        <w:pStyle w:val="Tablenotes"/>
        <w:rPr>
          <w:i/>
          <w:iCs/>
          <w:color w:val="1F497D" w:themeColor="text2"/>
        </w:rPr>
      </w:pPr>
      <w:r w:rsidRPr="00802C09">
        <w:t>Source:</w:t>
      </w:r>
      <w:r>
        <w:t xml:space="preserve"> Table 10, pxxiii-xxiv of the </w:t>
      </w:r>
      <w:r w:rsidR="008141AD">
        <w:t>c</w:t>
      </w:r>
      <w:r>
        <w:t>ommentary</w:t>
      </w:r>
      <w:r w:rsidR="00FE4CF1">
        <w:t xml:space="preserve"> with utilisation estimates from </w:t>
      </w:r>
      <w:r w:rsidR="00644B64">
        <w:t>Table 44, p93 of the</w:t>
      </w:r>
      <w:r w:rsidR="008141AD">
        <w:t xml:space="preserve"> commentary</w:t>
      </w:r>
    </w:p>
    <w:p w14:paraId="0AB102A8" w14:textId="54C49507" w:rsidR="001E0BC1" w:rsidRDefault="008141AD" w:rsidP="003861A2">
      <w:pPr>
        <w:pStyle w:val="Tablenotes"/>
      </w:pPr>
      <w:r>
        <w:t xml:space="preserve">Abbreviations: </w:t>
      </w:r>
      <w:r w:rsidR="001E0BC1">
        <w:t>MBS = Medical Benefits Schedule; MRI = magnetic resonance imaging</w:t>
      </w:r>
    </w:p>
    <w:p w14:paraId="43BFA752" w14:textId="77777777" w:rsidR="001E0BC1" w:rsidRDefault="001E0BC1" w:rsidP="003861A2">
      <w:pPr>
        <w:pStyle w:val="Tablenotes"/>
      </w:pPr>
      <w:r>
        <w:t>Note: Rounding has been applied in the table.</w:t>
      </w:r>
    </w:p>
    <w:p w14:paraId="2A82C8C9" w14:textId="77777777" w:rsidR="001E0BC1" w:rsidRDefault="001E0BC1" w:rsidP="003861A2">
      <w:pPr>
        <w:pStyle w:val="Tablenotes"/>
      </w:pPr>
      <w:r w:rsidRPr="00C548D9">
        <w:rPr>
          <w:b/>
          <w:bCs/>
        </w:rPr>
        <w:t>a</w:t>
      </w:r>
      <w:r>
        <w:rPr>
          <w:vertAlign w:val="superscript"/>
        </w:rPr>
        <w:t xml:space="preserve"> </w:t>
      </w:r>
      <w:r w:rsidRPr="008D3EBB">
        <w:t xml:space="preserve">The ADAR </w:t>
      </w:r>
      <w:r>
        <w:t>applies a 75% benefit rather than 85% benefit for follow-up visits and MRI. These costs have not been corrected in the table.</w:t>
      </w:r>
    </w:p>
    <w:p w14:paraId="765D923F" w14:textId="77777777" w:rsidR="001E0BC1" w:rsidRDefault="001E0BC1" w:rsidP="003861A2">
      <w:pPr>
        <w:pStyle w:val="Tablenotes"/>
      </w:pPr>
      <w:r w:rsidRPr="00C548D9">
        <w:rPr>
          <w:b/>
          <w:bCs/>
        </w:rPr>
        <w:t>b</w:t>
      </w:r>
      <w:r>
        <w:rPr>
          <w:vertAlign w:val="superscript"/>
        </w:rPr>
        <w:t xml:space="preserve"> </w:t>
      </w:r>
      <w:r>
        <w:t>The calculations assume the risk of TKA is 0.02174 or 1/46 (Pipino 2019).</w:t>
      </w:r>
    </w:p>
    <w:p w14:paraId="7EC062CF" w14:textId="4A2D611C" w:rsidR="001E0BC1" w:rsidRDefault="001E0BC1" w:rsidP="003861A2">
      <w:pPr>
        <w:pStyle w:val="Tablenotes"/>
      </w:pPr>
      <w:r w:rsidRPr="00C548D9">
        <w:rPr>
          <w:b/>
          <w:bCs/>
        </w:rPr>
        <w:t>c</w:t>
      </w:r>
      <w:r>
        <w:t xml:space="preserve"> </w:t>
      </w:r>
      <w:r w:rsidRPr="00BB0977">
        <w:t xml:space="preserve">The reoperation </w:t>
      </w:r>
      <w:r>
        <w:t>rate</w:t>
      </w:r>
      <w:r w:rsidRPr="00BB0977">
        <w:t xml:space="preserve">s were taken from </w:t>
      </w:r>
      <w:r>
        <w:t xml:space="preserve">a study </w:t>
      </w:r>
      <w:r w:rsidRPr="00BB0977">
        <w:t>comparing BST</w:t>
      </w:r>
      <w:r>
        <w:t>-</w:t>
      </w:r>
      <w:r w:rsidRPr="00BB0977">
        <w:t>Car</w:t>
      </w:r>
      <w:r>
        <w:t>G</w:t>
      </w:r>
      <w:r w:rsidRPr="00BB0977">
        <w:t xml:space="preserve">el + microfracture </w:t>
      </w:r>
      <w:r>
        <w:t>with</w:t>
      </w:r>
      <w:r w:rsidRPr="00BB0977">
        <w:t xml:space="preserve"> microfracture alone</w:t>
      </w:r>
      <w:r>
        <w:t xml:space="preserve"> (</w:t>
      </w:r>
      <w:r w:rsidRPr="00BB0977">
        <w:t xml:space="preserve">Frappier </w:t>
      </w:r>
      <w:r>
        <w:t xml:space="preserve">et al. </w:t>
      </w:r>
      <w:r w:rsidRPr="00BB0977">
        <w:t>2014</w:t>
      </w:r>
      <w:r>
        <w:t>).</w:t>
      </w:r>
    </w:p>
    <w:p w14:paraId="2A75DE5D" w14:textId="734E2A3B" w:rsidR="002A0490" w:rsidRPr="00A11063" w:rsidRDefault="002A0490" w:rsidP="002A0490">
      <w:r w:rsidRPr="00A11063">
        <w:t xml:space="preserve">The estimated utilisation and the cost to the PL of </w:t>
      </w:r>
      <w:r w:rsidRPr="00A11063">
        <w:rPr>
          <w:u w:val="single"/>
        </w:rPr>
        <w:t>continued</w:t>
      </w:r>
      <w:r w:rsidRPr="00A11063">
        <w:t xml:space="preserve"> listing of JointRep is shown in</w:t>
      </w:r>
      <w:r>
        <w:t xml:space="preserve"> </w:t>
      </w:r>
      <w:r>
        <w:rPr>
          <w:highlight w:val="yellow"/>
        </w:rPr>
        <w:fldChar w:fldCharType="begin"/>
      </w:r>
      <w:r>
        <w:instrText xml:space="preserve"> REF _Ref68682123 \h </w:instrText>
      </w:r>
      <w:r>
        <w:rPr>
          <w:highlight w:val="yellow"/>
        </w:rPr>
      </w:r>
      <w:r>
        <w:rPr>
          <w:highlight w:val="yellow"/>
        </w:rPr>
        <w:fldChar w:fldCharType="separate"/>
      </w:r>
      <w:r>
        <w:t xml:space="preserve">Table </w:t>
      </w:r>
      <w:r>
        <w:rPr>
          <w:noProof/>
        </w:rPr>
        <w:t>10</w:t>
      </w:r>
      <w:r>
        <w:rPr>
          <w:highlight w:val="yellow"/>
        </w:rPr>
        <w:fldChar w:fldCharType="end"/>
      </w:r>
      <w:r w:rsidRPr="00A11063">
        <w:t xml:space="preserve">. </w:t>
      </w:r>
      <w:r>
        <w:t xml:space="preserve">Costs relate to the JointRep prosthesis only and do not incorporate use of other prostheses (e.g., for total knee arthroplasty [TKA]). </w:t>
      </w:r>
    </w:p>
    <w:p w14:paraId="1E8746B1" w14:textId="003F4DD1" w:rsidR="001E0BC1" w:rsidRPr="008352F6" w:rsidRDefault="001E0BC1" w:rsidP="00702B36">
      <w:pPr>
        <w:pStyle w:val="Caption"/>
        <w:spacing w:before="240"/>
      </w:pPr>
      <w:bookmarkStart w:id="17" w:name="_Ref68682123"/>
      <w:r>
        <w:t xml:space="preserve">Table </w:t>
      </w:r>
      <w:r w:rsidR="00875DA4">
        <w:fldChar w:fldCharType="begin"/>
      </w:r>
      <w:r w:rsidR="00875DA4">
        <w:instrText xml:space="preserve"> SEQ Table \* ARABIC </w:instrText>
      </w:r>
      <w:r w:rsidR="00875DA4">
        <w:fldChar w:fldCharType="separate"/>
      </w:r>
      <w:r w:rsidR="00893411">
        <w:rPr>
          <w:noProof/>
        </w:rPr>
        <w:t>10</w:t>
      </w:r>
      <w:r w:rsidR="00875DA4">
        <w:rPr>
          <w:noProof/>
        </w:rPr>
        <w:fldChar w:fldCharType="end"/>
      </w:r>
      <w:bookmarkEnd w:id="17"/>
      <w:r>
        <w:tab/>
        <w:t>Estimated utilisation and cost to the Prostheses List of continued listing of JointRep – Base case using sales data (Commercial-In-Confidence)</w:t>
      </w:r>
    </w:p>
    <w:tbl>
      <w:tblPr>
        <w:tblStyle w:val="TableGrid"/>
        <w:tblW w:w="5000" w:type="pct"/>
        <w:tblLook w:val="04A0" w:firstRow="1" w:lastRow="0" w:firstColumn="1" w:lastColumn="0" w:noHBand="0" w:noVBand="1"/>
        <w:tblCaption w:val="Estimated utilisation and cost to the Prostheses List of continued listing of JointRep"/>
        <w:tblDescription w:val="A summary of the estimated cost per year for JointRep over a five year period. "/>
      </w:tblPr>
      <w:tblGrid>
        <w:gridCol w:w="2741"/>
        <w:gridCol w:w="1257"/>
        <w:gridCol w:w="1255"/>
        <w:gridCol w:w="1255"/>
        <w:gridCol w:w="1255"/>
        <w:gridCol w:w="1253"/>
      </w:tblGrid>
      <w:tr w:rsidR="001E0BC1" w14:paraId="7169677F" w14:textId="77777777" w:rsidTr="001E0BC1">
        <w:trPr>
          <w:tblHeader/>
        </w:trPr>
        <w:tc>
          <w:tcPr>
            <w:tcW w:w="1520" w:type="pct"/>
            <w:tcBorders>
              <w:bottom w:val="single" w:sz="4" w:space="0" w:color="auto"/>
            </w:tcBorders>
          </w:tcPr>
          <w:p w14:paraId="46AFADFF" w14:textId="77777777" w:rsidR="001E0BC1" w:rsidRDefault="001E0BC1" w:rsidP="001E0BC1">
            <w:pPr>
              <w:pStyle w:val="Tabletextboldleft"/>
              <w:spacing w:before="40" w:after="40"/>
              <w:ind w:left="22" w:firstLine="142"/>
            </w:pPr>
            <w:r>
              <w:t>Cost per year</w:t>
            </w:r>
          </w:p>
        </w:tc>
        <w:tc>
          <w:tcPr>
            <w:tcW w:w="697" w:type="pct"/>
            <w:tcBorders>
              <w:bottom w:val="single" w:sz="4" w:space="0" w:color="auto"/>
            </w:tcBorders>
          </w:tcPr>
          <w:p w14:paraId="5CB2E43B" w14:textId="77777777" w:rsidR="001E0BC1" w:rsidRDefault="001E0BC1" w:rsidP="001E0BC1">
            <w:pPr>
              <w:pStyle w:val="Tabletextboldleft"/>
              <w:spacing w:before="40" w:after="40"/>
              <w:ind w:left="181" w:firstLine="15"/>
              <w:jc w:val="right"/>
            </w:pPr>
            <w:r>
              <w:t>Year 1</w:t>
            </w:r>
            <w:r>
              <w:br/>
              <w:t>2021</w:t>
            </w:r>
          </w:p>
        </w:tc>
        <w:tc>
          <w:tcPr>
            <w:tcW w:w="696" w:type="pct"/>
            <w:tcBorders>
              <w:bottom w:val="single" w:sz="4" w:space="0" w:color="auto"/>
            </w:tcBorders>
          </w:tcPr>
          <w:p w14:paraId="55EA880B" w14:textId="77777777" w:rsidR="001E0BC1" w:rsidRDefault="001E0BC1" w:rsidP="001E0BC1">
            <w:pPr>
              <w:pStyle w:val="Tabletextboldleft"/>
              <w:spacing w:before="40" w:after="40"/>
              <w:ind w:left="181"/>
              <w:jc w:val="right"/>
            </w:pPr>
            <w:r>
              <w:t>Year 2</w:t>
            </w:r>
            <w:r>
              <w:br/>
              <w:t>2022</w:t>
            </w:r>
          </w:p>
        </w:tc>
        <w:tc>
          <w:tcPr>
            <w:tcW w:w="696" w:type="pct"/>
            <w:tcBorders>
              <w:bottom w:val="single" w:sz="4" w:space="0" w:color="auto"/>
            </w:tcBorders>
          </w:tcPr>
          <w:p w14:paraId="2171FB52" w14:textId="77777777" w:rsidR="001E0BC1" w:rsidRDefault="001E0BC1" w:rsidP="001E0BC1">
            <w:pPr>
              <w:pStyle w:val="Tabletextboldleft"/>
              <w:spacing w:before="40" w:after="40"/>
              <w:ind w:left="181"/>
              <w:jc w:val="right"/>
            </w:pPr>
            <w:r>
              <w:t>Year 3</w:t>
            </w:r>
            <w:r>
              <w:br/>
              <w:t>2023</w:t>
            </w:r>
          </w:p>
        </w:tc>
        <w:tc>
          <w:tcPr>
            <w:tcW w:w="696" w:type="pct"/>
            <w:tcBorders>
              <w:bottom w:val="single" w:sz="4" w:space="0" w:color="auto"/>
            </w:tcBorders>
          </w:tcPr>
          <w:p w14:paraId="2CC32CCA" w14:textId="77777777" w:rsidR="001E0BC1" w:rsidRDefault="001E0BC1" w:rsidP="001E0BC1">
            <w:pPr>
              <w:pStyle w:val="Tabletextboldleft"/>
              <w:spacing w:before="40" w:after="40"/>
              <w:ind w:left="181"/>
              <w:jc w:val="right"/>
            </w:pPr>
            <w:r>
              <w:t>Year 4</w:t>
            </w:r>
            <w:r>
              <w:br/>
              <w:t>2024</w:t>
            </w:r>
          </w:p>
        </w:tc>
        <w:tc>
          <w:tcPr>
            <w:tcW w:w="695" w:type="pct"/>
            <w:tcBorders>
              <w:bottom w:val="single" w:sz="4" w:space="0" w:color="auto"/>
            </w:tcBorders>
          </w:tcPr>
          <w:p w14:paraId="569A1D78" w14:textId="77777777" w:rsidR="001E0BC1" w:rsidRDefault="001E0BC1" w:rsidP="001E0BC1">
            <w:pPr>
              <w:pStyle w:val="Tabletextboldleft"/>
              <w:spacing w:before="40" w:after="40"/>
              <w:ind w:left="181"/>
              <w:jc w:val="right"/>
            </w:pPr>
            <w:r>
              <w:t>Year 5</w:t>
            </w:r>
            <w:r>
              <w:br/>
              <w:t>2025</w:t>
            </w:r>
          </w:p>
        </w:tc>
      </w:tr>
      <w:tr w:rsidR="001E0BC1" w14:paraId="653BBD93" w14:textId="77777777" w:rsidTr="001E0BC1">
        <w:tc>
          <w:tcPr>
            <w:tcW w:w="1520" w:type="pct"/>
          </w:tcPr>
          <w:p w14:paraId="73B46A58" w14:textId="77777777" w:rsidR="001E0BC1" w:rsidRPr="008352F6" w:rsidRDefault="001E0BC1" w:rsidP="001E0BC1">
            <w:pPr>
              <w:pStyle w:val="Tabletextboldleft"/>
              <w:spacing w:before="40" w:after="40"/>
              <w:ind w:left="164"/>
              <w:rPr>
                <w:b w:val="0"/>
                <w:bCs/>
              </w:rPr>
            </w:pPr>
            <w:r>
              <w:rPr>
                <w:b w:val="0"/>
                <w:bCs/>
              </w:rPr>
              <w:t>Estimated utilisation of JointRep</w:t>
            </w:r>
          </w:p>
        </w:tc>
        <w:tc>
          <w:tcPr>
            <w:tcW w:w="697" w:type="pct"/>
          </w:tcPr>
          <w:p w14:paraId="6B60B1DE" w14:textId="60A6F4D7" w:rsidR="001E0BC1" w:rsidRPr="00B23055" w:rsidRDefault="00BE0486" w:rsidP="001E0BC1">
            <w:pPr>
              <w:pStyle w:val="Tabletextboldleft"/>
              <w:spacing w:before="40" w:after="40"/>
              <w:ind w:left="181"/>
              <w:jc w:val="right"/>
              <w:rPr>
                <w:b w:val="0"/>
                <w:bCs/>
              </w:rPr>
            </w:pPr>
            <w:r w:rsidRPr="007A43CE">
              <w:t>redacted</w:t>
            </w:r>
            <w:r w:rsidR="0039475B" w:rsidRPr="008352F6" w:rsidDel="0074781C">
              <w:rPr>
                <w:b w:val="0"/>
                <w:bCs/>
              </w:rPr>
              <w:t xml:space="preserve"> </w:t>
            </w:r>
          </w:p>
        </w:tc>
        <w:tc>
          <w:tcPr>
            <w:tcW w:w="696" w:type="pct"/>
          </w:tcPr>
          <w:p w14:paraId="7794943F" w14:textId="000BC3F6" w:rsidR="001E0BC1" w:rsidRPr="00B23055" w:rsidRDefault="00BE0486" w:rsidP="001E0BC1">
            <w:pPr>
              <w:pStyle w:val="Tabletextboldleft"/>
              <w:spacing w:before="40" w:after="40"/>
              <w:ind w:left="181"/>
              <w:jc w:val="right"/>
              <w:rPr>
                <w:b w:val="0"/>
                <w:bCs/>
              </w:rPr>
            </w:pPr>
            <w:r w:rsidRPr="007A43CE">
              <w:t>redacted</w:t>
            </w:r>
            <w:r w:rsidRPr="008352F6" w:rsidDel="0074781C">
              <w:rPr>
                <w:b w:val="0"/>
                <w:bCs/>
              </w:rPr>
              <w:t xml:space="preserve"> </w:t>
            </w:r>
          </w:p>
        </w:tc>
        <w:tc>
          <w:tcPr>
            <w:tcW w:w="696" w:type="pct"/>
          </w:tcPr>
          <w:p w14:paraId="1A0825CE" w14:textId="5E695E67" w:rsidR="001E0BC1" w:rsidRPr="00B23055" w:rsidRDefault="00BE0486" w:rsidP="001E0BC1">
            <w:pPr>
              <w:pStyle w:val="Tabletextboldleft"/>
              <w:spacing w:before="40" w:after="40"/>
              <w:ind w:left="181"/>
              <w:jc w:val="right"/>
              <w:rPr>
                <w:b w:val="0"/>
                <w:bCs/>
              </w:rPr>
            </w:pPr>
            <w:r w:rsidRPr="007A43CE">
              <w:t>redacted</w:t>
            </w:r>
            <w:r w:rsidRPr="008352F6" w:rsidDel="0074781C">
              <w:rPr>
                <w:b w:val="0"/>
                <w:bCs/>
              </w:rPr>
              <w:t xml:space="preserve"> </w:t>
            </w:r>
          </w:p>
        </w:tc>
        <w:tc>
          <w:tcPr>
            <w:tcW w:w="696" w:type="pct"/>
          </w:tcPr>
          <w:p w14:paraId="459F1F7C" w14:textId="0B576B71" w:rsidR="001E0BC1" w:rsidRPr="00B23055" w:rsidRDefault="00BE0486" w:rsidP="001E0BC1">
            <w:pPr>
              <w:pStyle w:val="Tabletextboldleft"/>
              <w:spacing w:before="40" w:after="40"/>
              <w:ind w:left="181"/>
              <w:jc w:val="right"/>
              <w:rPr>
                <w:b w:val="0"/>
                <w:bCs/>
              </w:rPr>
            </w:pPr>
            <w:r w:rsidRPr="007A43CE">
              <w:t>redacted</w:t>
            </w:r>
            <w:r w:rsidRPr="008352F6" w:rsidDel="0074781C">
              <w:rPr>
                <w:b w:val="0"/>
                <w:bCs/>
              </w:rPr>
              <w:t xml:space="preserve"> </w:t>
            </w:r>
          </w:p>
        </w:tc>
        <w:tc>
          <w:tcPr>
            <w:tcW w:w="695" w:type="pct"/>
          </w:tcPr>
          <w:p w14:paraId="0487B51D" w14:textId="33C17CE2" w:rsidR="001E0BC1" w:rsidRPr="00B23055" w:rsidRDefault="00BE0486" w:rsidP="001E0BC1">
            <w:pPr>
              <w:pStyle w:val="Tabletextboldleft"/>
              <w:spacing w:before="40" w:after="40"/>
              <w:ind w:left="181"/>
              <w:jc w:val="right"/>
              <w:rPr>
                <w:b w:val="0"/>
                <w:bCs/>
              </w:rPr>
            </w:pPr>
            <w:r w:rsidRPr="007A43CE">
              <w:t>redacted</w:t>
            </w:r>
            <w:r w:rsidRPr="008352F6" w:rsidDel="0074781C">
              <w:rPr>
                <w:b w:val="0"/>
                <w:bCs/>
              </w:rPr>
              <w:t xml:space="preserve"> </w:t>
            </w:r>
          </w:p>
        </w:tc>
      </w:tr>
      <w:tr w:rsidR="001E0BC1" w14:paraId="20452F63" w14:textId="77777777" w:rsidTr="001E0BC1">
        <w:tc>
          <w:tcPr>
            <w:tcW w:w="1520" w:type="pct"/>
          </w:tcPr>
          <w:p w14:paraId="3FE49867" w14:textId="77777777" w:rsidR="001E0BC1" w:rsidRPr="008352F6" w:rsidRDefault="001E0BC1" w:rsidP="001E0BC1">
            <w:pPr>
              <w:pStyle w:val="Tabletextboldleft"/>
              <w:spacing w:before="40" w:after="40"/>
              <w:ind w:left="164"/>
              <w:rPr>
                <w:b w:val="0"/>
                <w:bCs/>
              </w:rPr>
            </w:pPr>
            <w:r>
              <w:rPr>
                <w:b w:val="0"/>
                <w:bCs/>
              </w:rPr>
              <w:t>Estimated cost of JointRep</w:t>
            </w:r>
          </w:p>
        </w:tc>
        <w:tc>
          <w:tcPr>
            <w:tcW w:w="697" w:type="pct"/>
          </w:tcPr>
          <w:p w14:paraId="3FB785C1" w14:textId="2807C111" w:rsidR="001E0BC1" w:rsidRPr="00B23055" w:rsidRDefault="00875DA4" w:rsidP="001E0BC1">
            <w:pPr>
              <w:pStyle w:val="Tabletextboldleft"/>
              <w:spacing w:before="40" w:after="40"/>
              <w:ind w:left="181"/>
              <w:jc w:val="right"/>
              <w:rPr>
                <w:b w:val="0"/>
                <w:bCs/>
              </w:rPr>
            </w:pPr>
            <w:r>
              <w:t>$</w:t>
            </w:r>
            <w:r w:rsidR="00BE0486" w:rsidRPr="007A43CE">
              <w:t>redacted</w:t>
            </w:r>
            <w:r w:rsidR="00BE0486" w:rsidRPr="00B23055" w:rsidDel="0074781C">
              <w:rPr>
                <w:b w:val="0"/>
                <w:bCs/>
              </w:rPr>
              <w:t xml:space="preserve"> </w:t>
            </w:r>
          </w:p>
        </w:tc>
        <w:tc>
          <w:tcPr>
            <w:tcW w:w="696" w:type="pct"/>
          </w:tcPr>
          <w:p w14:paraId="7E930AE3" w14:textId="4C866D23" w:rsidR="001E0BC1" w:rsidRPr="00B23055" w:rsidRDefault="00875DA4" w:rsidP="001E0BC1">
            <w:pPr>
              <w:pStyle w:val="Tabletextboldleft"/>
              <w:spacing w:before="40" w:after="40"/>
              <w:ind w:left="181"/>
              <w:jc w:val="right"/>
              <w:rPr>
                <w:b w:val="0"/>
                <w:bCs/>
              </w:rPr>
            </w:pPr>
            <w:r>
              <w:t>$</w:t>
            </w:r>
            <w:r w:rsidR="00BE0486" w:rsidRPr="007A43CE">
              <w:t>redacted</w:t>
            </w:r>
            <w:r w:rsidR="00BE0486" w:rsidRPr="00B23055" w:rsidDel="0074781C">
              <w:rPr>
                <w:b w:val="0"/>
                <w:bCs/>
              </w:rPr>
              <w:t xml:space="preserve"> </w:t>
            </w:r>
          </w:p>
        </w:tc>
        <w:tc>
          <w:tcPr>
            <w:tcW w:w="696" w:type="pct"/>
          </w:tcPr>
          <w:p w14:paraId="6A159522" w14:textId="5C15A7E3" w:rsidR="001E0BC1" w:rsidRPr="00B23055" w:rsidRDefault="00875DA4" w:rsidP="001E0BC1">
            <w:pPr>
              <w:pStyle w:val="Tabletextboldleft"/>
              <w:spacing w:before="40" w:after="40"/>
              <w:ind w:left="181"/>
              <w:jc w:val="right"/>
              <w:rPr>
                <w:b w:val="0"/>
                <w:bCs/>
              </w:rPr>
            </w:pPr>
            <w:r>
              <w:t>$</w:t>
            </w:r>
            <w:r w:rsidR="00BE0486" w:rsidRPr="007A43CE">
              <w:t>redacted</w:t>
            </w:r>
            <w:r w:rsidR="00BE0486" w:rsidRPr="00B23055" w:rsidDel="0074781C">
              <w:rPr>
                <w:b w:val="0"/>
                <w:bCs/>
              </w:rPr>
              <w:t xml:space="preserve"> </w:t>
            </w:r>
          </w:p>
        </w:tc>
        <w:tc>
          <w:tcPr>
            <w:tcW w:w="696" w:type="pct"/>
          </w:tcPr>
          <w:p w14:paraId="59071E21" w14:textId="45D696F1" w:rsidR="001E0BC1" w:rsidRPr="00B23055" w:rsidRDefault="00875DA4" w:rsidP="001E0BC1">
            <w:pPr>
              <w:pStyle w:val="Tabletextboldleft"/>
              <w:spacing w:before="40" w:after="40"/>
              <w:ind w:left="181"/>
              <w:jc w:val="right"/>
              <w:rPr>
                <w:b w:val="0"/>
                <w:bCs/>
              </w:rPr>
            </w:pPr>
            <w:r>
              <w:t>$</w:t>
            </w:r>
            <w:r w:rsidR="00BE0486" w:rsidRPr="007A43CE">
              <w:t>redacted</w:t>
            </w:r>
            <w:r w:rsidR="00BE0486" w:rsidRPr="00B23055" w:rsidDel="0074781C">
              <w:rPr>
                <w:b w:val="0"/>
                <w:bCs/>
              </w:rPr>
              <w:t xml:space="preserve"> </w:t>
            </w:r>
          </w:p>
        </w:tc>
        <w:tc>
          <w:tcPr>
            <w:tcW w:w="695" w:type="pct"/>
          </w:tcPr>
          <w:p w14:paraId="011BBD98" w14:textId="6ABB21AC" w:rsidR="001E0BC1" w:rsidRPr="00B23055" w:rsidRDefault="00875DA4" w:rsidP="001E0BC1">
            <w:pPr>
              <w:pStyle w:val="Tabletextboldleft"/>
              <w:spacing w:before="40" w:after="40"/>
              <w:ind w:left="181"/>
              <w:jc w:val="right"/>
              <w:rPr>
                <w:b w:val="0"/>
                <w:bCs/>
              </w:rPr>
            </w:pPr>
            <w:r>
              <w:t>$</w:t>
            </w:r>
            <w:r w:rsidR="00BE0486" w:rsidRPr="007A43CE">
              <w:t>redacted</w:t>
            </w:r>
            <w:r w:rsidR="00BE0486" w:rsidRPr="00B23055" w:rsidDel="0074781C">
              <w:rPr>
                <w:b w:val="0"/>
                <w:bCs/>
              </w:rPr>
              <w:t xml:space="preserve"> </w:t>
            </w:r>
          </w:p>
        </w:tc>
      </w:tr>
    </w:tbl>
    <w:p w14:paraId="1937A12A" w14:textId="69C23620" w:rsidR="001E0BC1" w:rsidRDefault="001E0BC1" w:rsidP="003861A2">
      <w:pPr>
        <w:pStyle w:val="Tablenotes"/>
      </w:pPr>
      <w:r w:rsidRPr="00802C09">
        <w:t>Source</w:t>
      </w:r>
      <w:r w:rsidRPr="00A11063">
        <w:t xml:space="preserve">: </w:t>
      </w:r>
      <w:r w:rsidR="007439FA">
        <w:t>Table 9, pxxiii of the commentary</w:t>
      </w:r>
    </w:p>
    <w:p w14:paraId="062E9015" w14:textId="6BE63937" w:rsidR="001E0BC1" w:rsidRPr="00582DC4" w:rsidRDefault="001E0BC1" w:rsidP="003861A2">
      <w:pPr>
        <w:pStyle w:val="Tablenotes"/>
      </w:pPr>
      <w:r>
        <w:t xml:space="preserve">Note: The base case assumes an increase of </w:t>
      </w:r>
      <w:r w:rsidR="00BE0486" w:rsidRPr="00875DA4">
        <w:rPr>
          <w:b/>
          <w:bCs/>
        </w:rPr>
        <w:t>redacted</w:t>
      </w:r>
      <w:r>
        <w:t xml:space="preserve"> JointRep procedures per year.</w:t>
      </w:r>
    </w:p>
    <w:p w14:paraId="17776CEF" w14:textId="77777777" w:rsidR="007439FA" w:rsidRDefault="007439FA" w:rsidP="007439FA">
      <w:r w:rsidRPr="006F5C3C">
        <w:t>The</w:t>
      </w:r>
      <w:r>
        <w:t xml:space="preserve"> commentary considered that the</w:t>
      </w:r>
      <w:r w:rsidRPr="006F5C3C">
        <w:t xml:space="preserve"> use of re</w:t>
      </w:r>
      <w:r>
        <w:t xml:space="preserve">al-world data provides greater certainty in the estimates than an epidemiological approach; however, there are several limitations: (i) the data supplied in the ADAR relate to utilisation from </w:t>
      </w:r>
      <w:r w:rsidRPr="006F5C3C">
        <w:t>July 2019 to July 2020</w:t>
      </w:r>
      <w:r>
        <w:t xml:space="preserve">, which includes the period of </w:t>
      </w:r>
      <w:r w:rsidRPr="006F5C3C">
        <w:t xml:space="preserve">disruption to elective surgery due to the </w:t>
      </w:r>
      <w:r>
        <w:t xml:space="preserve">COVID-19 </w:t>
      </w:r>
      <w:r w:rsidRPr="006F5C3C">
        <w:t>pandemic</w:t>
      </w:r>
      <w:r>
        <w:t>; (ii) the 12-month period does not capture the impact of MSAC’s negative advice in July 2020 regarding</w:t>
      </w:r>
      <w:r w:rsidRPr="00010F18">
        <w:t xml:space="preserve"> </w:t>
      </w:r>
      <w:r>
        <w:t xml:space="preserve">the comparative effectiveness and cost-effectiveness of </w:t>
      </w:r>
      <w:r w:rsidRPr="00010F18">
        <w:t>BST-CarGel</w:t>
      </w:r>
      <w:r>
        <w:t>; (iii) historical utilisation may not match the population proposed in the ADAR; and (iv) it is unclear if the supplied data relate exclusively to use of JointRep in the private setting.</w:t>
      </w:r>
    </w:p>
    <w:p w14:paraId="57D5AEEC" w14:textId="67022489" w:rsidR="008E1491" w:rsidRPr="00CB6A64" w:rsidRDefault="007439FA" w:rsidP="00C833F9">
      <w:pPr>
        <w:tabs>
          <w:tab w:val="left" w:pos="720"/>
          <w:tab w:val="left" w:pos="1140"/>
        </w:tabs>
        <w:spacing w:before="240"/>
        <w:rPr>
          <w:b/>
          <w:bCs/>
          <w:color w:val="FF0000"/>
        </w:rPr>
      </w:pPr>
      <w:r>
        <w:lastRenderedPageBreak/>
        <w:t>The c</w:t>
      </w:r>
      <w:r w:rsidRPr="00FE05C7">
        <w:t xml:space="preserve">ommentary </w:t>
      </w:r>
      <w:r>
        <w:t xml:space="preserve">presented an alternative approach using </w:t>
      </w:r>
      <w:r w:rsidRPr="00025513">
        <w:t>Committee-In-Confidence</w:t>
      </w:r>
      <w:r w:rsidRPr="00C833F9">
        <w:t xml:space="preserve"> </w:t>
      </w:r>
      <w:r w:rsidRPr="00FE05C7">
        <w:t xml:space="preserve">PL billing data for JointRep </w:t>
      </w:r>
      <w:r>
        <w:t xml:space="preserve">(Billing Code DE681) </w:t>
      </w:r>
      <w:r w:rsidRPr="00FE05C7">
        <w:t>and BST-CarGel</w:t>
      </w:r>
      <w:r>
        <w:t xml:space="preserve"> (Billing Code SL072) </w:t>
      </w:r>
      <w:r w:rsidRPr="006F5C3C">
        <w:t xml:space="preserve">forecast the financial implications </w:t>
      </w:r>
      <w:r>
        <w:t xml:space="preserve">of </w:t>
      </w:r>
      <w:r w:rsidRPr="00B65BC1">
        <w:rPr>
          <w:u w:val="single"/>
        </w:rPr>
        <w:t>continued use</w:t>
      </w:r>
      <w:r>
        <w:t xml:space="preserve"> of JointRep</w:t>
      </w:r>
      <w:r w:rsidR="00C833F9">
        <w:t>.</w:t>
      </w:r>
      <w:r>
        <w:t xml:space="preserve"> </w:t>
      </w:r>
      <w:r w:rsidR="00C833F9" w:rsidRPr="00C833F9">
        <w:rPr>
          <w:b/>
          <w:bCs/>
        </w:rPr>
        <w:t>Redacted</w:t>
      </w:r>
      <w:r w:rsidR="00C833F9">
        <w:rPr>
          <w:b/>
          <w:bCs/>
        </w:rPr>
        <w:t>.</w:t>
      </w:r>
    </w:p>
    <w:p w14:paraId="3459AE55" w14:textId="2AB7B8F5" w:rsidR="003861A2" w:rsidRPr="00CB6A64" w:rsidRDefault="00CB6A64" w:rsidP="00CB6A64">
      <w:pPr>
        <w:pStyle w:val="Heading1"/>
        <w:spacing w:before="240" w:after="240"/>
        <w:rPr>
          <w:rFonts w:ascii="Arial" w:hAnsi="Arial" w:cs="Arial"/>
        </w:rPr>
      </w:pPr>
      <w:r>
        <w:rPr>
          <w:rFonts w:ascii="Arial" w:hAnsi="Arial" w:cs="Arial"/>
        </w:rPr>
        <w:t>Key issues from ESC for MSAC</w:t>
      </w:r>
    </w:p>
    <w:tbl>
      <w:tblPr>
        <w:tblStyle w:val="TableGrid"/>
        <w:tblW w:w="0" w:type="auto"/>
        <w:tblLook w:val="04A0" w:firstRow="1" w:lastRow="0" w:firstColumn="1" w:lastColumn="0" w:noHBand="0" w:noVBand="1"/>
      </w:tblPr>
      <w:tblGrid>
        <w:gridCol w:w="2405"/>
        <w:gridCol w:w="6611"/>
      </w:tblGrid>
      <w:tr w:rsidR="003861A2" w14:paraId="54D840D0" w14:textId="77777777" w:rsidTr="003861A2">
        <w:trPr>
          <w:tblHeader/>
        </w:trPr>
        <w:tc>
          <w:tcPr>
            <w:tcW w:w="2405" w:type="dxa"/>
          </w:tcPr>
          <w:p w14:paraId="6F81D3FC" w14:textId="77777777" w:rsidR="003861A2" w:rsidRPr="000126E2" w:rsidRDefault="003861A2" w:rsidP="003861A2">
            <w:pPr>
              <w:pStyle w:val="TableHeading"/>
              <w:keepNext w:val="0"/>
              <w:widowControl w:val="0"/>
              <w:rPr>
                <w:rFonts w:ascii="Times New Roman" w:hAnsi="Times New Roman" w:cs="Times New Roman"/>
                <w:sz w:val="22"/>
                <w:szCs w:val="22"/>
              </w:rPr>
            </w:pPr>
            <w:r w:rsidRPr="000126E2">
              <w:rPr>
                <w:rFonts w:ascii="Times New Roman" w:hAnsi="Times New Roman" w:cs="Times New Roman"/>
                <w:sz w:val="22"/>
                <w:szCs w:val="22"/>
              </w:rPr>
              <w:t>ESC key issue</w:t>
            </w:r>
          </w:p>
        </w:tc>
        <w:tc>
          <w:tcPr>
            <w:tcW w:w="6611" w:type="dxa"/>
          </w:tcPr>
          <w:p w14:paraId="62AE53F8" w14:textId="77777777" w:rsidR="003861A2" w:rsidRPr="000126E2" w:rsidRDefault="003861A2" w:rsidP="003861A2">
            <w:pPr>
              <w:pStyle w:val="TableHeading"/>
              <w:keepNext w:val="0"/>
              <w:widowControl w:val="0"/>
              <w:rPr>
                <w:rFonts w:ascii="Times New Roman" w:hAnsi="Times New Roman" w:cs="Times New Roman"/>
                <w:sz w:val="22"/>
                <w:szCs w:val="22"/>
              </w:rPr>
            </w:pPr>
            <w:r w:rsidRPr="000126E2">
              <w:rPr>
                <w:rFonts w:ascii="Times New Roman" w:hAnsi="Times New Roman" w:cs="Times New Roman"/>
                <w:sz w:val="22"/>
                <w:szCs w:val="22"/>
              </w:rPr>
              <w:t>ESC advice to MSAC</w:t>
            </w:r>
          </w:p>
        </w:tc>
      </w:tr>
      <w:tr w:rsidR="003861A2" w14:paraId="39F9457A" w14:textId="77777777" w:rsidTr="003861A2">
        <w:tc>
          <w:tcPr>
            <w:tcW w:w="2405" w:type="dxa"/>
          </w:tcPr>
          <w:p w14:paraId="073B3EBD" w14:textId="77777777" w:rsidR="003861A2" w:rsidRPr="0045242D" w:rsidRDefault="003861A2" w:rsidP="003861A2">
            <w:pPr>
              <w:pStyle w:val="TableText1"/>
              <w:keepNext w:val="0"/>
              <w:widowControl w:val="0"/>
              <w:rPr>
                <w:rFonts w:ascii="Times New Roman" w:hAnsi="Times New Roman"/>
                <w:sz w:val="22"/>
                <w:szCs w:val="22"/>
              </w:rPr>
            </w:pPr>
            <w:r w:rsidRPr="0045242D">
              <w:rPr>
                <w:rFonts w:ascii="Times New Roman" w:hAnsi="Times New Roman"/>
                <w:sz w:val="22"/>
                <w:szCs w:val="22"/>
              </w:rPr>
              <w:t>Limited clinical evidence</w:t>
            </w:r>
          </w:p>
        </w:tc>
        <w:tc>
          <w:tcPr>
            <w:tcW w:w="6611" w:type="dxa"/>
          </w:tcPr>
          <w:p w14:paraId="06E27D9B" w14:textId="77777777" w:rsidR="003861A2" w:rsidRPr="0045242D" w:rsidRDefault="003861A2" w:rsidP="003861A2">
            <w:pPr>
              <w:pStyle w:val="TableText1"/>
              <w:keepNext w:val="0"/>
              <w:widowControl w:val="0"/>
              <w:rPr>
                <w:rFonts w:ascii="Times New Roman" w:hAnsi="Times New Roman"/>
                <w:sz w:val="22"/>
                <w:szCs w:val="22"/>
              </w:rPr>
            </w:pPr>
            <w:r w:rsidRPr="0045242D">
              <w:rPr>
                <w:rFonts w:ascii="Times New Roman" w:hAnsi="Times New Roman"/>
                <w:sz w:val="22"/>
                <w:szCs w:val="22"/>
              </w:rPr>
              <w:t>One non-randomised study comparing JointRep</w:t>
            </w:r>
            <w:r>
              <w:rPr>
                <w:rFonts w:ascii="Times New Roman" w:hAnsi="Times New Roman"/>
                <w:sz w:val="22"/>
                <w:szCs w:val="22"/>
              </w:rPr>
              <w:t xml:space="preserve">+microfracture (MF) </w:t>
            </w:r>
            <w:r w:rsidRPr="0045242D">
              <w:rPr>
                <w:rFonts w:ascii="Times New Roman" w:hAnsi="Times New Roman"/>
                <w:sz w:val="22"/>
                <w:szCs w:val="22"/>
              </w:rPr>
              <w:t>(n=</w:t>
            </w:r>
            <w:r>
              <w:rPr>
                <w:rFonts w:ascii="Times New Roman" w:hAnsi="Times New Roman"/>
                <w:sz w:val="22"/>
                <w:szCs w:val="22"/>
              </w:rPr>
              <w:t>46</w:t>
            </w:r>
            <w:r w:rsidRPr="0045242D">
              <w:rPr>
                <w:rFonts w:ascii="Times New Roman" w:hAnsi="Times New Roman"/>
                <w:sz w:val="22"/>
                <w:szCs w:val="22"/>
              </w:rPr>
              <w:t xml:space="preserve">) with </w:t>
            </w:r>
            <w:r>
              <w:rPr>
                <w:rFonts w:ascii="Times New Roman" w:hAnsi="Times New Roman"/>
                <w:sz w:val="22"/>
                <w:szCs w:val="22"/>
              </w:rPr>
              <w:t xml:space="preserve">MF </w:t>
            </w:r>
            <w:r w:rsidRPr="0045242D">
              <w:rPr>
                <w:rFonts w:ascii="Times New Roman" w:hAnsi="Times New Roman"/>
                <w:sz w:val="22"/>
                <w:szCs w:val="22"/>
              </w:rPr>
              <w:t>alone (n=</w:t>
            </w:r>
            <w:r>
              <w:rPr>
                <w:rFonts w:ascii="Times New Roman" w:hAnsi="Times New Roman"/>
                <w:sz w:val="22"/>
                <w:szCs w:val="22"/>
              </w:rPr>
              <w:t>23</w:t>
            </w:r>
            <w:r w:rsidRPr="0045242D">
              <w:rPr>
                <w:rFonts w:ascii="Times New Roman" w:hAnsi="Times New Roman"/>
                <w:sz w:val="22"/>
                <w:szCs w:val="22"/>
              </w:rPr>
              <w:t>). Study is of very low quality with a critical risk of bias.</w:t>
            </w:r>
          </w:p>
        </w:tc>
      </w:tr>
      <w:tr w:rsidR="003861A2" w14:paraId="3DA796B0" w14:textId="77777777" w:rsidTr="003861A2">
        <w:tc>
          <w:tcPr>
            <w:tcW w:w="2405" w:type="dxa"/>
          </w:tcPr>
          <w:p w14:paraId="2AEB2C91" w14:textId="77777777" w:rsidR="003861A2" w:rsidRPr="007D21F2" w:rsidRDefault="003861A2" w:rsidP="003861A2">
            <w:pPr>
              <w:pStyle w:val="TableText1"/>
              <w:keepNext w:val="0"/>
              <w:widowControl w:val="0"/>
              <w:rPr>
                <w:rFonts w:ascii="Times New Roman" w:hAnsi="Times New Roman"/>
                <w:sz w:val="22"/>
                <w:szCs w:val="22"/>
              </w:rPr>
            </w:pPr>
            <w:r w:rsidRPr="007D21F2">
              <w:rPr>
                <w:rFonts w:ascii="Times New Roman" w:hAnsi="Times New Roman"/>
                <w:sz w:val="22"/>
                <w:szCs w:val="22"/>
              </w:rPr>
              <w:t xml:space="preserve">Claim of superior effectiveness </w:t>
            </w:r>
            <w:r>
              <w:rPr>
                <w:rFonts w:ascii="Times New Roman" w:hAnsi="Times New Roman"/>
                <w:sz w:val="22"/>
                <w:szCs w:val="22"/>
              </w:rPr>
              <w:t xml:space="preserve">against MF alone </w:t>
            </w:r>
            <w:r w:rsidRPr="007D21F2">
              <w:rPr>
                <w:rFonts w:ascii="Times New Roman" w:hAnsi="Times New Roman"/>
                <w:sz w:val="22"/>
                <w:szCs w:val="22"/>
              </w:rPr>
              <w:t>is uncertain</w:t>
            </w:r>
          </w:p>
        </w:tc>
        <w:tc>
          <w:tcPr>
            <w:tcW w:w="6611" w:type="dxa"/>
          </w:tcPr>
          <w:p w14:paraId="1B1988F3" w14:textId="77777777" w:rsidR="003861A2" w:rsidRPr="003E571E" w:rsidRDefault="003861A2" w:rsidP="003861A2">
            <w:pPr>
              <w:pStyle w:val="TableText1"/>
              <w:keepNext w:val="0"/>
              <w:widowControl w:val="0"/>
              <w:rPr>
                <w:rFonts w:ascii="Times New Roman" w:hAnsi="Times New Roman"/>
                <w:sz w:val="22"/>
                <w:szCs w:val="22"/>
              </w:rPr>
            </w:pPr>
            <w:r w:rsidRPr="003E571E">
              <w:rPr>
                <w:rFonts w:ascii="Times New Roman" w:hAnsi="Times New Roman"/>
                <w:sz w:val="22"/>
                <w:szCs w:val="22"/>
              </w:rPr>
              <w:t>The claim of superior effectiveness is based on lower WOMAC scores in the JointRep arm (indicating improvement in knee pain and function)</w:t>
            </w:r>
            <w:r>
              <w:rPr>
                <w:rFonts w:ascii="Times New Roman" w:hAnsi="Times New Roman"/>
                <w:sz w:val="22"/>
                <w:szCs w:val="22"/>
              </w:rPr>
              <w:t xml:space="preserve">. </w:t>
            </w:r>
            <w:r w:rsidRPr="003E571E">
              <w:rPr>
                <w:rFonts w:ascii="Times New Roman" w:hAnsi="Times New Roman"/>
                <w:sz w:val="22"/>
                <w:szCs w:val="22"/>
              </w:rPr>
              <w:t xml:space="preserve"> However, due to the very low quality of the study a claim of superior effectiveness</w:t>
            </w:r>
            <w:r>
              <w:rPr>
                <w:rFonts w:ascii="Times New Roman" w:hAnsi="Times New Roman"/>
                <w:sz w:val="22"/>
                <w:szCs w:val="22"/>
              </w:rPr>
              <w:t xml:space="preserve"> is not supported.</w:t>
            </w:r>
          </w:p>
        </w:tc>
      </w:tr>
      <w:tr w:rsidR="003861A2" w14:paraId="1E636E32" w14:textId="77777777" w:rsidTr="003861A2">
        <w:tc>
          <w:tcPr>
            <w:tcW w:w="2405" w:type="dxa"/>
          </w:tcPr>
          <w:p w14:paraId="614CB18E" w14:textId="77777777" w:rsidR="003861A2" w:rsidRPr="007A0ACE" w:rsidRDefault="003861A2" w:rsidP="003861A2">
            <w:pPr>
              <w:pStyle w:val="TableText1"/>
              <w:keepNext w:val="0"/>
              <w:widowControl w:val="0"/>
              <w:rPr>
                <w:rFonts w:ascii="Times New Roman" w:hAnsi="Times New Roman"/>
                <w:color w:val="auto"/>
                <w:sz w:val="22"/>
                <w:szCs w:val="22"/>
              </w:rPr>
            </w:pPr>
            <w:r w:rsidRPr="007A0ACE">
              <w:rPr>
                <w:rFonts w:ascii="Times New Roman" w:hAnsi="Times New Roman"/>
                <w:color w:val="auto"/>
                <w:sz w:val="22"/>
                <w:szCs w:val="22"/>
              </w:rPr>
              <w:t>Claim of non-inferior safety against MF alone is uncertain</w:t>
            </w:r>
          </w:p>
        </w:tc>
        <w:tc>
          <w:tcPr>
            <w:tcW w:w="6611" w:type="dxa"/>
          </w:tcPr>
          <w:p w14:paraId="564489B3" w14:textId="77777777" w:rsidR="003861A2" w:rsidRPr="006F548F" w:rsidRDefault="003861A2" w:rsidP="003861A2">
            <w:pPr>
              <w:spacing w:before="60" w:after="60"/>
              <w:rPr>
                <w:rFonts w:ascii="Times New Roman" w:hAnsi="Times New Roman"/>
                <w:szCs w:val="22"/>
              </w:rPr>
            </w:pPr>
            <w:r w:rsidRPr="007A0ACE">
              <w:rPr>
                <w:rFonts w:ascii="Times New Roman" w:hAnsi="Times New Roman"/>
                <w:szCs w:val="22"/>
              </w:rPr>
              <w:t>No adverse events (AE) were reported in the JointRep study for either arm, raising concerns with the AE reporting methods and whether an assessment of comparative safety can be made.</w:t>
            </w:r>
          </w:p>
        </w:tc>
      </w:tr>
      <w:tr w:rsidR="003861A2" w14:paraId="3F728B00" w14:textId="77777777" w:rsidTr="003861A2">
        <w:tc>
          <w:tcPr>
            <w:tcW w:w="2405" w:type="dxa"/>
          </w:tcPr>
          <w:p w14:paraId="678749A8" w14:textId="77777777" w:rsidR="003861A2" w:rsidRPr="007F6845" w:rsidRDefault="003861A2" w:rsidP="003861A2">
            <w:pPr>
              <w:pStyle w:val="TableText1"/>
              <w:keepNext w:val="0"/>
              <w:widowControl w:val="0"/>
              <w:rPr>
                <w:rFonts w:ascii="Times New Roman" w:hAnsi="Times New Roman"/>
                <w:sz w:val="22"/>
                <w:szCs w:val="22"/>
              </w:rPr>
            </w:pPr>
            <w:r w:rsidRPr="007F6845">
              <w:rPr>
                <w:rFonts w:ascii="Times New Roman" w:hAnsi="Times New Roman"/>
                <w:sz w:val="22"/>
                <w:szCs w:val="22"/>
              </w:rPr>
              <w:t>Uncertainty in clinical evidence creates significant uncertainty in the economic model</w:t>
            </w:r>
          </w:p>
        </w:tc>
        <w:tc>
          <w:tcPr>
            <w:tcW w:w="6611" w:type="dxa"/>
          </w:tcPr>
          <w:p w14:paraId="4C219589" w14:textId="77777777" w:rsidR="003861A2" w:rsidRPr="007F6845" w:rsidRDefault="003861A2" w:rsidP="003861A2">
            <w:pPr>
              <w:pStyle w:val="TableText1"/>
              <w:keepNext w:val="0"/>
              <w:widowControl w:val="0"/>
              <w:rPr>
                <w:rFonts w:ascii="Times New Roman" w:hAnsi="Times New Roman"/>
                <w:sz w:val="22"/>
                <w:szCs w:val="22"/>
              </w:rPr>
            </w:pPr>
            <w:r>
              <w:rPr>
                <w:rFonts w:ascii="Times New Roman" w:hAnsi="Times New Roman"/>
                <w:sz w:val="22"/>
                <w:szCs w:val="22"/>
              </w:rPr>
              <w:t>Key</w:t>
            </w:r>
            <w:r w:rsidRPr="00940EBB">
              <w:rPr>
                <w:rFonts w:ascii="Times New Roman" w:hAnsi="Times New Roman"/>
                <w:sz w:val="22"/>
                <w:szCs w:val="22"/>
              </w:rPr>
              <w:t xml:space="preserve"> issues </w:t>
            </w:r>
            <w:r>
              <w:rPr>
                <w:rFonts w:ascii="Times New Roman" w:hAnsi="Times New Roman"/>
                <w:sz w:val="22"/>
                <w:szCs w:val="22"/>
              </w:rPr>
              <w:t>include</w:t>
            </w:r>
            <w:r w:rsidRPr="00940EBB">
              <w:rPr>
                <w:rFonts w:ascii="Times New Roman" w:hAnsi="Times New Roman"/>
                <w:sz w:val="22"/>
                <w:szCs w:val="22"/>
              </w:rPr>
              <w:t xml:space="preserve"> applicability of the </w:t>
            </w:r>
            <w:r>
              <w:rPr>
                <w:rFonts w:ascii="Times New Roman" w:hAnsi="Times New Roman"/>
                <w:sz w:val="22"/>
                <w:szCs w:val="22"/>
              </w:rPr>
              <w:t>JointRep study</w:t>
            </w:r>
            <w:r w:rsidRPr="00940EBB">
              <w:rPr>
                <w:rFonts w:ascii="Times New Roman" w:hAnsi="Times New Roman"/>
                <w:sz w:val="22"/>
                <w:szCs w:val="22"/>
              </w:rPr>
              <w:t xml:space="preserve"> and </w:t>
            </w:r>
            <w:r>
              <w:rPr>
                <w:rFonts w:ascii="Times New Roman" w:hAnsi="Times New Roman"/>
                <w:sz w:val="22"/>
                <w:szCs w:val="22"/>
              </w:rPr>
              <w:t xml:space="preserve">the </w:t>
            </w:r>
            <w:r w:rsidRPr="00940EBB">
              <w:rPr>
                <w:rFonts w:ascii="Times New Roman" w:hAnsi="Times New Roman"/>
                <w:sz w:val="22"/>
                <w:szCs w:val="22"/>
              </w:rPr>
              <w:t xml:space="preserve">WOMAC </w:t>
            </w:r>
            <w:r>
              <w:rPr>
                <w:rFonts w:ascii="Times New Roman" w:hAnsi="Times New Roman"/>
                <w:sz w:val="22"/>
                <w:szCs w:val="22"/>
              </w:rPr>
              <w:t xml:space="preserve">instrument </w:t>
            </w:r>
            <w:r w:rsidRPr="00940EBB">
              <w:rPr>
                <w:rFonts w:ascii="Times New Roman" w:hAnsi="Times New Roman"/>
                <w:sz w:val="22"/>
                <w:szCs w:val="22"/>
              </w:rPr>
              <w:t xml:space="preserve">to the PICO population, </w:t>
            </w:r>
            <w:r>
              <w:rPr>
                <w:rFonts w:ascii="Times New Roman" w:hAnsi="Times New Roman"/>
                <w:sz w:val="22"/>
                <w:szCs w:val="22"/>
              </w:rPr>
              <w:t>and poor</w:t>
            </w:r>
            <w:r w:rsidRPr="00940EBB">
              <w:rPr>
                <w:rFonts w:ascii="Times New Roman" w:hAnsi="Times New Roman"/>
                <w:sz w:val="22"/>
                <w:szCs w:val="22"/>
              </w:rPr>
              <w:t xml:space="preserve"> quality and reporting issues of the </w:t>
            </w:r>
            <w:r>
              <w:rPr>
                <w:rFonts w:ascii="Times New Roman" w:hAnsi="Times New Roman"/>
                <w:sz w:val="22"/>
                <w:szCs w:val="22"/>
              </w:rPr>
              <w:t xml:space="preserve">JointRep study. This </w:t>
            </w:r>
            <w:r w:rsidRPr="00940EBB">
              <w:rPr>
                <w:rFonts w:ascii="Times New Roman" w:hAnsi="Times New Roman"/>
                <w:sz w:val="22"/>
                <w:szCs w:val="22"/>
              </w:rPr>
              <w:t>translate</w:t>
            </w:r>
            <w:r>
              <w:rPr>
                <w:rFonts w:ascii="Times New Roman" w:hAnsi="Times New Roman"/>
                <w:sz w:val="22"/>
                <w:szCs w:val="22"/>
              </w:rPr>
              <w:t>s</w:t>
            </w:r>
            <w:r w:rsidRPr="00940EBB">
              <w:rPr>
                <w:rFonts w:ascii="Times New Roman" w:hAnsi="Times New Roman"/>
                <w:sz w:val="22"/>
                <w:szCs w:val="22"/>
              </w:rPr>
              <w:t xml:space="preserve"> into model uncertainty.</w:t>
            </w:r>
            <w:r>
              <w:rPr>
                <w:rFonts w:ascii="Times New Roman" w:hAnsi="Times New Roman"/>
                <w:sz w:val="22"/>
                <w:szCs w:val="22"/>
              </w:rPr>
              <w:t xml:space="preserve"> </w:t>
            </w:r>
          </w:p>
        </w:tc>
      </w:tr>
      <w:tr w:rsidR="003861A2" w14:paraId="716ABF5B" w14:textId="77777777" w:rsidTr="003861A2">
        <w:tc>
          <w:tcPr>
            <w:tcW w:w="2405" w:type="dxa"/>
          </w:tcPr>
          <w:p w14:paraId="284B5DDC" w14:textId="77777777" w:rsidR="003861A2" w:rsidRPr="000126E2" w:rsidRDefault="003861A2" w:rsidP="003861A2">
            <w:pPr>
              <w:pStyle w:val="TableText1"/>
              <w:keepNext w:val="0"/>
              <w:widowControl w:val="0"/>
              <w:rPr>
                <w:rFonts w:ascii="Times New Roman" w:hAnsi="Times New Roman"/>
                <w:sz w:val="22"/>
                <w:szCs w:val="22"/>
              </w:rPr>
            </w:pPr>
            <w:r w:rsidRPr="000126E2">
              <w:rPr>
                <w:rFonts w:ascii="Times New Roman" w:hAnsi="Times New Roman"/>
                <w:sz w:val="22"/>
                <w:szCs w:val="22"/>
              </w:rPr>
              <w:t>Economic model is rudimentary</w:t>
            </w:r>
            <w:r>
              <w:rPr>
                <w:rFonts w:ascii="Times New Roman" w:hAnsi="Times New Roman"/>
                <w:sz w:val="22"/>
                <w:szCs w:val="22"/>
              </w:rPr>
              <w:t xml:space="preserve"> </w:t>
            </w:r>
          </w:p>
        </w:tc>
        <w:tc>
          <w:tcPr>
            <w:tcW w:w="6611" w:type="dxa"/>
          </w:tcPr>
          <w:p w14:paraId="6E5C991C" w14:textId="77777777" w:rsidR="003861A2" w:rsidRPr="000126E2" w:rsidRDefault="003861A2" w:rsidP="003861A2">
            <w:pPr>
              <w:pStyle w:val="TableText1"/>
              <w:keepNext w:val="0"/>
              <w:widowControl w:val="0"/>
              <w:rPr>
                <w:rFonts w:ascii="Times New Roman" w:hAnsi="Times New Roman"/>
                <w:sz w:val="22"/>
                <w:szCs w:val="22"/>
              </w:rPr>
            </w:pPr>
            <w:r>
              <w:rPr>
                <w:rFonts w:ascii="Times New Roman" w:hAnsi="Times New Roman"/>
                <w:sz w:val="22"/>
                <w:szCs w:val="22"/>
              </w:rPr>
              <w:t xml:space="preserve">Key model </w:t>
            </w:r>
            <w:r w:rsidRPr="000126E2">
              <w:rPr>
                <w:rFonts w:ascii="Times New Roman" w:hAnsi="Times New Roman"/>
                <w:sz w:val="22"/>
                <w:szCs w:val="22"/>
              </w:rPr>
              <w:t>issues</w:t>
            </w:r>
            <w:r w:rsidRPr="0096313B">
              <w:rPr>
                <w:rFonts w:ascii="Times New Roman" w:hAnsi="Times New Roman"/>
                <w:sz w:val="22"/>
                <w:szCs w:val="22"/>
              </w:rPr>
              <w:t xml:space="preserve"> </w:t>
            </w:r>
            <w:r>
              <w:rPr>
                <w:rFonts w:ascii="Times New Roman" w:hAnsi="Times New Roman"/>
                <w:sz w:val="22"/>
                <w:szCs w:val="22"/>
              </w:rPr>
              <w:t>include</w:t>
            </w:r>
            <w:r w:rsidRPr="0096313B">
              <w:rPr>
                <w:rFonts w:ascii="Times New Roman" w:hAnsi="Times New Roman"/>
                <w:sz w:val="22"/>
                <w:szCs w:val="22"/>
              </w:rPr>
              <w:t>: background mortality not related to interventions being modelled, alive state not distinguishing between degree of t</w:t>
            </w:r>
            <w:r>
              <w:rPr>
                <w:rFonts w:ascii="Times New Roman" w:hAnsi="Times New Roman"/>
                <w:sz w:val="22"/>
                <w:szCs w:val="22"/>
              </w:rPr>
              <w:t>reatment</w:t>
            </w:r>
            <w:r w:rsidRPr="0096313B">
              <w:rPr>
                <w:rFonts w:ascii="Times New Roman" w:hAnsi="Times New Roman"/>
                <w:sz w:val="22"/>
                <w:szCs w:val="22"/>
              </w:rPr>
              <w:t xml:space="preserve"> success, three model cycles in the base case, questions regarding </w:t>
            </w:r>
            <w:r>
              <w:rPr>
                <w:rFonts w:ascii="Times New Roman" w:hAnsi="Times New Roman"/>
                <w:sz w:val="22"/>
                <w:szCs w:val="22"/>
              </w:rPr>
              <w:t>total knee arthroplasty (</w:t>
            </w:r>
            <w:r w:rsidRPr="0096313B">
              <w:rPr>
                <w:rFonts w:ascii="Times New Roman" w:hAnsi="Times New Roman"/>
                <w:sz w:val="22"/>
                <w:szCs w:val="22"/>
              </w:rPr>
              <w:t>TKA</w:t>
            </w:r>
            <w:r>
              <w:rPr>
                <w:rFonts w:ascii="Times New Roman" w:hAnsi="Times New Roman"/>
                <w:sz w:val="22"/>
                <w:szCs w:val="22"/>
              </w:rPr>
              <w:t>)</w:t>
            </w:r>
            <w:r w:rsidRPr="0096313B">
              <w:rPr>
                <w:rFonts w:ascii="Times New Roman" w:hAnsi="Times New Roman"/>
                <w:sz w:val="22"/>
                <w:szCs w:val="22"/>
              </w:rPr>
              <w:t>/reoperation, and limited usefulness of long-term extrapolation which assumes no QoL deterioration.</w:t>
            </w:r>
            <w:r>
              <w:rPr>
                <w:rFonts w:ascii="Times New Roman" w:hAnsi="Times New Roman"/>
                <w:sz w:val="22"/>
                <w:szCs w:val="22"/>
              </w:rPr>
              <w:t xml:space="preserve"> </w:t>
            </w:r>
            <w:r w:rsidRPr="00940EBB">
              <w:rPr>
                <w:rFonts w:ascii="Times New Roman" w:hAnsi="Times New Roman"/>
                <w:sz w:val="22"/>
                <w:szCs w:val="22"/>
              </w:rPr>
              <w:t xml:space="preserve">MSAC to consider if this </w:t>
            </w:r>
            <w:r>
              <w:rPr>
                <w:rFonts w:ascii="Times New Roman" w:hAnsi="Times New Roman"/>
                <w:sz w:val="22"/>
                <w:szCs w:val="22"/>
              </w:rPr>
              <w:t xml:space="preserve">provides an </w:t>
            </w:r>
            <w:r w:rsidRPr="00940EBB">
              <w:rPr>
                <w:rFonts w:ascii="Times New Roman" w:hAnsi="Times New Roman"/>
                <w:sz w:val="22"/>
                <w:szCs w:val="22"/>
              </w:rPr>
              <w:t xml:space="preserve">adequate </w:t>
            </w:r>
            <w:r>
              <w:rPr>
                <w:rFonts w:ascii="Times New Roman" w:hAnsi="Times New Roman"/>
                <w:sz w:val="22"/>
                <w:szCs w:val="22"/>
              </w:rPr>
              <w:t xml:space="preserve">representation of the </w:t>
            </w:r>
            <w:r w:rsidRPr="00940EBB">
              <w:rPr>
                <w:rFonts w:ascii="Times New Roman" w:hAnsi="Times New Roman"/>
                <w:sz w:val="22"/>
                <w:szCs w:val="22"/>
              </w:rPr>
              <w:t>reality</w:t>
            </w:r>
            <w:r>
              <w:rPr>
                <w:rFonts w:ascii="Times New Roman" w:hAnsi="Times New Roman"/>
                <w:sz w:val="22"/>
                <w:szCs w:val="22"/>
              </w:rPr>
              <w:t xml:space="preserve"> being modelled.</w:t>
            </w:r>
          </w:p>
        </w:tc>
      </w:tr>
      <w:tr w:rsidR="003861A2" w14:paraId="6C437AA6" w14:textId="77777777" w:rsidTr="003861A2">
        <w:tc>
          <w:tcPr>
            <w:tcW w:w="2405" w:type="dxa"/>
          </w:tcPr>
          <w:p w14:paraId="273BED63" w14:textId="77777777" w:rsidR="003861A2" w:rsidRPr="000126E2" w:rsidDel="001E4A62" w:rsidRDefault="003861A2" w:rsidP="003861A2">
            <w:pPr>
              <w:pStyle w:val="TableText1"/>
              <w:keepNext w:val="0"/>
              <w:widowControl w:val="0"/>
              <w:rPr>
                <w:sz w:val="22"/>
                <w:szCs w:val="22"/>
              </w:rPr>
            </w:pPr>
            <w:r w:rsidRPr="000126E2">
              <w:rPr>
                <w:rFonts w:ascii="Times New Roman" w:hAnsi="Times New Roman"/>
                <w:sz w:val="22"/>
                <w:szCs w:val="22"/>
              </w:rPr>
              <w:t xml:space="preserve">Comparison with </w:t>
            </w:r>
            <w:r>
              <w:rPr>
                <w:rFonts w:ascii="Times New Roman" w:hAnsi="Times New Roman"/>
                <w:sz w:val="22"/>
                <w:szCs w:val="22"/>
              </w:rPr>
              <w:t>BST-</w:t>
            </w:r>
            <w:r w:rsidRPr="000126E2">
              <w:rPr>
                <w:rFonts w:ascii="Times New Roman" w:hAnsi="Times New Roman"/>
                <w:sz w:val="22"/>
                <w:szCs w:val="22"/>
              </w:rPr>
              <w:t>CarGel</w:t>
            </w:r>
            <w:r>
              <w:rPr>
                <w:rFonts w:ascii="Times New Roman" w:hAnsi="Times New Roman"/>
                <w:sz w:val="22"/>
                <w:szCs w:val="22"/>
              </w:rPr>
              <w:t>+MF</w:t>
            </w:r>
            <w:r w:rsidRPr="000126E2">
              <w:rPr>
                <w:rFonts w:ascii="Times New Roman" w:hAnsi="Times New Roman"/>
                <w:sz w:val="22"/>
                <w:szCs w:val="22"/>
              </w:rPr>
              <w:t xml:space="preserve"> is uninformative</w:t>
            </w:r>
          </w:p>
        </w:tc>
        <w:tc>
          <w:tcPr>
            <w:tcW w:w="6611" w:type="dxa"/>
          </w:tcPr>
          <w:p w14:paraId="410EB506" w14:textId="77777777" w:rsidR="003861A2" w:rsidRPr="00872063" w:rsidRDefault="003861A2" w:rsidP="003861A2">
            <w:pPr>
              <w:pStyle w:val="TableText1"/>
              <w:keepNext w:val="0"/>
              <w:widowControl w:val="0"/>
              <w:rPr>
                <w:sz w:val="22"/>
                <w:szCs w:val="22"/>
              </w:rPr>
            </w:pPr>
            <w:r>
              <w:rPr>
                <w:rFonts w:ascii="Times New Roman" w:hAnsi="Times New Roman"/>
                <w:sz w:val="22"/>
                <w:szCs w:val="22"/>
              </w:rPr>
              <w:t xml:space="preserve">No clinical claim for JointRep+MF </w:t>
            </w:r>
            <w:r>
              <w:rPr>
                <w:rFonts w:ascii="Times New Roman" w:hAnsi="Times New Roman"/>
                <w:i/>
                <w:iCs/>
                <w:sz w:val="22"/>
                <w:szCs w:val="22"/>
              </w:rPr>
              <w:t xml:space="preserve">vs. </w:t>
            </w:r>
            <w:r>
              <w:rPr>
                <w:rFonts w:ascii="Times New Roman" w:hAnsi="Times New Roman"/>
                <w:sz w:val="22"/>
                <w:szCs w:val="22"/>
              </w:rPr>
              <w:t>BST-Cargel+MF could be made based on the l</w:t>
            </w:r>
            <w:r w:rsidRPr="000126E2">
              <w:rPr>
                <w:rFonts w:ascii="Times New Roman" w:hAnsi="Times New Roman"/>
                <w:sz w:val="22"/>
                <w:szCs w:val="22"/>
              </w:rPr>
              <w:t>imited evidence</w:t>
            </w:r>
            <w:r>
              <w:rPr>
                <w:rFonts w:ascii="Times New Roman" w:hAnsi="Times New Roman"/>
                <w:sz w:val="22"/>
                <w:szCs w:val="22"/>
              </w:rPr>
              <w:t>.</w:t>
            </w:r>
            <w:r w:rsidRPr="000126E2">
              <w:rPr>
                <w:rFonts w:ascii="Times New Roman" w:hAnsi="Times New Roman"/>
                <w:sz w:val="22"/>
                <w:szCs w:val="22"/>
              </w:rPr>
              <w:t xml:space="preserve"> </w:t>
            </w:r>
            <w:r>
              <w:rPr>
                <w:rFonts w:ascii="Times New Roman" w:hAnsi="Times New Roman"/>
                <w:sz w:val="22"/>
                <w:szCs w:val="22"/>
              </w:rPr>
              <w:t xml:space="preserve">A </w:t>
            </w:r>
            <w:r w:rsidRPr="000126E2">
              <w:rPr>
                <w:rFonts w:ascii="Times New Roman" w:hAnsi="Times New Roman"/>
                <w:sz w:val="22"/>
                <w:szCs w:val="22"/>
              </w:rPr>
              <w:t>naive indirect comparison</w:t>
            </w:r>
            <w:r>
              <w:rPr>
                <w:rFonts w:ascii="Times New Roman" w:hAnsi="Times New Roman"/>
                <w:sz w:val="22"/>
                <w:szCs w:val="22"/>
              </w:rPr>
              <w:t xml:space="preserve"> was inappropriate due to</w:t>
            </w:r>
            <w:r w:rsidRPr="00EE73A9">
              <w:rPr>
                <w:rFonts w:ascii="Times New Roman" w:hAnsi="Times New Roman"/>
                <w:sz w:val="22"/>
                <w:szCs w:val="22"/>
              </w:rPr>
              <w:t xml:space="preserve"> systematic differences between studies</w:t>
            </w:r>
            <w:r>
              <w:rPr>
                <w:rFonts w:ascii="Times New Roman" w:hAnsi="Times New Roman"/>
                <w:sz w:val="22"/>
                <w:szCs w:val="22"/>
              </w:rPr>
              <w:t xml:space="preserve"> and</w:t>
            </w:r>
            <w:r w:rsidRPr="00EE73A9">
              <w:rPr>
                <w:rFonts w:ascii="Times New Roman" w:hAnsi="Times New Roman"/>
                <w:sz w:val="22"/>
                <w:szCs w:val="22"/>
              </w:rPr>
              <w:t xml:space="preserve"> no verification of baselines between studies</w:t>
            </w:r>
            <w:r>
              <w:rPr>
                <w:rFonts w:ascii="Times New Roman" w:hAnsi="Times New Roman"/>
                <w:sz w:val="22"/>
                <w:szCs w:val="22"/>
              </w:rPr>
              <w:t>. In addition</w:t>
            </w:r>
            <w:r w:rsidRPr="007F6845">
              <w:rPr>
                <w:rFonts w:ascii="Times New Roman" w:hAnsi="Times New Roman"/>
                <w:sz w:val="22"/>
                <w:szCs w:val="22"/>
              </w:rPr>
              <w:t>, the conversion of the WOMAC score for BST</w:t>
            </w:r>
            <w:r>
              <w:rPr>
                <w:rFonts w:ascii="Times New Roman" w:hAnsi="Times New Roman"/>
                <w:sz w:val="22"/>
                <w:szCs w:val="22"/>
              </w:rPr>
              <w:t>-</w:t>
            </w:r>
            <w:r w:rsidRPr="007F6845">
              <w:rPr>
                <w:rFonts w:ascii="Times New Roman" w:hAnsi="Times New Roman"/>
                <w:sz w:val="22"/>
                <w:szCs w:val="22"/>
              </w:rPr>
              <w:t>CarGel</w:t>
            </w:r>
            <w:r>
              <w:rPr>
                <w:rFonts w:ascii="Times New Roman" w:hAnsi="Times New Roman"/>
                <w:sz w:val="22"/>
                <w:szCs w:val="22"/>
              </w:rPr>
              <w:t>+MF</w:t>
            </w:r>
            <w:r w:rsidRPr="007F6845">
              <w:rPr>
                <w:rFonts w:ascii="Times New Roman" w:hAnsi="Times New Roman"/>
                <w:sz w:val="22"/>
                <w:szCs w:val="22"/>
              </w:rPr>
              <w:t xml:space="preserve"> from VAS to</w:t>
            </w:r>
            <w:r>
              <w:rPr>
                <w:rFonts w:ascii="Times New Roman" w:hAnsi="Times New Roman"/>
                <w:sz w:val="22"/>
                <w:szCs w:val="22"/>
              </w:rPr>
              <w:t xml:space="preserve"> the</w:t>
            </w:r>
            <w:r w:rsidRPr="007F6845">
              <w:rPr>
                <w:rFonts w:ascii="Times New Roman" w:hAnsi="Times New Roman"/>
                <w:sz w:val="22"/>
                <w:szCs w:val="22"/>
              </w:rPr>
              <w:t xml:space="preserve"> </w:t>
            </w:r>
            <w:r>
              <w:rPr>
                <w:rFonts w:ascii="Times New Roman" w:hAnsi="Times New Roman"/>
                <w:sz w:val="22"/>
                <w:szCs w:val="22"/>
              </w:rPr>
              <w:t>L</w:t>
            </w:r>
            <w:r w:rsidRPr="007F6845">
              <w:rPr>
                <w:rFonts w:ascii="Times New Roman" w:hAnsi="Times New Roman"/>
                <w:sz w:val="22"/>
                <w:szCs w:val="22"/>
              </w:rPr>
              <w:t xml:space="preserve">ikert scale </w:t>
            </w:r>
            <w:r>
              <w:rPr>
                <w:rFonts w:ascii="Times New Roman" w:hAnsi="Times New Roman"/>
                <w:sz w:val="22"/>
                <w:szCs w:val="22"/>
              </w:rPr>
              <w:t>was</w:t>
            </w:r>
            <w:r w:rsidRPr="007F6845">
              <w:rPr>
                <w:rFonts w:ascii="Times New Roman" w:hAnsi="Times New Roman"/>
                <w:sz w:val="22"/>
                <w:szCs w:val="22"/>
              </w:rPr>
              <w:t xml:space="preserve"> not validated and </w:t>
            </w:r>
            <w:r>
              <w:rPr>
                <w:rFonts w:ascii="Times New Roman" w:hAnsi="Times New Roman"/>
                <w:sz w:val="22"/>
                <w:szCs w:val="22"/>
              </w:rPr>
              <w:t xml:space="preserve">introduced further uncertainty in the cost-effectiveness comparison with BST-Cargel+MF. </w:t>
            </w:r>
            <w:r w:rsidRPr="00B55508">
              <w:rPr>
                <w:rFonts w:ascii="Times New Roman" w:hAnsi="Times New Roman"/>
                <w:sz w:val="22"/>
                <w:szCs w:val="22"/>
              </w:rPr>
              <w:t xml:space="preserve">ESC considered there was limited </w:t>
            </w:r>
            <w:r w:rsidRPr="001F1705">
              <w:rPr>
                <w:rFonts w:ascii="Times New Roman" w:hAnsi="Times New Roman"/>
                <w:sz w:val="22"/>
                <w:szCs w:val="22"/>
              </w:rPr>
              <w:t>usefulness of presenting a modelled ICER for JointRep+MF vs</w:t>
            </w:r>
            <w:r>
              <w:rPr>
                <w:rFonts w:ascii="Times New Roman" w:hAnsi="Times New Roman"/>
                <w:sz w:val="22"/>
                <w:szCs w:val="22"/>
              </w:rPr>
              <w:t>.</w:t>
            </w:r>
            <w:r w:rsidRPr="001F1705">
              <w:rPr>
                <w:rFonts w:ascii="Times New Roman" w:hAnsi="Times New Roman"/>
                <w:sz w:val="22"/>
                <w:szCs w:val="22"/>
              </w:rPr>
              <w:t xml:space="preserve"> BST-CarGel+MF.</w:t>
            </w:r>
          </w:p>
        </w:tc>
      </w:tr>
      <w:tr w:rsidR="003861A2" w14:paraId="2B15E769" w14:textId="77777777" w:rsidTr="003861A2">
        <w:tc>
          <w:tcPr>
            <w:tcW w:w="2405" w:type="dxa"/>
          </w:tcPr>
          <w:p w14:paraId="73C5197A" w14:textId="77777777" w:rsidR="003861A2" w:rsidRPr="000126E2" w:rsidRDefault="003861A2" w:rsidP="003861A2">
            <w:pPr>
              <w:pStyle w:val="TableText1"/>
              <w:keepNext w:val="0"/>
              <w:widowControl w:val="0"/>
              <w:rPr>
                <w:rFonts w:ascii="Times New Roman" w:hAnsi="Times New Roman"/>
                <w:sz w:val="22"/>
                <w:szCs w:val="22"/>
              </w:rPr>
            </w:pPr>
            <w:r>
              <w:rPr>
                <w:rFonts w:ascii="Times New Roman" w:hAnsi="Times New Roman"/>
                <w:sz w:val="22"/>
                <w:szCs w:val="22"/>
              </w:rPr>
              <w:t>Uncertainty in financial estimates</w:t>
            </w:r>
          </w:p>
        </w:tc>
        <w:tc>
          <w:tcPr>
            <w:tcW w:w="6611" w:type="dxa"/>
          </w:tcPr>
          <w:p w14:paraId="6B6F622A" w14:textId="4CD1E6AF" w:rsidR="003861A2" w:rsidRPr="00872063" w:rsidRDefault="003861A2" w:rsidP="003861A2">
            <w:pPr>
              <w:pStyle w:val="TableText1"/>
              <w:keepNext w:val="0"/>
              <w:widowControl w:val="0"/>
              <w:rPr>
                <w:rFonts w:ascii="Times New Roman" w:hAnsi="Times New Roman"/>
                <w:sz w:val="22"/>
                <w:szCs w:val="22"/>
              </w:rPr>
            </w:pPr>
            <w:r w:rsidRPr="00872063">
              <w:rPr>
                <w:rFonts w:ascii="Times New Roman" w:hAnsi="Times New Roman"/>
                <w:sz w:val="22"/>
                <w:szCs w:val="22"/>
              </w:rPr>
              <w:t xml:space="preserve">The estimated implications to the PL through continued listing of JointRep </w:t>
            </w:r>
            <w:r>
              <w:rPr>
                <w:rFonts w:ascii="Times New Roman" w:hAnsi="Times New Roman"/>
                <w:sz w:val="22"/>
                <w:szCs w:val="22"/>
              </w:rPr>
              <w:t>are</w:t>
            </w:r>
            <w:r w:rsidRPr="00872063">
              <w:rPr>
                <w:rFonts w:ascii="Times New Roman" w:hAnsi="Times New Roman"/>
                <w:sz w:val="22"/>
                <w:szCs w:val="22"/>
              </w:rPr>
              <w:t xml:space="preserve"> highly uncertain. The predicted growth and utilisation (additional </w:t>
            </w:r>
            <w:r w:rsidR="00BE0486" w:rsidRPr="00BE0486">
              <w:rPr>
                <w:rFonts w:ascii="Times New Roman" w:hAnsi="Times New Roman"/>
                <w:b/>
                <w:bCs/>
                <w:sz w:val="22"/>
                <w:szCs w:val="22"/>
              </w:rPr>
              <w:t>redacted</w:t>
            </w:r>
            <w:r w:rsidR="004B0C2D">
              <w:rPr>
                <w:rFonts w:ascii="Times New Roman" w:hAnsi="Times New Roman"/>
                <w:sz w:val="22"/>
                <w:szCs w:val="22"/>
              </w:rPr>
              <w:t xml:space="preserve"> </w:t>
            </w:r>
            <w:r w:rsidRPr="00872063">
              <w:rPr>
                <w:rFonts w:ascii="Times New Roman" w:hAnsi="Times New Roman"/>
                <w:sz w:val="22"/>
                <w:szCs w:val="22"/>
              </w:rPr>
              <w:t>procedures per year) was uncertain given the historical market growth observed for prostheses like JointRep</w:t>
            </w:r>
            <w:r>
              <w:rPr>
                <w:rFonts w:ascii="Times New Roman" w:hAnsi="Times New Roman"/>
                <w:sz w:val="22"/>
                <w:szCs w:val="22"/>
              </w:rPr>
              <w:t xml:space="preserve">. A major discrepancy </w:t>
            </w:r>
            <w:r w:rsidRPr="00872063">
              <w:rPr>
                <w:rFonts w:ascii="Times New Roman" w:hAnsi="Times New Roman"/>
                <w:sz w:val="22"/>
                <w:szCs w:val="22"/>
              </w:rPr>
              <w:t xml:space="preserve">in utilisation </w:t>
            </w:r>
            <w:r>
              <w:rPr>
                <w:rFonts w:ascii="Times New Roman" w:hAnsi="Times New Roman"/>
                <w:sz w:val="22"/>
                <w:szCs w:val="22"/>
              </w:rPr>
              <w:t xml:space="preserve">data, which provide the basis for financial projections, was identified between </w:t>
            </w:r>
            <w:r w:rsidRPr="00872063">
              <w:rPr>
                <w:rFonts w:ascii="Times New Roman" w:hAnsi="Times New Roman"/>
                <w:sz w:val="22"/>
                <w:szCs w:val="22"/>
              </w:rPr>
              <w:t xml:space="preserve">PL billing data </w:t>
            </w:r>
            <w:r>
              <w:rPr>
                <w:rFonts w:ascii="Times New Roman" w:hAnsi="Times New Roman"/>
                <w:sz w:val="22"/>
                <w:szCs w:val="22"/>
              </w:rPr>
              <w:t>and</w:t>
            </w:r>
            <w:r w:rsidRPr="00872063">
              <w:rPr>
                <w:rFonts w:ascii="Times New Roman" w:hAnsi="Times New Roman"/>
                <w:sz w:val="22"/>
                <w:szCs w:val="22"/>
              </w:rPr>
              <w:t xml:space="preserve"> the applicant’s sales data.</w:t>
            </w:r>
            <w:r>
              <w:rPr>
                <w:rFonts w:ascii="Times New Roman" w:hAnsi="Times New Roman"/>
                <w:sz w:val="22"/>
                <w:szCs w:val="22"/>
              </w:rPr>
              <w:t xml:space="preserve"> The uncertainty for the MBS is regarding an unclear impact of JointRep on the uptake of the microfracture procedure.</w:t>
            </w:r>
          </w:p>
        </w:tc>
      </w:tr>
    </w:tbl>
    <w:p w14:paraId="08A1758E" w14:textId="77777777" w:rsidR="003861A2" w:rsidRDefault="003861A2" w:rsidP="00702B36">
      <w:pPr>
        <w:pStyle w:val="Heading1"/>
        <w:numPr>
          <w:ilvl w:val="0"/>
          <w:numId w:val="0"/>
        </w:numPr>
        <w:spacing w:before="240"/>
        <w:ind w:left="720" w:hanging="720"/>
      </w:pPr>
      <w:r w:rsidRPr="00B02E35">
        <w:t>ESC</w:t>
      </w:r>
      <w:r>
        <w:t xml:space="preserve"> Discussion </w:t>
      </w:r>
    </w:p>
    <w:p w14:paraId="35277612" w14:textId="77777777" w:rsidR="003861A2" w:rsidRDefault="003861A2" w:rsidP="003861A2">
      <w:pPr>
        <w:spacing w:before="240"/>
      </w:pPr>
      <w:r>
        <w:t xml:space="preserve">ESC noted that JointRep is an </w:t>
      </w:r>
      <w:r w:rsidRPr="00750529">
        <w:t>arthroscopically injectable thermo-gel implant</w:t>
      </w:r>
      <w:r>
        <w:t xml:space="preserve"> used in conjunction with microfracture. ESC noted that JointRep is currently listed on the Prostheses List (PL) and microfracture procedure (with or without JointRep) is claimed under existing </w:t>
      </w:r>
      <w:r>
        <w:lastRenderedPageBreak/>
        <w:t xml:space="preserve">MBS items </w:t>
      </w:r>
      <w:r w:rsidRPr="007C1406">
        <w:t xml:space="preserve">for arthroscopic surgery of the knee with chondroplasty </w:t>
      </w:r>
      <w:r>
        <w:t xml:space="preserve">(MBS item 49559, 49561 and 49562). ESC noted that PLAC is seeking advice from MSAC on the comparative safety, effectiveness and cost-effectiveness of JointRep plus microfracture compared with microfracture alone to inform PLAC consideration of whether JointRep should remain on the PL. ESC noted that in July 2020, MSAC considered a similar prosthesis (BST-CarGel, </w:t>
      </w:r>
      <w:hyperlink r:id="rId22" w:history="1">
        <w:r w:rsidRPr="0034659E">
          <w:rPr>
            <w:rStyle w:val="Hyperlink"/>
          </w:rPr>
          <w:t>MSAC application 1569</w:t>
        </w:r>
      </w:hyperlink>
      <w:r>
        <w:t>) and MSAC advised PLAC that BST-CarGel plus microfracture is not cost-effective as there was insufficient evidence to support non-inferior safety and superior effectiveness of BST-CarGel plus microfracture compared with microfracture alone.</w:t>
      </w:r>
    </w:p>
    <w:p w14:paraId="45E964D3" w14:textId="77777777" w:rsidR="003861A2" w:rsidRDefault="003861A2" w:rsidP="003861A2">
      <w:pPr>
        <w:spacing w:before="240"/>
      </w:pPr>
      <w:r>
        <w:t>ESC noted consultation feedback from the Australian Orthopaedic Association (AOA), which did not support the application as the AOA consider there is insufficient evidence of the benefit of JointRep with microfracture. From a consumer perspective, micofracture with or without JointRep requires extensive rehabilitation and multiple physiotherapy sessions, which exposes consumers to substantial out-of-pocket costs and access issues.</w:t>
      </w:r>
    </w:p>
    <w:p w14:paraId="25CDCA82" w14:textId="77777777" w:rsidR="003861A2" w:rsidRDefault="003861A2" w:rsidP="003861A2">
      <w:pPr>
        <w:spacing w:before="240"/>
      </w:pPr>
      <w:r>
        <w:t xml:space="preserve">ESC noted the comparators (microfracture alone for population 1, lesions </w:t>
      </w:r>
      <w:r>
        <w:sym w:font="Symbol" w:char="F0A3"/>
      </w:r>
      <w:r>
        <w:t>2 cm</w:t>
      </w:r>
      <w:r w:rsidRPr="00B46306">
        <w:rPr>
          <w:vertAlign w:val="superscript"/>
        </w:rPr>
        <w:t>2</w:t>
      </w:r>
      <w:r w:rsidRPr="00B46306">
        <w:t xml:space="preserve">; </w:t>
      </w:r>
      <w:r>
        <w:t>mosaicplasty, or microfracture in conjunction with BST-CarGel or Chondro-Gide for population 2, lesions &gt;2 cm</w:t>
      </w:r>
      <w:r w:rsidRPr="00B46306">
        <w:rPr>
          <w:vertAlign w:val="superscript"/>
        </w:rPr>
        <w:t>2</w:t>
      </w:r>
      <w:r>
        <w:t>) and the clinical management algorithm.</w:t>
      </w:r>
    </w:p>
    <w:p w14:paraId="62DEA2E8" w14:textId="77777777" w:rsidR="003861A2" w:rsidRDefault="003861A2" w:rsidP="003861A2">
      <w:pPr>
        <w:spacing w:before="240"/>
      </w:pPr>
      <w:r>
        <w:t>ESC considered the clinical evidence, which consisted of one non-randomised study comparing JointRep plus microfracture (n=46) with microfracture</w:t>
      </w:r>
      <w:r w:rsidRPr="009A3398">
        <w:t xml:space="preserve"> alone</w:t>
      </w:r>
      <w:r>
        <w:t xml:space="preserve"> (n=23) in patients with </w:t>
      </w:r>
      <w:r w:rsidRPr="00D378A2">
        <w:t>osteochondral defect</w:t>
      </w:r>
      <w:r>
        <w:t>s</w:t>
      </w:r>
      <w:r w:rsidRPr="00D378A2">
        <w:t xml:space="preserve"> </w:t>
      </w:r>
      <w:r>
        <w:t>(</w:t>
      </w:r>
      <w:r w:rsidRPr="00D378A2">
        <w:t>Grade III-IV</w:t>
      </w:r>
      <w:r>
        <w:t xml:space="preserve">) </w:t>
      </w:r>
      <w:r w:rsidRPr="00D378A2">
        <w:t>of the knee</w:t>
      </w:r>
      <w:r>
        <w:t>, with 12 and 24 month follow-up data (36 month unpublished). ESC noted the pre-ESC response indicating that 48 month follow-up data has been published</w:t>
      </w:r>
      <w:r>
        <w:rPr>
          <w:rStyle w:val="FootnoteReference"/>
        </w:rPr>
        <w:footnoteReference w:id="3"/>
      </w:r>
      <w:r>
        <w:t xml:space="preserve"> which reported that</w:t>
      </w:r>
      <w:r w:rsidRPr="00905D16">
        <w:t xml:space="preserve"> </w:t>
      </w:r>
      <w:r>
        <w:t>WOMAC</w:t>
      </w:r>
      <w:r>
        <w:rPr>
          <w:rStyle w:val="FootnoteReference"/>
        </w:rPr>
        <w:footnoteReference w:id="4"/>
      </w:r>
      <w:r>
        <w:t xml:space="preserve"> scores were maintained after 4 years (published in 2021 in an unranked journal). ESC noted that Populations 1 and 2 were not analysed separately. ESC considered that the quality of the JointRep study was poor, noting contradictory information including contradictory reporting of study design and data values between the two publications and unpublished study report. Further, the study was considered to have a critical risk of bias due to contrary descriptions of group allocation and </w:t>
      </w:r>
      <w:r w:rsidRPr="00FC31B0">
        <w:t>claims that patients were matched by four variables, despite having a pool of only 69 patients</w:t>
      </w:r>
      <w:r>
        <w:t xml:space="preserve">. ESC also noted that an </w:t>
      </w:r>
      <w:r w:rsidRPr="00FC31B0">
        <w:t>undisclosed number of study participants had osteoarthritis</w:t>
      </w:r>
      <w:r>
        <w:t xml:space="preserve"> and a high proportion of patients were over 60 years of age, suggesting that cartilage defects were more likely to be chronic arthritis than acute cartilage injury.</w:t>
      </w:r>
    </w:p>
    <w:p w14:paraId="121C9BA4" w14:textId="77777777" w:rsidR="003861A2" w:rsidRDefault="003861A2" w:rsidP="003861A2">
      <w:pPr>
        <w:spacing w:before="240"/>
      </w:pPr>
      <w:r>
        <w:t xml:space="preserve">Regarding the comparative effectiveness of JointRep plus microfracture versus microfracture alone, ESC noted the primary outcome measure in the JointRep study was the WOMACscore (pain, stiffness and physical function). ESC noted that while the WOMAC score was </w:t>
      </w:r>
      <w:r w:rsidRPr="00155F87">
        <w:t>developed and validated for people with osteoarthritis of the hip or knee</w:t>
      </w:r>
      <w:r>
        <w:t>, ESC accepted the WOMAC score is an internationally recognised outcome measure. ESC noted that WOMAC scores were generally lower in the JointRep arm (indicating improvement in knee pain and function) but considered that conclusions could not be drawn due to the very low quality of the study. ESC considered that due to the insufficient quality of the JointRep study design, the claim of superior effectiveness of JointRep plus microfracture versus microfracture alone is uncertain.</w:t>
      </w:r>
    </w:p>
    <w:p w14:paraId="6E8B91A1" w14:textId="77777777" w:rsidR="003861A2" w:rsidRDefault="003861A2" w:rsidP="003861A2">
      <w:pPr>
        <w:spacing w:before="240"/>
      </w:pPr>
      <w:r>
        <w:t xml:space="preserve">Regarding the comparative safety of JointRep plus microfracture versus microfracture alone, ESC noted that no safety outcomes were reported in the JointRep study for both treatment arms, which contrasted to studies on BST-Cargel plus microfracture versus microfracture alone that reported adverse event (AE) in both study arms. ESC considered the lack of </w:t>
      </w:r>
      <w:r>
        <w:lastRenderedPageBreak/>
        <w:t>adverse event (AE) reporting was likely due to issues with AE reporting methods.</w:t>
      </w:r>
      <w:r w:rsidRPr="00233AE4">
        <w:t xml:space="preserve"> </w:t>
      </w:r>
      <w:r>
        <w:t>Thus, ESC considered that no meaningful comparison for safety was presented and that the claim of non-inferior safety compared with microfracture alone is uncertain.</w:t>
      </w:r>
    </w:p>
    <w:p w14:paraId="7B5ED062" w14:textId="77777777" w:rsidR="003861A2" w:rsidRDefault="003861A2" w:rsidP="003861A2">
      <w:pPr>
        <w:spacing w:before="240"/>
      </w:pPr>
      <w:r>
        <w:t>Regarding the comparison of JointRep plus microfracture versus BST-Cargel plus microfracture, ESC noted the ADAR attempted to indirectly compare the results from the JointRep study with results from the two BST-Cargel studies. ESC noted there were differences in patient populations, the microfracture procedure and rehabilitation procedure, and that the divergence between the JointRep and BST-Cargel studies was unclear due to incomplete reporting in the JointRep study. ESC also noted that although studies on JointRep and BST-Cargel reported WOMAC scores, they used different WOMAC scoring methods and baseline WOMAC scores were not comparable. Overall, ESC considered that the indirect comparison of JointRep plus microfracture compared with BST-Cargel plus microfracture was inappropriate and not able to inform whether JointRep plus microfracture and BST-Cargel plus microfracture have a similar level of effectiveness.</w:t>
      </w:r>
    </w:p>
    <w:p w14:paraId="7F6D4C63" w14:textId="77777777" w:rsidR="003861A2" w:rsidRPr="00F623F8" w:rsidRDefault="003861A2" w:rsidP="003861A2">
      <w:pPr>
        <w:spacing w:before="240"/>
        <w:rPr>
          <w:sz w:val="22"/>
          <w:szCs w:val="22"/>
        </w:rPr>
      </w:pPr>
      <w:r>
        <w:t xml:space="preserve">ESC noted the cost-utility analysis comparing JointRep plus microfracture versus microfracture alone, and that issues with the quality of the clinical evidence flowed to the economic analysis. ESC noted that the health state utility values were </w:t>
      </w:r>
      <w:r w:rsidRPr="00073BD1">
        <w:t>derived from a transformation of WOMAC subscales and total score</w:t>
      </w:r>
      <w:r>
        <w:t>,</w:t>
      </w:r>
      <w:r w:rsidRPr="00073BD1">
        <w:t xml:space="preserve"> </w:t>
      </w:r>
      <w:r>
        <w:t>and although the transformation methods were transparent</w:t>
      </w:r>
      <w:r w:rsidRPr="00B14A9A">
        <w:t xml:space="preserve"> </w:t>
      </w:r>
      <w:r>
        <w:t>and reasonable, the utility values were highly uncertain due to the poor quality of the clinical evidence</w:t>
      </w:r>
      <w:r w:rsidRPr="000325B2">
        <w:t xml:space="preserve">. </w:t>
      </w:r>
      <w:r>
        <w:t xml:space="preserve">ESC also noted other translation issues including applicability issues between the JointRep study population and the patient population defined in the PICO. ESC noted costs were assumed to be identical for JointRep plus microfracture and microfracture alone, except for the cost of JointRep. ESC considered the long-term extrapolation assuming no deterioration in quality of life was of limited usefulness, and that questions remained regarding JointRep reoperation and total knee arthroplasty. </w:t>
      </w:r>
      <w:r w:rsidRPr="008E3380">
        <w:rPr>
          <w:szCs w:val="24"/>
        </w:rPr>
        <w:t xml:space="preserve">ESC noted that </w:t>
      </w:r>
      <w:r w:rsidRPr="00F623F8">
        <w:rPr>
          <w:szCs w:val="24"/>
        </w:rPr>
        <w:t>MSAC may wish to consider if</w:t>
      </w:r>
      <w:r>
        <w:rPr>
          <w:szCs w:val="24"/>
        </w:rPr>
        <w:t>, in light of the above limitations,</w:t>
      </w:r>
      <w:r w:rsidRPr="00F623F8">
        <w:rPr>
          <w:szCs w:val="24"/>
        </w:rPr>
        <w:t xml:space="preserve"> </w:t>
      </w:r>
      <w:r>
        <w:rPr>
          <w:szCs w:val="24"/>
        </w:rPr>
        <w:t>the analyses</w:t>
      </w:r>
      <w:r w:rsidRPr="00F623F8">
        <w:rPr>
          <w:szCs w:val="24"/>
        </w:rPr>
        <w:t xml:space="preserve"> </w:t>
      </w:r>
      <w:r>
        <w:rPr>
          <w:szCs w:val="24"/>
        </w:rPr>
        <w:t>were adequate to inform its decision</w:t>
      </w:r>
      <w:r w:rsidRPr="00F623F8">
        <w:rPr>
          <w:szCs w:val="24"/>
        </w:rPr>
        <w:t>.</w:t>
      </w:r>
    </w:p>
    <w:p w14:paraId="1F187DDC" w14:textId="77777777" w:rsidR="003861A2" w:rsidRDefault="003861A2" w:rsidP="003861A2">
      <w:pPr>
        <w:spacing w:before="240"/>
      </w:pPr>
      <w:r>
        <w:t xml:space="preserve">ESC noted the incremental cost-effectiveness ratio (ICER) for JointRep plus microfracture versus microfracture alone was $6,329 but the result was contingent on accepting the </w:t>
      </w:r>
      <w:r w:rsidRPr="00220DB9">
        <w:t>clinical claim</w:t>
      </w:r>
      <w:r>
        <w:t>, which had to take into consideration the poor</w:t>
      </w:r>
      <w:r w:rsidRPr="00220DB9">
        <w:t xml:space="preserve"> quality of evidence and applicability </w:t>
      </w:r>
      <w:r>
        <w:t xml:space="preserve">concerns with the JointRep study. Other notable limitations of the model included that background mortality was not related to the interventions being modelled, the “alive” state did not distinguish between degree of treatment success, and there were only three cycles in the model’s base case. ESC noted the univariate sensitivity analyses presented in the ADAR and pre-ESC response, but considered that, given the poor quality of the evidence, changes in multiple parameters would be plausible. ESC noted that reducing all </w:t>
      </w:r>
      <w:r w:rsidRPr="007D79A5">
        <w:t xml:space="preserve">JointRep </w:t>
      </w:r>
      <w:r>
        <w:t>plus microfracture</w:t>
      </w:r>
      <w:r w:rsidRPr="007D79A5">
        <w:t xml:space="preserve"> utilities by 20% </w:t>
      </w:r>
      <w:r>
        <w:t>increases the</w:t>
      </w:r>
      <w:r w:rsidRPr="007D79A5">
        <w:t xml:space="preserve"> ICER</w:t>
      </w:r>
      <w:r>
        <w:t xml:space="preserve"> to approximately </w:t>
      </w:r>
      <w:r w:rsidRPr="007D79A5">
        <w:t>$14</w:t>
      </w:r>
      <w:r>
        <w:t xml:space="preserve">,000, and reducing all </w:t>
      </w:r>
      <w:r w:rsidRPr="007D79A5">
        <w:t xml:space="preserve">JointRep </w:t>
      </w:r>
      <w:r>
        <w:t>plus microfracture</w:t>
      </w:r>
      <w:r w:rsidRPr="007D79A5">
        <w:t xml:space="preserve"> utilities by 20%</w:t>
      </w:r>
      <w:r>
        <w:t xml:space="preserve"> along with increasing microfracture alone utilities by 20% increases the ICER to approximately $61,000.</w:t>
      </w:r>
    </w:p>
    <w:p w14:paraId="09A11932" w14:textId="77777777" w:rsidR="003861A2" w:rsidRDefault="003861A2" w:rsidP="003861A2">
      <w:pPr>
        <w:spacing w:before="240"/>
      </w:pPr>
      <w:r>
        <w:t>ESC also noted that the issues raised for the economic analysis comparing JointRep plus microfracture versus microfracture alone also apply to the cost-effectiveness analysis comparing JointRep plus microfracture against BST-CarGel plus microfracture. ESC noted the economic analysis appeared to take a cost-minimisation approach but without being supported by a claim of non-inferiority. ESC also noted the inconsistency between the claim that JointRep plus microfracture and BST-CarGel plus microfracture had similar effectiveness (noting there were no data to support this) and the incremental effectiveness of JointRep plus microfracture compared with BST-CarGel plus microfracture of 0.2 QALYs.</w:t>
      </w:r>
      <w:r w:rsidRPr="006F548F">
        <w:t xml:space="preserve"> </w:t>
      </w:r>
      <w:r>
        <w:lastRenderedPageBreak/>
        <w:t xml:space="preserve">In addition, </w:t>
      </w:r>
      <w:r w:rsidRPr="00A822EE">
        <w:t>ESC noted that the conversion of the WOMAC score for BST-Cargel plus microfracture from VAS</w:t>
      </w:r>
      <w:r w:rsidRPr="00A822EE">
        <w:rPr>
          <w:rStyle w:val="FootnoteReference"/>
        </w:rPr>
        <w:footnoteReference w:id="5"/>
      </w:r>
      <w:r w:rsidRPr="00A822EE">
        <w:t xml:space="preserve"> to Likert scale was not based on a validated approach, which added an additional element of uncertainty</w:t>
      </w:r>
      <w:r w:rsidRPr="000325B2">
        <w:t xml:space="preserve"> to</w:t>
      </w:r>
      <w:r>
        <w:t xml:space="preserve"> the cost-effectiveness analysis against BST-CarGel plus microfracture.  Overall, ESC considered there was limited </w:t>
      </w:r>
      <w:r w:rsidRPr="00C471CB">
        <w:t>usefulness of presentin</w:t>
      </w:r>
      <w:r>
        <w:t>g a modelled ICER for JointRep plus microfracture versus BST-CarGel plus</w:t>
      </w:r>
      <w:r w:rsidRPr="00C471CB">
        <w:t xml:space="preserve"> </w:t>
      </w:r>
      <w:r>
        <w:t>microfracture</w:t>
      </w:r>
      <w:r w:rsidRPr="00C471CB">
        <w:t>.</w:t>
      </w:r>
    </w:p>
    <w:p w14:paraId="04505674" w14:textId="282C20A1" w:rsidR="003861A2" w:rsidRDefault="003861A2" w:rsidP="003861A2">
      <w:pPr>
        <w:spacing w:before="240"/>
      </w:pPr>
      <w:r>
        <w:t xml:space="preserve">ESC noted the ADAR </w:t>
      </w:r>
      <w:r w:rsidRPr="00493FA7">
        <w:t>forecast the financial implications of continued use of JointRep via the MBS and the PL</w:t>
      </w:r>
      <w:r>
        <w:t>.</w:t>
      </w:r>
      <w:r w:rsidRPr="00493FA7">
        <w:t xml:space="preserve"> </w:t>
      </w:r>
      <w:r>
        <w:t xml:space="preserve">ESC noted that the financial impact to the PL through continued listing of JointRep could vary from $5,203,008 - $6,070,176 in Year 1 and rising to $6,720,522 - $7,804,512 in Year 5. ESC noted a considerable discrepancy in the utilisation estimates when based on PL billing data versus the applicant’s sales data. The reason for this discrepancy was unclear, and ESC queried if it could be partly explained by inaccurate billing records in the private setting. ESC was also uncertain whether the historical sales data align with the proposed population. ESC also noted, given the market growth observed for a prostheses like JointRep, the predicted growth and utilisation (additional </w:t>
      </w:r>
      <w:r w:rsidR="00BE0486" w:rsidRPr="00BE0486">
        <w:rPr>
          <w:b/>
          <w:bCs/>
          <w:sz w:val="22"/>
          <w:szCs w:val="22"/>
        </w:rPr>
        <w:t>redacted</w:t>
      </w:r>
      <w:r w:rsidR="004B0C2D">
        <w:t xml:space="preserve"> </w:t>
      </w:r>
      <w:r>
        <w:t xml:space="preserve">procedures per year) was uncertain. ESC considered it was plausible that </w:t>
      </w:r>
      <w:r w:rsidRPr="00FE4CF1">
        <w:t>JointRep ha</w:t>
      </w:r>
      <w:r>
        <w:t>d</w:t>
      </w:r>
      <w:r w:rsidRPr="00FE4CF1">
        <w:t xml:space="preserve"> increased the use of microfracture</w:t>
      </w:r>
      <w:r>
        <w:t xml:space="preserve">, </w:t>
      </w:r>
      <w:r w:rsidRPr="00FE4CF1">
        <w:t>if patients/clinicians were previously hesitant to undergo treatment with microfracture alone due to the prolonged post-procedure period without weight bearing.</w:t>
      </w:r>
    </w:p>
    <w:p w14:paraId="191157F7" w14:textId="0FD4AEBC" w:rsidR="003861A2" w:rsidRPr="000126E2" w:rsidRDefault="003861A2" w:rsidP="00025513">
      <w:pPr>
        <w:tabs>
          <w:tab w:val="left" w:pos="2265"/>
          <w:tab w:val="left" w:pos="3420"/>
          <w:tab w:val="left" w:pos="4320"/>
        </w:tabs>
        <w:spacing w:before="240" w:after="240"/>
        <w:rPr>
          <w:bCs/>
        </w:rPr>
      </w:pPr>
      <w:r>
        <w:t>ESC noted the pre-ESC response reported that an</w:t>
      </w:r>
      <w:r w:rsidRPr="009D199C">
        <w:t xml:space="preserve"> international (Australian/Canadian/New Zealand) multicentre </w:t>
      </w:r>
      <w:r>
        <w:t xml:space="preserve">randomised </w:t>
      </w:r>
      <w:r w:rsidRPr="009D199C">
        <w:t>clinical trial</w:t>
      </w:r>
      <w:r>
        <w:rPr>
          <w:rStyle w:val="FootnoteReference"/>
        </w:rPr>
        <w:footnoteReference w:id="6"/>
      </w:r>
      <w:r w:rsidRPr="009D199C">
        <w:t xml:space="preserve"> </w:t>
      </w:r>
      <w:r>
        <w:t xml:space="preserve">(n=185, randomised 2:1) </w:t>
      </w:r>
      <w:r w:rsidRPr="009D199C">
        <w:t>is</w:t>
      </w:r>
      <w:r>
        <w:t xml:space="preserve"> due</w:t>
      </w:r>
      <w:r w:rsidRPr="009D199C">
        <w:t xml:space="preserve"> to commence </w:t>
      </w:r>
      <w:r>
        <w:t>June 2021</w:t>
      </w:r>
      <w:r w:rsidRPr="009D199C">
        <w:t xml:space="preserve"> to assess the effectiveness and safety of JointRep</w:t>
      </w:r>
      <w:r>
        <w:t xml:space="preserve"> plus microfracture versus microfracture alone when treating </w:t>
      </w:r>
      <w:r w:rsidRPr="009D199C">
        <w:t>symptomatic focal articular cartilage lesions in the knee (femoral condyles or trochlea)</w:t>
      </w:r>
      <w:r>
        <w:t xml:space="preserve"> with trial results expected December 2025</w:t>
      </w:r>
      <w:r w:rsidRPr="009D199C">
        <w:t xml:space="preserve">. </w:t>
      </w:r>
      <w:r>
        <w:t xml:space="preserve">The applicant has proposed that JointRep </w:t>
      </w:r>
      <w:r w:rsidRPr="00487842">
        <w:t xml:space="preserve">remain on the PL at a </w:t>
      </w:r>
      <w:r w:rsidR="00BE0486" w:rsidRPr="00BE0486">
        <w:rPr>
          <w:b/>
          <w:bCs/>
          <w:sz w:val="22"/>
          <w:szCs w:val="22"/>
        </w:rPr>
        <w:t>redacted</w:t>
      </w:r>
      <w:r w:rsidR="00BE0486" w:rsidRPr="00BE0486" w:rsidDel="00487842">
        <w:t xml:space="preserve"> </w:t>
      </w:r>
      <w:r w:rsidRPr="00487842">
        <w:t>benefit (</w:t>
      </w:r>
      <w:r w:rsidR="00875DA4">
        <w:t>$</w:t>
      </w:r>
      <w:r w:rsidR="00BE0486" w:rsidRPr="00BE0486">
        <w:rPr>
          <w:b/>
          <w:bCs/>
          <w:sz w:val="22"/>
          <w:szCs w:val="22"/>
        </w:rPr>
        <w:t>redacted</w:t>
      </w:r>
      <w:r w:rsidRPr="00487842">
        <w:t xml:space="preserve">) until the upcoming clinical trial is complete. ESC also noted the applicant provided additional multivariate sensitivity analyses exploring the </w:t>
      </w:r>
      <w:r w:rsidR="00BE0486" w:rsidRPr="00BE0486">
        <w:rPr>
          <w:b/>
          <w:bCs/>
          <w:sz w:val="22"/>
          <w:szCs w:val="22"/>
        </w:rPr>
        <w:t>redacted</w:t>
      </w:r>
      <w:r w:rsidR="00BE0486" w:rsidRPr="00487842" w:rsidDel="00BE0486">
        <w:t xml:space="preserve"> </w:t>
      </w:r>
      <w:r w:rsidRPr="00487842">
        <w:t xml:space="preserve">PL benefit and arbitrary reductions in incremental QALY benefit, but queried whether </w:t>
      </w:r>
      <w:r w:rsidR="00BE0486" w:rsidRPr="00BE0486">
        <w:rPr>
          <w:b/>
          <w:bCs/>
          <w:sz w:val="22"/>
          <w:szCs w:val="22"/>
        </w:rPr>
        <w:t>redacted</w:t>
      </w:r>
      <w:r w:rsidR="00BE0486" w:rsidRPr="00487842" w:rsidDel="00BE0486">
        <w:t xml:space="preserve"> </w:t>
      </w:r>
      <w:r w:rsidRPr="00487842">
        <w:t>the</w:t>
      </w:r>
      <w:r>
        <w:t xml:space="preserve"> PL benefit can offset the uncertainty in the clinical evidence.</w:t>
      </w:r>
    </w:p>
    <w:p w14:paraId="7F433D6A" w14:textId="77777777" w:rsidR="00CB6A64" w:rsidRDefault="00CB6A64" w:rsidP="00CB6A64">
      <w:pPr>
        <w:pStyle w:val="Heading1"/>
        <w:rPr>
          <w:rFonts w:ascii="Arial" w:hAnsi="Arial" w:cs="Arial"/>
        </w:rPr>
      </w:pPr>
      <w:r>
        <w:rPr>
          <w:rFonts w:ascii="Arial" w:hAnsi="Arial" w:cs="Arial"/>
        </w:rPr>
        <w:t>Other significant factors</w:t>
      </w:r>
    </w:p>
    <w:p w14:paraId="519806C4" w14:textId="77777777" w:rsidR="00CB6A64" w:rsidRPr="00EE7549" w:rsidRDefault="00CB6A64" w:rsidP="00EE7549">
      <w:pPr>
        <w:spacing w:before="240" w:after="240"/>
      </w:pPr>
      <w:r w:rsidRPr="00EE7549">
        <w:t>Nil</w:t>
      </w:r>
    </w:p>
    <w:p w14:paraId="41D473D5" w14:textId="0125AFE0" w:rsidR="00BE6310" w:rsidRDefault="00CB6A64" w:rsidP="00BE6310">
      <w:pPr>
        <w:pStyle w:val="Heading1"/>
        <w:rPr>
          <w:rFonts w:ascii="Arial" w:hAnsi="Arial" w:cs="Arial"/>
        </w:rPr>
      </w:pPr>
      <w:r>
        <w:rPr>
          <w:rFonts w:ascii="Arial" w:hAnsi="Arial" w:cs="Arial"/>
        </w:rPr>
        <w:t>Applicant comments on MSAC’s Public Summary Document</w:t>
      </w:r>
    </w:p>
    <w:p w14:paraId="12E7FC75" w14:textId="68CCBEF3" w:rsidR="00875DA4" w:rsidRPr="00875DA4" w:rsidRDefault="00875DA4" w:rsidP="00875DA4">
      <w:pPr>
        <w:spacing w:before="240" w:after="240"/>
        <w:rPr>
          <w:szCs w:val="24"/>
        </w:rPr>
      </w:pPr>
      <w:r w:rsidRPr="00875DA4">
        <w:rPr>
          <w:szCs w:val="24"/>
        </w:rPr>
        <w:t>The applicant would like to thank MSAC and the Secretariat for all its work in considering this application and will take note of its advice in any further submission. We are, however, very concerned at MSAC’s contention that a trial of microfracture versus placebo be necessary for any future application to be successful. The applicant has consulted with an independent Clinical Research Organisation and a number of Orthopaedic surgeons taking part in the current JMAC study and have been advised there are likely to be considerable barriers in gaining ethics approval for a trial of this nature.</w:t>
      </w:r>
    </w:p>
    <w:p w14:paraId="7AE762A9" w14:textId="6D322137" w:rsidR="00CB6A64" w:rsidRPr="007B5143" w:rsidRDefault="00CB6A64" w:rsidP="007B5143">
      <w:pPr>
        <w:pStyle w:val="Heading1"/>
        <w:rPr>
          <w:rFonts w:ascii="Arial" w:hAnsi="Arial" w:cs="Arial"/>
        </w:rPr>
      </w:pPr>
      <w:r w:rsidRPr="007B5143">
        <w:rPr>
          <w:rFonts w:ascii="Arial" w:hAnsi="Arial" w:cs="Arial"/>
        </w:rPr>
        <w:lastRenderedPageBreak/>
        <w:t>Further information on MSAC</w:t>
      </w:r>
    </w:p>
    <w:p w14:paraId="452388C8" w14:textId="0F78CD62" w:rsidR="00CB6A64" w:rsidRPr="00702B36" w:rsidRDefault="00CB6A64" w:rsidP="00702B36">
      <w:pPr>
        <w:spacing w:before="240" w:after="240"/>
        <w:rPr>
          <w:szCs w:val="24"/>
        </w:rPr>
      </w:pPr>
      <w:r w:rsidRPr="00F715D1">
        <w:rPr>
          <w:szCs w:val="24"/>
        </w:rPr>
        <w:t xml:space="preserve">MSAC Terms of Reference and other information are available on the MSAC Website: </w:t>
      </w:r>
      <w:r>
        <w:rPr>
          <w:szCs w:val="24"/>
        </w:rPr>
        <w:br/>
      </w:r>
      <w:hyperlink r:id="rId23" w:tooltip="Link to Medical Services Advisory Committee website" w:history="1">
        <w:r w:rsidRPr="00F715D1">
          <w:rPr>
            <w:rStyle w:val="Hyperlink"/>
            <w:szCs w:val="24"/>
          </w:rPr>
          <w:t>visit the MSAC website</w:t>
        </w:r>
      </w:hyperlink>
    </w:p>
    <w:sectPr w:rsidR="00CB6A64" w:rsidRPr="00702B36" w:rsidSect="00342FAC">
      <w:footerReference w:type="default" r:id="rId2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F3E3B" w14:textId="77777777" w:rsidR="00875DA4" w:rsidRDefault="00875DA4" w:rsidP="00065623">
      <w:r>
        <w:separator/>
      </w:r>
    </w:p>
  </w:endnote>
  <w:endnote w:type="continuationSeparator" w:id="0">
    <w:p w14:paraId="0BB43146" w14:textId="77777777" w:rsidR="00875DA4" w:rsidRDefault="00875DA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5669C5B0" w:rsidR="00875DA4" w:rsidRDefault="00875DA4">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611F0B18" w14:textId="77777777" w:rsidR="00875DA4" w:rsidRDefault="0087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8D250" w14:textId="77777777" w:rsidR="00875DA4" w:rsidRDefault="00875DA4" w:rsidP="00065623">
      <w:r>
        <w:separator/>
      </w:r>
    </w:p>
  </w:footnote>
  <w:footnote w:type="continuationSeparator" w:id="0">
    <w:p w14:paraId="5BFC7746" w14:textId="77777777" w:rsidR="00875DA4" w:rsidRDefault="00875DA4" w:rsidP="00065623">
      <w:r>
        <w:continuationSeparator/>
      </w:r>
    </w:p>
  </w:footnote>
  <w:footnote w:id="1">
    <w:p w14:paraId="0C2E2E9E" w14:textId="7F12AC8B" w:rsidR="00875DA4" w:rsidRDefault="00875DA4">
      <w:pPr>
        <w:pStyle w:val="FootnoteText"/>
      </w:pPr>
      <w:r>
        <w:rPr>
          <w:rStyle w:val="FootnoteReference"/>
        </w:rPr>
        <w:footnoteRef/>
      </w:r>
      <w:r>
        <w:t xml:space="preserve"> </w:t>
      </w:r>
      <w:r w:rsidRPr="009D199C">
        <w:t>A Comparison of JointRep™ and Microfracture in Repair of Cartilage Lesions on the Femoral Condyle or Trochlea (JMAC</w:t>
      </w:r>
      <w:r>
        <w:t xml:space="preserve">) – NCTC 04840147 </w:t>
      </w:r>
      <w:hyperlink r:id="rId1" w:history="1">
        <w:r w:rsidRPr="00A14E6D">
          <w:rPr>
            <w:rStyle w:val="Hyperlink"/>
          </w:rPr>
          <w:t>https://clinicaltrials.gov/ct2/show/NCT04840147?term=JointRep&amp;draw=2&amp;rank=1</w:t>
        </w:r>
      </w:hyperlink>
      <w:r>
        <w:t xml:space="preserve"> </w:t>
      </w:r>
    </w:p>
  </w:footnote>
  <w:footnote w:id="2">
    <w:p w14:paraId="236B74E7" w14:textId="014CF3F4" w:rsidR="00875DA4" w:rsidRDefault="00875DA4">
      <w:pPr>
        <w:pStyle w:val="FootnoteText"/>
      </w:pPr>
      <w:r>
        <w:rPr>
          <w:rStyle w:val="FootnoteReference"/>
        </w:rPr>
        <w:footnoteRef/>
      </w:r>
      <w:r>
        <w:t xml:space="preserve"> </w:t>
      </w:r>
      <w:r w:rsidRPr="00C14A40">
        <w:t>Indelli PF et al ‘Microfracture and Hydrogel Scaffolds for the Treatment of Osteochondral Injuries of the Knee: Clinical Results at 4 Years Follow-up’ J Clin Med Res. 3032;2 (1): 1-13</w:t>
      </w:r>
    </w:p>
  </w:footnote>
  <w:footnote w:id="3">
    <w:p w14:paraId="49685E92" w14:textId="77777777" w:rsidR="00875DA4" w:rsidRPr="00604906" w:rsidRDefault="00875DA4" w:rsidP="003861A2">
      <w:pPr>
        <w:pStyle w:val="FootnoteText"/>
      </w:pPr>
      <w:r>
        <w:rPr>
          <w:rStyle w:val="FootnoteReference"/>
        </w:rPr>
        <w:footnoteRef/>
      </w:r>
      <w:r>
        <w:t xml:space="preserve"> </w:t>
      </w:r>
      <w:r w:rsidRPr="00604906">
        <w:t>Indelli P</w:t>
      </w:r>
      <w:r>
        <w:t xml:space="preserve">F, et al. (2021) </w:t>
      </w:r>
      <w:r>
        <w:rPr>
          <w:i/>
          <w:iCs/>
        </w:rPr>
        <w:t>Journal of Clinical Medical Research</w:t>
      </w:r>
      <w:r>
        <w:t xml:space="preserve">. 2(1):1-13 </w:t>
      </w:r>
    </w:p>
  </w:footnote>
  <w:footnote w:id="4">
    <w:p w14:paraId="4400D796" w14:textId="77777777" w:rsidR="00875DA4" w:rsidRDefault="00875DA4" w:rsidP="003861A2">
      <w:pPr>
        <w:pStyle w:val="FootnoteText"/>
      </w:pPr>
      <w:r>
        <w:rPr>
          <w:rStyle w:val="FootnoteReference"/>
        </w:rPr>
        <w:footnoteRef/>
      </w:r>
      <w:r>
        <w:t xml:space="preserve"> </w:t>
      </w:r>
      <w:r w:rsidRPr="00155F87">
        <w:t>Western Ontario and McMaster Universities Osteoarthritis Index (WOMAC)</w:t>
      </w:r>
    </w:p>
  </w:footnote>
  <w:footnote w:id="5">
    <w:p w14:paraId="6F5B7972" w14:textId="77777777" w:rsidR="00875DA4" w:rsidRDefault="00875DA4" w:rsidP="003861A2">
      <w:pPr>
        <w:pStyle w:val="FootnoteText"/>
      </w:pPr>
      <w:r>
        <w:rPr>
          <w:rStyle w:val="FootnoteReference"/>
        </w:rPr>
        <w:footnoteRef/>
      </w:r>
      <w:r>
        <w:t xml:space="preserve"> Visual analogue scale</w:t>
      </w:r>
    </w:p>
  </w:footnote>
  <w:footnote w:id="6">
    <w:p w14:paraId="234EF018" w14:textId="090AE706" w:rsidR="00875DA4" w:rsidRDefault="00875DA4" w:rsidP="003861A2">
      <w:pPr>
        <w:pStyle w:val="FootnoteText"/>
      </w:pPr>
      <w:r>
        <w:rPr>
          <w:rStyle w:val="FootnoteReference"/>
        </w:rPr>
        <w:footnoteRef/>
      </w:r>
      <w:r>
        <w:t xml:space="preserve"> </w:t>
      </w:r>
      <w:r w:rsidRPr="009D199C">
        <w:t>A Comparison of JointRep™ and Microfracture in Repair of Cartilage Lesions on the Femoral Condyle or Trochlea (JMAC</w:t>
      </w:r>
      <w:r>
        <w:t xml:space="preserve">) – NCTC 04840147 </w:t>
      </w:r>
      <w:hyperlink r:id="rId2" w:history="1">
        <w:r w:rsidRPr="008E0C2F">
          <w:rPr>
            <w:rStyle w:val="Hyperlink"/>
          </w:rPr>
          <w:t>https://clinicaltrials.gov/ct2/show/NCT04840147?term=JointRep&amp;draw=2&amp;rank=1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33B9"/>
    <w:multiLevelType w:val="hybridMultilevel"/>
    <w:tmpl w:val="BEBE1284"/>
    <w:lvl w:ilvl="0" w:tplc="0C09000F">
      <w:start w:val="1"/>
      <w:numFmt w:val="decimal"/>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310C54"/>
    <w:multiLevelType w:val="hybridMultilevel"/>
    <w:tmpl w:val="A48E4A98"/>
    <w:lvl w:ilvl="0" w:tplc="FD3A63D2">
      <w:start w:val="3"/>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FB5259"/>
    <w:multiLevelType w:val="hybridMultilevel"/>
    <w:tmpl w:val="ED3CDA98"/>
    <w:lvl w:ilvl="0" w:tplc="90F0D13E">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8433FEB"/>
    <w:multiLevelType w:val="hybridMultilevel"/>
    <w:tmpl w:val="6F0EE3F4"/>
    <w:lvl w:ilvl="0" w:tplc="11B23898">
      <w:start w:val="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BE0199"/>
    <w:multiLevelType w:val="hybridMultilevel"/>
    <w:tmpl w:val="ECAC02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1" w15:restartNumberingAfterBreak="0">
    <w:nsid w:val="45F473A9"/>
    <w:multiLevelType w:val="hybridMultilevel"/>
    <w:tmpl w:val="C8FE2AF8"/>
    <w:lvl w:ilvl="0" w:tplc="57F6110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6403B7"/>
    <w:multiLevelType w:val="hybridMultilevel"/>
    <w:tmpl w:val="5B4E4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D295E"/>
    <w:multiLevelType w:val="hybridMultilevel"/>
    <w:tmpl w:val="07E67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6B4B04"/>
    <w:multiLevelType w:val="hybridMultilevel"/>
    <w:tmpl w:val="3BA222C2"/>
    <w:lvl w:ilvl="0" w:tplc="90F0D13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D387448"/>
    <w:multiLevelType w:val="multilevel"/>
    <w:tmpl w:val="B22A93B6"/>
    <w:numStyleLink w:val="Heading1a"/>
  </w:abstractNum>
  <w:abstractNum w:abstractNumId="1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E560E5"/>
    <w:multiLevelType w:val="hybridMultilevel"/>
    <w:tmpl w:val="12B03C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643B7A"/>
    <w:multiLevelType w:val="hybridMultilevel"/>
    <w:tmpl w:val="E76E2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2"/>
  </w:num>
  <w:num w:numId="4">
    <w:abstractNumId w:val="23"/>
  </w:num>
  <w:num w:numId="5">
    <w:abstractNumId w:val="19"/>
  </w:num>
  <w:num w:numId="6">
    <w:abstractNumId w:val="17"/>
  </w:num>
  <w:num w:numId="7">
    <w:abstractNumId w:val="10"/>
  </w:num>
  <w:num w:numId="8">
    <w:abstractNumId w:val="7"/>
  </w:num>
  <w:num w:numId="9">
    <w:abstractNumId w:val="21"/>
  </w:num>
  <w:num w:numId="10">
    <w:abstractNumId w:val="22"/>
  </w:num>
  <w:num w:numId="11">
    <w:abstractNumId w:val="6"/>
  </w:num>
  <w:num w:numId="12">
    <w:abstractNumId w:val="16"/>
  </w:num>
  <w:num w:numId="13">
    <w:abstractNumId w:val="11"/>
  </w:num>
  <w:num w:numId="14">
    <w:abstractNumId w:val="24"/>
  </w:num>
  <w:num w:numId="15">
    <w:abstractNumId w:val="18"/>
  </w:num>
  <w:num w:numId="16">
    <w:abstractNumId w:val="14"/>
  </w:num>
  <w:num w:numId="17">
    <w:abstractNumId w:val="8"/>
  </w:num>
  <w:num w:numId="18">
    <w:abstractNumId w:val="20"/>
  </w:num>
  <w:num w:numId="19">
    <w:abstractNumId w:val="0"/>
  </w:num>
  <w:num w:numId="20">
    <w:abstractNumId w:val="15"/>
  </w:num>
  <w:num w:numId="21">
    <w:abstractNumId w:val="4"/>
  </w:num>
  <w:num w:numId="22">
    <w:abstractNumId w:val="13"/>
  </w:num>
  <w:num w:numId="23">
    <w:abstractNumId w:val="5"/>
  </w:num>
  <w:num w:numId="24">
    <w:abstractNumId w:val="2"/>
  </w:num>
  <w:num w:numId="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36AF"/>
    <w:rsid w:val="00003B9B"/>
    <w:rsid w:val="00010595"/>
    <w:rsid w:val="00010EE7"/>
    <w:rsid w:val="000126E2"/>
    <w:rsid w:val="00014731"/>
    <w:rsid w:val="00016324"/>
    <w:rsid w:val="000171A6"/>
    <w:rsid w:val="000213E9"/>
    <w:rsid w:val="00021DA2"/>
    <w:rsid w:val="000229A1"/>
    <w:rsid w:val="0002411E"/>
    <w:rsid w:val="00025513"/>
    <w:rsid w:val="000268A1"/>
    <w:rsid w:val="00026F5B"/>
    <w:rsid w:val="00031DE5"/>
    <w:rsid w:val="000325B2"/>
    <w:rsid w:val="0003325C"/>
    <w:rsid w:val="0004231B"/>
    <w:rsid w:val="00045001"/>
    <w:rsid w:val="00051C57"/>
    <w:rsid w:val="00051CFE"/>
    <w:rsid w:val="00054151"/>
    <w:rsid w:val="0005590E"/>
    <w:rsid w:val="00055F7C"/>
    <w:rsid w:val="00057B58"/>
    <w:rsid w:val="0006073C"/>
    <w:rsid w:val="000632EF"/>
    <w:rsid w:val="00065623"/>
    <w:rsid w:val="000679DD"/>
    <w:rsid w:val="0007365C"/>
    <w:rsid w:val="00073BD1"/>
    <w:rsid w:val="00075EDE"/>
    <w:rsid w:val="000827F0"/>
    <w:rsid w:val="00085D16"/>
    <w:rsid w:val="0008767E"/>
    <w:rsid w:val="000951A1"/>
    <w:rsid w:val="000A038B"/>
    <w:rsid w:val="000A1754"/>
    <w:rsid w:val="000A3BFC"/>
    <w:rsid w:val="000A63D3"/>
    <w:rsid w:val="000A738E"/>
    <w:rsid w:val="000B0B4A"/>
    <w:rsid w:val="000C0C71"/>
    <w:rsid w:val="000C2435"/>
    <w:rsid w:val="000D30EF"/>
    <w:rsid w:val="000D7E61"/>
    <w:rsid w:val="000E134E"/>
    <w:rsid w:val="000E396B"/>
    <w:rsid w:val="000E3C10"/>
    <w:rsid w:val="000E6588"/>
    <w:rsid w:val="000F21FE"/>
    <w:rsid w:val="000F5287"/>
    <w:rsid w:val="00101E11"/>
    <w:rsid w:val="00104710"/>
    <w:rsid w:val="001059EC"/>
    <w:rsid w:val="001061A0"/>
    <w:rsid w:val="00106B18"/>
    <w:rsid w:val="001136B4"/>
    <w:rsid w:val="00120059"/>
    <w:rsid w:val="0013032B"/>
    <w:rsid w:val="0013112F"/>
    <w:rsid w:val="0013263B"/>
    <w:rsid w:val="00133441"/>
    <w:rsid w:val="00136257"/>
    <w:rsid w:val="00136969"/>
    <w:rsid w:val="001435A9"/>
    <w:rsid w:val="00144C53"/>
    <w:rsid w:val="00144FEF"/>
    <w:rsid w:val="0014545A"/>
    <w:rsid w:val="00146963"/>
    <w:rsid w:val="0014729F"/>
    <w:rsid w:val="001538CF"/>
    <w:rsid w:val="001543F6"/>
    <w:rsid w:val="00155BF4"/>
    <w:rsid w:val="00155F87"/>
    <w:rsid w:val="001560C0"/>
    <w:rsid w:val="001577E9"/>
    <w:rsid w:val="00157D30"/>
    <w:rsid w:val="00160740"/>
    <w:rsid w:val="00161F54"/>
    <w:rsid w:val="00164C46"/>
    <w:rsid w:val="00167C8A"/>
    <w:rsid w:val="0017100C"/>
    <w:rsid w:val="00171759"/>
    <w:rsid w:val="001815A0"/>
    <w:rsid w:val="001921DF"/>
    <w:rsid w:val="00194192"/>
    <w:rsid w:val="00194ED9"/>
    <w:rsid w:val="001951EC"/>
    <w:rsid w:val="00195A29"/>
    <w:rsid w:val="001A669F"/>
    <w:rsid w:val="001B1DFA"/>
    <w:rsid w:val="001B1FE0"/>
    <w:rsid w:val="001B7A55"/>
    <w:rsid w:val="001C6A71"/>
    <w:rsid w:val="001C7004"/>
    <w:rsid w:val="001C75D8"/>
    <w:rsid w:val="001D24A5"/>
    <w:rsid w:val="001D2A85"/>
    <w:rsid w:val="001D2C2E"/>
    <w:rsid w:val="001D47FB"/>
    <w:rsid w:val="001D63D4"/>
    <w:rsid w:val="001E0A53"/>
    <w:rsid w:val="001E0BC1"/>
    <w:rsid w:val="001E457C"/>
    <w:rsid w:val="001E4A62"/>
    <w:rsid w:val="001F0402"/>
    <w:rsid w:val="001F11FA"/>
    <w:rsid w:val="001F1705"/>
    <w:rsid w:val="001F3C4C"/>
    <w:rsid w:val="00203F15"/>
    <w:rsid w:val="00206760"/>
    <w:rsid w:val="0021159F"/>
    <w:rsid w:val="00212E95"/>
    <w:rsid w:val="00215359"/>
    <w:rsid w:val="0021774D"/>
    <w:rsid w:val="00220DB9"/>
    <w:rsid w:val="0022299F"/>
    <w:rsid w:val="00223628"/>
    <w:rsid w:val="0022638C"/>
    <w:rsid w:val="002326E9"/>
    <w:rsid w:val="00233AE4"/>
    <w:rsid w:val="00233CE5"/>
    <w:rsid w:val="002357D9"/>
    <w:rsid w:val="0023618D"/>
    <w:rsid w:val="00236247"/>
    <w:rsid w:val="00236C53"/>
    <w:rsid w:val="00242735"/>
    <w:rsid w:val="00242AD4"/>
    <w:rsid w:val="00245AD9"/>
    <w:rsid w:val="00252638"/>
    <w:rsid w:val="0025641A"/>
    <w:rsid w:val="00261972"/>
    <w:rsid w:val="0026665D"/>
    <w:rsid w:val="00267F42"/>
    <w:rsid w:val="0027168E"/>
    <w:rsid w:val="00276CCD"/>
    <w:rsid w:val="00280998"/>
    <w:rsid w:val="00286676"/>
    <w:rsid w:val="00286BC8"/>
    <w:rsid w:val="00292DFA"/>
    <w:rsid w:val="00292E71"/>
    <w:rsid w:val="002931EE"/>
    <w:rsid w:val="0029348E"/>
    <w:rsid w:val="00297D9A"/>
    <w:rsid w:val="002A0490"/>
    <w:rsid w:val="002A3CCF"/>
    <w:rsid w:val="002A511B"/>
    <w:rsid w:val="002A68F3"/>
    <w:rsid w:val="002A7581"/>
    <w:rsid w:val="002A7743"/>
    <w:rsid w:val="002B34D5"/>
    <w:rsid w:val="002C764D"/>
    <w:rsid w:val="002D0267"/>
    <w:rsid w:val="002D08AA"/>
    <w:rsid w:val="002D0FFD"/>
    <w:rsid w:val="002D2973"/>
    <w:rsid w:val="002D43CE"/>
    <w:rsid w:val="002D57BB"/>
    <w:rsid w:val="002D6D1A"/>
    <w:rsid w:val="002D75A8"/>
    <w:rsid w:val="002E4460"/>
    <w:rsid w:val="002F020F"/>
    <w:rsid w:val="002F1CCB"/>
    <w:rsid w:val="002F3D9D"/>
    <w:rsid w:val="002F54B1"/>
    <w:rsid w:val="002F5FB7"/>
    <w:rsid w:val="002F6659"/>
    <w:rsid w:val="002F693D"/>
    <w:rsid w:val="00301462"/>
    <w:rsid w:val="00302233"/>
    <w:rsid w:val="00303414"/>
    <w:rsid w:val="003044DE"/>
    <w:rsid w:val="00312EC2"/>
    <w:rsid w:val="00315443"/>
    <w:rsid w:val="00322313"/>
    <w:rsid w:val="00323D40"/>
    <w:rsid w:val="003335D0"/>
    <w:rsid w:val="00336D57"/>
    <w:rsid w:val="00337945"/>
    <w:rsid w:val="0033799F"/>
    <w:rsid w:val="0034047C"/>
    <w:rsid w:val="00342FAC"/>
    <w:rsid w:val="003439AE"/>
    <w:rsid w:val="00344582"/>
    <w:rsid w:val="0034659E"/>
    <w:rsid w:val="003515D1"/>
    <w:rsid w:val="0035535A"/>
    <w:rsid w:val="00355B86"/>
    <w:rsid w:val="0035718D"/>
    <w:rsid w:val="00361DD2"/>
    <w:rsid w:val="00364C66"/>
    <w:rsid w:val="003700A9"/>
    <w:rsid w:val="00374543"/>
    <w:rsid w:val="00377623"/>
    <w:rsid w:val="00377791"/>
    <w:rsid w:val="003827DF"/>
    <w:rsid w:val="00385D19"/>
    <w:rsid w:val="003861A2"/>
    <w:rsid w:val="00386D67"/>
    <w:rsid w:val="0039475B"/>
    <w:rsid w:val="003A078D"/>
    <w:rsid w:val="003A326F"/>
    <w:rsid w:val="003A45D0"/>
    <w:rsid w:val="003A4F78"/>
    <w:rsid w:val="003A53E6"/>
    <w:rsid w:val="003B02B8"/>
    <w:rsid w:val="003B0CA4"/>
    <w:rsid w:val="003B1BBA"/>
    <w:rsid w:val="003C13CD"/>
    <w:rsid w:val="003C1825"/>
    <w:rsid w:val="003C1EA3"/>
    <w:rsid w:val="003C25E7"/>
    <w:rsid w:val="003C2FF3"/>
    <w:rsid w:val="003C611A"/>
    <w:rsid w:val="003C6138"/>
    <w:rsid w:val="003D2991"/>
    <w:rsid w:val="003D4BFC"/>
    <w:rsid w:val="003D6A0F"/>
    <w:rsid w:val="003E0607"/>
    <w:rsid w:val="003E0C9B"/>
    <w:rsid w:val="003E1045"/>
    <w:rsid w:val="003E153F"/>
    <w:rsid w:val="003E1909"/>
    <w:rsid w:val="003E3728"/>
    <w:rsid w:val="003E44A3"/>
    <w:rsid w:val="003E571E"/>
    <w:rsid w:val="003E63C9"/>
    <w:rsid w:val="003E69FC"/>
    <w:rsid w:val="003F0834"/>
    <w:rsid w:val="003F239F"/>
    <w:rsid w:val="003F2750"/>
    <w:rsid w:val="003F30AD"/>
    <w:rsid w:val="003F5569"/>
    <w:rsid w:val="003F5EE6"/>
    <w:rsid w:val="00401787"/>
    <w:rsid w:val="00402860"/>
    <w:rsid w:val="004031F7"/>
    <w:rsid w:val="0040573E"/>
    <w:rsid w:val="00405D1E"/>
    <w:rsid w:val="00410109"/>
    <w:rsid w:val="00410178"/>
    <w:rsid w:val="00414032"/>
    <w:rsid w:val="0042114B"/>
    <w:rsid w:val="00422C67"/>
    <w:rsid w:val="00424442"/>
    <w:rsid w:val="00424AC0"/>
    <w:rsid w:val="004267F7"/>
    <w:rsid w:val="00432298"/>
    <w:rsid w:val="00433060"/>
    <w:rsid w:val="00440242"/>
    <w:rsid w:val="00441446"/>
    <w:rsid w:val="0044176B"/>
    <w:rsid w:val="004424E9"/>
    <w:rsid w:val="00443F1D"/>
    <w:rsid w:val="004450B5"/>
    <w:rsid w:val="004504DE"/>
    <w:rsid w:val="00451310"/>
    <w:rsid w:val="004515FF"/>
    <w:rsid w:val="0045242D"/>
    <w:rsid w:val="00452DFC"/>
    <w:rsid w:val="00452E6D"/>
    <w:rsid w:val="00460DB6"/>
    <w:rsid w:val="004615A4"/>
    <w:rsid w:val="00462067"/>
    <w:rsid w:val="004641C0"/>
    <w:rsid w:val="0046724B"/>
    <w:rsid w:val="0046745E"/>
    <w:rsid w:val="00471BF1"/>
    <w:rsid w:val="00473A6A"/>
    <w:rsid w:val="004820C7"/>
    <w:rsid w:val="00482CA9"/>
    <w:rsid w:val="004851AB"/>
    <w:rsid w:val="00487842"/>
    <w:rsid w:val="0049035F"/>
    <w:rsid w:val="00493FA7"/>
    <w:rsid w:val="00495285"/>
    <w:rsid w:val="00495465"/>
    <w:rsid w:val="004A11D7"/>
    <w:rsid w:val="004A3F2E"/>
    <w:rsid w:val="004A4E41"/>
    <w:rsid w:val="004A6C3F"/>
    <w:rsid w:val="004B01A4"/>
    <w:rsid w:val="004B0205"/>
    <w:rsid w:val="004B0C2D"/>
    <w:rsid w:val="004B11F0"/>
    <w:rsid w:val="004B2358"/>
    <w:rsid w:val="004C0219"/>
    <w:rsid w:val="004C0E03"/>
    <w:rsid w:val="004C68A5"/>
    <w:rsid w:val="004D1800"/>
    <w:rsid w:val="004D5DE3"/>
    <w:rsid w:val="004D6361"/>
    <w:rsid w:val="004E348D"/>
    <w:rsid w:val="004E3A6A"/>
    <w:rsid w:val="004E432D"/>
    <w:rsid w:val="004E4AF4"/>
    <w:rsid w:val="004E5C21"/>
    <w:rsid w:val="0050188B"/>
    <w:rsid w:val="00503529"/>
    <w:rsid w:val="00511EE0"/>
    <w:rsid w:val="005137F6"/>
    <w:rsid w:val="00514BAF"/>
    <w:rsid w:val="00516053"/>
    <w:rsid w:val="00516ACE"/>
    <w:rsid w:val="005200AF"/>
    <w:rsid w:val="00522528"/>
    <w:rsid w:val="00531033"/>
    <w:rsid w:val="005420D3"/>
    <w:rsid w:val="00544815"/>
    <w:rsid w:val="00544BA0"/>
    <w:rsid w:val="00552DFF"/>
    <w:rsid w:val="005557BD"/>
    <w:rsid w:val="00560EF1"/>
    <w:rsid w:val="00564365"/>
    <w:rsid w:val="00565224"/>
    <w:rsid w:val="00566DC3"/>
    <w:rsid w:val="00567131"/>
    <w:rsid w:val="0056736C"/>
    <w:rsid w:val="00570065"/>
    <w:rsid w:val="00571015"/>
    <w:rsid w:val="00573F22"/>
    <w:rsid w:val="00576E60"/>
    <w:rsid w:val="00576ED3"/>
    <w:rsid w:val="00577242"/>
    <w:rsid w:val="0057763F"/>
    <w:rsid w:val="00580D60"/>
    <w:rsid w:val="005836ED"/>
    <w:rsid w:val="00583D1B"/>
    <w:rsid w:val="005856E5"/>
    <w:rsid w:val="00585FAF"/>
    <w:rsid w:val="0058659C"/>
    <w:rsid w:val="00590817"/>
    <w:rsid w:val="00590A73"/>
    <w:rsid w:val="005922DB"/>
    <w:rsid w:val="005938FD"/>
    <w:rsid w:val="00593E6B"/>
    <w:rsid w:val="00593E84"/>
    <w:rsid w:val="00594478"/>
    <w:rsid w:val="00595E54"/>
    <w:rsid w:val="00597272"/>
    <w:rsid w:val="005979F7"/>
    <w:rsid w:val="005A14E4"/>
    <w:rsid w:val="005B59F4"/>
    <w:rsid w:val="005C33A2"/>
    <w:rsid w:val="005D0332"/>
    <w:rsid w:val="005D35D6"/>
    <w:rsid w:val="005D4D3F"/>
    <w:rsid w:val="005D637D"/>
    <w:rsid w:val="005E1E81"/>
    <w:rsid w:val="005E1FE6"/>
    <w:rsid w:val="005E3645"/>
    <w:rsid w:val="005E42A8"/>
    <w:rsid w:val="005E5EF3"/>
    <w:rsid w:val="005F004E"/>
    <w:rsid w:val="00603860"/>
    <w:rsid w:val="00604906"/>
    <w:rsid w:val="00606E4D"/>
    <w:rsid w:val="006074D3"/>
    <w:rsid w:val="00607D37"/>
    <w:rsid w:val="00611744"/>
    <w:rsid w:val="00612A11"/>
    <w:rsid w:val="0061621F"/>
    <w:rsid w:val="0062571E"/>
    <w:rsid w:val="006307FE"/>
    <w:rsid w:val="0063740F"/>
    <w:rsid w:val="00640A46"/>
    <w:rsid w:val="00644B64"/>
    <w:rsid w:val="00652E31"/>
    <w:rsid w:val="0065529B"/>
    <w:rsid w:val="006577C5"/>
    <w:rsid w:val="0066317A"/>
    <w:rsid w:val="0066558D"/>
    <w:rsid w:val="00670099"/>
    <w:rsid w:val="00676A80"/>
    <w:rsid w:val="00676C49"/>
    <w:rsid w:val="00677199"/>
    <w:rsid w:val="00685001"/>
    <w:rsid w:val="00686F0A"/>
    <w:rsid w:val="00687102"/>
    <w:rsid w:val="006905DA"/>
    <w:rsid w:val="00693716"/>
    <w:rsid w:val="006956B4"/>
    <w:rsid w:val="006A01FF"/>
    <w:rsid w:val="006A0A78"/>
    <w:rsid w:val="006A194D"/>
    <w:rsid w:val="006A27C7"/>
    <w:rsid w:val="006A7814"/>
    <w:rsid w:val="006A79D5"/>
    <w:rsid w:val="006B241A"/>
    <w:rsid w:val="006B49FD"/>
    <w:rsid w:val="006B5BE7"/>
    <w:rsid w:val="006B7D78"/>
    <w:rsid w:val="006B7F3E"/>
    <w:rsid w:val="006C182D"/>
    <w:rsid w:val="006C1938"/>
    <w:rsid w:val="006C26E3"/>
    <w:rsid w:val="006C3324"/>
    <w:rsid w:val="006C5230"/>
    <w:rsid w:val="006D76A2"/>
    <w:rsid w:val="006D7D0C"/>
    <w:rsid w:val="006D7DDE"/>
    <w:rsid w:val="006E1AEF"/>
    <w:rsid w:val="006E2F06"/>
    <w:rsid w:val="006E7A8E"/>
    <w:rsid w:val="006F2A30"/>
    <w:rsid w:val="006F3E9F"/>
    <w:rsid w:val="006F47F4"/>
    <w:rsid w:val="006F548F"/>
    <w:rsid w:val="006F78B0"/>
    <w:rsid w:val="00701CAA"/>
    <w:rsid w:val="007028D7"/>
    <w:rsid w:val="00702B36"/>
    <w:rsid w:val="00703892"/>
    <w:rsid w:val="00705F5F"/>
    <w:rsid w:val="00705F7A"/>
    <w:rsid w:val="00707FED"/>
    <w:rsid w:val="00713D11"/>
    <w:rsid w:val="0071498A"/>
    <w:rsid w:val="0072028B"/>
    <w:rsid w:val="00720CCA"/>
    <w:rsid w:val="00722408"/>
    <w:rsid w:val="00722776"/>
    <w:rsid w:val="007229D6"/>
    <w:rsid w:val="00723375"/>
    <w:rsid w:val="00723CAD"/>
    <w:rsid w:val="00725E83"/>
    <w:rsid w:val="007271D8"/>
    <w:rsid w:val="0072778A"/>
    <w:rsid w:val="00731492"/>
    <w:rsid w:val="00732ADD"/>
    <w:rsid w:val="00732C4E"/>
    <w:rsid w:val="00736B3B"/>
    <w:rsid w:val="007439FA"/>
    <w:rsid w:val="007442C3"/>
    <w:rsid w:val="00744C5D"/>
    <w:rsid w:val="0074781C"/>
    <w:rsid w:val="00750529"/>
    <w:rsid w:val="00752BAB"/>
    <w:rsid w:val="007554DA"/>
    <w:rsid w:val="0076325D"/>
    <w:rsid w:val="00763AB7"/>
    <w:rsid w:val="00765BE6"/>
    <w:rsid w:val="00766E36"/>
    <w:rsid w:val="0077020F"/>
    <w:rsid w:val="00771AB8"/>
    <w:rsid w:val="00775963"/>
    <w:rsid w:val="00775B89"/>
    <w:rsid w:val="00781728"/>
    <w:rsid w:val="007849B8"/>
    <w:rsid w:val="007851C1"/>
    <w:rsid w:val="007859F7"/>
    <w:rsid w:val="00786D32"/>
    <w:rsid w:val="00792F92"/>
    <w:rsid w:val="00794D30"/>
    <w:rsid w:val="007956A5"/>
    <w:rsid w:val="007964EB"/>
    <w:rsid w:val="00797D8D"/>
    <w:rsid w:val="007A0ACE"/>
    <w:rsid w:val="007A0F08"/>
    <w:rsid w:val="007A3289"/>
    <w:rsid w:val="007A43CE"/>
    <w:rsid w:val="007A66C6"/>
    <w:rsid w:val="007A6BE5"/>
    <w:rsid w:val="007A7B08"/>
    <w:rsid w:val="007B5143"/>
    <w:rsid w:val="007C1406"/>
    <w:rsid w:val="007C2D6A"/>
    <w:rsid w:val="007C4959"/>
    <w:rsid w:val="007C735B"/>
    <w:rsid w:val="007D0D90"/>
    <w:rsid w:val="007D1D96"/>
    <w:rsid w:val="007D21F2"/>
    <w:rsid w:val="007D36B9"/>
    <w:rsid w:val="007D6C35"/>
    <w:rsid w:val="007D79A5"/>
    <w:rsid w:val="007D7ECB"/>
    <w:rsid w:val="007E0A28"/>
    <w:rsid w:val="007E0EAF"/>
    <w:rsid w:val="007E3B0B"/>
    <w:rsid w:val="007E4CA8"/>
    <w:rsid w:val="007F4E20"/>
    <w:rsid w:val="007F5142"/>
    <w:rsid w:val="007F5C47"/>
    <w:rsid w:val="007F6845"/>
    <w:rsid w:val="007F71DB"/>
    <w:rsid w:val="00801509"/>
    <w:rsid w:val="00803397"/>
    <w:rsid w:val="00806A9C"/>
    <w:rsid w:val="00806BBA"/>
    <w:rsid w:val="008141AD"/>
    <w:rsid w:val="00816E99"/>
    <w:rsid w:val="00821910"/>
    <w:rsid w:val="008227C1"/>
    <w:rsid w:val="00827C06"/>
    <w:rsid w:val="0083013B"/>
    <w:rsid w:val="00831D8B"/>
    <w:rsid w:val="00832C79"/>
    <w:rsid w:val="00834277"/>
    <w:rsid w:val="008343CB"/>
    <w:rsid w:val="0083449F"/>
    <w:rsid w:val="0084645A"/>
    <w:rsid w:val="00850724"/>
    <w:rsid w:val="00857CF8"/>
    <w:rsid w:val="0086104A"/>
    <w:rsid w:val="00864640"/>
    <w:rsid w:val="00865E68"/>
    <w:rsid w:val="0087104F"/>
    <w:rsid w:val="008714AA"/>
    <w:rsid w:val="00872063"/>
    <w:rsid w:val="00873A95"/>
    <w:rsid w:val="00875DA4"/>
    <w:rsid w:val="0087788B"/>
    <w:rsid w:val="008815B9"/>
    <w:rsid w:val="0088197A"/>
    <w:rsid w:val="00881DC6"/>
    <w:rsid w:val="00890073"/>
    <w:rsid w:val="008902B9"/>
    <w:rsid w:val="00893411"/>
    <w:rsid w:val="008939A4"/>
    <w:rsid w:val="00896E79"/>
    <w:rsid w:val="008A0363"/>
    <w:rsid w:val="008A0D74"/>
    <w:rsid w:val="008A5C67"/>
    <w:rsid w:val="008A612B"/>
    <w:rsid w:val="008A6C0C"/>
    <w:rsid w:val="008A7405"/>
    <w:rsid w:val="008B310A"/>
    <w:rsid w:val="008B4006"/>
    <w:rsid w:val="008B6B92"/>
    <w:rsid w:val="008C2D5D"/>
    <w:rsid w:val="008C2FA4"/>
    <w:rsid w:val="008C5EC7"/>
    <w:rsid w:val="008C6DE4"/>
    <w:rsid w:val="008D3412"/>
    <w:rsid w:val="008D383A"/>
    <w:rsid w:val="008D5688"/>
    <w:rsid w:val="008E1491"/>
    <w:rsid w:val="008E2DF5"/>
    <w:rsid w:val="008E3380"/>
    <w:rsid w:val="008E3516"/>
    <w:rsid w:val="008E732F"/>
    <w:rsid w:val="008F5F78"/>
    <w:rsid w:val="009008D9"/>
    <w:rsid w:val="00901821"/>
    <w:rsid w:val="00902842"/>
    <w:rsid w:val="00903666"/>
    <w:rsid w:val="00905D16"/>
    <w:rsid w:val="00910085"/>
    <w:rsid w:val="009110E5"/>
    <w:rsid w:val="00912AD8"/>
    <w:rsid w:val="009141E5"/>
    <w:rsid w:val="009156C8"/>
    <w:rsid w:val="0091689A"/>
    <w:rsid w:val="00920A83"/>
    <w:rsid w:val="00925D0A"/>
    <w:rsid w:val="009260EA"/>
    <w:rsid w:val="009332C3"/>
    <w:rsid w:val="00933B33"/>
    <w:rsid w:val="009351F0"/>
    <w:rsid w:val="00940EBB"/>
    <w:rsid w:val="00940F74"/>
    <w:rsid w:val="009418C0"/>
    <w:rsid w:val="00943312"/>
    <w:rsid w:val="00944760"/>
    <w:rsid w:val="009453EE"/>
    <w:rsid w:val="009456B1"/>
    <w:rsid w:val="00950C0C"/>
    <w:rsid w:val="009606B7"/>
    <w:rsid w:val="00961159"/>
    <w:rsid w:val="00961AD6"/>
    <w:rsid w:val="0096313B"/>
    <w:rsid w:val="00963B96"/>
    <w:rsid w:val="00964755"/>
    <w:rsid w:val="00967DBB"/>
    <w:rsid w:val="00976B13"/>
    <w:rsid w:val="00981EED"/>
    <w:rsid w:val="00983E58"/>
    <w:rsid w:val="00984960"/>
    <w:rsid w:val="00990BF9"/>
    <w:rsid w:val="00993511"/>
    <w:rsid w:val="00997C4B"/>
    <w:rsid w:val="009A0DA5"/>
    <w:rsid w:val="009A2C55"/>
    <w:rsid w:val="009A3398"/>
    <w:rsid w:val="009A702B"/>
    <w:rsid w:val="009B135F"/>
    <w:rsid w:val="009B2DD5"/>
    <w:rsid w:val="009B7E2B"/>
    <w:rsid w:val="009C34E7"/>
    <w:rsid w:val="009C5E6A"/>
    <w:rsid w:val="009D199C"/>
    <w:rsid w:val="009D1BAC"/>
    <w:rsid w:val="009D22E3"/>
    <w:rsid w:val="009D64AB"/>
    <w:rsid w:val="009E0EF3"/>
    <w:rsid w:val="009E2FFB"/>
    <w:rsid w:val="009E318F"/>
    <w:rsid w:val="009E6612"/>
    <w:rsid w:val="009E79FB"/>
    <w:rsid w:val="009F6CD6"/>
    <w:rsid w:val="00A009C9"/>
    <w:rsid w:val="00A021B7"/>
    <w:rsid w:val="00A026D8"/>
    <w:rsid w:val="00A14E6D"/>
    <w:rsid w:val="00A203A8"/>
    <w:rsid w:val="00A30752"/>
    <w:rsid w:val="00A30A85"/>
    <w:rsid w:val="00A317E6"/>
    <w:rsid w:val="00A32E42"/>
    <w:rsid w:val="00A35A4F"/>
    <w:rsid w:val="00A44C6E"/>
    <w:rsid w:val="00A45D21"/>
    <w:rsid w:val="00A47D97"/>
    <w:rsid w:val="00A52FEC"/>
    <w:rsid w:val="00A53010"/>
    <w:rsid w:val="00A566D7"/>
    <w:rsid w:val="00A700E4"/>
    <w:rsid w:val="00A7044C"/>
    <w:rsid w:val="00A7214E"/>
    <w:rsid w:val="00A7228B"/>
    <w:rsid w:val="00A81D6F"/>
    <w:rsid w:val="00A8603E"/>
    <w:rsid w:val="00A91CE1"/>
    <w:rsid w:val="00A93F24"/>
    <w:rsid w:val="00A96916"/>
    <w:rsid w:val="00AA3E4B"/>
    <w:rsid w:val="00AA502F"/>
    <w:rsid w:val="00AA53FC"/>
    <w:rsid w:val="00AA60A1"/>
    <w:rsid w:val="00AA689B"/>
    <w:rsid w:val="00AA7368"/>
    <w:rsid w:val="00AB2937"/>
    <w:rsid w:val="00AB37FD"/>
    <w:rsid w:val="00AC0916"/>
    <w:rsid w:val="00AD026F"/>
    <w:rsid w:val="00AE044C"/>
    <w:rsid w:val="00AE079B"/>
    <w:rsid w:val="00AE4C2D"/>
    <w:rsid w:val="00AE76A3"/>
    <w:rsid w:val="00AF02F4"/>
    <w:rsid w:val="00AF5C31"/>
    <w:rsid w:val="00AF5F7E"/>
    <w:rsid w:val="00AF64E7"/>
    <w:rsid w:val="00AF72BF"/>
    <w:rsid w:val="00B01452"/>
    <w:rsid w:val="00B02E35"/>
    <w:rsid w:val="00B03576"/>
    <w:rsid w:val="00B0472C"/>
    <w:rsid w:val="00B102D9"/>
    <w:rsid w:val="00B12633"/>
    <w:rsid w:val="00B14A9A"/>
    <w:rsid w:val="00B1691C"/>
    <w:rsid w:val="00B1779B"/>
    <w:rsid w:val="00B26392"/>
    <w:rsid w:val="00B3221A"/>
    <w:rsid w:val="00B33D7B"/>
    <w:rsid w:val="00B34071"/>
    <w:rsid w:val="00B360D5"/>
    <w:rsid w:val="00B37582"/>
    <w:rsid w:val="00B40410"/>
    <w:rsid w:val="00B411FE"/>
    <w:rsid w:val="00B45EB6"/>
    <w:rsid w:val="00B46C7E"/>
    <w:rsid w:val="00B474A4"/>
    <w:rsid w:val="00B51BAE"/>
    <w:rsid w:val="00B52FCF"/>
    <w:rsid w:val="00B5345E"/>
    <w:rsid w:val="00B54488"/>
    <w:rsid w:val="00B55508"/>
    <w:rsid w:val="00B6033B"/>
    <w:rsid w:val="00B62F4C"/>
    <w:rsid w:val="00B65635"/>
    <w:rsid w:val="00B671D1"/>
    <w:rsid w:val="00B672DD"/>
    <w:rsid w:val="00B74B16"/>
    <w:rsid w:val="00B82AE3"/>
    <w:rsid w:val="00B85268"/>
    <w:rsid w:val="00B85DEE"/>
    <w:rsid w:val="00B9073D"/>
    <w:rsid w:val="00B92A61"/>
    <w:rsid w:val="00B94618"/>
    <w:rsid w:val="00BA5A83"/>
    <w:rsid w:val="00BA6799"/>
    <w:rsid w:val="00BA68A3"/>
    <w:rsid w:val="00BB18CD"/>
    <w:rsid w:val="00BB26AB"/>
    <w:rsid w:val="00BB550B"/>
    <w:rsid w:val="00BC04A2"/>
    <w:rsid w:val="00BC13F3"/>
    <w:rsid w:val="00BC1AD1"/>
    <w:rsid w:val="00BC44F4"/>
    <w:rsid w:val="00BC4E34"/>
    <w:rsid w:val="00BD2BD7"/>
    <w:rsid w:val="00BD6331"/>
    <w:rsid w:val="00BD6C4E"/>
    <w:rsid w:val="00BD7C7D"/>
    <w:rsid w:val="00BE0486"/>
    <w:rsid w:val="00BE396E"/>
    <w:rsid w:val="00BE52C0"/>
    <w:rsid w:val="00BE6310"/>
    <w:rsid w:val="00BE6332"/>
    <w:rsid w:val="00BE69AC"/>
    <w:rsid w:val="00BF0479"/>
    <w:rsid w:val="00BF0557"/>
    <w:rsid w:val="00BF0DFE"/>
    <w:rsid w:val="00BF3109"/>
    <w:rsid w:val="00BF4914"/>
    <w:rsid w:val="00C0013C"/>
    <w:rsid w:val="00C00269"/>
    <w:rsid w:val="00C0060B"/>
    <w:rsid w:val="00C01276"/>
    <w:rsid w:val="00C04016"/>
    <w:rsid w:val="00C05EDF"/>
    <w:rsid w:val="00C06FBE"/>
    <w:rsid w:val="00C12106"/>
    <w:rsid w:val="00C13B47"/>
    <w:rsid w:val="00C14A40"/>
    <w:rsid w:val="00C15BD6"/>
    <w:rsid w:val="00C1782D"/>
    <w:rsid w:val="00C202E9"/>
    <w:rsid w:val="00C20B8A"/>
    <w:rsid w:val="00C20BEE"/>
    <w:rsid w:val="00C25BA2"/>
    <w:rsid w:val="00C270EB"/>
    <w:rsid w:val="00C27713"/>
    <w:rsid w:val="00C31553"/>
    <w:rsid w:val="00C34180"/>
    <w:rsid w:val="00C360AE"/>
    <w:rsid w:val="00C40DAF"/>
    <w:rsid w:val="00C45D90"/>
    <w:rsid w:val="00C46777"/>
    <w:rsid w:val="00C471CB"/>
    <w:rsid w:val="00C477EB"/>
    <w:rsid w:val="00C50B10"/>
    <w:rsid w:val="00C50F53"/>
    <w:rsid w:val="00C512D5"/>
    <w:rsid w:val="00C526E3"/>
    <w:rsid w:val="00C54295"/>
    <w:rsid w:val="00C56B82"/>
    <w:rsid w:val="00C56E00"/>
    <w:rsid w:val="00C614AF"/>
    <w:rsid w:val="00C67123"/>
    <w:rsid w:val="00C703C1"/>
    <w:rsid w:val="00C70647"/>
    <w:rsid w:val="00C70870"/>
    <w:rsid w:val="00C715E1"/>
    <w:rsid w:val="00C808E5"/>
    <w:rsid w:val="00C833F9"/>
    <w:rsid w:val="00C84EFB"/>
    <w:rsid w:val="00C90108"/>
    <w:rsid w:val="00C90EB4"/>
    <w:rsid w:val="00C9270C"/>
    <w:rsid w:val="00CA4753"/>
    <w:rsid w:val="00CA7A7B"/>
    <w:rsid w:val="00CB1778"/>
    <w:rsid w:val="00CB44DE"/>
    <w:rsid w:val="00CB47AD"/>
    <w:rsid w:val="00CB6A64"/>
    <w:rsid w:val="00CB795E"/>
    <w:rsid w:val="00CB7E7D"/>
    <w:rsid w:val="00CC038A"/>
    <w:rsid w:val="00CC12D6"/>
    <w:rsid w:val="00CC23B0"/>
    <w:rsid w:val="00CC579F"/>
    <w:rsid w:val="00CD5843"/>
    <w:rsid w:val="00CD6E51"/>
    <w:rsid w:val="00CD712E"/>
    <w:rsid w:val="00CD7AAF"/>
    <w:rsid w:val="00CE2C02"/>
    <w:rsid w:val="00CE504B"/>
    <w:rsid w:val="00CF305A"/>
    <w:rsid w:val="00CF4661"/>
    <w:rsid w:val="00D04EE6"/>
    <w:rsid w:val="00D05578"/>
    <w:rsid w:val="00D073E0"/>
    <w:rsid w:val="00D079EF"/>
    <w:rsid w:val="00D10820"/>
    <w:rsid w:val="00D118AD"/>
    <w:rsid w:val="00D1197C"/>
    <w:rsid w:val="00D11D8D"/>
    <w:rsid w:val="00D14213"/>
    <w:rsid w:val="00D15284"/>
    <w:rsid w:val="00D16E1D"/>
    <w:rsid w:val="00D2530F"/>
    <w:rsid w:val="00D27B27"/>
    <w:rsid w:val="00D30AEC"/>
    <w:rsid w:val="00D35F50"/>
    <w:rsid w:val="00D378A2"/>
    <w:rsid w:val="00D4755A"/>
    <w:rsid w:val="00D47A2C"/>
    <w:rsid w:val="00D51A39"/>
    <w:rsid w:val="00D5212B"/>
    <w:rsid w:val="00D53952"/>
    <w:rsid w:val="00D54159"/>
    <w:rsid w:val="00D55D87"/>
    <w:rsid w:val="00D55F83"/>
    <w:rsid w:val="00D627C7"/>
    <w:rsid w:val="00D63D74"/>
    <w:rsid w:val="00D701CC"/>
    <w:rsid w:val="00D70280"/>
    <w:rsid w:val="00D70C50"/>
    <w:rsid w:val="00D70F07"/>
    <w:rsid w:val="00D769FB"/>
    <w:rsid w:val="00D77A35"/>
    <w:rsid w:val="00D91343"/>
    <w:rsid w:val="00D91D82"/>
    <w:rsid w:val="00D93418"/>
    <w:rsid w:val="00DA1C60"/>
    <w:rsid w:val="00DA1F8D"/>
    <w:rsid w:val="00DA25A8"/>
    <w:rsid w:val="00DA2E97"/>
    <w:rsid w:val="00DA2F53"/>
    <w:rsid w:val="00DA5268"/>
    <w:rsid w:val="00DA574F"/>
    <w:rsid w:val="00DA671E"/>
    <w:rsid w:val="00DB0D0B"/>
    <w:rsid w:val="00DB1BEF"/>
    <w:rsid w:val="00DB1E71"/>
    <w:rsid w:val="00DB4A4B"/>
    <w:rsid w:val="00DB4F5A"/>
    <w:rsid w:val="00DC0E3C"/>
    <w:rsid w:val="00DC3FFD"/>
    <w:rsid w:val="00DC4784"/>
    <w:rsid w:val="00DD0AF1"/>
    <w:rsid w:val="00DD311A"/>
    <w:rsid w:val="00DE1748"/>
    <w:rsid w:val="00DE17F0"/>
    <w:rsid w:val="00DE3291"/>
    <w:rsid w:val="00DE51A7"/>
    <w:rsid w:val="00DE552A"/>
    <w:rsid w:val="00DF0C8C"/>
    <w:rsid w:val="00DF59A8"/>
    <w:rsid w:val="00E02561"/>
    <w:rsid w:val="00E031DE"/>
    <w:rsid w:val="00E06462"/>
    <w:rsid w:val="00E10C41"/>
    <w:rsid w:val="00E16CCC"/>
    <w:rsid w:val="00E251E7"/>
    <w:rsid w:val="00E31F56"/>
    <w:rsid w:val="00E345BD"/>
    <w:rsid w:val="00E378D6"/>
    <w:rsid w:val="00E50CDF"/>
    <w:rsid w:val="00E521B1"/>
    <w:rsid w:val="00E56F74"/>
    <w:rsid w:val="00E575C4"/>
    <w:rsid w:val="00E57B85"/>
    <w:rsid w:val="00E62F27"/>
    <w:rsid w:val="00E64D9C"/>
    <w:rsid w:val="00E65D15"/>
    <w:rsid w:val="00E713BF"/>
    <w:rsid w:val="00E737B1"/>
    <w:rsid w:val="00E73954"/>
    <w:rsid w:val="00E7422C"/>
    <w:rsid w:val="00E74504"/>
    <w:rsid w:val="00E7560F"/>
    <w:rsid w:val="00E80E87"/>
    <w:rsid w:val="00E82987"/>
    <w:rsid w:val="00E82A18"/>
    <w:rsid w:val="00E846B1"/>
    <w:rsid w:val="00E924FD"/>
    <w:rsid w:val="00E93541"/>
    <w:rsid w:val="00E936DA"/>
    <w:rsid w:val="00E97375"/>
    <w:rsid w:val="00E97E0D"/>
    <w:rsid w:val="00EA1288"/>
    <w:rsid w:val="00EA23F7"/>
    <w:rsid w:val="00EA3CBC"/>
    <w:rsid w:val="00EA5F73"/>
    <w:rsid w:val="00EA6999"/>
    <w:rsid w:val="00EA74BF"/>
    <w:rsid w:val="00EA7D72"/>
    <w:rsid w:val="00EB2325"/>
    <w:rsid w:val="00EB651A"/>
    <w:rsid w:val="00EB6AB2"/>
    <w:rsid w:val="00EB7287"/>
    <w:rsid w:val="00ED10ED"/>
    <w:rsid w:val="00ED2631"/>
    <w:rsid w:val="00ED48D4"/>
    <w:rsid w:val="00ED4E80"/>
    <w:rsid w:val="00ED5919"/>
    <w:rsid w:val="00EE2D09"/>
    <w:rsid w:val="00EE39D4"/>
    <w:rsid w:val="00EE73A9"/>
    <w:rsid w:val="00EE7549"/>
    <w:rsid w:val="00EF153D"/>
    <w:rsid w:val="00EF1929"/>
    <w:rsid w:val="00EF3110"/>
    <w:rsid w:val="00EF3C79"/>
    <w:rsid w:val="00EF3F1A"/>
    <w:rsid w:val="00EF5647"/>
    <w:rsid w:val="00EF5DCF"/>
    <w:rsid w:val="00F016F1"/>
    <w:rsid w:val="00F03DB3"/>
    <w:rsid w:val="00F04F02"/>
    <w:rsid w:val="00F06C36"/>
    <w:rsid w:val="00F16E5D"/>
    <w:rsid w:val="00F174FA"/>
    <w:rsid w:val="00F1783D"/>
    <w:rsid w:val="00F2152F"/>
    <w:rsid w:val="00F2353D"/>
    <w:rsid w:val="00F326F1"/>
    <w:rsid w:val="00F36A03"/>
    <w:rsid w:val="00F4315B"/>
    <w:rsid w:val="00F4606F"/>
    <w:rsid w:val="00F5072D"/>
    <w:rsid w:val="00F51E0F"/>
    <w:rsid w:val="00F530A0"/>
    <w:rsid w:val="00F53378"/>
    <w:rsid w:val="00F55965"/>
    <w:rsid w:val="00F56D35"/>
    <w:rsid w:val="00F5797F"/>
    <w:rsid w:val="00F60730"/>
    <w:rsid w:val="00F60AAE"/>
    <w:rsid w:val="00F623F8"/>
    <w:rsid w:val="00F64B99"/>
    <w:rsid w:val="00F65D88"/>
    <w:rsid w:val="00F67AA7"/>
    <w:rsid w:val="00F71095"/>
    <w:rsid w:val="00F7360A"/>
    <w:rsid w:val="00F7481A"/>
    <w:rsid w:val="00F7484F"/>
    <w:rsid w:val="00F77B37"/>
    <w:rsid w:val="00F81626"/>
    <w:rsid w:val="00F8174C"/>
    <w:rsid w:val="00F875F3"/>
    <w:rsid w:val="00F913F0"/>
    <w:rsid w:val="00F93142"/>
    <w:rsid w:val="00F93AD5"/>
    <w:rsid w:val="00F96A81"/>
    <w:rsid w:val="00F972E7"/>
    <w:rsid w:val="00FA15E6"/>
    <w:rsid w:val="00FA2557"/>
    <w:rsid w:val="00FA36DD"/>
    <w:rsid w:val="00FA6387"/>
    <w:rsid w:val="00FA746D"/>
    <w:rsid w:val="00FB7083"/>
    <w:rsid w:val="00FC13AA"/>
    <w:rsid w:val="00FC2897"/>
    <w:rsid w:val="00FC31B0"/>
    <w:rsid w:val="00FC6FD4"/>
    <w:rsid w:val="00FD0114"/>
    <w:rsid w:val="00FD04D1"/>
    <w:rsid w:val="00FD17A0"/>
    <w:rsid w:val="00FD3F85"/>
    <w:rsid w:val="00FD60FF"/>
    <w:rsid w:val="00FD761A"/>
    <w:rsid w:val="00FE0511"/>
    <w:rsid w:val="00FE1410"/>
    <w:rsid w:val="00FE1A4B"/>
    <w:rsid w:val="00FE2597"/>
    <w:rsid w:val="00FE4CF1"/>
    <w:rsid w:val="00FE539E"/>
    <w:rsid w:val="00FE5F2A"/>
    <w:rsid w:val="00FE6D5F"/>
    <w:rsid w:val="00FF2A50"/>
    <w:rsid w:val="00FF6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
    <w:qFormat/>
    <w:rsid w:val="00AF64E7"/>
    <w:pPr>
      <w:keepNext/>
      <w:keepLines/>
      <w:numPr>
        <w:numId w:val="13"/>
      </w:numPr>
      <w:ind w:hanging="720"/>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Table Gridbeth"/>
    <w:basedOn w:val="TableNormal"/>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aliases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3861A2"/>
    <w:pPr>
      <w:widowControl w:val="0"/>
      <w:spacing w:before="60"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3861A2"/>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
    <w:link w:val="ListParagraph"/>
    <w:uiPriority w:val="34"/>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27C7"/>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paragraph" w:customStyle="1" w:styleId="TFAbbrevs0">
    <w:name w:val="TFAbbrevs+0"/>
    <w:basedOn w:val="Normal"/>
    <w:qFormat/>
    <w:rsid w:val="00C9270C"/>
    <w:pPr>
      <w:keepNext/>
      <w:keepLines/>
    </w:pPr>
    <w:rPr>
      <w:rFonts w:ascii="Arial Narrow" w:hAnsi="Arial Narrow"/>
      <w:color w:val="000000"/>
      <w:sz w:val="18"/>
      <w:szCs w:val="18"/>
    </w:rPr>
  </w:style>
  <w:style w:type="paragraph" w:customStyle="1" w:styleId="Comment">
    <w:name w:val="Comment"/>
    <w:basedOn w:val="Normal"/>
    <w:link w:val="CommentChar"/>
    <w:qFormat/>
    <w:rsid w:val="00F4606F"/>
    <w:pPr>
      <w:tabs>
        <w:tab w:val="num" w:pos="720"/>
      </w:tabs>
      <w:spacing w:after="240" w:line="312" w:lineRule="auto"/>
    </w:pPr>
    <w:rPr>
      <w:rFonts w:ascii="Calibri" w:hAnsi="Calibri" w:cs="Tahoma"/>
      <w:i/>
      <w:color w:val="1F497D" w:themeColor="text2"/>
      <w:sz w:val="22"/>
      <w:szCs w:val="22"/>
    </w:rPr>
  </w:style>
  <w:style w:type="character" w:customStyle="1" w:styleId="CommentChar">
    <w:name w:val="Comment Char"/>
    <w:basedOn w:val="DefaultParagraphFont"/>
    <w:link w:val="Comment"/>
    <w:rsid w:val="00F4606F"/>
    <w:rPr>
      <w:rFonts w:ascii="Calibri" w:eastAsia="Times New Roman" w:hAnsi="Calibri" w:cs="Tahoma"/>
      <w:i/>
      <w:color w:val="1F497D" w:themeColor="text2"/>
      <w:sz w:val="22"/>
      <w:lang w:eastAsia="en-AU"/>
    </w:rPr>
  </w:style>
  <w:style w:type="paragraph" w:customStyle="1" w:styleId="TableText0">
    <w:name w:val="Table Text"/>
    <w:basedOn w:val="Normal"/>
    <w:link w:val="TableTextChar0"/>
    <w:rsid w:val="00B74B16"/>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B74B16"/>
    <w:rPr>
      <w:rFonts w:ascii="Arial Narrow" w:eastAsia="Times New Roman" w:hAnsi="Arial Narrow" w:cs="Tahoma"/>
      <w:sz w:val="20"/>
    </w:rPr>
  </w:style>
  <w:style w:type="character" w:customStyle="1" w:styleId="EMPHASISFORTABLES">
    <w:name w:val="EMPHASIS FOR TABLES"/>
    <w:basedOn w:val="Emphasis"/>
    <w:uiPriority w:val="1"/>
    <w:qFormat/>
    <w:rsid w:val="00B74B16"/>
    <w:rPr>
      <w:rFonts w:ascii="Arial Narrow" w:eastAsia="Times New Roman" w:hAnsi="Arial Narrow" w:cs="Times New Roman"/>
      <w:b w:val="0"/>
      <w:bCs/>
      <w:i/>
      <w:iCs w:val="0"/>
      <w:color w:val="1F497D" w:themeColor="text2"/>
      <w:sz w:val="20"/>
      <w:szCs w:val="20"/>
    </w:rPr>
  </w:style>
  <w:style w:type="character" w:styleId="FollowedHyperlink">
    <w:name w:val="FollowedHyperlink"/>
    <w:basedOn w:val="DefaultParagraphFont"/>
    <w:uiPriority w:val="99"/>
    <w:semiHidden/>
    <w:unhideWhenUsed/>
    <w:rsid w:val="002326E9"/>
    <w:rPr>
      <w:color w:val="800080" w:themeColor="followedHyperlink"/>
      <w:u w:val="single"/>
    </w:rPr>
  </w:style>
  <w:style w:type="paragraph" w:customStyle="1" w:styleId="CommentTabletext">
    <w:name w:val="Comment Table text"/>
    <w:basedOn w:val="Comment"/>
    <w:qFormat/>
    <w:rsid w:val="00385D19"/>
    <w:pPr>
      <w:spacing w:before="40" w:after="40" w:line="240" w:lineRule="auto"/>
      <w:ind w:left="720"/>
    </w:pPr>
    <w:rPr>
      <w:rFonts w:ascii="Arial Narrow" w:hAnsi="Arial Narrow"/>
      <w:sz w:val="20"/>
      <w:szCs w:val="20"/>
    </w:rPr>
  </w:style>
  <w:style w:type="paragraph" w:customStyle="1" w:styleId="TableText1">
    <w:name w:val="TableText"/>
    <w:basedOn w:val="Normal"/>
    <w:rsid w:val="000126E2"/>
    <w:pPr>
      <w:keepNext/>
      <w:spacing w:before="60" w:after="60"/>
    </w:pPr>
    <w:rPr>
      <w:color w:val="000000"/>
      <w:sz w:val="21"/>
      <w:szCs w:val="21"/>
    </w:rPr>
  </w:style>
  <w:style w:type="character" w:customStyle="1" w:styleId="UnresolvedMention1">
    <w:name w:val="Unresolved Mention1"/>
    <w:basedOn w:val="DefaultParagraphFont"/>
    <w:uiPriority w:val="99"/>
    <w:semiHidden/>
    <w:unhideWhenUsed/>
    <w:rsid w:val="0034659E"/>
    <w:rPr>
      <w:color w:val="605E5C"/>
      <w:shd w:val="clear" w:color="auto" w:fill="E1DFDD"/>
    </w:rPr>
  </w:style>
  <w:style w:type="table" w:styleId="TableClassic1">
    <w:name w:val="Table Classic 1"/>
    <w:basedOn w:val="TableNormal"/>
    <w:rsid w:val="00C40DAF"/>
    <w:pPr>
      <w:spacing w:after="240" w:line="312" w:lineRule="auto"/>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7D0D90"/>
    <w:pPr>
      <w:spacing w:after="0" w:line="240" w:lineRule="auto"/>
    </w:pPr>
    <w:rPr>
      <w:rFonts w:eastAsia="Times New Roman" w:cs="Times New Roman"/>
      <w:szCs w:val="20"/>
      <w:lang w:eastAsia="en-AU"/>
    </w:rPr>
  </w:style>
  <w:style w:type="paragraph" w:styleId="NormalWeb">
    <w:name w:val="Normal (Web)"/>
    <w:basedOn w:val="Normal"/>
    <w:uiPriority w:val="99"/>
    <w:semiHidden/>
    <w:unhideWhenUsed/>
    <w:rsid w:val="00010595"/>
    <w:pPr>
      <w:spacing w:before="100" w:beforeAutospacing="1" w:after="100" w:afterAutospacing="1"/>
    </w:pPr>
    <w:rPr>
      <w:szCs w:val="24"/>
    </w:rPr>
  </w:style>
  <w:style w:type="paragraph" w:styleId="Title">
    <w:name w:val="Title"/>
    <w:basedOn w:val="Normal"/>
    <w:next w:val="Normal"/>
    <w:link w:val="TitleChar"/>
    <w:qFormat/>
    <w:rsid w:val="003861A2"/>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3861A2"/>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3861A2"/>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3861A2"/>
    <w:rPr>
      <w:rFonts w:ascii="Arial" w:eastAsia="Times New Roman" w:hAnsi="Arial" w:cs="Arial"/>
      <w:b/>
      <w:bCs/>
      <w:i/>
      <w:color w:val="000080"/>
      <w:sz w:val="28"/>
      <w:szCs w:val="28"/>
      <w:lang w:eastAsia="en-AU"/>
    </w:rPr>
  </w:style>
  <w:style w:type="paragraph" w:customStyle="1" w:styleId="Default">
    <w:name w:val="Default"/>
    <w:rsid w:val="003861A2"/>
    <w:pPr>
      <w:autoSpaceDE w:val="0"/>
      <w:autoSpaceDN w:val="0"/>
      <w:adjustRightInd w:val="0"/>
      <w:spacing w:after="0" w:line="240" w:lineRule="auto"/>
    </w:pPr>
    <w:rPr>
      <w:rFonts w:eastAsia="Calibri" w:cs="Times New Roman"/>
      <w:color w:val="000000"/>
      <w:szCs w:val="24"/>
    </w:rPr>
  </w:style>
  <w:style w:type="character" w:styleId="UnresolvedMention">
    <w:name w:val="Unresolved Mention"/>
    <w:basedOn w:val="DefaultParagraphFont"/>
    <w:uiPriority w:val="99"/>
    <w:semiHidden/>
    <w:unhideWhenUsed/>
    <w:rsid w:val="00564365"/>
    <w:rPr>
      <w:color w:val="605E5C"/>
      <w:shd w:val="clear" w:color="auto" w:fill="E1DFDD"/>
    </w:rPr>
  </w:style>
  <w:style w:type="character" w:customStyle="1" w:styleId="normaltextrun">
    <w:name w:val="normaltextrun"/>
    <w:basedOn w:val="DefaultParagraphFont"/>
    <w:rsid w:val="00DA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11478">
      <w:bodyDiv w:val="1"/>
      <w:marLeft w:val="0"/>
      <w:marRight w:val="0"/>
      <w:marTop w:val="0"/>
      <w:marBottom w:val="0"/>
      <w:divBdr>
        <w:top w:val="none" w:sz="0" w:space="0" w:color="auto"/>
        <w:left w:val="none" w:sz="0" w:space="0" w:color="auto"/>
        <w:bottom w:val="none" w:sz="0" w:space="0" w:color="auto"/>
        <w:right w:val="none" w:sz="0" w:space="0" w:color="auto"/>
      </w:divBdr>
      <w:divsChild>
        <w:div w:id="1027408936">
          <w:marLeft w:val="547"/>
          <w:marRight w:val="0"/>
          <w:marTop w:val="154"/>
          <w:marBottom w:val="0"/>
          <w:divBdr>
            <w:top w:val="none" w:sz="0" w:space="0" w:color="auto"/>
            <w:left w:val="none" w:sz="0" w:space="0" w:color="auto"/>
            <w:bottom w:val="none" w:sz="0" w:space="0" w:color="auto"/>
            <w:right w:val="none" w:sz="0" w:space="0" w:color="auto"/>
          </w:divBdr>
        </w:div>
      </w:divsChild>
    </w:div>
    <w:div w:id="134958649">
      <w:bodyDiv w:val="1"/>
      <w:marLeft w:val="0"/>
      <w:marRight w:val="0"/>
      <w:marTop w:val="0"/>
      <w:marBottom w:val="0"/>
      <w:divBdr>
        <w:top w:val="none" w:sz="0" w:space="0" w:color="auto"/>
        <w:left w:val="none" w:sz="0" w:space="0" w:color="auto"/>
        <w:bottom w:val="none" w:sz="0" w:space="0" w:color="auto"/>
        <w:right w:val="none" w:sz="0" w:space="0" w:color="auto"/>
      </w:divBdr>
    </w:div>
    <w:div w:id="239020746">
      <w:bodyDiv w:val="1"/>
      <w:marLeft w:val="0"/>
      <w:marRight w:val="0"/>
      <w:marTop w:val="0"/>
      <w:marBottom w:val="0"/>
      <w:divBdr>
        <w:top w:val="none" w:sz="0" w:space="0" w:color="auto"/>
        <w:left w:val="none" w:sz="0" w:space="0" w:color="auto"/>
        <w:bottom w:val="none" w:sz="0" w:space="0" w:color="auto"/>
        <w:right w:val="none" w:sz="0" w:space="0" w:color="auto"/>
      </w:divBdr>
    </w:div>
    <w:div w:id="564335365">
      <w:bodyDiv w:val="1"/>
      <w:marLeft w:val="0"/>
      <w:marRight w:val="0"/>
      <w:marTop w:val="0"/>
      <w:marBottom w:val="0"/>
      <w:divBdr>
        <w:top w:val="none" w:sz="0" w:space="0" w:color="auto"/>
        <w:left w:val="none" w:sz="0" w:space="0" w:color="auto"/>
        <w:bottom w:val="none" w:sz="0" w:space="0" w:color="auto"/>
        <w:right w:val="none" w:sz="0" w:space="0" w:color="auto"/>
      </w:divBdr>
      <w:divsChild>
        <w:div w:id="661663041">
          <w:marLeft w:val="547"/>
          <w:marRight w:val="0"/>
          <w:marTop w:val="154"/>
          <w:marBottom w:val="0"/>
          <w:divBdr>
            <w:top w:val="none" w:sz="0" w:space="0" w:color="auto"/>
            <w:left w:val="none" w:sz="0" w:space="0" w:color="auto"/>
            <w:bottom w:val="none" w:sz="0" w:space="0" w:color="auto"/>
            <w:right w:val="none" w:sz="0" w:space="0" w:color="auto"/>
          </w:divBdr>
        </w:div>
      </w:divsChild>
    </w:div>
    <w:div w:id="628124601">
      <w:bodyDiv w:val="1"/>
      <w:marLeft w:val="0"/>
      <w:marRight w:val="0"/>
      <w:marTop w:val="0"/>
      <w:marBottom w:val="0"/>
      <w:divBdr>
        <w:top w:val="none" w:sz="0" w:space="0" w:color="auto"/>
        <w:left w:val="none" w:sz="0" w:space="0" w:color="auto"/>
        <w:bottom w:val="none" w:sz="0" w:space="0" w:color="auto"/>
        <w:right w:val="none" w:sz="0" w:space="0" w:color="auto"/>
      </w:divBdr>
    </w:div>
    <w:div w:id="793601195">
      <w:bodyDiv w:val="1"/>
      <w:marLeft w:val="0"/>
      <w:marRight w:val="0"/>
      <w:marTop w:val="0"/>
      <w:marBottom w:val="0"/>
      <w:divBdr>
        <w:top w:val="none" w:sz="0" w:space="0" w:color="auto"/>
        <w:left w:val="none" w:sz="0" w:space="0" w:color="auto"/>
        <w:bottom w:val="none" w:sz="0" w:space="0" w:color="auto"/>
        <w:right w:val="none" w:sz="0" w:space="0" w:color="auto"/>
      </w:divBdr>
    </w:div>
    <w:div w:id="1083379201">
      <w:bodyDiv w:val="1"/>
      <w:marLeft w:val="0"/>
      <w:marRight w:val="0"/>
      <w:marTop w:val="0"/>
      <w:marBottom w:val="0"/>
      <w:divBdr>
        <w:top w:val="none" w:sz="0" w:space="0" w:color="auto"/>
        <w:left w:val="none" w:sz="0" w:space="0" w:color="auto"/>
        <w:bottom w:val="none" w:sz="0" w:space="0" w:color="auto"/>
        <w:right w:val="none" w:sz="0" w:space="0" w:color="auto"/>
      </w:divBdr>
    </w:div>
    <w:div w:id="1146119597">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255747277">
      <w:bodyDiv w:val="1"/>
      <w:marLeft w:val="0"/>
      <w:marRight w:val="0"/>
      <w:marTop w:val="0"/>
      <w:marBottom w:val="0"/>
      <w:divBdr>
        <w:top w:val="none" w:sz="0" w:space="0" w:color="auto"/>
        <w:left w:val="none" w:sz="0" w:space="0" w:color="auto"/>
        <w:bottom w:val="none" w:sz="0" w:space="0" w:color="auto"/>
        <w:right w:val="none" w:sz="0" w:space="0" w:color="auto"/>
      </w:divBdr>
    </w:div>
    <w:div w:id="1291325643">
      <w:bodyDiv w:val="1"/>
      <w:marLeft w:val="0"/>
      <w:marRight w:val="0"/>
      <w:marTop w:val="0"/>
      <w:marBottom w:val="0"/>
      <w:divBdr>
        <w:top w:val="none" w:sz="0" w:space="0" w:color="auto"/>
        <w:left w:val="none" w:sz="0" w:space="0" w:color="auto"/>
        <w:bottom w:val="none" w:sz="0" w:space="0" w:color="auto"/>
        <w:right w:val="none" w:sz="0" w:space="0" w:color="auto"/>
      </w:divBdr>
    </w:div>
    <w:div w:id="2039044840">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1140-public" TargetMode="External"/><Relationship Id="rId18" Type="http://schemas.openxmlformats.org/officeDocument/2006/relationships/hyperlink" Target="http://www.msac.gov.au/internet/msac/publishing.nsf/Content/DCA8BEEF6D1F8955CA25842400073350/$File/1578%20Ratified%20PICO.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msac.gov.au/internet/msac/publishing.nsf/Content/1140-public" TargetMode="External"/><Relationship Id="rId17" Type="http://schemas.openxmlformats.org/officeDocument/2006/relationships/hyperlink" Target="http://www.msac.gov.au/internet/msac/publishing.nsf/Content/1569-publi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hyperlink" Target="https://clinicaltrials.gov/ct2/show/NCT04840147?term=jointrep&amp;draw=2&amp;ra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140-publi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msac.gov.au/" TargetMode="External"/><Relationship Id="rId10" Type="http://schemas.openxmlformats.org/officeDocument/2006/relationships/hyperlink" Target="http://www.msac.gov.au/internet/msac/publishing.nsf/Content/1569-public" TargetMode="External"/><Relationship Id="rId19" Type="http://schemas.openxmlformats.org/officeDocument/2006/relationships/hyperlink" Target="http://www.msac.gov.au/internet/msac/publishing.nsf/Content/1140-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569-public" TargetMode="External"/><Relationship Id="rId22" Type="http://schemas.openxmlformats.org/officeDocument/2006/relationships/hyperlink" Target="http://www.msac.gov.au/internet/msac/publishing.nsf/Content/1569-publi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linicaltrials.gov/ct2/show/NCT04840147?term=JointRep&amp;draw=2&amp;rank=1" TargetMode="External"/><Relationship Id="rId1" Type="http://schemas.openxmlformats.org/officeDocument/2006/relationships/hyperlink" Target="https://clinicaltrials.gov/ct2/show/NCT04840147?term=JointRep&amp;draw=2&amp;rank=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MSAC%20Reform%20Products\Documents\2.%20ESC\ESC.%20-%20June%202021\1578%20-%20ADAR%20-%20JointRep\1578%20-%20ADAR%20Attachments\20201005%20JointRep%20Economic%20model.Final.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Lower Bound</c:v>
          </c:tx>
          <c:spPr>
            <a:solidFill>
              <a:srgbClr val="007EAD"/>
            </a:solidFill>
            <a:ln>
              <a:noFill/>
            </a:ln>
            <a:effectLst/>
          </c:spPr>
          <c:invertIfNegative val="0"/>
          <c:cat>
            <c:strRef>
              <c:f>OWSA!$Q$15:$Q$110</c:f>
              <c:strCache>
                <c:ptCount val="64"/>
                <c:pt idx="0">
                  <c:v>Parameter </c:v>
                </c:pt>
                <c:pt idx="1">
                  <c:v>Utilities- JointRep™ + Microfracture in Year 1</c:v>
                </c:pt>
                <c:pt idx="2">
                  <c:v>Utilities- JointRep™ + Microfracture in Year 2</c:v>
                </c:pt>
                <c:pt idx="3">
                  <c:v>Utilities- JointRep™ + Microfracture in Year 3</c:v>
                </c:pt>
                <c:pt idx="4">
                  <c:v>Utilities- Microfracture alone in Year 1</c:v>
                </c:pt>
                <c:pt idx="5">
                  <c:v>Utilities- Microfracture alone in Year 2</c:v>
                </c:pt>
                <c:pt idx="6">
                  <c:v>Utilities- Microfracture alone in Year 3</c:v>
                </c:pt>
                <c:pt idx="7">
                  <c:v>Follow-up visit cost (Year 2 onwards)</c:v>
                </c:pt>
                <c:pt idx="8">
                  <c:v>Follow-up visit cost (Year 1)</c:v>
                </c:pt>
                <c:pt idx="9">
                  <c:v>Proportion of patients receiving TKA- BST-CarGel® + Microfracture</c:v>
                </c:pt>
                <c:pt idx="10">
                  <c:v>Proportion of patients requiring Re-operation at Year 3- JointRep</c:v>
                </c:pt>
                <c:pt idx="11">
                  <c:v>Proportion of patients requiring Re-operation at Year 3- Microfracture</c:v>
                </c:pt>
                <c:pt idx="12">
                  <c:v>Proportion of patients requiring Re-operation at Year 3- BST-CarGel® + Microfracture</c:v>
                </c:pt>
                <c:pt idx="13">
                  <c:v>Proportion of patients requiring Re-operation at Year 5- JointRep</c:v>
                </c:pt>
                <c:pt idx="14">
                  <c:v>Proportion of patients requiring Re-operation at Year 5- Microfracture</c:v>
                </c:pt>
                <c:pt idx="15">
                  <c:v>Proportion of patients requiring Re-operation at Year 5- BST-CarGel® + Microfracture</c:v>
                </c:pt>
                <c:pt idx="16">
                  <c:v>Annual % decrease in utility post specified time- JointRep™ + Microfracture</c:v>
                </c:pt>
                <c:pt idx="17">
                  <c:v>Annual % decrease in utility post specified time- Microfracture alone</c:v>
                </c:pt>
                <c:pt idx="18">
                  <c:v>Utilities- BST-CarGel® + Microfracture in Year 1</c:v>
                </c:pt>
                <c:pt idx="19">
                  <c:v>Annual % decrease in utility post specified time- BST-CarGel® + Microfracture</c:v>
                </c:pt>
                <c:pt idx="20">
                  <c:v>Disutility with Total Knee Arthroplasty</c:v>
                </c:pt>
                <c:pt idx="21">
                  <c:v>Surgical Services Cost </c:v>
                </c:pt>
                <c:pt idx="22">
                  <c:v>Rehabilitation Costs</c:v>
                </c:pt>
                <c:pt idx="23">
                  <c:v>MRI Costs</c:v>
                </c:pt>
                <c:pt idx="24">
                  <c:v>Total Knee Arthroplasty (TKA) Costs</c:v>
                </c:pt>
                <c:pt idx="25">
                  <c:v>Re-operation Costs</c:v>
                </c:pt>
                <c:pt idx="60">
                  <c:v>For updating the lower and upper bound of the Tornado diagram</c:v>
                </c:pt>
                <c:pt idx="62">
                  <c:v>Minimum</c:v>
                </c:pt>
                <c:pt idx="63">
                  <c:v>Maximum</c:v>
                </c:pt>
              </c:strCache>
            </c:strRef>
          </c:cat>
          <c:val>
            <c:numRef>
              <c:f>OWSA!$R$16:$R$23</c:f>
              <c:numCache>
                <c:formatCode>[$$-C09]#,##0</c:formatCode>
                <c:ptCount val="8"/>
                <c:pt idx="0">
                  <c:v>7817.7402090781325</c:v>
                </c:pt>
                <c:pt idx="1">
                  <c:v>7759.5286234046134</c:v>
                </c:pt>
                <c:pt idx="2">
                  <c:v>7660.4147893341351</c:v>
                </c:pt>
                <c:pt idx="3">
                  <c:v>5565.7922210197858</c:v>
                </c:pt>
                <c:pt idx="4">
                  <c:v>5706.5806677355076</c:v>
                </c:pt>
                <c:pt idx="5">
                  <c:v>5742.9818548332742</c:v>
                </c:pt>
                <c:pt idx="6">
                  <c:v>6329.4440290264474</c:v>
                </c:pt>
                <c:pt idx="7">
                  <c:v>6329.3898963157262</c:v>
                </c:pt>
              </c:numCache>
            </c:numRef>
          </c:val>
          <c:extLst>
            <c:ext xmlns:c16="http://schemas.microsoft.com/office/drawing/2014/chart" uri="{C3380CC4-5D6E-409C-BE32-E72D297353CC}">
              <c16:uniqueId val="{00000000-4B4E-4CF5-9C6A-9700F3236D7C}"/>
            </c:ext>
          </c:extLst>
        </c:ser>
        <c:ser>
          <c:idx val="0"/>
          <c:order val="1"/>
          <c:tx>
            <c:v>Upper Bound</c:v>
          </c:tx>
          <c:spPr>
            <a:pattFill prst="ltVert">
              <a:fgClr>
                <a:srgbClr val="007EAD"/>
              </a:fgClr>
              <a:bgClr>
                <a:schemeClr val="bg1"/>
              </a:bgClr>
            </a:pattFill>
            <a:ln>
              <a:noFill/>
            </a:ln>
            <a:effectLst/>
          </c:spPr>
          <c:invertIfNegative val="0"/>
          <c:cat>
            <c:strRef>
              <c:f>OWSA!$Q$16:$Q$23</c:f>
              <c:strCache>
                <c:ptCount val="8"/>
                <c:pt idx="0">
                  <c:v>Utilities- JointRep™ + Microfracture in Year 1</c:v>
                </c:pt>
                <c:pt idx="1">
                  <c:v>Utilities- JointRep™ + Microfracture in Year 2</c:v>
                </c:pt>
                <c:pt idx="2">
                  <c:v>Utilities- JointRep™ + Microfracture in Year 3</c:v>
                </c:pt>
                <c:pt idx="3">
                  <c:v>Utilities- Microfracture alone in Year 1</c:v>
                </c:pt>
                <c:pt idx="4">
                  <c:v>Utilities- Microfracture alone in Year 2</c:v>
                </c:pt>
                <c:pt idx="5">
                  <c:v>Utilities- Microfracture alone in Year 3</c:v>
                </c:pt>
                <c:pt idx="6">
                  <c:v>Follow-up visit cost (Year 2 onwards)</c:v>
                </c:pt>
                <c:pt idx="7">
                  <c:v>Follow-up visit cost (Year 1)</c:v>
                </c:pt>
              </c:strCache>
            </c:strRef>
          </c:cat>
          <c:val>
            <c:numRef>
              <c:f>OWSA!$S$16:$S$23</c:f>
              <c:numCache>
                <c:formatCode>[$$-C09]#,##0</c:formatCode>
                <c:ptCount val="8"/>
                <c:pt idx="0">
                  <c:v>5768.3849132694795</c:v>
                </c:pt>
                <c:pt idx="1">
                  <c:v>5894.122988874622</c:v>
                </c:pt>
                <c:pt idx="2">
                  <c:v>5886.1525014889094</c:v>
                </c:pt>
                <c:pt idx="3">
                  <c:v>7335.8271334684732</c:v>
                </c:pt>
                <c:pt idx="4">
                  <c:v>7104.7989574600706</c:v>
                </c:pt>
                <c:pt idx="5">
                  <c:v>7049.1711439471746</c:v>
                </c:pt>
                <c:pt idx="6">
                  <c:v>6329.335763605005</c:v>
                </c:pt>
                <c:pt idx="7">
                  <c:v>6329.3898963157271</c:v>
                </c:pt>
              </c:numCache>
            </c:numRef>
          </c:val>
          <c:extLst>
            <c:ext xmlns:c16="http://schemas.microsoft.com/office/drawing/2014/chart" uri="{C3380CC4-5D6E-409C-BE32-E72D297353CC}">
              <c16:uniqueId val="{00000001-4B4E-4CF5-9C6A-9700F3236D7C}"/>
            </c:ext>
          </c:extLst>
        </c:ser>
        <c:dLbls>
          <c:showLegendKey val="0"/>
          <c:showVal val="0"/>
          <c:showCatName val="0"/>
          <c:showSerName val="0"/>
          <c:showPercent val="0"/>
          <c:showBubbleSize val="0"/>
        </c:dLbls>
        <c:gapWidth val="182"/>
        <c:overlap val="100"/>
        <c:axId val="-2076085448"/>
        <c:axId val="-2078773592"/>
      </c:barChart>
      <c:catAx>
        <c:axId val="-2076085448"/>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Arial" panose="020B0604020202020204" pitchFamily="34" charset="0"/>
                    <a:cs typeface="Arial" panose="020B0604020202020204" pitchFamily="34" charset="0"/>
                  </a:rPr>
                  <a:t>Parameter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low"/>
        <c:spPr>
          <a:noFill/>
          <a:ln w="15875" cap="flat" cmpd="sng" algn="ctr">
            <a:solidFill>
              <a:schemeClr val="accent5"/>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2078773592"/>
        <c:crossesAt val="6329.3898963157253"/>
        <c:auto val="1"/>
        <c:lblAlgn val="ctr"/>
        <c:lblOffset val="100"/>
        <c:noMultiLvlLbl val="0"/>
      </c:catAx>
      <c:valAx>
        <c:axId val="-2078773592"/>
        <c:scaling>
          <c:orientation val="minMax"/>
          <c:max val="10000"/>
          <c:min val="4000"/>
        </c:scaling>
        <c:delete val="0"/>
        <c:axPos val="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Arial" panose="020B0604020202020204" pitchFamily="34" charset="0"/>
                    <a:cs typeface="Arial" panose="020B0604020202020204" pitchFamily="34" charset="0"/>
                  </a:rPr>
                  <a:t>ICER</a:t>
                </a:r>
              </a:p>
            </c:rich>
          </c:tx>
          <c:layout>
            <c:manualLayout>
              <c:xMode val="edge"/>
              <c:yMode val="edge"/>
              <c:x val="0.622695469566246"/>
              <c:y val="2.392794693215129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C09]#,##0" sourceLinked="1"/>
        <c:majorTickMark val="none"/>
        <c:minorTickMark val="none"/>
        <c:tickLblPos val="nextTo"/>
        <c:spPr>
          <a:noFill/>
          <a:ln w="15875">
            <a:solidFill>
              <a:schemeClr val="accent5"/>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2076085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rgbClr val="007EAD"/>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1265-06F2-4EEC-AE9C-3C8EFB46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9776</Words>
  <Characters>55728</Characters>
  <Application>Microsoft Office Word</Application>
  <DocSecurity>0</DocSecurity>
  <Lines>464</Lines>
  <Paragraphs>130</Paragraphs>
  <ScaleCrop>false</ScaleCrop>
  <Company/>
  <LinksUpToDate>false</LinksUpToDate>
  <CharactersWithSpaces>65374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2021-10-19T03:41:00Z</dcterms:created>
  <dcterms:modified xsi:type="dcterms:W3CDTF">2021-10-19T03:41:00Z</dcterms:modified>
</cp:coreProperties>
</file>