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182A4" w14:textId="77777777"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4332214E" wp14:editId="75347CFB">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035D9810"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5069334D" w14:textId="27E7E8B9" w:rsidR="0053757E" w:rsidRPr="00A66A11" w:rsidRDefault="00BC1364" w:rsidP="00A66A11">
      <w:pPr>
        <w:pStyle w:val="Subtitle"/>
        <w:spacing w:after="480"/>
        <w:rPr>
          <w:iCs/>
        </w:rPr>
      </w:pPr>
      <w:r w:rsidRPr="00F715D1">
        <w:t xml:space="preserve">Application No. </w:t>
      </w:r>
      <w:r w:rsidR="0053757E">
        <w:t>1454</w:t>
      </w:r>
      <w:r w:rsidR="008B100F" w:rsidRPr="008B100F">
        <w:t xml:space="preserve">- </w:t>
      </w:r>
      <w:r w:rsidR="0053757E" w:rsidRPr="0053757E">
        <w:rPr>
          <w:iCs/>
        </w:rPr>
        <w:t xml:space="preserve">Diagnostic testing for ROS proto-oncogene1 (ROS1) rearrangements in patients with non-small </w:t>
      </w:r>
      <w:r w:rsidR="00176EBF">
        <w:rPr>
          <w:iCs/>
        </w:rPr>
        <w:t xml:space="preserve">cell </w:t>
      </w:r>
      <w:r w:rsidR="0053757E" w:rsidRPr="0053757E">
        <w:rPr>
          <w:iCs/>
        </w:rPr>
        <w:t>lung cancer (NSCLC) to determine eligibility for crizotinib treatment</w:t>
      </w:r>
    </w:p>
    <w:p w14:paraId="6EE1DF1F" w14:textId="77777777"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53757E">
        <w:rPr>
          <w:rFonts w:ascii="Arial" w:hAnsi="Arial" w:cs="Arial"/>
          <w:b/>
          <w:bCs/>
          <w:szCs w:val="24"/>
        </w:rPr>
        <w:t>Pfizer</w:t>
      </w:r>
      <w:r w:rsidR="004416F3">
        <w:rPr>
          <w:rFonts w:ascii="Arial" w:hAnsi="Arial" w:cs="Arial"/>
          <w:b/>
          <w:bCs/>
          <w:szCs w:val="24"/>
        </w:rPr>
        <w:t xml:space="preserve"> Australia Pty Ltd</w:t>
      </w:r>
    </w:p>
    <w:p w14:paraId="74D56DEC" w14:textId="77777777" w:rsidR="005039B5" w:rsidRDefault="00BC1364" w:rsidP="005039B5">
      <w:pPr>
        <w:tabs>
          <w:tab w:val="left" w:pos="3686"/>
        </w:tabs>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5039B5">
        <w:rPr>
          <w:rFonts w:ascii="Arial" w:hAnsi="Arial" w:cs="Arial"/>
          <w:b/>
          <w:szCs w:val="24"/>
        </w:rPr>
        <w:t>MSAC 73</w:t>
      </w:r>
      <w:r w:rsidR="005039B5" w:rsidRPr="005039B5">
        <w:rPr>
          <w:rFonts w:ascii="Arial" w:hAnsi="Arial" w:cs="Arial"/>
          <w:b/>
          <w:szCs w:val="24"/>
          <w:vertAlign w:val="superscript"/>
        </w:rPr>
        <w:t>rd</w:t>
      </w:r>
      <w:r w:rsidR="005039B5">
        <w:rPr>
          <w:rFonts w:ascii="Arial" w:hAnsi="Arial" w:cs="Arial"/>
          <w:b/>
          <w:szCs w:val="24"/>
        </w:rPr>
        <w:t xml:space="preserve"> Meeting, 26-27 July 2018</w:t>
      </w:r>
    </w:p>
    <w:p w14:paraId="238254CC" w14:textId="7E869B71" w:rsidR="005039B5" w:rsidRDefault="005039B5" w:rsidP="005039B5">
      <w:pPr>
        <w:tabs>
          <w:tab w:val="left" w:pos="3686"/>
        </w:tabs>
        <w:spacing w:after="240"/>
        <w:rPr>
          <w:rFonts w:ascii="Arial" w:hAnsi="Arial" w:cs="Arial"/>
          <w:b/>
          <w:szCs w:val="24"/>
        </w:rPr>
      </w:pPr>
      <w:r>
        <w:rPr>
          <w:rFonts w:ascii="Arial" w:hAnsi="Arial" w:cs="Arial"/>
          <w:b/>
          <w:szCs w:val="24"/>
        </w:rPr>
        <w:tab/>
      </w:r>
      <w:r w:rsidR="00C67DD2" w:rsidRPr="00F715D1">
        <w:rPr>
          <w:rFonts w:ascii="Arial" w:hAnsi="Arial" w:cs="Arial"/>
          <w:b/>
          <w:szCs w:val="24"/>
        </w:rPr>
        <w:t xml:space="preserve">MSAC </w:t>
      </w:r>
      <w:r w:rsidR="008B100F">
        <w:rPr>
          <w:rFonts w:ascii="Arial" w:hAnsi="Arial" w:cs="Arial"/>
          <w:b/>
          <w:szCs w:val="24"/>
        </w:rPr>
        <w:t>71</w:t>
      </w:r>
      <w:r w:rsidR="008B100F" w:rsidRPr="008B100F">
        <w:rPr>
          <w:rFonts w:ascii="Arial" w:hAnsi="Arial" w:cs="Arial"/>
          <w:b/>
          <w:szCs w:val="24"/>
          <w:vertAlign w:val="superscript"/>
        </w:rPr>
        <w:t>st</w:t>
      </w:r>
      <w:r w:rsidR="008B100F">
        <w:rPr>
          <w:rFonts w:ascii="Arial" w:hAnsi="Arial" w:cs="Arial"/>
          <w:b/>
          <w:szCs w:val="24"/>
        </w:rPr>
        <w:t xml:space="preserve"> </w:t>
      </w:r>
      <w:r w:rsidR="00BC1364" w:rsidRPr="00F715D1">
        <w:rPr>
          <w:rFonts w:ascii="Arial" w:hAnsi="Arial" w:cs="Arial"/>
          <w:b/>
          <w:szCs w:val="24"/>
        </w:rPr>
        <w:t xml:space="preserve">Meeting, </w:t>
      </w:r>
      <w:r w:rsidR="008B100F">
        <w:rPr>
          <w:rFonts w:ascii="Arial" w:hAnsi="Arial" w:cs="Arial"/>
          <w:b/>
          <w:szCs w:val="24"/>
        </w:rPr>
        <w:t>23 November</w:t>
      </w:r>
      <w:r w:rsidR="001023DC">
        <w:rPr>
          <w:rFonts w:ascii="Arial" w:hAnsi="Arial" w:cs="Arial"/>
          <w:b/>
          <w:szCs w:val="24"/>
        </w:rPr>
        <w:t xml:space="preserve"> 2017</w:t>
      </w:r>
    </w:p>
    <w:p w14:paraId="3DD8F365" w14:textId="59FBDA98" w:rsidR="0041184F" w:rsidRPr="00B03EAB" w:rsidRDefault="006A0D97" w:rsidP="005039B5">
      <w:pPr>
        <w:tabs>
          <w:tab w:val="left" w:pos="3686"/>
        </w:tabs>
        <w:spacing w:after="12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46FE31C6" w14:textId="6CCC2B76" w:rsidR="003D7F29" w:rsidRPr="00F715D1" w:rsidRDefault="003D7F29" w:rsidP="00F715D1">
      <w:pPr>
        <w:pStyle w:val="Heading1"/>
      </w:pPr>
      <w:r w:rsidRPr="00F715D1">
        <w:t>Purpose of application</w:t>
      </w:r>
    </w:p>
    <w:p w14:paraId="20C848BB" w14:textId="23F4F5E5" w:rsidR="00A91007" w:rsidRPr="003051E3" w:rsidRDefault="00A91007" w:rsidP="00A91007">
      <w:pPr>
        <w:spacing w:after="120"/>
        <w:rPr>
          <w:szCs w:val="28"/>
          <w:lang w:bidi="en-US"/>
        </w:rPr>
      </w:pPr>
      <w:r w:rsidRPr="003051E3">
        <w:rPr>
          <w:szCs w:val="28"/>
          <w:lang w:bidi="en-US"/>
        </w:rPr>
        <w:t>The co</w:t>
      </w:r>
      <w:r w:rsidR="00C36F11">
        <w:rPr>
          <w:szCs w:val="28"/>
          <w:lang w:bidi="en-US"/>
        </w:rPr>
        <w:t>dependent application requested:</w:t>
      </w:r>
    </w:p>
    <w:p w14:paraId="3E9AF291" w14:textId="67A51A85" w:rsidR="00A91007" w:rsidRPr="003051E3" w:rsidRDefault="00A91007" w:rsidP="00A91007">
      <w:pPr>
        <w:pStyle w:val="ListParagraph"/>
        <w:numPr>
          <w:ilvl w:val="0"/>
          <w:numId w:val="27"/>
        </w:numPr>
        <w:spacing w:after="120"/>
        <w:ind w:left="426" w:hanging="426"/>
        <w:contextualSpacing w:val="0"/>
        <w:rPr>
          <w:szCs w:val="28"/>
          <w:lang w:bidi="en-US"/>
        </w:rPr>
      </w:pPr>
      <w:r w:rsidRPr="003051E3">
        <w:rPr>
          <w:szCs w:val="28"/>
          <w:lang w:bidi="en-US"/>
        </w:rPr>
        <w:t xml:space="preserve">a new Medicare Benefits Schedule </w:t>
      </w:r>
      <w:r>
        <w:rPr>
          <w:szCs w:val="28"/>
          <w:lang w:bidi="en-US"/>
        </w:rPr>
        <w:t xml:space="preserve">(MBS) </w:t>
      </w:r>
      <w:r w:rsidRPr="003051E3">
        <w:rPr>
          <w:szCs w:val="28"/>
          <w:lang w:bidi="en-US"/>
        </w:rPr>
        <w:t xml:space="preserve">item number for </w:t>
      </w:r>
      <w:r w:rsidRPr="00420D95">
        <w:rPr>
          <w:i/>
          <w:szCs w:val="28"/>
          <w:lang w:bidi="en-US"/>
        </w:rPr>
        <w:t>ROS</w:t>
      </w:r>
      <w:r w:rsidRPr="003051E3">
        <w:rPr>
          <w:szCs w:val="28"/>
          <w:lang w:bidi="en-US"/>
        </w:rPr>
        <w:t xml:space="preserve"> proto-oncogene 1 (</w:t>
      </w:r>
      <w:r w:rsidRPr="00420D95">
        <w:rPr>
          <w:i/>
          <w:szCs w:val="28"/>
          <w:lang w:bidi="en-US"/>
        </w:rPr>
        <w:t>ROS1</w:t>
      </w:r>
      <w:r w:rsidRPr="003051E3">
        <w:rPr>
          <w:szCs w:val="28"/>
          <w:lang w:bidi="en-US"/>
        </w:rPr>
        <w:t xml:space="preserve">) fluorescent </w:t>
      </w:r>
      <w:r w:rsidRPr="009C087E">
        <w:rPr>
          <w:i/>
          <w:szCs w:val="28"/>
          <w:lang w:bidi="en-US"/>
        </w:rPr>
        <w:t>in</w:t>
      </w:r>
      <w:r w:rsidR="00C36F11" w:rsidRPr="009C087E">
        <w:rPr>
          <w:i/>
          <w:szCs w:val="28"/>
          <w:lang w:bidi="en-US"/>
        </w:rPr>
        <w:t xml:space="preserve"> </w:t>
      </w:r>
      <w:r w:rsidRPr="009C087E">
        <w:rPr>
          <w:i/>
          <w:szCs w:val="28"/>
          <w:lang w:bidi="en-US"/>
        </w:rPr>
        <w:t>situ</w:t>
      </w:r>
      <w:r w:rsidRPr="003051E3">
        <w:rPr>
          <w:szCs w:val="28"/>
          <w:lang w:bidi="en-US"/>
        </w:rPr>
        <w:t xml:space="preserve"> hybridisation (FISH) testing as a codependent medical service that is performed to inform eligibility for crizotinib treatment in patients with locally advanced (Stage IIIB) or metastatic (Stage IV), non-squamous or histology not otherwise specified (NOS), non-small cell lung cancer (NSCLC) without either activating mutations of the epidermal growth factor receptor (</w:t>
      </w:r>
      <w:r w:rsidRPr="00420D95">
        <w:rPr>
          <w:i/>
          <w:szCs w:val="28"/>
          <w:lang w:bidi="en-US"/>
        </w:rPr>
        <w:t>EGFR</w:t>
      </w:r>
      <w:r w:rsidRPr="003051E3">
        <w:rPr>
          <w:szCs w:val="28"/>
          <w:lang w:bidi="en-US"/>
        </w:rPr>
        <w:t xml:space="preserve">) gene or </w:t>
      </w:r>
      <w:r w:rsidR="00C36F11">
        <w:rPr>
          <w:szCs w:val="28"/>
          <w:lang w:bidi="en-US"/>
        </w:rPr>
        <w:t xml:space="preserve">an </w:t>
      </w:r>
      <w:r w:rsidRPr="003051E3">
        <w:rPr>
          <w:szCs w:val="28"/>
          <w:lang w:bidi="en-US"/>
        </w:rPr>
        <w:t>anaplastic lymphoma kinase (</w:t>
      </w:r>
      <w:r w:rsidRPr="00420D95">
        <w:rPr>
          <w:i/>
          <w:szCs w:val="28"/>
          <w:lang w:bidi="en-US"/>
        </w:rPr>
        <w:t>ALK</w:t>
      </w:r>
      <w:r w:rsidRPr="003051E3">
        <w:rPr>
          <w:szCs w:val="28"/>
          <w:lang w:bidi="en-US"/>
        </w:rPr>
        <w:t>) gene rearrangement; and</w:t>
      </w:r>
    </w:p>
    <w:p w14:paraId="59588D33" w14:textId="3AE43E3E" w:rsidR="00A91007" w:rsidRPr="003051E3" w:rsidRDefault="00A91007" w:rsidP="00A91007">
      <w:pPr>
        <w:pStyle w:val="ListParagraph"/>
        <w:numPr>
          <w:ilvl w:val="0"/>
          <w:numId w:val="27"/>
        </w:numPr>
        <w:spacing w:after="120"/>
        <w:ind w:left="426" w:hanging="426"/>
        <w:contextualSpacing w:val="0"/>
        <w:rPr>
          <w:szCs w:val="28"/>
          <w:lang w:bidi="en-US"/>
        </w:rPr>
      </w:pPr>
      <w:r w:rsidRPr="003051E3">
        <w:rPr>
          <w:szCs w:val="28"/>
          <w:lang w:bidi="en-US"/>
        </w:rPr>
        <w:t xml:space="preserve">a new Section 85 Authority Required Pharmaceutical Benefits Scheme (PBS) listing for crizotinib for the treatment of patients with locally advanced (Stage IIIB) or metastatic (Stage IV) </w:t>
      </w:r>
      <w:r w:rsidRPr="00420D95">
        <w:rPr>
          <w:i/>
          <w:szCs w:val="28"/>
          <w:lang w:bidi="en-US"/>
        </w:rPr>
        <w:t>ROS1</w:t>
      </w:r>
      <w:r w:rsidRPr="003051E3">
        <w:rPr>
          <w:szCs w:val="28"/>
          <w:lang w:bidi="en-US"/>
        </w:rPr>
        <w:t>-positive NSCLC, who have disease progression on or fo</w:t>
      </w:r>
      <w:r w:rsidR="00871EB7">
        <w:rPr>
          <w:szCs w:val="28"/>
          <w:lang w:bidi="en-US"/>
        </w:rPr>
        <w:t>llowing treatment with platinum-</w:t>
      </w:r>
      <w:r w:rsidRPr="003051E3">
        <w:rPr>
          <w:szCs w:val="28"/>
          <w:lang w:bidi="en-US"/>
        </w:rPr>
        <w:t>based chemotherapy.</w:t>
      </w:r>
    </w:p>
    <w:p w14:paraId="352DC647" w14:textId="4CC9F75F" w:rsidR="00E977EE" w:rsidRPr="00F715D1" w:rsidRDefault="00E977EE" w:rsidP="00F715D1">
      <w:pPr>
        <w:pStyle w:val="Heading1"/>
      </w:pPr>
      <w:r w:rsidRPr="00F715D1">
        <w:t>MSAC’s advice to the Minister</w:t>
      </w:r>
      <w:r w:rsidR="0018754E">
        <w:t xml:space="preserve"> – July 2018 consideration</w:t>
      </w:r>
    </w:p>
    <w:p w14:paraId="24148D42" w14:textId="4232D5BC" w:rsidR="005039B5" w:rsidRPr="00CA5587" w:rsidRDefault="005039B5" w:rsidP="005039B5">
      <w:pPr>
        <w:rPr>
          <w:color w:val="000000"/>
        </w:rPr>
      </w:pPr>
      <w:r w:rsidRPr="00CA5587">
        <w:t xml:space="preserve">After considering the strength of the available evidence in relation to comparative safety, clinical effectiveness </w:t>
      </w:r>
      <w:r w:rsidRPr="009B1A8E">
        <w:t>and</w:t>
      </w:r>
      <w:r w:rsidRPr="00CA5587">
        <w:t xml:space="preserve"> cost effectiveness, MSAC supported</w:t>
      </w:r>
      <w:r>
        <w:t xml:space="preserve"> MBS funding for fluorescent </w:t>
      </w:r>
      <w:r w:rsidRPr="00CC1ED6">
        <w:rPr>
          <w:i/>
        </w:rPr>
        <w:t>in situ</w:t>
      </w:r>
      <w:r>
        <w:t xml:space="preserve"> hybridisation (FISH) </w:t>
      </w:r>
      <w:r w:rsidRPr="004115AB">
        <w:t xml:space="preserve">testing for </w:t>
      </w:r>
      <w:r w:rsidRPr="003923A0">
        <w:rPr>
          <w:i/>
        </w:rPr>
        <w:t>ROS</w:t>
      </w:r>
      <w:r w:rsidRPr="004115AB">
        <w:t xml:space="preserve"> proto-oncogene 1 </w:t>
      </w:r>
      <w:r>
        <w:t>(</w:t>
      </w:r>
      <w:r w:rsidRPr="003923A0">
        <w:rPr>
          <w:i/>
        </w:rPr>
        <w:t>ROS1</w:t>
      </w:r>
      <w:r>
        <w:t xml:space="preserve">) </w:t>
      </w:r>
      <w:r w:rsidRPr="004115AB">
        <w:t xml:space="preserve">rearrangements in </w:t>
      </w:r>
      <w:r>
        <w:t xml:space="preserve">patients with locally advanced or metastatic </w:t>
      </w:r>
      <w:r w:rsidRPr="004115AB">
        <w:t xml:space="preserve">non-small cell lung cancer </w:t>
      </w:r>
      <w:r>
        <w:t>(</w:t>
      </w:r>
      <w:r w:rsidRPr="003200F7">
        <w:t>NSCLC</w:t>
      </w:r>
      <w:r>
        <w:t xml:space="preserve">) </w:t>
      </w:r>
      <w:r w:rsidRPr="004115AB">
        <w:t xml:space="preserve">to determine </w:t>
      </w:r>
      <w:r w:rsidRPr="00335A16">
        <w:t>access to crizotinib under the Pharmaceutical Benefits Scheme.</w:t>
      </w:r>
    </w:p>
    <w:p w14:paraId="22A796AF" w14:textId="3E44EAAC" w:rsidR="005039B5" w:rsidRPr="00F715D1" w:rsidRDefault="005039B5" w:rsidP="005039B5">
      <w:pPr>
        <w:pStyle w:val="Heading1"/>
        <w:numPr>
          <w:ilvl w:val="0"/>
          <w:numId w:val="0"/>
        </w:numPr>
        <w:ind w:left="720" w:hanging="720"/>
      </w:pPr>
      <w:r w:rsidRPr="00F715D1">
        <w:t xml:space="preserve">Summary of consideration </w:t>
      </w:r>
      <w:r>
        <w:t>and rationale for MSAC’s advice – July 2018</w:t>
      </w:r>
    </w:p>
    <w:p w14:paraId="2ED883A0" w14:textId="77777777" w:rsidR="005039B5" w:rsidRPr="005039B5" w:rsidRDefault="005039B5" w:rsidP="005039B5">
      <w:pPr>
        <w:spacing w:before="180" w:after="100" w:afterAutospacing="1"/>
        <w:rPr>
          <w:lang w:val="en-US"/>
        </w:rPr>
      </w:pPr>
      <w:r w:rsidRPr="005039B5">
        <w:rPr>
          <w:lang w:val="en-US"/>
        </w:rPr>
        <w:t xml:space="preserve">MSAC recalled that it had previously foreshadowed its support for an MBS item for fluorescent </w:t>
      </w:r>
      <w:r w:rsidRPr="00C06002">
        <w:rPr>
          <w:i/>
          <w:lang w:val="en-US"/>
        </w:rPr>
        <w:t>in situ</w:t>
      </w:r>
      <w:r w:rsidRPr="005039B5">
        <w:rPr>
          <w:lang w:val="en-US"/>
        </w:rPr>
        <w:t xml:space="preserve"> </w:t>
      </w:r>
      <w:proofErr w:type="spellStart"/>
      <w:r w:rsidRPr="005039B5">
        <w:rPr>
          <w:lang w:val="en-US"/>
        </w:rPr>
        <w:t>hybridisation</w:t>
      </w:r>
      <w:proofErr w:type="spellEnd"/>
      <w:r w:rsidRPr="005039B5">
        <w:rPr>
          <w:lang w:val="en-US"/>
        </w:rPr>
        <w:t xml:space="preserve"> (FISH) testing for ROS proto-oncogene 1 (</w:t>
      </w:r>
      <w:r w:rsidRPr="00871EB7">
        <w:rPr>
          <w:i/>
          <w:lang w:val="en-US"/>
        </w:rPr>
        <w:t>ROS1</w:t>
      </w:r>
      <w:r w:rsidRPr="005039B5">
        <w:rPr>
          <w:lang w:val="en-US"/>
        </w:rPr>
        <w:t xml:space="preserve">) rearrangements in patients with non-small cell lung cancer (NSCLC) to determine eligibility </w:t>
      </w:r>
      <w:r w:rsidRPr="005039B5">
        <w:rPr>
          <w:lang w:val="en-US"/>
        </w:rPr>
        <w:lastRenderedPageBreak/>
        <w:t xml:space="preserve">for crizotinib treatment, pending a positive recommendation from the PBAC to extend the listing for crizotinib to patients with </w:t>
      </w:r>
      <w:r w:rsidRPr="00871EB7">
        <w:rPr>
          <w:i/>
          <w:lang w:val="en-US"/>
        </w:rPr>
        <w:t>ROS1</w:t>
      </w:r>
      <w:r w:rsidRPr="005039B5">
        <w:rPr>
          <w:lang w:val="en-US"/>
        </w:rPr>
        <w:t>-positive advanced NSCLC. Crizotinib is currently listed on the PBS for the treatment of patients with anaplastic lymphoma kinase (</w:t>
      </w:r>
      <w:r w:rsidRPr="00C06002">
        <w:rPr>
          <w:i/>
          <w:lang w:val="en-US"/>
        </w:rPr>
        <w:t>ALK</w:t>
      </w:r>
      <w:r w:rsidRPr="005039B5">
        <w:rPr>
          <w:lang w:val="en-US"/>
        </w:rPr>
        <w:t>)-positive advanced NSCLC.</w:t>
      </w:r>
    </w:p>
    <w:p w14:paraId="433E68DE" w14:textId="77777777" w:rsidR="005039B5" w:rsidRPr="005039B5" w:rsidRDefault="005039B5" w:rsidP="005039B5">
      <w:pPr>
        <w:spacing w:before="180" w:after="100" w:afterAutospacing="1"/>
        <w:rPr>
          <w:lang w:val="en-US"/>
        </w:rPr>
      </w:pPr>
      <w:r w:rsidRPr="005039B5">
        <w:rPr>
          <w:lang w:val="en-US"/>
        </w:rPr>
        <w:t>MSAC recalled that the patient population for this application was patients with locally advanced (stage IIIB) or metastatic (stage IV), non-squamous cell or histology not otherwise specified (NOS), non-small cell lung cancer, without either activating mutations of epidermal growth factor receptor (</w:t>
      </w:r>
      <w:r w:rsidRPr="00CC1ED6">
        <w:rPr>
          <w:i/>
          <w:lang w:val="en-US"/>
        </w:rPr>
        <w:t>EGFR</w:t>
      </w:r>
      <w:r w:rsidRPr="005039B5">
        <w:rPr>
          <w:lang w:val="en-US"/>
        </w:rPr>
        <w:t xml:space="preserve">) or an </w:t>
      </w:r>
      <w:r w:rsidRPr="00C06002">
        <w:rPr>
          <w:i/>
          <w:lang w:val="en-US"/>
        </w:rPr>
        <w:t>ALK</w:t>
      </w:r>
      <w:r w:rsidRPr="005039B5">
        <w:rPr>
          <w:lang w:val="en-US"/>
        </w:rPr>
        <w:t xml:space="preserve"> gene rearrangement.</w:t>
      </w:r>
    </w:p>
    <w:p w14:paraId="4C49DB06" w14:textId="77777777" w:rsidR="005039B5" w:rsidRPr="005039B5" w:rsidRDefault="005039B5" w:rsidP="005039B5">
      <w:pPr>
        <w:spacing w:before="180" w:after="100" w:afterAutospacing="1"/>
        <w:rPr>
          <w:lang w:val="en-US"/>
        </w:rPr>
      </w:pPr>
      <w:r w:rsidRPr="005039B5">
        <w:rPr>
          <w:lang w:val="en-US"/>
        </w:rPr>
        <w:t xml:space="preserve">MSAC confirmed that evidence supports the clinical effectiveness and safety of </w:t>
      </w:r>
      <w:r w:rsidRPr="00871EB7">
        <w:rPr>
          <w:i/>
          <w:lang w:val="en-US"/>
        </w:rPr>
        <w:t>ROS1</w:t>
      </w:r>
      <w:r w:rsidRPr="005039B5">
        <w:rPr>
          <w:lang w:val="en-US"/>
        </w:rPr>
        <w:t xml:space="preserve"> FISH testing to determine eligibility for access to crizotinib.</w:t>
      </w:r>
    </w:p>
    <w:p w14:paraId="48644EDE" w14:textId="02B05A63" w:rsidR="005039B5" w:rsidRPr="005039B5" w:rsidRDefault="005039B5" w:rsidP="005039B5">
      <w:pPr>
        <w:spacing w:before="180" w:after="100" w:afterAutospacing="1"/>
        <w:rPr>
          <w:lang w:val="en-US"/>
        </w:rPr>
      </w:pPr>
      <w:r w:rsidRPr="005039B5">
        <w:rPr>
          <w:lang w:val="en-US"/>
        </w:rPr>
        <w:t xml:space="preserve">MSAC confirmed that the agreed clinical management algorithm includes </w:t>
      </w:r>
      <w:proofErr w:type="spellStart"/>
      <w:r w:rsidRPr="005039B5">
        <w:rPr>
          <w:lang w:val="en-US"/>
        </w:rPr>
        <w:t>immunohistochemical</w:t>
      </w:r>
      <w:proofErr w:type="spellEnd"/>
      <w:r w:rsidRPr="005039B5">
        <w:rPr>
          <w:lang w:val="en-US"/>
        </w:rPr>
        <w:t xml:space="preserve"> (IHC) testing to triage upregulated </w:t>
      </w:r>
      <w:r w:rsidRPr="00871EB7">
        <w:rPr>
          <w:i/>
          <w:lang w:val="en-US"/>
        </w:rPr>
        <w:t>ROS1</w:t>
      </w:r>
      <w:r w:rsidRPr="005039B5">
        <w:rPr>
          <w:lang w:val="en-US"/>
        </w:rPr>
        <w:t xml:space="preserve"> gene. If the ROS1 IHC is positive, FISH testing is then conducted to confirm </w:t>
      </w:r>
      <w:r w:rsidRPr="00871EB7">
        <w:rPr>
          <w:i/>
          <w:lang w:val="en-US"/>
        </w:rPr>
        <w:t>ROS1</w:t>
      </w:r>
      <w:r w:rsidR="00871EB7">
        <w:rPr>
          <w:lang w:val="en-US"/>
        </w:rPr>
        <w:t xml:space="preserve"> gene rearrangement.</w:t>
      </w:r>
    </w:p>
    <w:p w14:paraId="4B3284BF" w14:textId="6EE1023F" w:rsidR="005039B5" w:rsidRPr="005039B5" w:rsidRDefault="0006034F" w:rsidP="005039B5">
      <w:pPr>
        <w:spacing w:before="180" w:after="100" w:afterAutospacing="1"/>
        <w:rPr>
          <w:lang w:val="en-US"/>
        </w:rPr>
      </w:pPr>
      <w:r w:rsidRPr="00335A16">
        <w:rPr>
          <w:szCs w:val="24"/>
        </w:rPr>
        <w:t xml:space="preserve">MSAC advised </w:t>
      </w:r>
      <w:r w:rsidR="005039B5" w:rsidRPr="005039B5">
        <w:rPr>
          <w:lang w:val="en-US"/>
        </w:rPr>
        <w:t xml:space="preserve">that </w:t>
      </w:r>
      <w:r w:rsidR="005039B5" w:rsidRPr="00871EB7">
        <w:rPr>
          <w:i/>
          <w:lang w:val="en-US"/>
        </w:rPr>
        <w:t>ROS1</w:t>
      </w:r>
      <w:r w:rsidR="005039B5" w:rsidRPr="005039B5">
        <w:rPr>
          <w:lang w:val="en-US"/>
        </w:rPr>
        <w:t xml:space="preserve"> testing should be requested </w:t>
      </w:r>
      <w:r w:rsidR="006F1271">
        <w:rPr>
          <w:lang w:val="en-US"/>
        </w:rPr>
        <w:t xml:space="preserve">by the treating </w:t>
      </w:r>
      <w:r w:rsidR="002C5048">
        <w:rPr>
          <w:lang w:val="en-US"/>
        </w:rPr>
        <w:t>clinician</w:t>
      </w:r>
      <w:r w:rsidR="006F1271">
        <w:rPr>
          <w:lang w:val="en-US"/>
        </w:rPr>
        <w:t xml:space="preserve"> </w:t>
      </w:r>
      <w:r w:rsidR="005039B5" w:rsidRPr="005039B5">
        <w:rPr>
          <w:lang w:val="en-US"/>
        </w:rPr>
        <w:t>at the same time as</w:t>
      </w:r>
      <w:r w:rsidR="006F1271">
        <w:rPr>
          <w:lang w:val="en-US"/>
        </w:rPr>
        <w:t xml:space="preserve"> </w:t>
      </w:r>
      <w:r w:rsidR="006F1271" w:rsidRPr="006F1271">
        <w:rPr>
          <w:i/>
          <w:lang w:val="en-US"/>
        </w:rPr>
        <w:t>EGFR</w:t>
      </w:r>
      <w:r w:rsidR="006F1271">
        <w:rPr>
          <w:lang w:val="en-US"/>
        </w:rPr>
        <w:t xml:space="preserve"> and</w:t>
      </w:r>
      <w:r w:rsidR="005039B5" w:rsidRPr="005039B5">
        <w:rPr>
          <w:lang w:val="en-US"/>
        </w:rPr>
        <w:t xml:space="preserve"> </w:t>
      </w:r>
      <w:r w:rsidR="005039B5" w:rsidRPr="00C06002">
        <w:rPr>
          <w:i/>
          <w:lang w:val="en-US"/>
        </w:rPr>
        <w:t>ALK</w:t>
      </w:r>
      <w:r w:rsidR="005039B5" w:rsidRPr="005039B5">
        <w:rPr>
          <w:lang w:val="en-US"/>
        </w:rPr>
        <w:t xml:space="preserve"> testing; the </w:t>
      </w:r>
      <w:r w:rsidR="005039B5" w:rsidRPr="00871EB7">
        <w:rPr>
          <w:i/>
          <w:lang w:val="en-US"/>
        </w:rPr>
        <w:t>ROS1</w:t>
      </w:r>
      <w:r w:rsidR="005039B5" w:rsidRPr="005039B5">
        <w:rPr>
          <w:lang w:val="en-US"/>
        </w:rPr>
        <w:t xml:space="preserve"> test would be </w:t>
      </w:r>
      <w:r w:rsidR="00992EEC">
        <w:rPr>
          <w:lang w:val="en-US"/>
        </w:rPr>
        <w:t xml:space="preserve">needed in the event that the pathology laboratory found that </w:t>
      </w:r>
      <w:r w:rsidR="005039B5" w:rsidRPr="005039B5">
        <w:rPr>
          <w:lang w:val="en-US"/>
        </w:rPr>
        <w:t xml:space="preserve">the </w:t>
      </w:r>
      <w:r w:rsidR="005039B5" w:rsidRPr="00C06002">
        <w:rPr>
          <w:i/>
          <w:lang w:val="en-US"/>
        </w:rPr>
        <w:t>ALK</w:t>
      </w:r>
      <w:r w:rsidR="00C06002">
        <w:rPr>
          <w:lang w:val="en-US"/>
        </w:rPr>
        <w:t xml:space="preserve"> test was negative</w:t>
      </w:r>
      <w:r w:rsidR="006F1271">
        <w:rPr>
          <w:lang w:val="en-US"/>
        </w:rPr>
        <w:t xml:space="preserve">, in the same way that the </w:t>
      </w:r>
      <w:r w:rsidR="006F1271" w:rsidRPr="006F1271">
        <w:rPr>
          <w:i/>
          <w:lang w:val="en-US"/>
        </w:rPr>
        <w:t>ALK</w:t>
      </w:r>
      <w:r w:rsidR="006F1271">
        <w:rPr>
          <w:lang w:val="en-US"/>
        </w:rPr>
        <w:t xml:space="preserve"> test would be </w:t>
      </w:r>
      <w:r w:rsidR="00992EEC">
        <w:rPr>
          <w:lang w:val="en-US"/>
        </w:rPr>
        <w:t xml:space="preserve">needed in the event that the pathology laboratory found that </w:t>
      </w:r>
      <w:r w:rsidR="006F1271">
        <w:rPr>
          <w:lang w:val="en-US"/>
        </w:rPr>
        <w:t xml:space="preserve">the </w:t>
      </w:r>
      <w:r w:rsidR="006F1271" w:rsidRPr="006F1271">
        <w:rPr>
          <w:i/>
          <w:lang w:val="en-US"/>
        </w:rPr>
        <w:t>EGFR</w:t>
      </w:r>
      <w:r w:rsidR="006F1271">
        <w:rPr>
          <w:lang w:val="en-US"/>
        </w:rPr>
        <w:t xml:space="preserve"> test was negative</w:t>
      </w:r>
      <w:r w:rsidR="00992EEC">
        <w:rPr>
          <w:lang w:val="en-US"/>
        </w:rPr>
        <w:t xml:space="preserve">. MSAC requested that these intentions be reflected in the </w:t>
      </w:r>
      <w:r w:rsidR="00992EEC" w:rsidRPr="006F1271">
        <w:rPr>
          <w:i/>
          <w:lang w:val="en-US"/>
        </w:rPr>
        <w:t>EGFR</w:t>
      </w:r>
      <w:r w:rsidR="00992EEC">
        <w:rPr>
          <w:lang w:val="en-US"/>
        </w:rPr>
        <w:t xml:space="preserve">, </w:t>
      </w:r>
      <w:r w:rsidR="00992EEC" w:rsidRPr="00992EEC">
        <w:rPr>
          <w:i/>
          <w:lang w:val="en-US"/>
        </w:rPr>
        <w:t>ALK</w:t>
      </w:r>
      <w:r w:rsidR="00992EEC">
        <w:rPr>
          <w:lang w:val="en-US"/>
        </w:rPr>
        <w:t xml:space="preserve"> and </w:t>
      </w:r>
      <w:r w:rsidR="00992EEC" w:rsidRPr="00992EEC">
        <w:rPr>
          <w:i/>
          <w:lang w:val="en-US"/>
        </w:rPr>
        <w:t>ROS1</w:t>
      </w:r>
      <w:r w:rsidR="00992EEC">
        <w:rPr>
          <w:lang w:val="en-US"/>
        </w:rPr>
        <w:t xml:space="preserve"> MBS item descriptors, and in the decisions about whether the </w:t>
      </w:r>
      <w:r w:rsidR="00992EEC" w:rsidRPr="00992EEC">
        <w:rPr>
          <w:i/>
          <w:lang w:val="en-US"/>
        </w:rPr>
        <w:t>ALK</w:t>
      </w:r>
      <w:r w:rsidR="00992EEC">
        <w:rPr>
          <w:lang w:val="en-US"/>
        </w:rPr>
        <w:t xml:space="preserve"> and </w:t>
      </w:r>
      <w:r w:rsidR="00992EEC" w:rsidRPr="00992EEC">
        <w:rPr>
          <w:i/>
          <w:lang w:val="en-US"/>
        </w:rPr>
        <w:t>ROS1</w:t>
      </w:r>
      <w:r w:rsidR="00992EEC">
        <w:rPr>
          <w:lang w:val="en-US"/>
        </w:rPr>
        <w:t xml:space="preserve"> MBS items </w:t>
      </w:r>
      <w:proofErr w:type="gramStart"/>
      <w:r w:rsidR="00992EEC">
        <w:rPr>
          <w:lang w:val="en-US"/>
        </w:rPr>
        <w:t>are</w:t>
      </w:r>
      <w:proofErr w:type="gramEnd"/>
      <w:r w:rsidR="00992EEC">
        <w:rPr>
          <w:lang w:val="en-US"/>
        </w:rPr>
        <w:t xml:space="preserve"> pathologist determinable</w:t>
      </w:r>
      <w:r w:rsidR="00C06002">
        <w:rPr>
          <w:lang w:val="en-US"/>
        </w:rPr>
        <w:t>.</w:t>
      </w:r>
    </w:p>
    <w:p w14:paraId="6C1B7504" w14:textId="36B33909" w:rsidR="005039B5" w:rsidRPr="005039B5" w:rsidRDefault="005039B5" w:rsidP="005039B5">
      <w:pPr>
        <w:spacing w:before="180" w:after="100" w:afterAutospacing="1"/>
        <w:rPr>
          <w:lang w:val="en-US"/>
        </w:rPr>
      </w:pPr>
      <w:r w:rsidRPr="005039B5">
        <w:rPr>
          <w:lang w:val="en-US"/>
        </w:rPr>
        <w:t xml:space="preserve">MSAC noted the minor increase in the costs to the MBS since its consideration of the application in November 2017, due to a small increase in the number of patients per year (from </w:t>
      </w:r>
      <w:r w:rsidR="00136BCE" w:rsidRPr="00136BCE">
        <w:rPr>
          <w:b/>
          <w:lang w:val="en-US"/>
        </w:rPr>
        <w:t>redacted</w:t>
      </w:r>
      <w:r w:rsidR="00CC1ED6">
        <w:rPr>
          <w:lang w:val="en-US"/>
        </w:rPr>
        <w:t xml:space="preserve"> patients to </w:t>
      </w:r>
      <w:r w:rsidR="00136BCE" w:rsidRPr="00136BCE">
        <w:rPr>
          <w:b/>
          <w:lang w:val="en-US"/>
        </w:rPr>
        <w:t>redacted</w:t>
      </w:r>
      <w:r w:rsidR="00CC1ED6">
        <w:rPr>
          <w:lang w:val="en-US"/>
        </w:rPr>
        <w:t xml:space="preserve"> patients).</w:t>
      </w:r>
    </w:p>
    <w:p w14:paraId="720E7953" w14:textId="715839A0" w:rsidR="0018754E" w:rsidRPr="000F7814" w:rsidRDefault="005039B5" w:rsidP="005039B5">
      <w:pPr>
        <w:spacing w:before="180" w:after="100" w:afterAutospacing="1"/>
        <w:rPr>
          <w:lang w:val="en-US"/>
        </w:rPr>
      </w:pPr>
      <w:r w:rsidRPr="005039B5">
        <w:rPr>
          <w:lang w:val="en-US"/>
        </w:rPr>
        <w:t xml:space="preserve">MSAC accepted the more detailed item descriptor provided by the applicant, with the minor change to spell out </w:t>
      </w:r>
      <w:r w:rsidRPr="00871EB7">
        <w:rPr>
          <w:i/>
          <w:lang w:val="en-US"/>
        </w:rPr>
        <w:t>ROS1</w:t>
      </w:r>
      <w:r w:rsidRPr="005039B5">
        <w:rPr>
          <w:lang w:val="en-US"/>
        </w:rPr>
        <w:t xml:space="preserve"> at </w:t>
      </w:r>
      <w:r w:rsidR="00871EB7">
        <w:rPr>
          <w:lang w:val="en-US"/>
        </w:rPr>
        <w:t xml:space="preserve">its </w:t>
      </w:r>
      <w:r w:rsidRPr="005039B5">
        <w:rPr>
          <w:lang w:val="en-US"/>
        </w:rPr>
        <w:t>first use.</w:t>
      </w:r>
    </w:p>
    <w:p w14:paraId="6984A879" w14:textId="3E983C90" w:rsidR="005039B5" w:rsidRDefault="005039B5" w:rsidP="00F715D1">
      <w:pPr>
        <w:pStyle w:val="Heading1"/>
      </w:pPr>
      <w:r w:rsidRPr="00F715D1">
        <w:t>MSAC’s advice to the Minister</w:t>
      </w:r>
      <w:r>
        <w:t xml:space="preserve"> – November 2017 consideration</w:t>
      </w:r>
    </w:p>
    <w:p w14:paraId="63BF7CB9" w14:textId="77777777" w:rsidR="005039B5" w:rsidRPr="00D22D22" w:rsidRDefault="005039B5" w:rsidP="005039B5">
      <w:pPr>
        <w:rPr>
          <w:sz w:val="23"/>
          <w:szCs w:val="23"/>
        </w:rPr>
      </w:pPr>
      <w:r w:rsidRPr="000F7814">
        <w:rPr>
          <w:lang w:val="en-US"/>
        </w:rPr>
        <w:t xml:space="preserve">After considering the strength of the available evidence in relation to comparative safety, clinical effectiveness and cost effectiveness, MSAC </w:t>
      </w:r>
      <w:r>
        <w:rPr>
          <w:sz w:val="23"/>
          <w:szCs w:val="23"/>
        </w:rPr>
        <w:t xml:space="preserve">deferred its advice until such time as PBAC subsequently decides to recommend the PBS listing of </w:t>
      </w:r>
      <w:r>
        <w:rPr>
          <w:szCs w:val="24"/>
        </w:rPr>
        <w:t xml:space="preserve">crizotinib for </w:t>
      </w:r>
      <w:r w:rsidRPr="000F7814">
        <w:rPr>
          <w:lang w:val="en-US"/>
        </w:rPr>
        <w:t>patients with locally advanced or metastatic non-squamous or “not otherwise specified” (NOS) non-</w:t>
      </w:r>
      <w:r>
        <w:rPr>
          <w:lang w:val="en-US"/>
        </w:rPr>
        <w:t>small cell lung cancer (NSCLC)</w:t>
      </w:r>
      <w:r w:rsidRPr="0002586B">
        <w:rPr>
          <w:sz w:val="23"/>
          <w:szCs w:val="23"/>
        </w:rPr>
        <w:t>.</w:t>
      </w:r>
      <w:r>
        <w:rPr>
          <w:sz w:val="23"/>
          <w:szCs w:val="23"/>
        </w:rPr>
        <w:t xml:space="preserve"> </w:t>
      </w:r>
      <w:r>
        <w:rPr>
          <w:lang w:val="en-US"/>
        </w:rPr>
        <w:t xml:space="preserve">MSAC </w:t>
      </w:r>
      <w:r w:rsidRPr="000F7814">
        <w:rPr>
          <w:lang w:val="en-US"/>
        </w:rPr>
        <w:t xml:space="preserve">foreshadowed </w:t>
      </w:r>
      <w:r>
        <w:rPr>
          <w:lang w:val="en-US"/>
        </w:rPr>
        <w:t>its</w:t>
      </w:r>
      <w:r w:rsidRPr="000F7814">
        <w:rPr>
          <w:lang w:val="en-US"/>
        </w:rPr>
        <w:t xml:space="preserve"> support </w:t>
      </w:r>
      <w:r>
        <w:rPr>
          <w:lang w:val="en-US"/>
        </w:rPr>
        <w:t>for a new MBS item</w:t>
      </w:r>
      <w:r w:rsidRPr="000F7814">
        <w:rPr>
          <w:lang w:val="en-US"/>
        </w:rPr>
        <w:t xml:space="preserve"> for </w:t>
      </w:r>
      <w:r w:rsidRPr="000F7814">
        <w:rPr>
          <w:i/>
          <w:lang w:val="en-US"/>
        </w:rPr>
        <w:t>ROS1</w:t>
      </w:r>
      <w:r w:rsidRPr="000F7814">
        <w:rPr>
          <w:lang w:val="en-US"/>
        </w:rPr>
        <w:t xml:space="preserve"> fluorescent </w:t>
      </w:r>
      <w:r w:rsidRPr="000F7814">
        <w:rPr>
          <w:i/>
          <w:lang w:val="en-US"/>
        </w:rPr>
        <w:t>in situ</w:t>
      </w:r>
      <w:r w:rsidRPr="000F7814">
        <w:rPr>
          <w:lang w:val="en-US"/>
        </w:rPr>
        <w:t xml:space="preserve"> hybridization (FISH) testing to inform eligibility for crizotinib treatment in</w:t>
      </w:r>
      <w:r w:rsidRPr="001D6D59">
        <w:rPr>
          <w:szCs w:val="24"/>
        </w:rPr>
        <w:t xml:space="preserve"> </w:t>
      </w:r>
      <w:r>
        <w:rPr>
          <w:szCs w:val="24"/>
        </w:rPr>
        <w:t>this population</w:t>
      </w:r>
      <w:r>
        <w:rPr>
          <w:lang w:val="en-US"/>
        </w:rPr>
        <w:t>.</w:t>
      </w:r>
    </w:p>
    <w:p w14:paraId="4420B2FA" w14:textId="4288294F" w:rsidR="005039B5" w:rsidRPr="0013051A" w:rsidRDefault="005039B5" w:rsidP="005039B5">
      <w:pPr>
        <w:spacing w:before="180" w:after="100" w:afterAutospacing="1"/>
        <w:rPr>
          <w:lang w:val="en-US"/>
        </w:rPr>
      </w:pPr>
      <w:r w:rsidRPr="0013051A">
        <w:t xml:space="preserve">MSAC advised that the MBS item descriptor should be pathologist determinable, with a fee of $400, and limited to </w:t>
      </w:r>
      <w:r w:rsidRPr="009C087E">
        <w:rPr>
          <w:i/>
          <w:lang w:val="en-US"/>
        </w:rPr>
        <w:t>ROS1</w:t>
      </w:r>
      <w:r w:rsidRPr="0013051A">
        <w:rPr>
          <w:lang w:val="en-US"/>
        </w:rPr>
        <w:t xml:space="preserve"> FISH testing of samples that have undergone </w:t>
      </w:r>
      <w:r>
        <w:rPr>
          <w:lang w:val="en-US"/>
        </w:rPr>
        <w:t xml:space="preserve">appropriate </w:t>
      </w:r>
      <w:r w:rsidRPr="0013051A">
        <w:t>epidermal growth factor receptor</w:t>
      </w:r>
      <w:r w:rsidRPr="0013051A">
        <w:rPr>
          <w:lang w:val="en-US"/>
        </w:rPr>
        <w:t xml:space="preserve"> (</w:t>
      </w:r>
      <w:r w:rsidRPr="009C087E">
        <w:rPr>
          <w:i/>
          <w:lang w:val="en-US"/>
        </w:rPr>
        <w:t>EGFR</w:t>
      </w:r>
      <w:r w:rsidRPr="0013051A">
        <w:rPr>
          <w:lang w:val="en-US"/>
        </w:rPr>
        <w:t>), anaplastic lymphoma kinase (</w:t>
      </w:r>
      <w:r w:rsidRPr="009C087E">
        <w:rPr>
          <w:i/>
          <w:lang w:val="en-US"/>
        </w:rPr>
        <w:t>ALK</w:t>
      </w:r>
      <w:r w:rsidRPr="0013051A">
        <w:rPr>
          <w:lang w:val="en-US"/>
        </w:rPr>
        <w:t>) and immunohistochemistry ROS1</w:t>
      </w:r>
      <w:r>
        <w:rPr>
          <w:lang w:val="en-US"/>
        </w:rPr>
        <w:t xml:space="preserve"> </w:t>
      </w:r>
      <w:r w:rsidRPr="0013051A">
        <w:rPr>
          <w:lang w:val="en-US"/>
        </w:rPr>
        <w:t>testing.</w:t>
      </w:r>
    </w:p>
    <w:p w14:paraId="357EFEA2" w14:textId="77777777" w:rsidR="005039B5" w:rsidRDefault="005039B5" w:rsidP="005039B5">
      <w:pPr>
        <w:spacing w:before="180" w:after="100" w:afterAutospacing="1"/>
        <w:rPr>
          <w:lang w:val="en-US"/>
        </w:rPr>
      </w:pPr>
      <w:r w:rsidRPr="0013051A">
        <w:rPr>
          <w:lang w:val="en-US"/>
        </w:rPr>
        <w:t>MSAC further advised that the current MBS item</w:t>
      </w:r>
      <w:r>
        <w:rPr>
          <w:lang w:val="en-US"/>
        </w:rPr>
        <w:t>s</w:t>
      </w:r>
      <w:r w:rsidRPr="0013051A">
        <w:rPr>
          <w:lang w:val="en-US"/>
        </w:rPr>
        <w:t xml:space="preserve"> 73341 for </w:t>
      </w:r>
      <w:r w:rsidRPr="009C087E">
        <w:rPr>
          <w:i/>
          <w:lang w:val="en-US"/>
        </w:rPr>
        <w:t>ALK</w:t>
      </w:r>
      <w:r w:rsidRPr="0013051A">
        <w:rPr>
          <w:lang w:val="en-US"/>
        </w:rPr>
        <w:t xml:space="preserve"> FISH testing and</w:t>
      </w:r>
      <w:r>
        <w:rPr>
          <w:lang w:val="en-US"/>
        </w:rPr>
        <w:t xml:space="preserve"> 73342 for</w:t>
      </w:r>
      <w:r w:rsidRPr="0013051A">
        <w:rPr>
          <w:lang w:val="en-US"/>
        </w:rPr>
        <w:t xml:space="preserve"> </w:t>
      </w:r>
      <w:r w:rsidRPr="009C087E">
        <w:rPr>
          <w:i/>
          <w:lang w:val="en-US"/>
        </w:rPr>
        <w:t>HER2</w:t>
      </w:r>
      <w:r w:rsidRPr="0013051A">
        <w:rPr>
          <w:lang w:val="en-US"/>
        </w:rPr>
        <w:t xml:space="preserve"> FISH testing in gastric cancer should also be made pathologist determinable.</w:t>
      </w:r>
    </w:p>
    <w:p w14:paraId="01353EE0" w14:textId="44C5883A" w:rsidR="00550354" w:rsidRPr="00F715D1" w:rsidRDefault="00550354" w:rsidP="005039B5">
      <w:pPr>
        <w:pStyle w:val="Heading1"/>
        <w:numPr>
          <w:ilvl w:val="0"/>
          <w:numId w:val="0"/>
        </w:numPr>
      </w:pPr>
      <w:r w:rsidRPr="00F715D1">
        <w:lastRenderedPageBreak/>
        <w:t xml:space="preserve">Summary of consideration </w:t>
      </w:r>
      <w:r w:rsidR="00C36F11">
        <w:t>and rationale for MSAC’s advice</w:t>
      </w:r>
      <w:r w:rsidR="005039B5">
        <w:t xml:space="preserve"> – November 2017</w:t>
      </w:r>
    </w:p>
    <w:p w14:paraId="72B9C168" w14:textId="3D42C919" w:rsidR="000F7814" w:rsidRPr="007209B2" w:rsidRDefault="004B581F" w:rsidP="000F7814">
      <w:pPr>
        <w:spacing w:before="180" w:after="100" w:afterAutospacing="1"/>
        <w:rPr>
          <w:lang w:val="en-US"/>
        </w:rPr>
      </w:pPr>
      <w:r>
        <w:rPr>
          <w:lang w:val="en-US"/>
        </w:rPr>
        <w:t>MSAC noted that</w:t>
      </w:r>
      <w:r w:rsidR="00C36F11">
        <w:rPr>
          <w:lang w:val="en-US"/>
        </w:rPr>
        <w:t>,</w:t>
      </w:r>
      <w:r>
        <w:rPr>
          <w:lang w:val="en-US"/>
        </w:rPr>
        <w:t xml:space="preserve"> u</w:t>
      </w:r>
      <w:r w:rsidR="000F7814" w:rsidRPr="007209B2">
        <w:rPr>
          <w:lang w:val="en-US"/>
        </w:rPr>
        <w:t>nder the proposed algorithm</w:t>
      </w:r>
      <w:r w:rsidR="00C36F11">
        <w:rPr>
          <w:lang w:val="en-US"/>
        </w:rPr>
        <w:t>,</w:t>
      </w:r>
      <w:r w:rsidR="000F7814" w:rsidRPr="007209B2">
        <w:rPr>
          <w:lang w:val="en-US"/>
        </w:rPr>
        <w:t xml:space="preserve"> </w:t>
      </w:r>
      <w:r w:rsidR="000F7814" w:rsidRPr="007209B2">
        <w:rPr>
          <w:i/>
          <w:lang w:val="en-US"/>
        </w:rPr>
        <w:t>ROS1</w:t>
      </w:r>
      <w:r w:rsidR="000F7814" w:rsidRPr="007209B2">
        <w:rPr>
          <w:lang w:val="en-US"/>
        </w:rPr>
        <w:t xml:space="preserve"> testing and </w:t>
      </w:r>
      <w:r w:rsidR="005E1F58">
        <w:rPr>
          <w:lang w:val="en-US"/>
        </w:rPr>
        <w:t xml:space="preserve">crizotinib </w:t>
      </w:r>
      <w:r w:rsidR="000F7814" w:rsidRPr="007209B2">
        <w:rPr>
          <w:lang w:val="en-US"/>
        </w:rPr>
        <w:t xml:space="preserve">treatment would be limited to patients </w:t>
      </w:r>
      <w:r w:rsidR="00C36F11">
        <w:rPr>
          <w:lang w:val="en-US"/>
        </w:rPr>
        <w:t xml:space="preserve">with advanced NSCLC </w:t>
      </w:r>
      <w:r w:rsidR="000F7814" w:rsidRPr="007209B2">
        <w:rPr>
          <w:lang w:val="en-US"/>
        </w:rPr>
        <w:t xml:space="preserve">who have normal </w:t>
      </w:r>
      <w:r w:rsidR="000F7814" w:rsidRPr="007209B2">
        <w:rPr>
          <w:i/>
          <w:lang w:val="en-US"/>
        </w:rPr>
        <w:t>EGFR</w:t>
      </w:r>
      <w:r w:rsidR="000F7814" w:rsidRPr="007209B2">
        <w:rPr>
          <w:lang w:val="en-US"/>
        </w:rPr>
        <w:t xml:space="preserve"> </w:t>
      </w:r>
      <w:r w:rsidR="00C36F11">
        <w:rPr>
          <w:lang w:val="en-US"/>
        </w:rPr>
        <w:t>test results</w:t>
      </w:r>
      <w:r w:rsidR="000F7814" w:rsidRPr="007209B2">
        <w:rPr>
          <w:lang w:val="en-US"/>
        </w:rPr>
        <w:t xml:space="preserve"> (and therefore are not eligible for treatment with gefitinib or erlotinib) and normal </w:t>
      </w:r>
      <w:r w:rsidR="000F7814" w:rsidRPr="007209B2">
        <w:rPr>
          <w:i/>
          <w:lang w:val="en-US"/>
        </w:rPr>
        <w:t>ALK</w:t>
      </w:r>
      <w:r w:rsidR="000F7814" w:rsidRPr="007209B2">
        <w:rPr>
          <w:lang w:val="en-US"/>
        </w:rPr>
        <w:t xml:space="preserve"> </w:t>
      </w:r>
      <w:r w:rsidR="00C36F11">
        <w:rPr>
          <w:lang w:val="en-US"/>
        </w:rPr>
        <w:t>test results</w:t>
      </w:r>
      <w:r w:rsidR="000F7814" w:rsidRPr="007209B2">
        <w:rPr>
          <w:lang w:val="en-US"/>
        </w:rPr>
        <w:t xml:space="preserve"> (and therefore are not eligible for treatment with crizotinib on that basis). MSAC </w:t>
      </w:r>
      <w:r>
        <w:rPr>
          <w:lang w:val="en-US"/>
        </w:rPr>
        <w:t>considered</w:t>
      </w:r>
      <w:r w:rsidR="000F7814" w:rsidRPr="007209B2">
        <w:rPr>
          <w:lang w:val="en-US"/>
        </w:rPr>
        <w:t xml:space="preserve"> that the proposed </w:t>
      </w:r>
      <w:r w:rsidR="004F4D1F">
        <w:rPr>
          <w:lang w:val="en-US"/>
        </w:rPr>
        <w:t>item descriptor</w:t>
      </w:r>
      <w:r w:rsidR="000F7814" w:rsidRPr="007209B2">
        <w:rPr>
          <w:lang w:val="en-US"/>
        </w:rPr>
        <w:t xml:space="preserve"> should </w:t>
      </w:r>
      <w:r w:rsidR="004F4D1F">
        <w:rPr>
          <w:lang w:val="en-US"/>
        </w:rPr>
        <w:t xml:space="preserve">therefore </w:t>
      </w:r>
      <w:r w:rsidR="000F7814" w:rsidRPr="007209B2">
        <w:rPr>
          <w:lang w:val="en-US"/>
        </w:rPr>
        <w:t>be amended to make it clear that</w:t>
      </w:r>
      <w:r w:rsidR="00C36F11">
        <w:rPr>
          <w:lang w:val="en-US"/>
        </w:rPr>
        <w:t>,</w:t>
      </w:r>
      <w:r w:rsidR="000F7814" w:rsidRPr="007209B2">
        <w:rPr>
          <w:lang w:val="en-US"/>
        </w:rPr>
        <w:t xml:space="preserve"> to be eligible for </w:t>
      </w:r>
      <w:r w:rsidR="000F7814" w:rsidRPr="007209B2">
        <w:rPr>
          <w:i/>
          <w:lang w:val="en-US"/>
        </w:rPr>
        <w:t>ROS1</w:t>
      </w:r>
      <w:r w:rsidR="000F7814" w:rsidRPr="007209B2">
        <w:rPr>
          <w:lang w:val="en-US"/>
        </w:rPr>
        <w:t xml:space="preserve"> testing</w:t>
      </w:r>
      <w:r w:rsidR="00D93483">
        <w:rPr>
          <w:lang w:val="en-US"/>
        </w:rPr>
        <w:t>,</w:t>
      </w:r>
      <w:r w:rsidR="000F7814" w:rsidRPr="007209B2">
        <w:rPr>
          <w:lang w:val="en-US"/>
        </w:rPr>
        <w:t xml:space="preserve"> patients must have documented </w:t>
      </w:r>
      <w:r w:rsidR="000F7814" w:rsidRPr="009C087E">
        <w:rPr>
          <w:b/>
          <w:lang w:val="en-US"/>
        </w:rPr>
        <w:t>absence</w:t>
      </w:r>
      <w:r w:rsidR="000F7814" w:rsidRPr="007209B2">
        <w:rPr>
          <w:lang w:val="en-US"/>
        </w:rPr>
        <w:t xml:space="preserve"> of </w:t>
      </w:r>
      <w:r w:rsidR="000F7814" w:rsidRPr="007209B2">
        <w:rPr>
          <w:b/>
          <w:lang w:val="en-US"/>
        </w:rPr>
        <w:t>both</w:t>
      </w:r>
      <w:r w:rsidR="000F7814" w:rsidRPr="007209B2">
        <w:rPr>
          <w:lang w:val="en-US"/>
        </w:rPr>
        <w:t xml:space="preserve"> activating mutations of the </w:t>
      </w:r>
      <w:r w:rsidR="000F7814" w:rsidRPr="007209B2">
        <w:rPr>
          <w:i/>
          <w:lang w:val="en-US"/>
        </w:rPr>
        <w:t>EGFR</w:t>
      </w:r>
      <w:r w:rsidR="000F7814" w:rsidRPr="007209B2">
        <w:rPr>
          <w:lang w:val="en-US"/>
        </w:rPr>
        <w:t xml:space="preserve"> gene </w:t>
      </w:r>
      <w:r w:rsidR="000F7814" w:rsidRPr="007209B2">
        <w:rPr>
          <w:b/>
          <w:lang w:val="en-US"/>
        </w:rPr>
        <w:t>and</w:t>
      </w:r>
      <w:r w:rsidR="000F7814" w:rsidRPr="007209B2">
        <w:rPr>
          <w:lang w:val="en-US"/>
        </w:rPr>
        <w:t xml:space="preserve"> </w:t>
      </w:r>
      <w:r w:rsidR="000F7814" w:rsidRPr="007209B2">
        <w:rPr>
          <w:i/>
          <w:lang w:val="en-US"/>
        </w:rPr>
        <w:t>ALK</w:t>
      </w:r>
      <w:r w:rsidR="000F7814" w:rsidRPr="007209B2">
        <w:rPr>
          <w:lang w:val="en-US"/>
        </w:rPr>
        <w:t xml:space="preserve"> gene rearrangement</w:t>
      </w:r>
      <w:r w:rsidR="00D93483">
        <w:rPr>
          <w:lang w:val="en-US"/>
        </w:rPr>
        <w:t>s.</w:t>
      </w:r>
    </w:p>
    <w:p w14:paraId="5B3DAF29" w14:textId="7CA58F05" w:rsidR="000F7814" w:rsidRPr="007209B2" w:rsidRDefault="000F7814" w:rsidP="000F7814">
      <w:pPr>
        <w:spacing w:before="180" w:after="100" w:afterAutospacing="1"/>
        <w:rPr>
          <w:lang w:val="en-US"/>
        </w:rPr>
      </w:pPr>
      <w:r w:rsidRPr="007209B2">
        <w:rPr>
          <w:lang w:val="en-US"/>
        </w:rPr>
        <w:t>MSAC noted that</w:t>
      </w:r>
      <w:r w:rsidR="00D93483">
        <w:rPr>
          <w:lang w:val="en-US"/>
        </w:rPr>
        <w:t>,</w:t>
      </w:r>
      <w:r w:rsidRPr="007209B2">
        <w:rPr>
          <w:lang w:val="en-US"/>
        </w:rPr>
        <w:t xml:space="preserve"> under the proposed algorithm</w:t>
      </w:r>
      <w:r w:rsidR="00D93483">
        <w:rPr>
          <w:lang w:val="en-US"/>
        </w:rPr>
        <w:t>,</w:t>
      </w:r>
      <w:r w:rsidRPr="007209B2">
        <w:rPr>
          <w:lang w:val="en-US"/>
        </w:rPr>
        <w:t xml:space="preserve"> </w:t>
      </w:r>
      <w:proofErr w:type="spellStart"/>
      <w:r w:rsidRPr="007209B2">
        <w:rPr>
          <w:lang w:val="en-US"/>
        </w:rPr>
        <w:t>immunohistochemical</w:t>
      </w:r>
      <w:proofErr w:type="spellEnd"/>
      <w:r w:rsidRPr="007209B2">
        <w:rPr>
          <w:lang w:val="en-US"/>
        </w:rPr>
        <w:t xml:space="preserve"> (IHC) testing is conducted first to </w:t>
      </w:r>
      <w:r w:rsidR="00D93483">
        <w:rPr>
          <w:lang w:val="en-US"/>
        </w:rPr>
        <w:t>triage</w:t>
      </w:r>
      <w:r w:rsidRPr="007209B2">
        <w:rPr>
          <w:lang w:val="en-US"/>
        </w:rPr>
        <w:t xml:space="preserve"> for the up-regulated gene, and patients with a positive </w:t>
      </w:r>
      <w:r w:rsidRPr="005E1F58">
        <w:rPr>
          <w:lang w:val="en-US"/>
        </w:rPr>
        <w:t>ROS1</w:t>
      </w:r>
      <w:r w:rsidRPr="007209B2">
        <w:rPr>
          <w:lang w:val="en-US"/>
        </w:rPr>
        <w:t xml:space="preserve"> IHC test </w:t>
      </w:r>
      <w:r w:rsidR="00D93483">
        <w:rPr>
          <w:lang w:val="en-US"/>
        </w:rPr>
        <w:t xml:space="preserve">result </w:t>
      </w:r>
      <w:r w:rsidRPr="007209B2">
        <w:rPr>
          <w:lang w:val="en-US"/>
        </w:rPr>
        <w:t xml:space="preserve">would then undergo FISH testing to confirm </w:t>
      </w:r>
      <w:r w:rsidRPr="007209B2">
        <w:rPr>
          <w:i/>
          <w:lang w:val="en-US"/>
        </w:rPr>
        <w:t>ROS1</w:t>
      </w:r>
      <w:r w:rsidRPr="007209B2">
        <w:rPr>
          <w:lang w:val="en-US"/>
        </w:rPr>
        <w:t xml:space="preserve"> gene rearrangement. MSAC considered that this is appropriate and noted that the proposed methodology for </w:t>
      </w:r>
      <w:r w:rsidRPr="007209B2">
        <w:rPr>
          <w:i/>
          <w:lang w:val="en-US"/>
        </w:rPr>
        <w:t>ROS1</w:t>
      </w:r>
      <w:r w:rsidRPr="007209B2">
        <w:rPr>
          <w:lang w:val="en-US"/>
        </w:rPr>
        <w:t xml:space="preserve"> testing is consistent with </w:t>
      </w:r>
      <w:r w:rsidR="00D93483">
        <w:rPr>
          <w:lang w:val="en-US"/>
        </w:rPr>
        <w:t>triaging</w:t>
      </w:r>
      <w:r w:rsidRPr="007209B2">
        <w:rPr>
          <w:lang w:val="en-US"/>
        </w:rPr>
        <w:t xml:space="preserve"> for </w:t>
      </w:r>
      <w:r w:rsidRPr="007209B2">
        <w:rPr>
          <w:i/>
          <w:lang w:val="en-US"/>
        </w:rPr>
        <w:t>EGFR</w:t>
      </w:r>
      <w:r w:rsidRPr="007209B2">
        <w:rPr>
          <w:lang w:val="en-US"/>
        </w:rPr>
        <w:t xml:space="preserve"> and </w:t>
      </w:r>
      <w:r w:rsidRPr="007209B2">
        <w:rPr>
          <w:i/>
          <w:lang w:val="en-US"/>
        </w:rPr>
        <w:t>ALK</w:t>
      </w:r>
      <w:r w:rsidRPr="007209B2">
        <w:rPr>
          <w:lang w:val="en-US"/>
        </w:rPr>
        <w:t xml:space="preserve"> gene rearrangements, which have previously been assessed by MSAC and listed on the MBS. MSAC </w:t>
      </w:r>
      <w:r w:rsidR="00D93483">
        <w:rPr>
          <w:lang w:val="en-US"/>
        </w:rPr>
        <w:t xml:space="preserve">also </w:t>
      </w:r>
      <w:r w:rsidRPr="007209B2">
        <w:rPr>
          <w:lang w:val="en-US"/>
        </w:rPr>
        <w:t xml:space="preserve">advised that at this time an MBS item for </w:t>
      </w:r>
      <w:r w:rsidRPr="007209B2">
        <w:rPr>
          <w:i/>
          <w:lang w:val="en-US"/>
        </w:rPr>
        <w:t>ROS1</w:t>
      </w:r>
      <w:r w:rsidRPr="007209B2">
        <w:rPr>
          <w:lang w:val="en-US"/>
        </w:rPr>
        <w:t xml:space="preserve"> testing shou</w:t>
      </w:r>
      <w:r w:rsidR="00D93483">
        <w:rPr>
          <w:lang w:val="en-US"/>
        </w:rPr>
        <w:t>ld be specific to FISH testing.</w:t>
      </w:r>
    </w:p>
    <w:p w14:paraId="6875B15A" w14:textId="766CA30E" w:rsidR="000F7814" w:rsidRPr="007209B2" w:rsidRDefault="000F7814" w:rsidP="000F7814">
      <w:pPr>
        <w:spacing w:before="180" w:after="100" w:afterAutospacing="1"/>
        <w:rPr>
          <w:lang w:val="en-US"/>
        </w:rPr>
      </w:pPr>
      <w:r w:rsidRPr="007209B2">
        <w:rPr>
          <w:lang w:val="en-US"/>
        </w:rPr>
        <w:t xml:space="preserve">MSAC advised that it would be appropriate that </w:t>
      </w:r>
      <w:r w:rsidRPr="007209B2">
        <w:rPr>
          <w:i/>
          <w:lang w:val="en-US"/>
        </w:rPr>
        <w:t>ROS1</w:t>
      </w:r>
      <w:r w:rsidRPr="007209B2">
        <w:rPr>
          <w:lang w:val="en-US"/>
        </w:rPr>
        <w:t xml:space="preserve"> FISH testing be pathologist determinable, on confirmation of a positive </w:t>
      </w:r>
      <w:r w:rsidRPr="005E1F58">
        <w:rPr>
          <w:lang w:val="en-US"/>
        </w:rPr>
        <w:t>ROS1</w:t>
      </w:r>
      <w:r w:rsidRPr="007209B2">
        <w:rPr>
          <w:lang w:val="en-US"/>
        </w:rPr>
        <w:t xml:space="preserve"> IHC test</w:t>
      </w:r>
      <w:r w:rsidR="00D93483">
        <w:rPr>
          <w:lang w:val="en-US"/>
        </w:rPr>
        <w:t xml:space="preserve"> result</w:t>
      </w:r>
      <w:r w:rsidRPr="007209B2">
        <w:rPr>
          <w:lang w:val="en-US"/>
        </w:rPr>
        <w:t>. The rationale for this decision was that in making the initial request the oncologist would already have initiated the process of determining the most appropriate treatment for the patient. This approach also appl</w:t>
      </w:r>
      <w:r w:rsidR="00D26843">
        <w:rPr>
          <w:lang w:val="en-US"/>
        </w:rPr>
        <w:t>ies</w:t>
      </w:r>
      <w:r w:rsidRPr="007209B2">
        <w:rPr>
          <w:lang w:val="en-US"/>
        </w:rPr>
        <w:t xml:space="preserve"> to </w:t>
      </w:r>
      <w:r w:rsidRPr="007209B2">
        <w:rPr>
          <w:i/>
          <w:lang w:val="en-US"/>
        </w:rPr>
        <w:t>ALK</w:t>
      </w:r>
      <w:r w:rsidRPr="007209B2">
        <w:rPr>
          <w:lang w:val="en-US"/>
        </w:rPr>
        <w:t xml:space="preserve"> FISH testing, and </w:t>
      </w:r>
      <w:r w:rsidRPr="007209B2">
        <w:rPr>
          <w:i/>
          <w:lang w:val="en-US"/>
        </w:rPr>
        <w:t>HER2</w:t>
      </w:r>
      <w:r w:rsidRPr="007209B2">
        <w:rPr>
          <w:lang w:val="en-US"/>
        </w:rPr>
        <w:t xml:space="preserve"> ISH testing in patients with adenocarcinoma of the stomach or gastro-</w:t>
      </w:r>
      <w:proofErr w:type="spellStart"/>
      <w:r w:rsidRPr="007209B2">
        <w:rPr>
          <w:lang w:val="en-US"/>
        </w:rPr>
        <w:t>oesophageal</w:t>
      </w:r>
      <w:proofErr w:type="spellEnd"/>
      <w:r w:rsidRPr="007209B2">
        <w:rPr>
          <w:lang w:val="en-US"/>
        </w:rPr>
        <w:t xml:space="preserve"> junction</w:t>
      </w:r>
      <w:r w:rsidR="00D26843">
        <w:rPr>
          <w:lang w:val="en-US"/>
        </w:rPr>
        <w:t>, both of</w:t>
      </w:r>
      <w:r w:rsidRPr="007209B2">
        <w:rPr>
          <w:lang w:val="en-US"/>
        </w:rPr>
        <w:t xml:space="preserve"> which MSAC advised should also be pathologist determinable.</w:t>
      </w:r>
    </w:p>
    <w:p w14:paraId="0621B466" w14:textId="569CDC04" w:rsidR="000F7814" w:rsidRPr="007209B2" w:rsidRDefault="000F7814" w:rsidP="000F7814">
      <w:pPr>
        <w:spacing w:before="180" w:after="100" w:afterAutospacing="1"/>
        <w:rPr>
          <w:lang w:val="en-US"/>
        </w:rPr>
      </w:pPr>
      <w:r w:rsidRPr="007209B2">
        <w:rPr>
          <w:lang w:val="en-US"/>
        </w:rPr>
        <w:t>MSAC noted ESC’s conclusion that, in the absence of evidence to the contrary, it is reasonable to assume that the mutation status is constant</w:t>
      </w:r>
      <w:r w:rsidR="00D26843">
        <w:rPr>
          <w:lang w:val="en-US"/>
        </w:rPr>
        <w:t xml:space="preserve"> over time</w:t>
      </w:r>
      <w:r w:rsidRPr="007209B2">
        <w:rPr>
          <w:lang w:val="en-US"/>
        </w:rPr>
        <w:t xml:space="preserve">. MSAC concluded that this assumption is </w:t>
      </w:r>
      <w:proofErr w:type="gramStart"/>
      <w:r w:rsidRPr="007209B2">
        <w:rPr>
          <w:lang w:val="en-US"/>
        </w:rPr>
        <w:t>appropriate,</w:t>
      </w:r>
      <w:proofErr w:type="gramEnd"/>
      <w:r w:rsidRPr="007209B2">
        <w:rPr>
          <w:lang w:val="en-US"/>
        </w:rPr>
        <w:t xml:space="preserve"> taking into consideration the risk that re-biopsy carries for patients.</w:t>
      </w:r>
    </w:p>
    <w:p w14:paraId="56125358" w14:textId="2BE2128B" w:rsidR="000F7814" w:rsidRPr="007209B2" w:rsidRDefault="000F7814" w:rsidP="000F7814">
      <w:pPr>
        <w:spacing w:before="180" w:after="100" w:afterAutospacing="1"/>
        <w:rPr>
          <w:lang w:val="en-US"/>
        </w:rPr>
      </w:pPr>
      <w:r w:rsidRPr="007209B2">
        <w:rPr>
          <w:lang w:val="en-US"/>
        </w:rPr>
        <w:t xml:space="preserve">MSAC noted that if crizotinib treatment was </w:t>
      </w:r>
      <w:r w:rsidR="00D26843">
        <w:rPr>
          <w:lang w:val="en-US"/>
        </w:rPr>
        <w:t>PBS-</w:t>
      </w:r>
      <w:r w:rsidRPr="007209B2">
        <w:rPr>
          <w:lang w:val="en-US"/>
        </w:rPr>
        <w:t xml:space="preserve">listed </w:t>
      </w:r>
      <w:r w:rsidR="00D26843">
        <w:rPr>
          <w:lang w:val="en-US"/>
        </w:rPr>
        <w:t xml:space="preserve">as </w:t>
      </w:r>
      <w:r w:rsidRPr="007209B2">
        <w:rPr>
          <w:lang w:val="en-US"/>
        </w:rPr>
        <w:t xml:space="preserve">first-line for patients with </w:t>
      </w:r>
      <w:r w:rsidRPr="007209B2">
        <w:rPr>
          <w:i/>
          <w:lang w:val="en-US"/>
        </w:rPr>
        <w:t>ROS1</w:t>
      </w:r>
      <w:r w:rsidRPr="007209B2">
        <w:rPr>
          <w:lang w:val="en-US"/>
        </w:rPr>
        <w:t xml:space="preserve">-positive </w:t>
      </w:r>
      <w:r w:rsidR="005A1F58" w:rsidRPr="000F7814">
        <w:rPr>
          <w:lang w:val="en-US"/>
        </w:rPr>
        <w:t xml:space="preserve">locally advanced or metastatic non-squamous or NOS </w:t>
      </w:r>
      <w:r w:rsidRPr="007209B2">
        <w:rPr>
          <w:lang w:val="en-US"/>
        </w:rPr>
        <w:t xml:space="preserve">NSCLC, a single test panel </w:t>
      </w:r>
      <w:r w:rsidR="00D26843">
        <w:rPr>
          <w:lang w:val="en-US"/>
        </w:rPr>
        <w:t xml:space="preserve">conducted </w:t>
      </w:r>
      <w:r w:rsidRPr="007209B2">
        <w:rPr>
          <w:lang w:val="en-US"/>
        </w:rPr>
        <w:t xml:space="preserve">at diagnosis </w:t>
      </w:r>
      <w:r w:rsidR="00D26843">
        <w:rPr>
          <w:lang w:val="en-US"/>
        </w:rPr>
        <w:t xml:space="preserve">of NSCLC </w:t>
      </w:r>
      <w:r w:rsidRPr="007209B2">
        <w:rPr>
          <w:lang w:val="en-US"/>
        </w:rPr>
        <w:t>or at progression to advanced NSCLC</w:t>
      </w:r>
      <w:r w:rsidR="00D26843" w:rsidRPr="00D26843">
        <w:rPr>
          <w:lang w:val="en-US"/>
        </w:rPr>
        <w:t xml:space="preserve"> </w:t>
      </w:r>
      <w:r w:rsidR="00D26843">
        <w:rPr>
          <w:lang w:val="en-US"/>
        </w:rPr>
        <w:t xml:space="preserve">could help determine </w:t>
      </w:r>
      <w:r w:rsidR="005A1F58">
        <w:rPr>
          <w:lang w:val="en-US"/>
        </w:rPr>
        <w:t xml:space="preserve">between multiple </w:t>
      </w:r>
      <w:r w:rsidR="00D26843">
        <w:rPr>
          <w:lang w:val="en-US"/>
        </w:rPr>
        <w:t xml:space="preserve">subsequent targeted </w:t>
      </w:r>
      <w:r w:rsidR="00D26843" w:rsidRPr="007209B2">
        <w:rPr>
          <w:lang w:val="en-US"/>
        </w:rPr>
        <w:t>chemotherapy</w:t>
      </w:r>
      <w:r w:rsidR="005A1F58">
        <w:rPr>
          <w:lang w:val="en-US"/>
        </w:rPr>
        <w:t xml:space="preserve"> options for these patients</w:t>
      </w:r>
      <w:r w:rsidRPr="007209B2">
        <w:rPr>
          <w:lang w:val="en-US"/>
        </w:rPr>
        <w:t xml:space="preserve">. MSAC noted that the final PICO Confirmation </w:t>
      </w:r>
      <w:r w:rsidR="00FC1729">
        <w:rPr>
          <w:lang w:val="en-US"/>
        </w:rPr>
        <w:t xml:space="preserve">document </w:t>
      </w:r>
      <w:r w:rsidRPr="007209B2">
        <w:rPr>
          <w:lang w:val="en-US"/>
        </w:rPr>
        <w:t xml:space="preserve">shows the test as </w:t>
      </w:r>
      <w:r w:rsidR="00205284">
        <w:rPr>
          <w:lang w:val="en-US"/>
        </w:rPr>
        <w:t xml:space="preserve">informing </w:t>
      </w:r>
      <w:r w:rsidRPr="007209B2">
        <w:rPr>
          <w:lang w:val="en-US"/>
        </w:rPr>
        <w:t>first-line</w:t>
      </w:r>
      <w:r w:rsidR="00205284">
        <w:rPr>
          <w:lang w:val="en-US"/>
        </w:rPr>
        <w:t xml:space="preserve"> treatment</w:t>
      </w:r>
      <w:r w:rsidRPr="007209B2">
        <w:rPr>
          <w:lang w:val="en-US"/>
        </w:rPr>
        <w:t>, though crizotinib was assessed by PBAC as second-line treatment, for patients with progres</w:t>
      </w:r>
      <w:r w:rsidR="00871EB7">
        <w:rPr>
          <w:lang w:val="en-US"/>
        </w:rPr>
        <w:t>sion on or after prior platinum-</w:t>
      </w:r>
      <w:r w:rsidRPr="007209B2">
        <w:rPr>
          <w:lang w:val="en-US"/>
        </w:rPr>
        <w:t xml:space="preserve">based chemotherapy. MSAC noted that the sequential testing of </w:t>
      </w:r>
      <w:r w:rsidRPr="007209B2">
        <w:rPr>
          <w:i/>
          <w:lang w:val="en-US"/>
        </w:rPr>
        <w:t>EGFR</w:t>
      </w:r>
      <w:r w:rsidRPr="007209B2">
        <w:rPr>
          <w:lang w:val="en-US"/>
        </w:rPr>
        <w:t xml:space="preserve">, </w:t>
      </w:r>
      <w:r w:rsidRPr="007209B2">
        <w:rPr>
          <w:i/>
          <w:lang w:val="en-US"/>
        </w:rPr>
        <w:t>ALK</w:t>
      </w:r>
      <w:r w:rsidRPr="007209B2">
        <w:rPr>
          <w:lang w:val="en-US"/>
        </w:rPr>
        <w:t xml:space="preserve"> and </w:t>
      </w:r>
      <w:r w:rsidRPr="007209B2">
        <w:rPr>
          <w:i/>
          <w:lang w:val="en-US"/>
        </w:rPr>
        <w:t>ROS1</w:t>
      </w:r>
      <w:r w:rsidRPr="007209B2">
        <w:rPr>
          <w:lang w:val="en-US"/>
        </w:rPr>
        <w:t xml:space="preserve"> yield mutually exclusive treatment pathways and that sequential testing wastes tissue sample, time and is more expensive than a single panel of tests. MSAC recommended that the Department conduct a cost-utility review of gene panel </w:t>
      </w:r>
      <w:r w:rsidR="005E1F58">
        <w:rPr>
          <w:lang w:val="en-US"/>
        </w:rPr>
        <w:t xml:space="preserve">and/or next generation sequencing (NGS) </w:t>
      </w:r>
      <w:r w:rsidRPr="007209B2">
        <w:rPr>
          <w:lang w:val="en-US"/>
        </w:rPr>
        <w:t>test</w:t>
      </w:r>
      <w:r w:rsidR="005E1F58">
        <w:rPr>
          <w:lang w:val="en-US"/>
        </w:rPr>
        <w:t xml:space="preserve"> options</w:t>
      </w:r>
      <w:r w:rsidR="00205284">
        <w:rPr>
          <w:lang w:val="en-US"/>
        </w:rPr>
        <w:t xml:space="preserve"> </w:t>
      </w:r>
      <w:r w:rsidR="005A1F58">
        <w:rPr>
          <w:lang w:val="en-US"/>
        </w:rPr>
        <w:t>to inform these first-line therapy options</w:t>
      </w:r>
      <w:r w:rsidRPr="007209B2">
        <w:rPr>
          <w:lang w:val="en-US"/>
        </w:rPr>
        <w:t xml:space="preserve">, at which time the MBS item for </w:t>
      </w:r>
      <w:r w:rsidRPr="007209B2">
        <w:rPr>
          <w:i/>
          <w:lang w:val="en-US"/>
        </w:rPr>
        <w:t>ROS1</w:t>
      </w:r>
      <w:r w:rsidRPr="007209B2">
        <w:rPr>
          <w:lang w:val="en-US"/>
        </w:rPr>
        <w:t xml:space="preserve"> FISH testing may need to be revised. MSAC advised that </w:t>
      </w:r>
      <w:r w:rsidR="004D25FF">
        <w:rPr>
          <w:lang w:val="en-US"/>
        </w:rPr>
        <w:t xml:space="preserve">any MBS funding should be based on </w:t>
      </w:r>
      <w:r w:rsidRPr="007209B2">
        <w:rPr>
          <w:lang w:val="en-US"/>
        </w:rPr>
        <w:t xml:space="preserve">a </w:t>
      </w:r>
      <w:r w:rsidR="004D25FF">
        <w:rPr>
          <w:lang w:val="en-US"/>
        </w:rPr>
        <w:t xml:space="preserve">gene </w:t>
      </w:r>
      <w:r w:rsidRPr="007209B2">
        <w:rPr>
          <w:lang w:val="en-US"/>
        </w:rPr>
        <w:t xml:space="preserve">panel </w:t>
      </w:r>
      <w:r w:rsidR="005E1F58">
        <w:rPr>
          <w:lang w:val="en-US"/>
        </w:rPr>
        <w:t xml:space="preserve">or NGS </w:t>
      </w:r>
      <w:r w:rsidRPr="007209B2">
        <w:rPr>
          <w:lang w:val="en-US"/>
        </w:rPr>
        <w:t xml:space="preserve">test of equivalent or better </w:t>
      </w:r>
      <w:r w:rsidR="005A1F58">
        <w:rPr>
          <w:lang w:val="en-US"/>
        </w:rPr>
        <w:t xml:space="preserve">analytical </w:t>
      </w:r>
      <w:r w:rsidRPr="007209B2">
        <w:rPr>
          <w:lang w:val="en-US"/>
        </w:rPr>
        <w:t xml:space="preserve">performance to sequential IHC and FISH testing and assurance that the average </w:t>
      </w:r>
      <w:r w:rsidR="004D25FF">
        <w:rPr>
          <w:lang w:val="en-US"/>
        </w:rPr>
        <w:t xml:space="preserve">gene </w:t>
      </w:r>
      <w:r w:rsidRPr="007209B2">
        <w:rPr>
          <w:lang w:val="en-US"/>
        </w:rPr>
        <w:t xml:space="preserve">panel </w:t>
      </w:r>
      <w:r w:rsidR="005E1F58">
        <w:rPr>
          <w:lang w:val="en-US"/>
        </w:rPr>
        <w:t xml:space="preserve">or NGS test </w:t>
      </w:r>
      <w:r w:rsidRPr="007209B2">
        <w:rPr>
          <w:lang w:val="en-US"/>
        </w:rPr>
        <w:t xml:space="preserve">is no more costly than the average cost of </w:t>
      </w:r>
      <w:r w:rsidR="004D25FF">
        <w:rPr>
          <w:lang w:val="en-US"/>
        </w:rPr>
        <w:t xml:space="preserve">the </w:t>
      </w:r>
      <w:r w:rsidRPr="007209B2">
        <w:rPr>
          <w:lang w:val="en-US"/>
        </w:rPr>
        <w:t>sequential testing</w:t>
      </w:r>
      <w:r w:rsidR="004D25FF">
        <w:rPr>
          <w:lang w:val="en-US"/>
        </w:rPr>
        <w:t xml:space="preserve"> that it would replace</w:t>
      </w:r>
      <w:r w:rsidRPr="007209B2">
        <w:rPr>
          <w:lang w:val="en-US"/>
        </w:rPr>
        <w:t xml:space="preserve">. MSAC noted that </w:t>
      </w:r>
      <w:r w:rsidR="004D25FF">
        <w:rPr>
          <w:lang w:val="en-US"/>
        </w:rPr>
        <w:t xml:space="preserve">overall </w:t>
      </w:r>
      <w:r w:rsidRPr="007209B2">
        <w:rPr>
          <w:lang w:val="en-US"/>
        </w:rPr>
        <w:t xml:space="preserve">testing may still require more than one </w:t>
      </w:r>
      <w:r w:rsidR="004D25FF">
        <w:rPr>
          <w:lang w:val="en-US"/>
        </w:rPr>
        <w:t xml:space="preserve">gene </w:t>
      </w:r>
      <w:r w:rsidRPr="007209B2">
        <w:rPr>
          <w:lang w:val="en-US"/>
        </w:rPr>
        <w:t xml:space="preserve">panel </w:t>
      </w:r>
      <w:r w:rsidR="004D25FF">
        <w:rPr>
          <w:lang w:val="en-US"/>
        </w:rPr>
        <w:t xml:space="preserve">test </w:t>
      </w:r>
      <w:r w:rsidRPr="007209B2">
        <w:rPr>
          <w:lang w:val="en-US"/>
        </w:rPr>
        <w:t xml:space="preserve">due to differences in lung cancer gene aberrations as somatic mutations are tested in genomic DNA, whereas gene fusions (such as </w:t>
      </w:r>
      <w:r w:rsidRPr="007209B2">
        <w:rPr>
          <w:i/>
          <w:lang w:val="en-US"/>
        </w:rPr>
        <w:t>ROS1</w:t>
      </w:r>
      <w:r w:rsidRPr="007209B2">
        <w:rPr>
          <w:lang w:val="en-US"/>
        </w:rPr>
        <w:t xml:space="preserve">) are usually tested in cDNA prepared from RNA. MSAC noted that the availability of </w:t>
      </w:r>
      <w:r w:rsidR="00045722">
        <w:rPr>
          <w:lang w:val="en-US"/>
        </w:rPr>
        <w:t xml:space="preserve">suitable </w:t>
      </w:r>
      <w:proofErr w:type="spellStart"/>
      <w:r w:rsidRPr="007209B2">
        <w:rPr>
          <w:lang w:val="en-US"/>
        </w:rPr>
        <w:t>ctDNA</w:t>
      </w:r>
      <w:proofErr w:type="spellEnd"/>
      <w:r w:rsidRPr="007209B2">
        <w:rPr>
          <w:lang w:val="en-US"/>
        </w:rPr>
        <w:t xml:space="preserve"> testing in the future may address some of these challenges.</w:t>
      </w:r>
    </w:p>
    <w:p w14:paraId="181429D8" w14:textId="19BD2611" w:rsidR="000F7814" w:rsidRPr="007209B2" w:rsidRDefault="000F7814" w:rsidP="000F7814">
      <w:pPr>
        <w:spacing w:before="180" w:after="100" w:afterAutospacing="1"/>
        <w:rPr>
          <w:lang w:val="en-US"/>
        </w:rPr>
      </w:pPr>
      <w:r w:rsidRPr="007209B2">
        <w:rPr>
          <w:lang w:val="en-US"/>
        </w:rPr>
        <w:lastRenderedPageBreak/>
        <w:t xml:space="preserve">MSAC considered the rationale presented for inclusion of patients with squamous histology and advised that while it is biologically plausible that these patients may benefit from treatment with crizotinib, </w:t>
      </w:r>
      <w:r w:rsidRPr="007209B2">
        <w:rPr>
          <w:i/>
          <w:lang w:val="en-US"/>
        </w:rPr>
        <w:t>ROS1</w:t>
      </w:r>
      <w:r w:rsidRPr="007209B2">
        <w:rPr>
          <w:lang w:val="en-US"/>
        </w:rPr>
        <w:t xml:space="preserve"> rearrangements are rare in these patients and only 2/180 patients in the studies had squamous NSCLC. MSAC advised that at this time </w:t>
      </w:r>
      <w:r w:rsidR="00045722">
        <w:rPr>
          <w:lang w:val="en-US"/>
        </w:rPr>
        <w:t xml:space="preserve">testing and thus </w:t>
      </w:r>
      <w:r w:rsidRPr="007209B2">
        <w:rPr>
          <w:lang w:val="en-US"/>
        </w:rPr>
        <w:t xml:space="preserve">treatment should be limited to patients with non-squamous or NOS NSCLC. Inclusion of testing and treatment in </w:t>
      </w:r>
      <w:r w:rsidR="00045722">
        <w:rPr>
          <w:lang w:val="en-US"/>
        </w:rPr>
        <w:t xml:space="preserve">patients with squamous NSCLC </w:t>
      </w:r>
      <w:r w:rsidRPr="007209B2">
        <w:rPr>
          <w:lang w:val="en-US"/>
        </w:rPr>
        <w:t xml:space="preserve">would require presentation and assessment of pre-clinical and clinical data. </w:t>
      </w:r>
    </w:p>
    <w:p w14:paraId="5895F2E6" w14:textId="67B4702C" w:rsidR="000F7814" w:rsidRPr="007209B2" w:rsidRDefault="000F7814" w:rsidP="000F7814">
      <w:pPr>
        <w:spacing w:before="180" w:after="100" w:afterAutospacing="1"/>
        <w:rPr>
          <w:lang w:val="en-US"/>
        </w:rPr>
      </w:pPr>
      <w:r w:rsidRPr="007209B2">
        <w:rPr>
          <w:lang w:val="en-US"/>
        </w:rPr>
        <w:t xml:space="preserve">MSAC noted that overall the linked evidence presented supports the safety and clinical effectiveness for </w:t>
      </w:r>
      <w:r w:rsidRPr="007209B2">
        <w:rPr>
          <w:i/>
          <w:lang w:val="en-US"/>
        </w:rPr>
        <w:t>ROS1</w:t>
      </w:r>
      <w:r w:rsidRPr="007209B2">
        <w:rPr>
          <w:lang w:val="en-US"/>
        </w:rPr>
        <w:t xml:space="preserve"> FISH testing for access to crizotinib, though the magnitude of </w:t>
      </w:r>
      <w:r w:rsidR="00045722">
        <w:rPr>
          <w:lang w:val="en-US"/>
        </w:rPr>
        <w:t xml:space="preserve">incremental </w:t>
      </w:r>
      <w:r w:rsidRPr="007209B2">
        <w:rPr>
          <w:lang w:val="en-US"/>
        </w:rPr>
        <w:t xml:space="preserve">treatment effect for crizotinib in </w:t>
      </w:r>
      <w:r w:rsidRPr="007209B2">
        <w:rPr>
          <w:i/>
          <w:lang w:val="en-US"/>
        </w:rPr>
        <w:t>ROS1</w:t>
      </w:r>
      <w:r w:rsidR="0036761F">
        <w:rPr>
          <w:lang w:val="en-US"/>
        </w:rPr>
        <w:t>-</w:t>
      </w:r>
      <w:r w:rsidRPr="007209B2">
        <w:rPr>
          <w:lang w:val="en-US"/>
        </w:rPr>
        <w:t xml:space="preserve">positive NSCLC </w:t>
      </w:r>
      <w:r w:rsidR="00045722">
        <w:rPr>
          <w:lang w:val="en-US"/>
        </w:rPr>
        <w:t xml:space="preserve">over </w:t>
      </w:r>
      <w:r w:rsidR="00045722" w:rsidRPr="00045722">
        <w:rPr>
          <w:i/>
          <w:lang w:val="en-US"/>
        </w:rPr>
        <w:t>ROS1</w:t>
      </w:r>
      <w:r w:rsidR="0036761F">
        <w:rPr>
          <w:lang w:val="en-US"/>
        </w:rPr>
        <w:t>-</w:t>
      </w:r>
      <w:r w:rsidR="00045722">
        <w:rPr>
          <w:lang w:val="en-US"/>
        </w:rPr>
        <w:t xml:space="preserve">negative NSCLC </w:t>
      </w:r>
      <w:r w:rsidRPr="007209B2">
        <w:rPr>
          <w:lang w:val="en-US"/>
        </w:rPr>
        <w:t xml:space="preserve">is uncertain. MSAC </w:t>
      </w:r>
      <w:r w:rsidR="00436AA9">
        <w:rPr>
          <w:lang w:val="en-US"/>
        </w:rPr>
        <w:t xml:space="preserve">also </w:t>
      </w:r>
      <w:r w:rsidRPr="007209B2">
        <w:rPr>
          <w:lang w:val="en-US"/>
        </w:rPr>
        <w:t xml:space="preserve">noted that there were no </w:t>
      </w:r>
      <w:r w:rsidR="00045722">
        <w:rPr>
          <w:lang w:val="en-US"/>
        </w:rPr>
        <w:t xml:space="preserve">directly </w:t>
      </w:r>
      <w:r w:rsidRPr="007209B2">
        <w:rPr>
          <w:lang w:val="en-US"/>
        </w:rPr>
        <w:t xml:space="preserve">comparative </w:t>
      </w:r>
      <w:r w:rsidR="00045722">
        <w:rPr>
          <w:lang w:val="en-US"/>
        </w:rPr>
        <w:t xml:space="preserve">randomised </w:t>
      </w:r>
      <w:r w:rsidRPr="007209B2">
        <w:rPr>
          <w:lang w:val="en-US"/>
        </w:rPr>
        <w:t xml:space="preserve">trials </w:t>
      </w:r>
      <w:r w:rsidR="00045722">
        <w:rPr>
          <w:lang w:val="en-US"/>
        </w:rPr>
        <w:t xml:space="preserve">of crizotinib </w:t>
      </w:r>
      <w:r w:rsidR="00436AA9">
        <w:rPr>
          <w:lang w:val="en-US"/>
        </w:rPr>
        <w:t xml:space="preserve">in </w:t>
      </w:r>
      <w:r w:rsidR="00436AA9" w:rsidRPr="00436AA9">
        <w:rPr>
          <w:i/>
          <w:lang w:val="en-US"/>
        </w:rPr>
        <w:t>ROS1</w:t>
      </w:r>
      <w:r w:rsidR="0036761F">
        <w:rPr>
          <w:lang w:val="en-US"/>
        </w:rPr>
        <w:t>-</w:t>
      </w:r>
      <w:r w:rsidR="00436AA9">
        <w:rPr>
          <w:lang w:val="en-US"/>
        </w:rPr>
        <w:t xml:space="preserve">positive NSCLC </w:t>
      </w:r>
      <w:r w:rsidRPr="007209B2">
        <w:rPr>
          <w:lang w:val="en-US"/>
        </w:rPr>
        <w:t xml:space="preserve">and the </w:t>
      </w:r>
      <w:r w:rsidR="00436AA9">
        <w:rPr>
          <w:lang w:val="en-US"/>
        </w:rPr>
        <w:t xml:space="preserve">naïve indirect </w:t>
      </w:r>
      <w:r w:rsidRPr="007209B2">
        <w:rPr>
          <w:lang w:val="en-US"/>
        </w:rPr>
        <w:t>comparisons presented were compromised by a number of factors including stage, histology, prior chemotherapy and ethnicity. MSAC noted that th</w:t>
      </w:r>
      <w:r w:rsidR="00DE0FBC">
        <w:rPr>
          <w:lang w:val="en-US"/>
        </w:rPr>
        <w:t>ese</w:t>
      </w:r>
      <w:r w:rsidRPr="007209B2">
        <w:rPr>
          <w:lang w:val="en-US"/>
        </w:rPr>
        <w:t xml:space="preserve"> data </w:t>
      </w:r>
      <w:r w:rsidR="00DE0FBC">
        <w:rPr>
          <w:lang w:val="en-US"/>
        </w:rPr>
        <w:t>are</w:t>
      </w:r>
      <w:r w:rsidRPr="007209B2">
        <w:rPr>
          <w:lang w:val="en-US"/>
        </w:rPr>
        <w:t xml:space="preserve"> the best available and further trials are unlikely.</w:t>
      </w:r>
    </w:p>
    <w:p w14:paraId="0B943A93" w14:textId="10404904" w:rsidR="000F7814" w:rsidRPr="007209B2" w:rsidRDefault="000F7814" w:rsidP="000F7814">
      <w:pPr>
        <w:spacing w:before="180" w:after="100" w:afterAutospacing="1"/>
        <w:rPr>
          <w:lang w:val="en-US"/>
        </w:rPr>
      </w:pPr>
      <w:r w:rsidRPr="007209B2">
        <w:rPr>
          <w:lang w:val="en-US"/>
        </w:rPr>
        <w:t xml:space="preserve">MSAC noted that FISH testing is the reference method for </w:t>
      </w:r>
      <w:r w:rsidRPr="007209B2">
        <w:rPr>
          <w:i/>
          <w:lang w:val="en-US"/>
        </w:rPr>
        <w:t>ROS1</w:t>
      </w:r>
      <w:r w:rsidRPr="007209B2">
        <w:rPr>
          <w:lang w:val="en-US"/>
        </w:rPr>
        <w:t xml:space="preserve"> testing and as such its analytical validity has been assumed. MSAC considered that although its reproducibility was not reported, </w:t>
      </w:r>
      <w:r w:rsidR="00436AA9">
        <w:rPr>
          <w:lang w:val="en-US"/>
        </w:rPr>
        <w:t>this</w:t>
      </w:r>
      <w:r w:rsidRPr="007209B2">
        <w:rPr>
          <w:lang w:val="en-US"/>
        </w:rPr>
        <w:t xml:space="preserve"> is assumed to be high.</w:t>
      </w:r>
    </w:p>
    <w:p w14:paraId="5097C4C9" w14:textId="40B85409" w:rsidR="000F7814" w:rsidRPr="007209B2" w:rsidRDefault="000F7814" w:rsidP="000F7814">
      <w:pPr>
        <w:spacing w:before="180" w:after="100" w:afterAutospacing="1"/>
        <w:rPr>
          <w:lang w:val="en-US"/>
        </w:rPr>
      </w:pPr>
      <w:r w:rsidRPr="007209B2">
        <w:rPr>
          <w:lang w:val="en-US"/>
        </w:rPr>
        <w:t xml:space="preserve">MSAC noted that ESC accepted the </w:t>
      </w:r>
      <w:r w:rsidRPr="005E1F58">
        <w:rPr>
          <w:lang w:val="en-US"/>
        </w:rPr>
        <w:t>ROS1</w:t>
      </w:r>
      <w:r w:rsidRPr="007209B2">
        <w:rPr>
          <w:lang w:val="en-US"/>
        </w:rPr>
        <w:t xml:space="preserve"> IHC sensitivity and specificity as presented in the pooled analyses was adequate for </w:t>
      </w:r>
      <w:r w:rsidR="00436AA9">
        <w:rPr>
          <w:lang w:val="en-US"/>
        </w:rPr>
        <w:t>triage</w:t>
      </w:r>
      <w:r w:rsidRPr="007209B2">
        <w:rPr>
          <w:lang w:val="en-US"/>
        </w:rPr>
        <w:t xml:space="preserve">, although the trials showed variable performance. MSAC recommended that </w:t>
      </w:r>
      <w:r w:rsidR="005E249A">
        <w:rPr>
          <w:lang w:val="en-US"/>
        </w:rPr>
        <w:t xml:space="preserve">the IHC and FISH </w:t>
      </w:r>
      <w:r w:rsidRPr="007209B2">
        <w:rPr>
          <w:lang w:val="en-US"/>
        </w:rPr>
        <w:t xml:space="preserve">testing </w:t>
      </w:r>
      <w:r w:rsidR="005E249A">
        <w:rPr>
          <w:lang w:val="en-US"/>
        </w:rPr>
        <w:t xml:space="preserve">of a sample </w:t>
      </w:r>
      <w:r w:rsidRPr="007209B2">
        <w:rPr>
          <w:lang w:val="en-US"/>
        </w:rPr>
        <w:t xml:space="preserve">should be conducted in </w:t>
      </w:r>
      <w:r w:rsidR="00436AA9">
        <w:rPr>
          <w:lang w:val="en-US"/>
        </w:rPr>
        <w:t xml:space="preserve">the same </w:t>
      </w:r>
      <w:proofErr w:type="spellStart"/>
      <w:r w:rsidRPr="007209B2">
        <w:rPr>
          <w:lang w:val="en-US"/>
        </w:rPr>
        <w:t>specialised</w:t>
      </w:r>
      <w:proofErr w:type="spellEnd"/>
      <w:r w:rsidRPr="007209B2">
        <w:rPr>
          <w:lang w:val="en-US"/>
        </w:rPr>
        <w:t xml:space="preserve"> central laboratory to ensure optimal </w:t>
      </w:r>
      <w:r w:rsidR="005E249A">
        <w:rPr>
          <w:lang w:val="en-US"/>
        </w:rPr>
        <w:t xml:space="preserve">test </w:t>
      </w:r>
      <w:r w:rsidRPr="007209B2">
        <w:rPr>
          <w:lang w:val="en-US"/>
        </w:rPr>
        <w:t>performance</w:t>
      </w:r>
      <w:r w:rsidR="005E249A">
        <w:rPr>
          <w:lang w:val="en-US"/>
        </w:rPr>
        <w:t xml:space="preserve"> overall.</w:t>
      </w:r>
    </w:p>
    <w:p w14:paraId="69653360" w14:textId="079556A3" w:rsidR="000F7814" w:rsidRPr="007209B2" w:rsidRDefault="000F7814" w:rsidP="000F7814">
      <w:pPr>
        <w:spacing w:before="180" w:after="100" w:afterAutospacing="1"/>
        <w:rPr>
          <w:lang w:val="en-US"/>
        </w:rPr>
      </w:pPr>
      <w:r w:rsidRPr="007209B2">
        <w:rPr>
          <w:lang w:val="en-US"/>
        </w:rPr>
        <w:t xml:space="preserve">MSAC noted that the evidence for the clinical utility of </w:t>
      </w:r>
      <w:r w:rsidRPr="007209B2">
        <w:rPr>
          <w:i/>
          <w:lang w:val="en-US"/>
        </w:rPr>
        <w:t>ROS1</w:t>
      </w:r>
      <w:r w:rsidRPr="007209B2">
        <w:rPr>
          <w:lang w:val="en-US"/>
        </w:rPr>
        <w:t xml:space="preserve"> FISH testing is mostly pre-clinical. This evidence is supported by the improved outcomes observed in non-comparative studies of </w:t>
      </w:r>
      <w:r w:rsidRPr="007209B2">
        <w:rPr>
          <w:i/>
          <w:lang w:val="en-US"/>
        </w:rPr>
        <w:t>ROS1</w:t>
      </w:r>
      <w:r w:rsidR="0036761F">
        <w:rPr>
          <w:lang w:val="en-US"/>
        </w:rPr>
        <w:t>-</w:t>
      </w:r>
      <w:r w:rsidRPr="007209B2">
        <w:rPr>
          <w:lang w:val="en-US"/>
        </w:rPr>
        <w:t xml:space="preserve">positive NSCLC patients treated with crizotinib. MSAC concluded that there is a strong biological plausibility for codependence of </w:t>
      </w:r>
      <w:r w:rsidRPr="007209B2">
        <w:rPr>
          <w:i/>
          <w:lang w:val="en-US"/>
        </w:rPr>
        <w:t>ROS1</w:t>
      </w:r>
      <w:r w:rsidRPr="007209B2">
        <w:rPr>
          <w:lang w:val="en-US"/>
        </w:rPr>
        <w:t xml:space="preserve"> testing and crizotinib treatment, which supports targeting crizotinib treatment to </w:t>
      </w:r>
      <w:r w:rsidRPr="007209B2">
        <w:rPr>
          <w:i/>
          <w:lang w:val="en-US"/>
        </w:rPr>
        <w:t>ROS1</w:t>
      </w:r>
      <w:r w:rsidRPr="007209B2">
        <w:rPr>
          <w:lang w:val="en-US"/>
        </w:rPr>
        <w:t>-pos</w:t>
      </w:r>
      <w:r w:rsidR="005E249A">
        <w:rPr>
          <w:lang w:val="en-US"/>
        </w:rPr>
        <w:t>itive patients.</w:t>
      </w:r>
    </w:p>
    <w:p w14:paraId="6A70DA57" w14:textId="784167A6" w:rsidR="000F7814" w:rsidRPr="007209B2" w:rsidRDefault="000F7814" w:rsidP="000F7814">
      <w:pPr>
        <w:spacing w:before="180" w:after="100" w:afterAutospacing="1"/>
        <w:rPr>
          <w:lang w:val="en-US"/>
        </w:rPr>
      </w:pPr>
      <w:r w:rsidRPr="007209B2">
        <w:rPr>
          <w:lang w:val="en-US"/>
        </w:rPr>
        <w:t xml:space="preserve">MSAC noted that the model was conducted over a time horizon of 10 years, which it considered was </w:t>
      </w:r>
      <w:r w:rsidR="005E249A">
        <w:rPr>
          <w:lang w:val="en-US"/>
        </w:rPr>
        <w:t xml:space="preserve">overly </w:t>
      </w:r>
      <w:r w:rsidRPr="007209B2">
        <w:rPr>
          <w:lang w:val="en-US"/>
        </w:rPr>
        <w:t xml:space="preserve">optimistic given the limited average survival in this patient population. However, MSAC noted that this aspect of the model was </w:t>
      </w:r>
      <w:r w:rsidR="005E249A">
        <w:rPr>
          <w:lang w:val="en-US"/>
        </w:rPr>
        <w:t xml:space="preserve">primarily </w:t>
      </w:r>
      <w:r w:rsidRPr="007209B2">
        <w:rPr>
          <w:lang w:val="en-US"/>
        </w:rPr>
        <w:t>within the rem</w:t>
      </w:r>
      <w:r w:rsidR="005E249A">
        <w:rPr>
          <w:lang w:val="en-US"/>
        </w:rPr>
        <w:t>it of PBAC assessment.</w:t>
      </w:r>
    </w:p>
    <w:p w14:paraId="06752E1A" w14:textId="401C734F" w:rsidR="000F7814" w:rsidRPr="007209B2" w:rsidRDefault="000F7814" w:rsidP="000F7814">
      <w:pPr>
        <w:spacing w:before="180" w:after="100" w:afterAutospacing="1"/>
        <w:rPr>
          <w:lang w:val="en-US"/>
        </w:rPr>
      </w:pPr>
      <w:r w:rsidRPr="007209B2">
        <w:rPr>
          <w:lang w:val="en-US"/>
        </w:rPr>
        <w:t>MSAC noted that the overall uptake assumed in the model was low (</w:t>
      </w:r>
      <w:proofErr w:type="gramStart"/>
      <w:r w:rsidR="004C6121" w:rsidRPr="006B67E0">
        <w:rPr>
          <w:rFonts w:eastAsia="Calibri"/>
          <w:b/>
          <w:szCs w:val="24"/>
          <w:lang w:eastAsia="en-US"/>
        </w:rPr>
        <w:t>redacted</w:t>
      </w:r>
      <w:r w:rsidRPr="007209B2">
        <w:rPr>
          <w:lang w:val="en-US"/>
        </w:rPr>
        <w:t>%</w:t>
      </w:r>
      <w:proofErr w:type="gramEnd"/>
      <w:r w:rsidRPr="007209B2">
        <w:rPr>
          <w:lang w:val="en-US"/>
        </w:rPr>
        <w:t xml:space="preserve">), however this assumption had little impact on the overall cost. MSAC noted that the patient population who would be eligible for treatment with crizotinib under the proposed listing is small. MSAC noted that the estimated </w:t>
      </w:r>
      <w:r w:rsidR="005E249A">
        <w:rPr>
          <w:lang w:val="en-US"/>
        </w:rPr>
        <w:t xml:space="preserve">annual </w:t>
      </w:r>
      <w:r w:rsidRPr="007209B2">
        <w:rPr>
          <w:lang w:val="en-US"/>
        </w:rPr>
        <w:t>cost to the MBS was $</w:t>
      </w:r>
      <w:r w:rsidR="004C6121" w:rsidRPr="006B67E0">
        <w:rPr>
          <w:rFonts w:eastAsia="Calibri"/>
          <w:b/>
          <w:szCs w:val="24"/>
          <w:lang w:eastAsia="en-US"/>
        </w:rPr>
        <w:t>redacted</w:t>
      </w:r>
      <w:r w:rsidR="004C6121" w:rsidRPr="007209B2">
        <w:rPr>
          <w:lang w:val="en-US"/>
        </w:rPr>
        <w:t xml:space="preserve"> </w:t>
      </w:r>
      <w:r w:rsidRPr="007209B2">
        <w:rPr>
          <w:lang w:val="en-US"/>
        </w:rPr>
        <w:t>to $</w:t>
      </w:r>
      <w:r w:rsidR="004C6121" w:rsidRPr="006B67E0">
        <w:rPr>
          <w:rFonts w:eastAsia="Calibri"/>
          <w:b/>
          <w:szCs w:val="24"/>
          <w:lang w:eastAsia="en-US"/>
        </w:rPr>
        <w:t>redacted</w:t>
      </w:r>
      <w:r w:rsidRPr="007209B2">
        <w:rPr>
          <w:lang w:val="en-US"/>
        </w:rPr>
        <w:t xml:space="preserve">. MSAC </w:t>
      </w:r>
      <w:r w:rsidRPr="007209B2">
        <w:t>recognised</w:t>
      </w:r>
      <w:r w:rsidRPr="007209B2">
        <w:rPr>
          <w:lang w:val="en-US"/>
        </w:rPr>
        <w:t xml:space="preserve"> that</w:t>
      </w:r>
      <w:r w:rsidR="005E249A">
        <w:rPr>
          <w:lang w:val="en-US"/>
        </w:rPr>
        <w:t>,</w:t>
      </w:r>
      <w:r w:rsidRPr="007209B2">
        <w:rPr>
          <w:lang w:val="en-US"/>
        </w:rPr>
        <w:t xml:space="preserve"> in comparison to the </w:t>
      </w:r>
      <w:r w:rsidR="005E249A">
        <w:rPr>
          <w:lang w:val="en-US"/>
        </w:rPr>
        <w:t xml:space="preserve">estimated annual </w:t>
      </w:r>
      <w:r w:rsidRPr="007209B2">
        <w:rPr>
          <w:lang w:val="en-US"/>
        </w:rPr>
        <w:t>cost to the PBS of crizotinib (around $</w:t>
      </w:r>
      <w:r w:rsidR="004C6121" w:rsidRPr="004C6121">
        <w:rPr>
          <w:rFonts w:eastAsia="Calibri"/>
          <w:b/>
          <w:szCs w:val="24"/>
          <w:lang w:eastAsia="en-US"/>
        </w:rPr>
        <w:t xml:space="preserve"> </w:t>
      </w:r>
      <w:r w:rsidR="004C6121" w:rsidRPr="006B67E0">
        <w:rPr>
          <w:rFonts w:eastAsia="Calibri"/>
          <w:b/>
          <w:szCs w:val="24"/>
          <w:lang w:eastAsia="en-US"/>
        </w:rPr>
        <w:t>redacted</w:t>
      </w:r>
      <w:r w:rsidRPr="007209B2">
        <w:rPr>
          <w:lang w:val="en-US"/>
        </w:rPr>
        <w:t xml:space="preserve"> to $</w:t>
      </w:r>
      <w:r w:rsidR="004C6121" w:rsidRPr="006B67E0">
        <w:rPr>
          <w:rFonts w:eastAsia="Calibri"/>
          <w:b/>
          <w:szCs w:val="24"/>
          <w:lang w:eastAsia="en-US"/>
        </w:rPr>
        <w:t>redacted</w:t>
      </w:r>
      <w:r w:rsidRPr="007209B2">
        <w:rPr>
          <w:lang w:val="en-US"/>
        </w:rPr>
        <w:t>)</w:t>
      </w:r>
      <w:r w:rsidR="005E249A">
        <w:rPr>
          <w:lang w:val="en-US"/>
        </w:rPr>
        <w:t>,</w:t>
      </w:r>
      <w:r w:rsidRPr="007209B2">
        <w:rPr>
          <w:lang w:val="en-US"/>
        </w:rPr>
        <w:t xml:space="preserve"> the cost of testing is modest and makes little difference to the overall cost impact.</w:t>
      </w:r>
    </w:p>
    <w:p w14:paraId="58763D89" w14:textId="77777777" w:rsidR="00BC1364" w:rsidRPr="00F715D1" w:rsidRDefault="00BC1364" w:rsidP="00F715D1">
      <w:pPr>
        <w:pStyle w:val="Heading1"/>
      </w:pPr>
      <w:r w:rsidRPr="00F715D1">
        <w:t>Background</w:t>
      </w:r>
    </w:p>
    <w:p w14:paraId="519D03D8" w14:textId="55719135" w:rsidR="002C7155" w:rsidRPr="002C7155" w:rsidRDefault="002C7155" w:rsidP="00A91007">
      <w:pPr>
        <w:spacing w:after="120"/>
        <w:rPr>
          <w:szCs w:val="24"/>
          <w:lang w:bidi="en-US"/>
        </w:rPr>
      </w:pPr>
      <w:r w:rsidRPr="002C7155">
        <w:rPr>
          <w:szCs w:val="24"/>
          <w:lang w:bidi="en-US"/>
        </w:rPr>
        <w:t xml:space="preserve">MSAC considered Application 1454 at its November 2017 meeting. </w:t>
      </w:r>
      <w:r w:rsidRPr="002C7155">
        <w:rPr>
          <w:szCs w:val="24"/>
          <w:lang w:val="en-US"/>
        </w:rPr>
        <w:t xml:space="preserve">MSAC </w:t>
      </w:r>
      <w:r w:rsidRPr="002C7155">
        <w:rPr>
          <w:szCs w:val="24"/>
        </w:rPr>
        <w:t>deferred its advice until the PBAC recommend</w:t>
      </w:r>
      <w:r>
        <w:rPr>
          <w:szCs w:val="24"/>
        </w:rPr>
        <w:t>ed</w:t>
      </w:r>
      <w:r w:rsidRPr="002C7155">
        <w:rPr>
          <w:szCs w:val="24"/>
        </w:rPr>
        <w:t xml:space="preserve"> the PBS listing of crizotinib for</w:t>
      </w:r>
      <w:r>
        <w:rPr>
          <w:szCs w:val="24"/>
        </w:rPr>
        <w:t xml:space="preserve"> this population.</w:t>
      </w:r>
    </w:p>
    <w:p w14:paraId="49F504C6" w14:textId="727E93B8" w:rsidR="002C7155" w:rsidRDefault="00A91007" w:rsidP="00A91007">
      <w:pPr>
        <w:spacing w:after="120"/>
        <w:rPr>
          <w:szCs w:val="28"/>
          <w:lang w:bidi="en-US"/>
        </w:rPr>
      </w:pPr>
      <w:r w:rsidRPr="00420D95">
        <w:rPr>
          <w:i/>
          <w:szCs w:val="28"/>
          <w:lang w:bidi="en-US"/>
        </w:rPr>
        <w:t>ALK</w:t>
      </w:r>
      <w:r w:rsidRPr="003051E3">
        <w:rPr>
          <w:szCs w:val="28"/>
          <w:lang w:bidi="en-US"/>
        </w:rPr>
        <w:t xml:space="preserve"> FISH testing was considered by MSAC at its November 2013 and November 2014 meetings. At the November 2014 </w:t>
      </w:r>
      <w:r>
        <w:rPr>
          <w:szCs w:val="28"/>
          <w:lang w:bidi="en-US"/>
        </w:rPr>
        <w:t xml:space="preserve">MSAC </w:t>
      </w:r>
      <w:r w:rsidRPr="003051E3">
        <w:rPr>
          <w:szCs w:val="28"/>
          <w:lang w:bidi="en-US"/>
        </w:rPr>
        <w:t xml:space="preserve">consideration, </w:t>
      </w:r>
      <w:r w:rsidRPr="00420D95">
        <w:rPr>
          <w:i/>
          <w:szCs w:val="28"/>
          <w:lang w:bidi="en-US"/>
        </w:rPr>
        <w:t>ALK</w:t>
      </w:r>
      <w:r w:rsidRPr="003051E3">
        <w:rPr>
          <w:szCs w:val="28"/>
          <w:lang w:bidi="en-US"/>
        </w:rPr>
        <w:t xml:space="preserve"> FISH testing was supported for </w:t>
      </w:r>
      <w:r w:rsidRPr="003051E3">
        <w:rPr>
          <w:szCs w:val="28"/>
          <w:lang w:bidi="en-US"/>
        </w:rPr>
        <w:lastRenderedPageBreak/>
        <w:t xml:space="preserve">patients with locally advanced or metastatic, non-squamous or histology NOS NSCLC with a documented absence of </w:t>
      </w:r>
      <w:r w:rsidRPr="00420D95">
        <w:rPr>
          <w:i/>
          <w:szCs w:val="28"/>
          <w:lang w:bidi="en-US"/>
        </w:rPr>
        <w:t>EGFR</w:t>
      </w:r>
      <w:r w:rsidRPr="003051E3">
        <w:rPr>
          <w:szCs w:val="28"/>
          <w:lang w:bidi="en-US"/>
        </w:rPr>
        <w:t xml:space="preserve"> activating mutations and </w:t>
      </w:r>
      <w:r w:rsidRPr="00C06002">
        <w:rPr>
          <w:szCs w:val="28"/>
          <w:lang w:bidi="en-US"/>
        </w:rPr>
        <w:t>ALK</w:t>
      </w:r>
      <w:r w:rsidR="0036761F">
        <w:rPr>
          <w:szCs w:val="28"/>
          <w:lang w:bidi="en-US"/>
        </w:rPr>
        <w:t xml:space="preserve"> immunoreactivity by IHC.</w:t>
      </w:r>
    </w:p>
    <w:p w14:paraId="3B1367B6" w14:textId="77777777" w:rsidR="002C7155" w:rsidRPr="00213FBA" w:rsidRDefault="002C7155" w:rsidP="002C7155">
      <w:pPr>
        <w:tabs>
          <w:tab w:val="left" w:pos="720"/>
          <w:tab w:val="left" w:pos="1140"/>
        </w:tabs>
        <w:spacing w:after="240"/>
        <w:rPr>
          <w:szCs w:val="24"/>
        </w:rPr>
      </w:pPr>
      <w:r w:rsidRPr="00213FBA">
        <w:rPr>
          <w:szCs w:val="24"/>
        </w:rPr>
        <w:t xml:space="preserve">The Public Summary Documents (PSDs) for these applications can be found on the MSAC website at </w:t>
      </w:r>
      <w:hyperlink r:id="rId10" w:tooltip="Link to Medical Services Advisory Committee website" w:history="1">
        <w:r w:rsidRPr="00213FBA">
          <w:rPr>
            <w:rStyle w:val="Hyperlink"/>
            <w:rFonts w:eastAsiaTheme="majorEastAsia"/>
            <w:szCs w:val="24"/>
          </w:rPr>
          <w:t>www.msac.gov.au</w:t>
        </w:r>
      </w:hyperlink>
      <w:r w:rsidRPr="00213FBA">
        <w:rPr>
          <w:szCs w:val="24"/>
        </w:rPr>
        <w:t>.</w:t>
      </w:r>
    </w:p>
    <w:p w14:paraId="57C4FC64" w14:textId="77777777" w:rsidR="002C7155" w:rsidRPr="003051E3" w:rsidRDefault="002C7155" w:rsidP="00A91007">
      <w:pPr>
        <w:spacing w:after="120"/>
        <w:rPr>
          <w:szCs w:val="28"/>
          <w:lang w:bidi="en-US"/>
        </w:rPr>
      </w:pPr>
    </w:p>
    <w:p w14:paraId="1D80772C" w14:textId="77777777" w:rsidR="00BC1364" w:rsidRPr="00F715D1" w:rsidRDefault="00BC1364" w:rsidP="00F715D1">
      <w:pPr>
        <w:pStyle w:val="Heading1"/>
      </w:pPr>
      <w:r w:rsidRPr="00F715D1">
        <w:t>Prerequisites to implementation of any funding advice</w:t>
      </w:r>
    </w:p>
    <w:p w14:paraId="646883C3" w14:textId="77777777" w:rsidR="00A91007" w:rsidRPr="00605115" w:rsidRDefault="00A91007" w:rsidP="00A91007">
      <w:pPr>
        <w:spacing w:after="120"/>
        <w:rPr>
          <w:szCs w:val="28"/>
          <w:lang w:bidi="en-US"/>
        </w:rPr>
      </w:pPr>
      <w:r w:rsidRPr="00605115">
        <w:rPr>
          <w:szCs w:val="28"/>
          <w:lang w:bidi="en-US"/>
        </w:rPr>
        <w:t xml:space="preserve">Currently, there are no TGA approved tests for </w:t>
      </w:r>
      <w:r w:rsidRPr="00605115">
        <w:rPr>
          <w:i/>
          <w:szCs w:val="28"/>
          <w:lang w:bidi="en-US"/>
        </w:rPr>
        <w:t>ROS1</w:t>
      </w:r>
      <w:r w:rsidRPr="00605115">
        <w:rPr>
          <w:szCs w:val="28"/>
          <w:lang w:bidi="en-US"/>
        </w:rPr>
        <w:t xml:space="preserve"> gene rearrangement. </w:t>
      </w:r>
      <w:r w:rsidRPr="00605115">
        <w:rPr>
          <w:i/>
          <w:szCs w:val="28"/>
          <w:lang w:bidi="en-US"/>
        </w:rPr>
        <w:t>ROS1</w:t>
      </w:r>
      <w:r w:rsidRPr="00605115">
        <w:rPr>
          <w:szCs w:val="28"/>
          <w:lang w:bidi="en-US"/>
        </w:rPr>
        <w:t xml:space="preserve"> FISH testing items would be regulated by the TGA as in-vitro diagnostic medical devices (IVDs).</w:t>
      </w:r>
    </w:p>
    <w:p w14:paraId="1893B333" w14:textId="77777777" w:rsidR="00A91007" w:rsidRDefault="00A91007" w:rsidP="00A91007">
      <w:pPr>
        <w:spacing w:after="120"/>
        <w:rPr>
          <w:szCs w:val="28"/>
          <w:lang w:bidi="en-US"/>
        </w:rPr>
      </w:pPr>
      <w:r w:rsidRPr="00605115">
        <w:rPr>
          <w:szCs w:val="28"/>
          <w:lang w:bidi="en-US"/>
        </w:rPr>
        <w:t xml:space="preserve">The </w:t>
      </w:r>
      <w:r>
        <w:rPr>
          <w:szCs w:val="28"/>
          <w:lang w:bidi="en-US"/>
        </w:rPr>
        <w:t>application</w:t>
      </w:r>
      <w:r w:rsidRPr="00605115">
        <w:rPr>
          <w:szCs w:val="28"/>
          <w:lang w:bidi="en-US"/>
        </w:rPr>
        <w:t xml:space="preserve"> stated that there were no commercially available FISH test kits for </w:t>
      </w:r>
      <w:r w:rsidRPr="005E1F58">
        <w:rPr>
          <w:i/>
          <w:szCs w:val="28"/>
          <w:lang w:bidi="en-US"/>
        </w:rPr>
        <w:t>ROS1</w:t>
      </w:r>
      <w:r w:rsidRPr="00605115">
        <w:rPr>
          <w:szCs w:val="28"/>
          <w:lang w:bidi="en-US"/>
        </w:rPr>
        <w:t xml:space="preserve"> testing in Australia. </w:t>
      </w:r>
      <w:r>
        <w:rPr>
          <w:szCs w:val="28"/>
          <w:lang w:bidi="en-US"/>
        </w:rPr>
        <w:t xml:space="preserve">However, </w:t>
      </w:r>
      <w:r w:rsidRPr="00605115">
        <w:rPr>
          <w:i/>
          <w:szCs w:val="28"/>
          <w:lang w:bidi="en-US"/>
        </w:rPr>
        <w:t>ROS1</w:t>
      </w:r>
      <w:r w:rsidRPr="00605115">
        <w:rPr>
          <w:szCs w:val="28"/>
          <w:lang w:bidi="en-US"/>
        </w:rPr>
        <w:t xml:space="preserve"> Break Apart FISH probes are commercially available.</w:t>
      </w:r>
    </w:p>
    <w:p w14:paraId="754E5975" w14:textId="77777777" w:rsidR="00BC1364" w:rsidRPr="00F715D1" w:rsidRDefault="00BC1364" w:rsidP="00F715D1">
      <w:pPr>
        <w:pStyle w:val="Heading1"/>
      </w:pPr>
      <w:r w:rsidRPr="00F715D1">
        <w:t>Proposal for public funding</w:t>
      </w:r>
    </w:p>
    <w:p w14:paraId="59CAC49B" w14:textId="77777777" w:rsidR="00A91007" w:rsidRPr="003051E3" w:rsidRDefault="006F05B0" w:rsidP="00A91007">
      <w:pPr>
        <w:keepNext/>
        <w:rPr>
          <w:rFonts w:ascii="Arial" w:hAnsi="Arial" w:cs="Arial"/>
          <w:b/>
          <w:snapToGrid w:val="0"/>
          <w:vanish/>
          <w:sz w:val="22"/>
        </w:rPr>
      </w:pPr>
      <w:r>
        <w:rPr>
          <w:rFonts w:ascii="Arial Narrow" w:hAnsi="Arial Narrow"/>
          <w:b/>
          <w:sz w:val="20"/>
        </w:rPr>
        <w:t xml:space="preserve">Table </w:t>
      </w:r>
      <w:r w:rsidR="00A91007">
        <w:rPr>
          <w:rFonts w:ascii="Arial Narrow" w:hAnsi="Arial Narrow"/>
          <w:b/>
          <w:sz w:val="20"/>
        </w:rPr>
        <w:t>1</w:t>
      </w:r>
      <w:r w:rsidR="00A91007" w:rsidRPr="003051E3">
        <w:rPr>
          <w:rFonts w:ascii="Arial Narrow" w:hAnsi="Arial Narrow"/>
          <w:b/>
          <w:sz w:val="20"/>
        </w:rPr>
        <w:t xml:space="preserve">: Proposed MBS item </w:t>
      </w:r>
      <w:proofErr w:type="spellStart"/>
      <w:r w:rsidR="00A91007" w:rsidRPr="003051E3">
        <w:rPr>
          <w:rFonts w:ascii="Arial Narrow" w:hAnsi="Arial Narrow"/>
          <w:b/>
          <w:sz w:val="20"/>
        </w:rPr>
        <w:t>descriptor</w:t>
      </w:r>
    </w:p>
    <w:tbl>
      <w:tblPr>
        <w:tblStyle w:val="Summarybox11"/>
        <w:tblW w:w="0" w:type="auto"/>
        <w:tblLook w:val="04A0" w:firstRow="1" w:lastRow="0" w:firstColumn="1" w:lastColumn="0" w:noHBand="0" w:noVBand="1"/>
        <w:tblDescription w:val="The applicant's proposed MBS item descriptor for the test"/>
      </w:tblPr>
      <w:tblGrid>
        <w:gridCol w:w="9242"/>
      </w:tblGrid>
      <w:tr w:rsidR="00A91007" w:rsidRPr="003051E3" w14:paraId="40B1AF9E" w14:textId="77777777" w:rsidTr="0003401A">
        <w:trPr>
          <w:tblHeader/>
        </w:trPr>
        <w:tc>
          <w:tcPr>
            <w:tcW w:w="9242" w:type="dxa"/>
            <w:shd w:val="clear" w:color="auto" w:fill="auto"/>
          </w:tcPr>
          <w:p w14:paraId="52E545C0" w14:textId="77777777" w:rsidR="00A91007" w:rsidRPr="003051E3" w:rsidRDefault="00A91007" w:rsidP="000E1556">
            <w:pPr>
              <w:keepNext/>
              <w:spacing w:before="40" w:after="40"/>
              <w:jc w:val="both"/>
              <w:rPr>
                <w:rFonts w:ascii="Arial Narrow" w:hAnsi="Arial Narrow"/>
                <w:b/>
                <w:sz w:val="20"/>
              </w:rPr>
            </w:pPr>
            <w:r w:rsidRPr="003051E3">
              <w:rPr>
                <w:rFonts w:ascii="Arial Narrow" w:hAnsi="Arial Narrow"/>
                <w:b/>
                <w:sz w:val="20"/>
              </w:rPr>
              <w:t>Category</w:t>
            </w:r>
            <w:proofErr w:type="spellEnd"/>
            <w:r w:rsidRPr="003051E3">
              <w:rPr>
                <w:rFonts w:ascii="Arial Narrow" w:hAnsi="Arial Narrow"/>
                <w:b/>
                <w:sz w:val="20"/>
              </w:rPr>
              <w:t xml:space="preserve"> 6 – Pathology Service</w:t>
            </w:r>
          </w:p>
        </w:tc>
      </w:tr>
      <w:tr w:rsidR="00A91007" w:rsidRPr="003051E3" w14:paraId="7BA95858" w14:textId="77777777" w:rsidTr="000E1556">
        <w:tc>
          <w:tcPr>
            <w:tcW w:w="9242" w:type="dxa"/>
            <w:shd w:val="clear" w:color="auto" w:fill="auto"/>
          </w:tcPr>
          <w:p w14:paraId="7BAB0435" w14:textId="77777777" w:rsidR="00A91007" w:rsidRPr="003051E3" w:rsidRDefault="00A91007" w:rsidP="000E1556">
            <w:pPr>
              <w:keepNext/>
              <w:spacing w:before="40" w:after="40"/>
              <w:jc w:val="both"/>
              <w:rPr>
                <w:rFonts w:ascii="Arial Narrow" w:hAnsi="Arial Narrow"/>
                <w:sz w:val="20"/>
              </w:rPr>
            </w:pPr>
            <w:r w:rsidRPr="003051E3">
              <w:rPr>
                <w:rFonts w:ascii="Arial Narrow" w:hAnsi="Arial Narrow"/>
                <w:b/>
                <w:sz w:val="20"/>
              </w:rPr>
              <w:t>MBS item number</w:t>
            </w:r>
            <w:r w:rsidRPr="003051E3">
              <w:rPr>
                <w:rFonts w:ascii="Arial Narrow" w:hAnsi="Arial Narrow"/>
                <w:sz w:val="20"/>
              </w:rPr>
              <w:t>: to be advised</w:t>
            </w:r>
          </w:p>
          <w:p w14:paraId="6ACD4DDA" w14:textId="77777777" w:rsidR="00A91007" w:rsidRPr="003051E3" w:rsidRDefault="00A91007" w:rsidP="000E1556">
            <w:pPr>
              <w:keepNext/>
              <w:spacing w:before="40" w:after="40"/>
              <w:jc w:val="both"/>
              <w:rPr>
                <w:rFonts w:ascii="Arial Narrow" w:hAnsi="Arial Narrow"/>
                <w:sz w:val="20"/>
              </w:rPr>
            </w:pPr>
            <w:r w:rsidRPr="003051E3">
              <w:rPr>
                <w:rFonts w:ascii="Arial Narrow" w:hAnsi="Arial Narrow"/>
                <w:sz w:val="20"/>
              </w:rPr>
              <w:t>Fluorescence in situ hybridization (FISH) test of tumour tissue from a patient:</w:t>
            </w:r>
          </w:p>
          <w:p w14:paraId="613093E9" w14:textId="77777777" w:rsidR="00A91007" w:rsidRPr="003051E3" w:rsidRDefault="00A91007" w:rsidP="00A91007">
            <w:pPr>
              <w:keepNext/>
              <w:numPr>
                <w:ilvl w:val="0"/>
                <w:numId w:val="28"/>
              </w:numPr>
              <w:spacing w:before="40" w:after="40"/>
              <w:jc w:val="both"/>
              <w:rPr>
                <w:rFonts w:ascii="Arial Narrow" w:hAnsi="Arial Narrow"/>
                <w:sz w:val="20"/>
              </w:rPr>
            </w:pPr>
            <w:r w:rsidRPr="003051E3">
              <w:rPr>
                <w:rFonts w:ascii="Arial Narrow" w:hAnsi="Arial Narrow"/>
                <w:sz w:val="20"/>
              </w:rPr>
              <w:t xml:space="preserve">with locally advanced or metastatic non-small-cell lung cancer (NSCLC), which is of non-squamous histology or histology not otherwise specified, </w:t>
            </w:r>
          </w:p>
          <w:p w14:paraId="1FA74B41" w14:textId="77777777" w:rsidR="00A91007" w:rsidRPr="003051E3" w:rsidRDefault="00A91007" w:rsidP="00A91007">
            <w:pPr>
              <w:keepNext/>
              <w:numPr>
                <w:ilvl w:val="0"/>
                <w:numId w:val="28"/>
              </w:numPr>
              <w:spacing w:before="40" w:after="40"/>
              <w:jc w:val="both"/>
              <w:rPr>
                <w:rFonts w:ascii="Arial Narrow" w:hAnsi="Arial Narrow"/>
                <w:sz w:val="20"/>
              </w:rPr>
            </w:pPr>
            <w:r w:rsidRPr="003051E3">
              <w:rPr>
                <w:rFonts w:ascii="Arial Narrow" w:hAnsi="Arial Narrow"/>
                <w:sz w:val="20"/>
              </w:rPr>
              <w:t xml:space="preserve">with documented evidence of </w:t>
            </w:r>
            <w:r w:rsidRPr="00420D95">
              <w:rPr>
                <w:rFonts w:ascii="Arial Narrow" w:hAnsi="Arial Narrow"/>
                <w:i/>
                <w:sz w:val="20"/>
              </w:rPr>
              <w:t>ROS1</w:t>
            </w:r>
            <w:r w:rsidRPr="003051E3">
              <w:rPr>
                <w:rFonts w:ascii="Arial Narrow" w:hAnsi="Arial Narrow"/>
                <w:sz w:val="20"/>
              </w:rPr>
              <w:t xml:space="preserve"> immunoreactivity by </w:t>
            </w:r>
            <w:proofErr w:type="spellStart"/>
            <w:r w:rsidRPr="003051E3">
              <w:rPr>
                <w:rFonts w:ascii="Arial Narrow" w:hAnsi="Arial Narrow"/>
                <w:sz w:val="20"/>
              </w:rPr>
              <w:t>immunohistochemical</w:t>
            </w:r>
            <w:proofErr w:type="spellEnd"/>
            <w:r w:rsidRPr="003051E3">
              <w:rPr>
                <w:rFonts w:ascii="Arial Narrow" w:hAnsi="Arial Narrow"/>
                <w:sz w:val="20"/>
              </w:rPr>
              <w:t xml:space="preserve"> (IHC) examination giving a staining intensity score of 2+ or 3+, and</w:t>
            </w:r>
          </w:p>
          <w:p w14:paraId="6FFECEE2" w14:textId="77777777" w:rsidR="00A91007" w:rsidRPr="003051E3" w:rsidRDefault="00A91007" w:rsidP="00A91007">
            <w:pPr>
              <w:keepNext/>
              <w:numPr>
                <w:ilvl w:val="0"/>
                <w:numId w:val="28"/>
              </w:numPr>
              <w:spacing w:before="40" w:after="40"/>
              <w:jc w:val="both"/>
              <w:rPr>
                <w:rFonts w:ascii="Arial Narrow" w:hAnsi="Arial Narrow"/>
                <w:sz w:val="20"/>
              </w:rPr>
            </w:pPr>
            <w:r w:rsidRPr="003051E3">
              <w:rPr>
                <w:rFonts w:ascii="Arial Narrow" w:hAnsi="Arial Narrow"/>
                <w:sz w:val="20"/>
              </w:rPr>
              <w:t>with documented absence of either activating mutations of the epidermal growth factor receptor (</w:t>
            </w:r>
            <w:r w:rsidRPr="00420D95">
              <w:rPr>
                <w:rFonts w:ascii="Arial Narrow" w:hAnsi="Arial Narrow"/>
                <w:i/>
                <w:sz w:val="20"/>
              </w:rPr>
              <w:t>EGFR</w:t>
            </w:r>
            <w:r w:rsidRPr="003051E3">
              <w:rPr>
                <w:rFonts w:ascii="Arial Narrow" w:hAnsi="Arial Narrow"/>
                <w:sz w:val="20"/>
              </w:rPr>
              <w:t>) gene or anaplastic lymphoma kinase (</w:t>
            </w:r>
            <w:r w:rsidRPr="00420D95">
              <w:rPr>
                <w:rFonts w:ascii="Arial Narrow" w:hAnsi="Arial Narrow"/>
                <w:i/>
                <w:sz w:val="20"/>
              </w:rPr>
              <w:t>ALK</w:t>
            </w:r>
            <w:r w:rsidRPr="003051E3">
              <w:rPr>
                <w:rFonts w:ascii="Arial Narrow" w:hAnsi="Arial Narrow"/>
                <w:sz w:val="20"/>
              </w:rPr>
              <w:t>) gene rearrangement, requested by a specialist or consultant physician</w:t>
            </w:r>
          </w:p>
          <w:p w14:paraId="2C02CB12" w14:textId="1F6EC244" w:rsidR="00A91007" w:rsidRPr="00A66A11" w:rsidRDefault="00A91007" w:rsidP="000E1556">
            <w:pPr>
              <w:keepNext/>
              <w:numPr>
                <w:ilvl w:val="0"/>
                <w:numId w:val="28"/>
              </w:numPr>
              <w:spacing w:before="40" w:after="40"/>
              <w:jc w:val="both"/>
              <w:rPr>
                <w:rFonts w:ascii="Arial Narrow" w:hAnsi="Arial Narrow"/>
                <w:sz w:val="20"/>
              </w:rPr>
            </w:pPr>
            <w:proofErr w:type="gramStart"/>
            <w:r w:rsidRPr="003051E3">
              <w:rPr>
                <w:rFonts w:ascii="Arial Narrow" w:hAnsi="Arial Narrow"/>
                <w:sz w:val="20"/>
              </w:rPr>
              <w:t>to</w:t>
            </w:r>
            <w:proofErr w:type="gramEnd"/>
            <w:r w:rsidRPr="003051E3">
              <w:rPr>
                <w:rFonts w:ascii="Arial Narrow" w:hAnsi="Arial Narrow"/>
                <w:sz w:val="20"/>
              </w:rPr>
              <w:t xml:space="preserve"> determine if requirements relating to </w:t>
            </w:r>
            <w:r w:rsidRPr="00420D95">
              <w:rPr>
                <w:rFonts w:ascii="Arial Narrow" w:hAnsi="Arial Narrow"/>
                <w:i/>
                <w:sz w:val="20"/>
              </w:rPr>
              <w:t>ROS1</w:t>
            </w:r>
            <w:r w:rsidRPr="003051E3">
              <w:rPr>
                <w:rFonts w:ascii="Arial Narrow" w:hAnsi="Arial Narrow"/>
                <w:sz w:val="20"/>
              </w:rPr>
              <w:t xml:space="preserve"> gene rearrangement status for access to crizotinib under the Pharmaceutical Benefits Scheme (PBS) are fulfilled.</w:t>
            </w:r>
          </w:p>
          <w:p w14:paraId="02354743" w14:textId="77777777" w:rsidR="00A91007" w:rsidRPr="003051E3" w:rsidRDefault="00A91007" w:rsidP="000E1556">
            <w:pPr>
              <w:keepNext/>
              <w:spacing w:before="40" w:after="40"/>
              <w:rPr>
                <w:rFonts w:ascii="Arial Narrow" w:hAnsi="Arial Narrow"/>
                <w:sz w:val="20"/>
              </w:rPr>
            </w:pPr>
            <w:r w:rsidRPr="003051E3">
              <w:rPr>
                <w:rFonts w:ascii="Arial Narrow" w:hAnsi="Arial Narrow"/>
                <w:sz w:val="20"/>
              </w:rPr>
              <w:t>Fee: $400.00</w:t>
            </w:r>
          </w:p>
          <w:p w14:paraId="5B91990C" w14:textId="55CA6D46" w:rsidR="00A91007" w:rsidRPr="003051E3" w:rsidRDefault="00A91007" w:rsidP="009C087E">
            <w:pPr>
              <w:keepNext/>
              <w:spacing w:before="40" w:after="40"/>
              <w:rPr>
                <w:rFonts w:ascii="Arial Narrow" w:hAnsi="Arial Narrow"/>
                <w:sz w:val="20"/>
              </w:rPr>
            </w:pPr>
            <w:r w:rsidRPr="003051E3">
              <w:rPr>
                <w:rFonts w:ascii="Arial Narrow" w:hAnsi="Arial Narrow"/>
                <w:sz w:val="20"/>
              </w:rPr>
              <w:t>Benefit: 75% = $300.00; 85% = $340.00</w:t>
            </w:r>
          </w:p>
        </w:tc>
      </w:tr>
    </w:tbl>
    <w:p w14:paraId="19749676" w14:textId="4FB55A1D" w:rsidR="00F64FB0" w:rsidRDefault="00A91007" w:rsidP="0036761F">
      <w:pPr>
        <w:spacing w:before="120" w:after="120"/>
      </w:pPr>
      <w:r w:rsidRPr="003051E3">
        <w:t xml:space="preserve">Consistent with the related current item for </w:t>
      </w:r>
      <w:r w:rsidRPr="00420D95">
        <w:rPr>
          <w:i/>
        </w:rPr>
        <w:t>ALK</w:t>
      </w:r>
      <w:r w:rsidRPr="003051E3">
        <w:t xml:space="preserve"> testing, the proposed MBS item descriptor was not limited to use following failure of first-line NSCLC treatment</w:t>
      </w:r>
      <w:r w:rsidR="00F64FB0">
        <w:t xml:space="preserve"> and </w:t>
      </w:r>
      <w:r w:rsidRPr="003051E3">
        <w:t xml:space="preserve">was specific to </w:t>
      </w:r>
      <w:r w:rsidRPr="00420D95">
        <w:rPr>
          <w:i/>
        </w:rPr>
        <w:t>ROS1</w:t>
      </w:r>
      <w:r w:rsidRPr="003051E3">
        <w:t xml:space="preserve"> gene</w:t>
      </w:r>
      <w:r w:rsidR="005E1F58">
        <w:t xml:space="preserve"> rearrangement testing by FISH.</w:t>
      </w:r>
    </w:p>
    <w:p w14:paraId="28BCFA58" w14:textId="77777777" w:rsidR="00A91007" w:rsidRDefault="00A91007" w:rsidP="00A91007">
      <w:pPr>
        <w:spacing w:after="120"/>
      </w:pPr>
      <w:r w:rsidRPr="003051E3">
        <w:t xml:space="preserve">The </w:t>
      </w:r>
      <w:r>
        <w:t xml:space="preserve">critique noted the advice from </w:t>
      </w:r>
      <w:r w:rsidRPr="003051E3">
        <w:t xml:space="preserve">Royal College of Pathologists of Australasia (RCPA) that “testing for </w:t>
      </w:r>
      <w:r w:rsidRPr="00420D95">
        <w:rPr>
          <w:i/>
        </w:rPr>
        <w:t>ROS1</w:t>
      </w:r>
      <w:r w:rsidRPr="003051E3">
        <w:t xml:space="preserve"> should not be restricted to a specific technology (e.g. FISH) in any new MBS item number as other methodologies are available</w:t>
      </w:r>
      <w:r>
        <w:t xml:space="preserve"> and continue to be developed.”</w:t>
      </w:r>
    </w:p>
    <w:p w14:paraId="74DCD4C3" w14:textId="77777777" w:rsidR="00A91007" w:rsidRPr="003051E3" w:rsidRDefault="00A91007" w:rsidP="00A91007">
      <w:pPr>
        <w:spacing w:after="120"/>
      </w:pPr>
      <w:r w:rsidRPr="003051E3">
        <w:t xml:space="preserve">The </w:t>
      </w:r>
      <w:r>
        <w:t xml:space="preserve">application </w:t>
      </w:r>
      <w:r w:rsidRPr="003051E3">
        <w:t xml:space="preserve">presented evidence for </w:t>
      </w:r>
      <w:r w:rsidRPr="00420D95">
        <w:rPr>
          <w:i/>
        </w:rPr>
        <w:t>ROS1</w:t>
      </w:r>
      <w:r w:rsidRPr="003051E3">
        <w:t xml:space="preserve"> gene rearrangement testing using next generation sequencing (NGS), also known as massively parallel sequencing technologies, and using real-time polymerase chain reaction (</w:t>
      </w:r>
      <w:proofErr w:type="spellStart"/>
      <w:r w:rsidRPr="003051E3">
        <w:t>qRT</w:t>
      </w:r>
      <w:proofErr w:type="spellEnd"/>
      <w:r w:rsidRPr="003051E3">
        <w:t>-PCR). This was referred to as reverse-transcriptase polymerase chain reaction (RT-PCR) in the</w:t>
      </w:r>
      <w:r>
        <w:t xml:space="preserve"> application</w:t>
      </w:r>
      <w:r w:rsidRPr="003051E3">
        <w:t xml:space="preserve">. </w:t>
      </w:r>
      <w:r w:rsidRPr="00605115">
        <w:t>The critique noted that</w:t>
      </w:r>
      <w:r>
        <w:t>,</w:t>
      </w:r>
      <w:r w:rsidRPr="00605115">
        <w:t xml:space="preserve"> although the </w:t>
      </w:r>
      <w:r>
        <w:t>application</w:t>
      </w:r>
      <w:r w:rsidRPr="00605115">
        <w:t xml:space="preserve"> considers NGS and RT-PCR, it does not propose either be included in the item descriptor for either the purpose of </w:t>
      </w:r>
      <w:r>
        <w:t>pre-testing</w:t>
      </w:r>
      <w:r w:rsidRPr="00605115">
        <w:t xml:space="preserve"> or determining </w:t>
      </w:r>
      <w:r w:rsidRPr="00605115">
        <w:rPr>
          <w:i/>
        </w:rPr>
        <w:t>ROS1</w:t>
      </w:r>
      <w:r w:rsidRPr="00605115">
        <w:t xml:space="preserve"> gene rearrangement status</w:t>
      </w:r>
      <w:r>
        <w:t xml:space="preserve">, and it </w:t>
      </w:r>
      <w:r w:rsidRPr="003051E3">
        <w:t>does not consider the comparative costs of these alternative test options against IHC or FISH testing</w:t>
      </w:r>
      <w:r w:rsidRPr="00605115">
        <w:t xml:space="preserve">. A broader item descriptor that includes NGS would mean that </w:t>
      </w:r>
      <w:r w:rsidRPr="00605115">
        <w:rPr>
          <w:i/>
        </w:rPr>
        <w:t>ROS1</w:t>
      </w:r>
      <w:r w:rsidRPr="00605115">
        <w:t xml:space="preserve"> testing may not occur sequentially because NGS allows multiple genes to be tested at once.</w:t>
      </w:r>
    </w:p>
    <w:p w14:paraId="56DB3207" w14:textId="77777777" w:rsidR="00A91007" w:rsidRPr="003051E3" w:rsidRDefault="00A91007" w:rsidP="00A91007">
      <w:pPr>
        <w:spacing w:after="120"/>
      </w:pPr>
      <w:r w:rsidRPr="003051E3">
        <w:t xml:space="preserve">Consistent with the related current item for </w:t>
      </w:r>
      <w:r w:rsidRPr="00420D95">
        <w:rPr>
          <w:i/>
        </w:rPr>
        <w:t>ALK</w:t>
      </w:r>
      <w:r w:rsidRPr="003051E3">
        <w:t xml:space="preserve"> testing, the proposed MBS item descriptor was for patients with non-squamous or histology NOS NSCLC. However, </w:t>
      </w:r>
      <w:r>
        <w:t>t</w:t>
      </w:r>
      <w:r w:rsidRPr="00605115">
        <w:t xml:space="preserve">he critique noted that </w:t>
      </w:r>
      <w:r w:rsidRPr="003051E3">
        <w:t xml:space="preserve">the crizotinib studies included two patients (1%) with </w:t>
      </w:r>
      <w:r w:rsidRPr="00420D95">
        <w:rPr>
          <w:i/>
        </w:rPr>
        <w:t>ROS1</w:t>
      </w:r>
      <w:r w:rsidRPr="003051E3">
        <w:t xml:space="preserve">-positive squamous NSCLC. </w:t>
      </w:r>
      <w:r w:rsidRPr="003051E3">
        <w:lastRenderedPageBreak/>
        <w:t xml:space="preserve">Although </w:t>
      </w:r>
      <w:r w:rsidRPr="00420D95">
        <w:rPr>
          <w:i/>
        </w:rPr>
        <w:t>ROS1</w:t>
      </w:r>
      <w:r w:rsidRPr="003051E3">
        <w:t xml:space="preserve"> gene rearrangements are rarer in squamous NSCLC, inclusion of squamous NS</w:t>
      </w:r>
      <w:r>
        <w:t>CLC may increase testing costs.</w:t>
      </w:r>
    </w:p>
    <w:p w14:paraId="321B13AE" w14:textId="7814942F" w:rsidR="00BC1364" w:rsidRPr="00F715D1" w:rsidRDefault="00BC1364" w:rsidP="00F715D1">
      <w:pPr>
        <w:pStyle w:val="Heading1"/>
      </w:pPr>
      <w:r w:rsidRPr="00F715D1">
        <w:t xml:space="preserve">Summary of </w:t>
      </w:r>
      <w:r w:rsidR="005E1F58" w:rsidRPr="00F715D1">
        <w:t>public consultation feedback/consumer i</w:t>
      </w:r>
      <w:r w:rsidR="003D7F29" w:rsidRPr="00F715D1">
        <w:t>ssues</w:t>
      </w:r>
    </w:p>
    <w:p w14:paraId="53CECB95" w14:textId="77777777" w:rsidR="00F64FB0" w:rsidRPr="001F202A" w:rsidRDefault="00F64FB0" w:rsidP="0036761F">
      <w:pPr>
        <w:spacing w:after="120"/>
      </w:pPr>
      <w:r w:rsidRPr="001F202A">
        <w:rPr>
          <w:szCs w:val="24"/>
        </w:rPr>
        <w:t xml:space="preserve">Public </w:t>
      </w:r>
      <w:r>
        <w:rPr>
          <w:szCs w:val="24"/>
        </w:rPr>
        <w:t>c</w:t>
      </w:r>
      <w:r w:rsidRPr="001F202A">
        <w:rPr>
          <w:szCs w:val="24"/>
        </w:rPr>
        <w:t>onsultation feedback provided one response from a p</w:t>
      </w:r>
      <w:r w:rsidRPr="001F202A">
        <w:t>rofessional body.</w:t>
      </w:r>
    </w:p>
    <w:p w14:paraId="1F64E670" w14:textId="77777777" w:rsidR="00F64FB0" w:rsidRPr="001F202A" w:rsidRDefault="00F64FB0" w:rsidP="00F64FB0">
      <w:r w:rsidRPr="001F202A">
        <w:t>The response was positive overall, highlighting the benefits to the affected individual, their family and the community (in an effort to provide Australian patients with the best practice pathology and clinical treatment). The key issues raised were</w:t>
      </w:r>
      <w:r>
        <w:t xml:space="preserve"> that</w:t>
      </w:r>
      <w:r w:rsidRPr="001F202A">
        <w:t>:</w:t>
      </w:r>
    </w:p>
    <w:p w14:paraId="7CE920F0" w14:textId="77777777" w:rsidR="00F64FB0" w:rsidRPr="001F202A" w:rsidRDefault="00F64FB0" w:rsidP="00F64FB0">
      <w:pPr>
        <w:numPr>
          <w:ilvl w:val="0"/>
          <w:numId w:val="29"/>
        </w:numPr>
        <w:contextualSpacing/>
      </w:pPr>
      <w:r w:rsidRPr="001F202A">
        <w:t xml:space="preserve">testing for </w:t>
      </w:r>
      <w:r w:rsidRPr="001F202A">
        <w:rPr>
          <w:i/>
        </w:rPr>
        <w:t>ROS1</w:t>
      </w:r>
      <w:r w:rsidRPr="001F202A">
        <w:t xml:space="preserve"> rearrangement may require repeat biopsy due to the amount of prior testing (sequential testing);</w:t>
      </w:r>
    </w:p>
    <w:p w14:paraId="16A1979E" w14:textId="77777777" w:rsidR="00F64FB0" w:rsidRPr="001F202A" w:rsidRDefault="00F64FB0" w:rsidP="00F64FB0">
      <w:pPr>
        <w:numPr>
          <w:ilvl w:val="0"/>
          <w:numId w:val="29"/>
        </w:numPr>
        <w:contextualSpacing/>
      </w:pPr>
      <w:r w:rsidRPr="001F202A">
        <w:t>repeat biopsies increase both the cost and risk of harm to the patient;</w:t>
      </w:r>
    </w:p>
    <w:p w14:paraId="504248C3" w14:textId="77777777" w:rsidR="00F64FB0" w:rsidRPr="001F202A" w:rsidRDefault="00F64FB0" w:rsidP="00F64FB0">
      <w:pPr>
        <w:numPr>
          <w:ilvl w:val="0"/>
          <w:numId w:val="29"/>
        </w:numPr>
        <w:contextualSpacing/>
      </w:pPr>
      <w:r w:rsidRPr="001F202A">
        <w:t>cytology and/or cell-free DNA specimens may need to be considered for testing samples;</w:t>
      </w:r>
    </w:p>
    <w:p w14:paraId="19EE3BCE" w14:textId="7A7CB229" w:rsidR="00F64FB0" w:rsidRPr="001F202A" w:rsidRDefault="00F64FB0" w:rsidP="00F64FB0">
      <w:pPr>
        <w:numPr>
          <w:ilvl w:val="0"/>
          <w:numId w:val="29"/>
        </w:numPr>
        <w:contextualSpacing/>
      </w:pPr>
      <w:r>
        <w:t xml:space="preserve">there is </w:t>
      </w:r>
      <w:r w:rsidRPr="001F202A">
        <w:t xml:space="preserve">uncertainty regarding the sensitivity of </w:t>
      </w:r>
      <w:r w:rsidRPr="005E1F58">
        <w:t xml:space="preserve">ROS1 </w:t>
      </w:r>
      <w:r w:rsidRPr="001F202A">
        <w:t>IHC testing;</w:t>
      </w:r>
    </w:p>
    <w:p w14:paraId="637914F1" w14:textId="77777777" w:rsidR="00F64FB0" w:rsidRPr="001F202A" w:rsidRDefault="00F64FB0" w:rsidP="0036761F">
      <w:pPr>
        <w:numPr>
          <w:ilvl w:val="0"/>
          <w:numId w:val="29"/>
        </w:numPr>
        <w:spacing w:after="120"/>
        <w:ind w:left="714" w:hanging="357"/>
      </w:pPr>
      <w:proofErr w:type="gramStart"/>
      <w:r>
        <w:t>there</w:t>
      </w:r>
      <w:proofErr w:type="gramEnd"/>
      <w:r>
        <w:t xml:space="preserve"> would be an </w:t>
      </w:r>
      <w:r w:rsidRPr="001F202A">
        <w:t>effect on utilisation of MBS items, with regard to other, more efficient molecular techniques us</w:t>
      </w:r>
      <w:r>
        <w:t>ed in assessment of lung cancer.</w:t>
      </w:r>
    </w:p>
    <w:p w14:paraId="2C8F040B" w14:textId="77777777" w:rsidR="00F64FB0" w:rsidRPr="001F202A" w:rsidRDefault="00F64FB0" w:rsidP="00F64FB0">
      <w:r>
        <w:t>The response s</w:t>
      </w:r>
      <w:r w:rsidRPr="001F202A">
        <w:t>uggested:</w:t>
      </w:r>
    </w:p>
    <w:p w14:paraId="059AD74B" w14:textId="77777777" w:rsidR="00F64FB0" w:rsidRPr="001F202A" w:rsidRDefault="00F64FB0" w:rsidP="00F64FB0">
      <w:pPr>
        <w:numPr>
          <w:ilvl w:val="0"/>
          <w:numId w:val="30"/>
        </w:numPr>
        <w:contextualSpacing/>
      </w:pPr>
      <w:r w:rsidRPr="001F202A">
        <w:t>not restrict</w:t>
      </w:r>
      <w:r>
        <w:t>ing</w:t>
      </w:r>
      <w:r w:rsidRPr="001F202A">
        <w:t xml:space="preserve"> the item descriptor to sequential testing, but instead do multi panel testing;</w:t>
      </w:r>
    </w:p>
    <w:p w14:paraId="2041FBB0" w14:textId="77777777" w:rsidR="00F64FB0" w:rsidRPr="001F202A" w:rsidRDefault="00F64FB0" w:rsidP="00F64FB0">
      <w:pPr>
        <w:numPr>
          <w:ilvl w:val="0"/>
          <w:numId w:val="30"/>
        </w:numPr>
        <w:contextualSpacing/>
      </w:pPr>
      <w:r>
        <w:t xml:space="preserve">anticipating the </w:t>
      </w:r>
      <w:r w:rsidRPr="001F202A">
        <w:t>potential for using RT-PCR or massively parallel sequencing (MPS) as intervention; and</w:t>
      </w:r>
    </w:p>
    <w:p w14:paraId="1E61658F" w14:textId="77777777" w:rsidR="00F64FB0" w:rsidRPr="001F202A" w:rsidRDefault="00F64FB0" w:rsidP="00F64FB0">
      <w:pPr>
        <w:numPr>
          <w:ilvl w:val="0"/>
          <w:numId w:val="30"/>
        </w:numPr>
        <w:contextualSpacing/>
      </w:pPr>
      <w:proofErr w:type="gramStart"/>
      <w:r w:rsidRPr="001F202A">
        <w:t>provid</w:t>
      </w:r>
      <w:r>
        <w:t>ing</w:t>
      </w:r>
      <w:proofErr w:type="gramEnd"/>
      <w:r w:rsidRPr="001F202A">
        <w:t xml:space="preserve"> a table of </w:t>
      </w:r>
      <w:r w:rsidRPr="001F202A">
        <w:rPr>
          <w:i/>
        </w:rPr>
        <w:t>EGFR</w:t>
      </w:r>
      <w:r w:rsidRPr="001F202A">
        <w:t xml:space="preserve"> and </w:t>
      </w:r>
      <w:r w:rsidRPr="001F202A">
        <w:rPr>
          <w:i/>
        </w:rPr>
        <w:t>ALK</w:t>
      </w:r>
      <w:r w:rsidRPr="001F202A">
        <w:t xml:space="preserve"> costs in comparison to </w:t>
      </w:r>
      <w:r w:rsidRPr="001F202A">
        <w:rPr>
          <w:i/>
        </w:rPr>
        <w:t>ROS1</w:t>
      </w:r>
      <w:r w:rsidRPr="001F202A">
        <w:t xml:space="preserve"> tests.</w:t>
      </w:r>
    </w:p>
    <w:p w14:paraId="1981D187" w14:textId="77777777" w:rsidR="00BC1364" w:rsidRPr="00F715D1" w:rsidRDefault="00BC1364" w:rsidP="00F715D1">
      <w:pPr>
        <w:pStyle w:val="Heading1"/>
      </w:pPr>
      <w:r w:rsidRPr="00F715D1">
        <w:t>Proposed intervention’s place in clinical management</w:t>
      </w:r>
    </w:p>
    <w:p w14:paraId="244FF2D3" w14:textId="40703008" w:rsidR="00F64FB0" w:rsidRPr="003051E3" w:rsidRDefault="00F64FB0" w:rsidP="00F64FB0">
      <w:pPr>
        <w:spacing w:after="120"/>
      </w:pPr>
      <w:r w:rsidRPr="003051E3">
        <w:t xml:space="preserve">Approximately 90% of lung cancer cancers are classified as NSCLC. Advanced lung cancer has poor survival outcomes with only 10-15% of diagnosed patients alive after five years. </w:t>
      </w:r>
      <w:r w:rsidRPr="00420D95">
        <w:rPr>
          <w:i/>
        </w:rPr>
        <w:t>ROS1</w:t>
      </w:r>
      <w:r w:rsidR="005E1F58">
        <w:rPr>
          <w:i/>
        </w:rPr>
        <w:t>-</w:t>
      </w:r>
      <w:r w:rsidRPr="003051E3">
        <w:t xml:space="preserve">positive lung cancer </w:t>
      </w:r>
      <w:proofErr w:type="gramStart"/>
      <w:r w:rsidRPr="003051E3">
        <w:t>occurs</w:t>
      </w:r>
      <w:proofErr w:type="gramEnd"/>
      <w:r w:rsidRPr="003051E3">
        <w:t xml:space="preserve"> when a chromosomal rearrangement happens and a part of the </w:t>
      </w:r>
      <w:r w:rsidRPr="00420D95">
        <w:rPr>
          <w:i/>
        </w:rPr>
        <w:t>ROS1</w:t>
      </w:r>
      <w:r w:rsidRPr="003051E3">
        <w:t xml:space="preserve"> gene, including its entire tyrosine kinase domain, fuses with a partner gene. This results in </w:t>
      </w:r>
      <w:r w:rsidRPr="00C06002">
        <w:rPr>
          <w:i/>
        </w:rPr>
        <w:t>ROS1</w:t>
      </w:r>
      <w:r w:rsidRPr="003051E3">
        <w:t xml:space="preserve"> fusion kinases that are active and drive cellular transformation.</w:t>
      </w:r>
    </w:p>
    <w:p w14:paraId="2A2346C5" w14:textId="21C160F6" w:rsidR="00F64FB0" w:rsidRPr="003051E3" w:rsidRDefault="00F64FB0" w:rsidP="00F64FB0">
      <w:pPr>
        <w:spacing w:after="120"/>
      </w:pPr>
      <w:r w:rsidRPr="003051E3">
        <w:t xml:space="preserve">The proposed population for </w:t>
      </w:r>
      <w:r w:rsidRPr="00420D95">
        <w:rPr>
          <w:i/>
        </w:rPr>
        <w:t>ROS1</w:t>
      </w:r>
      <w:r w:rsidRPr="003051E3">
        <w:t xml:space="preserve"> FISH testing was ‘patients with locally advanced or metastatic, non</w:t>
      </w:r>
      <w:r w:rsidR="005E1F58">
        <w:t>-</w:t>
      </w:r>
      <w:r w:rsidRPr="003051E3">
        <w:t xml:space="preserve">squamous or histology NOS NSCLC whose tumours do not have either </w:t>
      </w:r>
      <w:r w:rsidRPr="00420D95">
        <w:rPr>
          <w:i/>
        </w:rPr>
        <w:t>EGFR</w:t>
      </w:r>
      <w:r w:rsidRPr="003051E3">
        <w:t xml:space="preserve"> activating mutations or </w:t>
      </w:r>
      <w:r w:rsidRPr="00420D95">
        <w:rPr>
          <w:i/>
        </w:rPr>
        <w:t>ALK</w:t>
      </w:r>
      <w:r w:rsidRPr="003051E3">
        <w:t xml:space="preserve"> gene rearrangements, and who have undergone </w:t>
      </w:r>
      <w:r w:rsidRPr="00420D95">
        <w:rPr>
          <w:i/>
        </w:rPr>
        <w:t>ROS1</w:t>
      </w:r>
      <w:r w:rsidRPr="003051E3">
        <w:t xml:space="preserve"> IHC testing that resulted in a staining intensity of 2+ or 3+ (positive test)’.</w:t>
      </w:r>
    </w:p>
    <w:p w14:paraId="265EBD4C" w14:textId="15ACA4B4" w:rsidR="00F64FB0" w:rsidRDefault="00F64FB0" w:rsidP="00F64FB0">
      <w:pPr>
        <w:spacing w:after="120"/>
      </w:pPr>
      <w:r w:rsidRPr="003051E3">
        <w:t xml:space="preserve">The </w:t>
      </w:r>
      <w:r>
        <w:t>application</w:t>
      </w:r>
      <w:r w:rsidRPr="003051E3">
        <w:t xml:space="preserve"> stated that the </w:t>
      </w:r>
      <w:r w:rsidRPr="00420D95">
        <w:rPr>
          <w:i/>
        </w:rPr>
        <w:t>ROS1</w:t>
      </w:r>
      <w:r w:rsidRPr="003051E3">
        <w:t xml:space="preserve"> gene rearrangement is stable and not effected by prior treatment, based on the biological understanding of </w:t>
      </w:r>
      <w:r w:rsidRPr="00420D95">
        <w:rPr>
          <w:i/>
        </w:rPr>
        <w:t>ROS1</w:t>
      </w:r>
      <w:r w:rsidRPr="003051E3">
        <w:t xml:space="preserve"> as an oncogene driver. </w:t>
      </w:r>
      <w:r>
        <w:t>T</w:t>
      </w:r>
      <w:r w:rsidRPr="003051E3">
        <w:t xml:space="preserve">he </w:t>
      </w:r>
      <w:r>
        <w:t>critique noted that t</w:t>
      </w:r>
      <w:r w:rsidRPr="003051E3">
        <w:t xml:space="preserve">wo studies included in the </w:t>
      </w:r>
      <w:r>
        <w:t>application</w:t>
      </w:r>
      <w:r w:rsidRPr="003051E3">
        <w:t xml:space="preserve"> that examined re-biopsies in patients with NSCLC found </w:t>
      </w:r>
      <w:r w:rsidRPr="00420D95">
        <w:rPr>
          <w:i/>
        </w:rPr>
        <w:t>ROS1</w:t>
      </w:r>
      <w:r w:rsidRPr="003051E3">
        <w:t xml:space="preserve"> gene rearrangements occurred more frequently in recurrent tumours</w:t>
      </w:r>
      <w:r w:rsidR="002A6F99">
        <w:t xml:space="preserve">, however these studies were limited by either small numbers or lack of </w:t>
      </w:r>
      <w:r w:rsidR="002A6F99" w:rsidRPr="00C06002">
        <w:rPr>
          <w:i/>
        </w:rPr>
        <w:t>ROS1</w:t>
      </w:r>
      <w:r w:rsidR="002A6F99">
        <w:t xml:space="preserve"> FISH confirmation</w:t>
      </w:r>
      <w:r w:rsidRPr="003051E3">
        <w:t xml:space="preserve">. If </w:t>
      </w:r>
      <w:r w:rsidRPr="00420D95">
        <w:rPr>
          <w:i/>
        </w:rPr>
        <w:t>ROS1</w:t>
      </w:r>
      <w:r w:rsidRPr="003051E3">
        <w:t xml:space="preserve"> gene rearrangements occur more frequently at NSCLC recurrence, previous biopsy samples may incorrectly classify patients as having </w:t>
      </w:r>
      <w:r w:rsidRPr="00420D95">
        <w:rPr>
          <w:i/>
        </w:rPr>
        <w:t>ROS1</w:t>
      </w:r>
      <w:r w:rsidRPr="003051E3">
        <w:t>-negative disease.</w:t>
      </w:r>
    </w:p>
    <w:p w14:paraId="1B90DC43" w14:textId="1CCBC762" w:rsidR="00F64FB0" w:rsidRPr="003051E3" w:rsidRDefault="00F64FB0" w:rsidP="00F64FB0">
      <w:pPr>
        <w:spacing w:after="120"/>
      </w:pPr>
      <w:r w:rsidRPr="001F202A">
        <w:rPr>
          <w:i/>
          <w:szCs w:val="28"/>
          <w:lang w:bidi="en-US"/>
        </w:rPr>
        <w:t>ROS1</w:t>
      </w:r>
      <w:r w:rsidRPr="001F202A">
        <w:rPr>
          <w:szCs w:val="28"/>
          <w:lang w:bidi="en-US"/>
        </w:rPr>
        <w:t xml:space="preserve"> gene rearrangement testing is intended to be used in addition to pathology tests currently performed on NSCLC tumour samples, after </w:t>
      </w:r>
      <w:r w:rsidRPr="001F202A">
        <w:rPr>
          <w:i/>
          <w:szCs w:val="28"/>
          <w:lang w:bidi="en-US"/>
        </w:rPr>
        <w:t>EGFR</w:t>
      </w:r>
      <w:r w:rsidRPr="001F202A">
        <w:rPr>
          <w:szCs w:val="28"/>
          <w:lang w:bidi="en-US"/>
        </w:rPr>
        <w:t xml:space="preserve"> testing and </w:t>
      </w:r>
      <w:r w:rsidRPr="001F202A">
        <w:rPr>
          <w:i/>
          <w:szCs w:val="28"/>
          <w:lang w:bidi="en-US"/>
        </w:rPr>
        <w:t>ALK</w:t>
      </w:r>
      <w:r w:rsidRPr="001F202A">
        <w:rPr>
          <w:szCs w:val="28"/>
          <w:lang w:bidi="en-US"/>
        </w:rPr>
        <w:t xml:space="preserve"> testing. Patients would first undergo </w:t>
      </w:r>
      <w:r w:rsidRPr="005E1F58">
        <w:rPr>
          <w:szCs w:val="28"/>
          <w:lang w:bidi="en-US"/>
        </w:rPr>
        <w:t>ROS1</w:t>
      </w:r>
      <w:r w:rsidR="00C06002">
        <w:rPr>
          <w:szCs w:val="28"/>
          <w:lang w:bidi="en-US"/>
        </w:rPr>
        <w:t xml:space="preserve"> </w:t>
      </w:r>
      <w:r w:rsidRPr="001F202A">
        <w:rPr>
          <w:szCs w:val="28"/>
          <w:lang w:bidi="en-US"/>
        </w:rPr>
        <w:t xml:space="preserve">IHC testing, followed by confirmatory </w:t>
      </w:r>
      <w:r w:rsidRPr="001F202A">
        <w:rPr>
          <w:i/>
          <w:szCs w:val="28"/>
          <w:lang w:bidi="en-US"/>
        </w:rPr>
        <w:t>ROS1</w:t>
      </w:r>
      <w:r w:rsidRPr="001F202A">
        <w:rPr>
          <w:szCs w:val="28"/>
          <w:lang w:bidi="en-US"/>
        </w:rPr>
        <w:t xml:space="preserve"> FISH testing if a positive IHC result was obtained.</w:t>
      </w:r>
    </w:p>
    <w:p w14:paraId="1F5EAD0A" w14:textId="28F89A58" w:rsidR="00BC1364" w:rsidRPr="00F715D1" w:rsidRDefault="0036761F" w:rsidP="00F715D1">
      <w:pPr>
        <w:pStyle w:val="Heading1"/>
      </w:pPr>
      <w:r>
        <w:lastRenderedPageBreak/>
        <w:t>Comparator</w:t>
      </w:r>
    </w:p>
    <w:p w14:paraId="0E21230A" w14:textId="1FE450C9" w:rsidR="00064A77" w:rsidRDefault="00F64FB0" w:rsidP="00F64FB0">
      <w:pPr>
        <w:rPr>
          <w:lang w:val="en-GB"/>
        </w:rPr>
      </w:pPr>
      <w:r w:rsidRPr="003051E3">
        <w:rPr>
          <w:lang w:val="en-GB"/>
        </w:rPr>
        <w:t xml:space="preserve">The nominated comparator for </w:t>
      </w:r>
      <w:r w:rsidRPr="00420D95">
        <w:rPr>
          <w:i/>
          <w:lang w:val="en-GB"/>
        </w:rPr>
        <w:t>ROS1</w:t>
      </w:r>
      <w:r w:rsidRPr="003051E3">
        <w:rPr>
          <w:lang w:val="en-GB"/>
        </w:rPr>
        <w:t xml:space="preserve"> gene rearrangement testing was no testing. This was appropriate.</w:t>
      </w:r>
    </w:p>
    <w:p w14:paraId="2849F846" w14:textId="77777777" w:rsidR="00BC1364" w:rsidRPr="00F715D1" w:rsidRDefault="00BC1364" w:rsidP="00F715D1">
      <w:pPr>
        <w:pStyle w:val="Heading1"/>
      </w:pPr>
      <w:r w:rsidRPr="00F715D1">
        <w:t>Comparative safety</w:t>
      </w:r>
    </w:p>
    <w:p w14:paraId="38C64D67" w14:textId="77777777" w:rsidR="00F64FB0" w:rsidRPr="003051E3" w:rsidRDefault="00F64FB0" w:rsidP="00E2007C">
      <w:pPr>
        <w:spacing w:after="120"/>
        <w:rPr>
          <w:rFonts w:ascii="Cambria" w:hAnsi="Cambria"/>
          <w:b/>
          <w:lang w:bidi="en-US"/>
        </w:rPr>
      </w:pPr>
      <w:r w:rsidRPr="003051E3">
        <w:rPr>
          <w:rFonts w:ascii="Cambria" w:hAnsi="Cambria"/>
          <w:b/>
          <w:lang w:bidi="en-US"/>
        </w:rPr>
        <w:t>Adverse events from testing</w:t>
      </w:r>
    </w:p>
    <w:p w14:paraId="2A943632" w14:textId="77777777" w:rsidR="00F64FB0" w:rsidRPr="003051E3" w:rsidRDefault="00F64FB0" w:rsidP="00E2007C">
      <w:pPr>
        <w:pStyle w:val="MSACESParagraph"/>
        <w:spacing w:after="120"/>
      </w:pPr>
      <w:r w:rsidRPr="00420D95">
        <w:rPr>
          <w:i/>
        </w:rPr>
        <w:t>ROS1</w:t>
      </w:r>
      <w:r w:rsidRPr="003051E3">
        <w:t xml:space="preserve"> gene rearrangement testing will be performed on a biopsy specimen obtained as part of standard diagnostic work-up and would not incur any direct risks to patients. The main risk to the patient would occur if an additional biopsy is required in order to obtain tissue to perform the test. This could result in complications such as pneumothorax and haemorrhage.</w:t>
      </w:r>
    </w:p>
    <w:p w14:paraId="12EFE479" w14:textId="77777777" w:rsidR="00F64FB0" w:rsidRPr="003051E3" w:rsidRDefault="00F64FB0" w:rsidP="00E2007C">
      <w:pPr>
        <w:spacing w:after="120"/>
        <w:rPr>
          <w:rFonts w:ascii="Cambria" w:hAnsi="Cambria"/>
          <w:b/>
          <w:lang w:bidi="en-US"/>
        </w:rPr>
      </w:pPr>
      <w:r w:rsidRPr="003051E3">
        <w:rPr>
          <w:rFonts w:ascii="Cambria" w:hAnsi="Cambria"/>
          <w:b/>
          <w:lang w:bidi="en-US"/>
        </w:rPr>
        <w:t>Adverse events from changes in management</w:t>
      </w:r>
    </w:p>
    <w:p w14:paraId="181CB44D" w14:textId="6D3649FB" w:rsidR="00F64FB0" w:rsidRPr="004F7AEA" w:rsidRDefault="00F64FB0" w:rsidP="00E2007C">
      <w:pPr>
        <w:spacing w:after="120"/>
        <w:rPr>
          <w:szCs w:val="24"/>
        </w:rPr>
      </w:pPr>
      <w:r w:rsidRPr="004F7AEA">
        <w:t xml:space="preserve">The change in management expected to arise due to </w:t>
      </w:r>
      <w:r w:rsidRPr="004F7AEA">
        <w:rPr>
          <w:i/>
        </w:rPr>
        <w:t>ROS1</w:t>
      </w:r>
      <w:r w:rsidRPr="004F7AEA">
        <w:t xml:space="preserve"> gene rearrangement testing, is the use of crizotinib, rather than pemetrexed, in those who have </w:t>
      </w:r>
      <w:r w:rsidRPr="004F7AEA">
        <w:rPr>
          <w:i/>
        </w:rPr>
        <w:t>ROS1</w:t>
      </w:r>
      <w:r w:rsidRPr="004F7AEA">
        <w:t xml:space="preserve"> gene rearran</w:t>
      </w:r>
      <w:r w:rsidR="0036761F">
        <w:t>gements in their tumour tissue.</w:t>
      </w:r>
    </w:p>
    <w:p w14:paraId="203DA63F" w14:textId="77777777" w:rsidR="00F64FB0" w:rsidRPr="003051E3" w:rsidRDefault="00F64FB0" w:rsidP="00F64FB0">
      <w:pPr>
        <w:pStyle w:val="MSACESParagraph"/>
      </w:pPr>
      <w:r w:rsidRPr="008D14DE">
        <w:t>The common adverse events that occurred with crizotinib were vision disorders, elevated transaminases, oedema, and gastrointestinal adverse events.</w:t>
      </w:r>
    </w:p>
    <w:p w14:paraId="781F822B" w14:textId="77777777" w:rsidR="00BC1364" w:rsidRPr="00F715D1" w:rsidRDefault="00BC1364" w:rsidP="00F715D1">
      <w:pPr>
        <w:pStyle w:val="Heading1"/>
      </w:pPr>
      <w:r w:rsidRPr="00F715D1">
        <w:t>Comparative effectiveness</w:t>
      </w:r>
    </w:p>
    <w:p w14:paraId="6BD1B02B" w14:textId="77777777" w:rsidR="006F05B0" w:rsidRPr="003051E3" w:rsidRDefault="006F05B0" w:rsidP="0036761F">
      <w:bookmarkStart w:id="1" w:name="_Toc491433478"/>
      <w:r w:rsidRPr="003051E3">
        <w:rPr>
          <w:color w:val="000000" w:themeColor="text1"/>
        </w:rPr>
        <w:t xml:space="preserve">The </w:t>
      </w:r>
      <w:r>
        <w:rPr>
          <w:szCs w:val="28"/>
          <w:lang w:bidi="en-US"/>
        </w:rPr>
        <w:t>application</w:t>
      </w:r>
      <w:r w:rsidRPr="003051E3">
        <w:rPr>
          <w:color w:val="000000" w:themeColor="text1"/>
        </w:rPr>
        <w:t xml:space="preserve"> used a linked evidence approach to link the:</w:t>
      </w:r>
    </w:p>
    <w:p w14:paraId="666047E5" w14:textId="77777777" w:rsidR="006F05B0" w:rsidRPr="003051E3" w:rsidRDefault="006F05B0" w:rsidP="006F05B0">
      <w:pPr>
        <w:pStyle w:val="ListParagraph"/>
        <w:numPr>
          <w:ilvl w:val="0"/>
          <w:numId w:val="32"/>
        </w:numPr>
        <w:ind w:left="284" w:hanging="284"/>
        <w:contextualSpacing w:val="0"/>
        <w:rPr>
          <w:color w:val="000000" w:themeColor="text1"/>
        </w:rPr>
      </w:pPr>
      <w:r w:rsidRPr="003051E3">
        <w:rPr>
          <w:color w:val="000000" w:themeColor="text1"/>
        </w:rPr>
        <w:t xml:space="preserve">prognostic evidence of </w:t>
      </w:r>
      <w:r w:rsidRPr="00420D95">
        <w:rPr>
          <w:i/>
          <w:color w:val="000000" w:themeColor="text1"/>
        </w:rPr>
        <w:t>ROS1</w:t>
      </w:r>
      <w:r>
        <w:rPr>
          <w:color w:val="000000" w:themeColor="text1"/>
        </w:rPr>
        <w:t>-positive, advanced NSCLC;</w:t>
      </w:r>
    </w:p>
    <w:p w14:paraId="16B31A26" w14:textId="77777777" w:rsidR="006F05B0" w:rsidRPr="003051E3" w:rsidRDefault="006F05B0" w:rsidP="006F05B0">
      <w:pPr>
        <w:pStyle w:val="ListParagraph"/>
        <w:numPr>
          <w:ilvl w:val="0"/>
          <w:numId w:val="32"/>
        </w:numPr>
        <w:ind w:left="284" w:hanging="284"/>
        <w:contextualSpacing w:val="0"/>
        <w:rPr>
          <w:color w:val="000000" w:themeColor="text1"/>
        </w:rPr>
      </w:pPr>
      <w:r w:rsidRPr="003051E3">
        <w:rPr>
          <w:color w:val="000000" w:themeColor="text1"/>
        </w:rPr>
        <w:t xml:space="preserve">analytical performance of </w:t>
      </w:r>
      <w:r w:rsidRPr="00420D95">
        <w:rPr>
          <w:i/>
          <w:color w:val="000000" w:themeColor="text1"/>
        </w:rPr>
        <w:t>ROS1</w:t>
      </w:r>
      <w:r w:rsidRPr="003051E3">
        <w:rPr>
          <w:color w:val="000000" w:themeColor="text1"/>
        </w:rPr>
        <w:t xml:space="preserve"> testing; and</w:t>
      </w:r>
    </w:p>
    <w:p w14:paraId="20870075" w14:textId="4BAE8B2C" w:rsidR="006F05B0" w:rsidRPr="00A66A11" w:rsidRDefault="006F05B0" w:rsidP="00A66A11">
      <w:pPr>
        <w:pStyle w:val="ListParagraph"/>
        <w:numPr>
          <w:ilvl w:val="0"/>
          <w:numId w:val="32"/>
        </w:numPr>
        <w:spacing w:after="240"/>
        <w:ind w:left="284" w:hanging="284"/>
        <w:contextualSpacing w:val="0"/>
        <w:rPr>
          <w:color w:val="000000" w:themeColor="text1"/>
        </w:rPr>
      </w:pPr>
      <w:proofErr w:type="gramStart"/>
      <w:r w:rsidRPr="003051E3">
        <w:rPr>
          <w:color w:val="000000" w:themeColor="text1"/>
        </w:rPr>
        <w:t>the</w:t>
      </w:r>
      <w:proofErr w:type="gramEnd"/>
      <w:r w:rsidRPr="003051E3">
        <w:rPr>
          <w:color w:val="000000" w:themeColor="text1"/>
        </w:rPr>
        <w:t xml:space="preserve"> clinical evidence for crizotinib in patients with </w:t>
      </w:r>
      <w:r w:rsidRPr="00420D95">
        <w:rPr>
          <w:i/>
          <w:color w:val="000000" w:themeColor="text1"/>
        </w:rPr>
        <w:t>ROS1</w:t>
      </w:r>
      <w:r w:rsidRPr="003051E3">
        <w:rPr>
          <w:color w:val="000000" w:themeColor="text1"/>
        </w:rPr>
        <w:t>-positive, advanced NSCL</w:t>
      </w:r>
      <w:r w:rsidRPr="003051E3">
        <w:t>C.</w:t>
      </w:r>
    </w:p>
    <w:p w14:paraId="76294B90" w14:textId="77777777" w:rsidR="006F05B0" w:rsidRPr="003051E3" w:rsidRDefault="006F05B0" w:rsidP="006F05B0">
      <w:pPr>
        <w:pStyle w:val="TableHeading"/>
        <w:jc w:val="both"/>
      </w:pPr>
      <w:r>
        <w:t>Table 2</w:t>
      </w:r>
      <w:r w:rsidRPr="003051E3">
        <w:t>: Linked evidence (Level 5)</w:t>
      </w:r>
    </w:p>
    <w:tbl>
      <w:tblPr>
        <w:tblStyle w:val="TableGrid"/>
        <w:tblW w:w="0" w:type="auto"/>
        <w:tblCellMar>
          <w:left w:w="28" w:type="dxa"/>
          <w:right w:w="28" w:type="dxa"/>
        </w:tblCellMar>
        <w:tblLook w:val="04A0" w:firstRow="1" w:lastRow="0" w:firstColumn="1" w:lastColumn="0" w:noHBand="0" w:noVBand="1"/>
        <w:tblDescription w:val="Summary of the different types of linked evidence provided to support the application"/>
      </w:tblPr>
      <w:tblGrid>
        <w:gridCol w:w="1383"/>
        <w:gridCol w:w="5733"/>
        <w:gridCol w:w="1966"/>
      </w:tblGrid>
      <w:tr w:rsidR="006F05B0" w:rsidRPr="003051E3" w14:paraId="733C1425" w14:textId="77777777" w:rsidTr="0003401A">
        <w:trPr>
          <w:cantSplit/>
          <w:tblHeader/>
        </w:trPr>
        <w:tc>
          <w:tcPr>
            <w:tcW w:w="1383" w:type="dxa"/>
            <w:shd w:val="clear" w:color="auto" w:fill="auto"/>
          </w:tcPr>
          <w:p w14:paraId="2944C2F5" w14:textId="77777777" w:rsidR="006F05B0" w:rsidRPr="003051E3" w:rsidRDefault="006F05B0" w:rsidP="000E1556">
            <w:pPr>
              <w:pStyle w:val="TableText"/>
              <w:jc w:val="both"/>
              <w:rPr>
                <w:b/>
              </w:rPr>
            </w:pPr>
            <w:r w:rsidRPr="003051E3">
              <w:t>Prognostic evidence</w:t>
            </w:r>
          </w:p>
        </w:tc>
        <w:tc>
          <w:tcPr>
            <w:tcW w:w="5733" w:type="dxa"/>
            <w:shd w:val="clear" w:color="auto" w:fill="auto"/>
          </w:tcPr>
          <w:p w14:paraId="4DF7FD5B" w14:textId="77777777" w:rsidR="006F05B0" w:rsidRPr="003051E3" w:rsidRDefault="006F05B0" w:rsidP="000E1556">
            <w:pPr>
              <w:pStyle w:val="TableText"/>
              <w:jc w:val="both"/>
              <w:rPr>
                <w:b/>
              </w:rPr>
            </w:pPr>
            <w:r w:rsidRPr="003051E3">
              <w:t>Comparison of outcomes (OS) in patients receiving standard care conditioned on the presence or absence of biomarker positive status.</w:t>
            </w:r>
          </w:p>
        </w:tc>
        <w:tc>
          <w:tcPr>
            <w:tcW w:w="1966" w:type="dxa"/>
            <w:shd w:val="clear" w:color="auto" w:fill="auto"/>
          </w:tcPr>
          <w:p w14:paraId="3DBF696B" w14:textId="3B16CBB0" w:rsidR="006F05B0" w:rsidRPr="004F7AEA" w:rsidRDefault="006F05B0" w:rsidP="000E1556">
            <w:pPr>
              <w:pStyle w:val="TableText"/>
              <w:jc w:val="both"/>
              <w:rPr>
                <w:b/>
              </w:rPr>
            </w:pPr>
            <w:r w:rsidRPr="004F7AEA">
              <w:fldChar w:fldCharType="begin">
                <w:ffData>
                  <w:name w:val="Check7"/>
                  <w:enabled/>
                  <w:calcOnExit w:val="0"/>
                  <w:checkBox>
                    <w:sizeAuto/>
                    <w:default w:val="1"/>
                  </w:checkBox>
                </w:ffData>
              </w:fldChar>
            </w:r>
            <w:bookmarkStart w:id="2" w:name="Check7"/>
            <w:r w:rsidRPr="004F7AEA">
              <w:instrText xml:space="preserve"> FORMCHECKBOX </w:instrText>
            </w:r>
            <w:r w:rsidR="001163BD">
              <w:fldChar w:fldCharType="separate"/>
            </w:r>
            <w:r w:rsidRPr="004F7AEA">
              <w:fldChar w:fldCharType="end"/>
            </w:r>
            <w:bookmarkEnd w:id="2"/>
            <w:r w:rsidRPr="004F7AEA">
              <w:t xml:space="preserve">  k = 15   n = 182 </w:t>
            </w:r>
            <w:r w:rsidRPr="004F7AEA">
              <w:rPr>
                <w:vertAlign w:val="superscript"/>
              </w:rPr>
              <w:t>a</w:t>
            </w:r>
          </w:p>
        </w:tc>
      </w:tr>
      <w:tr w:rsidR="006F05B0" w:rsidRPr="003051E3" w14:paraId="097C7BB1" w14:textId="77777777" w:rsidTr="000E1556">
        <w:trPr>
          <w:cantSplit/>
        </w:trPr>
        <w:tc>
          <w:tcPr>
            <w:tcW w:w="1383" w:type="dxa"/>
            <w:shd w:val="clear" w:color="auto" w:fill="auto"/>
          </w:tcPr>
          <w:p w14:paraId="62DDCD52" w14:textId="77777777" w:rsidR="006F05B0" w:rsidRPr="003051E3" w:rsidRDefault="006F05B0" w:rsidP="000E1556">
            <w:pPr>
              <w:pStyle w:val="TableText"/>
              <w:jc w:val="both"/>
            </w:pPr>
            <w:r w:rsidRPr="003051E3">
              <w:t>Test accuracy</w:t>
            </w:r>
          </w:p>
        </w:tc>
        <w:tc>
          <w:tcPr>
            <w:tcW w:w="5733" w:type="dxa"/>
            <w:shd w:val="clear" w:color="auto" w:fill="auto"/>
          </w:tcPr>
          <w:p w14:paraId="721AA29F" w14:textId="77777777" w:rsidR="006F05B0" w:rsidRPr="003051E3" w:rsidRDefault="006F05B0" w:rsidP="000E1556">
            <w:pPr>
              <w:pStyle w:val="TableText"/>
              <w:jc w:val="both"/>
            </w:pPr>
            <w:r w:rsidRPr="003051E3">
              <w:t>Studies that compared IHC, RT-PCR or NGS with the evidentiary standard FISH determine analytical validity</w:t>
            </w:r>
          </w:p>
        </w:tc>
        <w:tc>
          <w:tcPr>
            <w:tcW w:w="1966" w:type="dxa"/>
            <w:vAlign w:val="center"/>
          </w:tcPr>
          <w:p w14:paraId="02DD93D1" w14:textId="7490EE95" w:rsidR="006F05B0" w:rsidRPr="003051E3" w:rsidRDefault="006F05B0" w:rsidP="000E1556">
            <w:pPr>
              <w:pStyle w:val="TableText"/>
              <w:jc w:val="both"/>
            </w:pPr>
            <w:r w:rsidRPr="003051E3">
              <w:fldChar w:fldCharType="begin">
                <w:ffData>
                  <w:name w:val=""/>
                  <w:enabled/>
                  <w:calcOnExit w:val="0"/>
                  <w:checkBox>
                    <w:sizeAuto/>
                    <w:default w:val="1"/>
                  </w:checkBox>
                </w:ffData>
              </w:fldChar>
            </w:r>
            <w:r w:rsidRPr="003051E3">
              <w:instrText xml:space="preserve"> FORMCHECKBOX </w:instrText>
            </w:r>
            <w:r w:rsidR="001163BD">
              <w:fldChar w:fldCharType="separate"/>
            </w:r>
            <w:r w:rsidRPr="003051E3">
              <w:fldChar w:fldCharType="end"/>
            </w:r>
            <w:r w:rsidRPr="003051E3">
              <w:t xml:space="preserve">  k = 18   n = 3,872</w:t>
            </w:r>
          </w:p>
        </w:tc>
      </w:tr>
      <w:tr w:rsidR="006F05B0" w:rsidRPr="003051E3" w14:paraId="4FBA0E45" w14:textId="77777777" w:rsidTr="000E1556">
        <w:trPr>
          <w:cantSplit/>
        </w:trPr>
        <w:tc>
          <w:tcPr>
            <w:tcW w:w="1383" w:type="dxa"/>
            <w:shd w:val="clear" w:color="auto" w:fill="auto"/>
          </w:tcPr>
          <w:p w14:paraId="07A1E2B7" w14:textId="77777777" w:rsidR="006F05B0" w:rsidRPr="003051E3" w:rsidRDefault="006F05B0" w:rsidP="000E1556">
            <w:pPr>
              <w:pStyle w:val="TableText"/>
              <w:jc w:val="both"/>
            </w:pPr>
            <w:r w:rsidRPr="003051E3">
              <w:t xml:space="preserve">Change in patient management </w:t>
            </w:r>
          </w:p>
        </w:tc>
        <w:tc>
          <w:tcPr>
            <w:tcW w:w="5733" w:type="dxa"/>
            <w:shd w:val="clear" w:color="auto" w:fill="auto"/>
          </w:tcPr>
          <w:p w14:paraId="68832D6F" w14:textId="77777777" w:rsidR="006F05B0" w:rsidRPr="003051E3" w:rsidRDefault="006F05B0" w:rsidP="000E1556">
            <w:pPr>
              <w:pStyle w:val="TableText"/>
              <w:jc w:val="both"/>
            </w:pPr>
            <w:r w:rsidRPr="003051E3">
              <w:t xml:space="preserve">Evidence to show that biomarker determination guides treatment with the drug was not presented in the </w:t>
            </w:r>
            <w:r>
              <w:t>application</w:t>
            </w:r>
          </w:p>
        </w:tc>
        <w:tc>
          <w:tcPr>
            <w:tcW w:w="1966" w:type="dxa"/>
            <w:vAlign w:val="center"/>
          </w:tcPr>
          <w:p w14:paraId="0B72D74B" w14:textId="4BC63EE0" w:rsidR="006F05B0" w:rsidRPr="003051E3" w:rsidRDefault="006F05B0" w:rsidP="000E1556">
            <w:pPr>
              <w:pStyle w:val="TableText"/>
              <w:jc w:val="both"/>
            </w:pPr>
            <w:r w:rsidRPr="003051E3">
              <w:fldChar w:fldCharType="begin">
                <w:ffData>
                  <w:name w:val="Check7"/>
                  <w:enabled/>
                  <w:calcOnExit w:val="0"/>
                  <w:checkBox>
                    <w:sizeAuto/>
                    <w:default w:val="0"/>
                  </w:checkBox>
                </w:ffData>
              </w:fldChar>
            </w:r>
            <w:r w:rsidRPr="003051E3">
              <w:instrText xml:space="preserve"> FORMCHECKBOX </w:instrText>
            </w:r>
            <w:r w:rsidR="001163BD">
              <w:fldChar w:fldCharType="separate"/>
            </w:r>
            <w:r w:rsidRPr="003051E3">
              <w:fldChar w:fldCharType="end"/>
            </w:r>
            <w:r w:rsidRPr="003051E3">
              <w:t xml:space="preserve">  k = 0</w:t>
            </w:r>
            <w:r w:rsidR="0003401A">
              <w:t xml:space="preserve">  </w:t>
            </w:r>
            <w:r w:rsidRPr="003051E3">
              <w:t xml:space="preserve"> n = 0</w:t>
            </w:r>
          </w:p>
        </w:tc>
      </w:tr>
      <w:tr w:rsidR="006F05B0" w:rsidRPr="003051E3" w14:paraId="1EEBEA48" w14:textId="77777777" w:rsidTr="000E1556">
        <w:trPr>
          <w:cantSplit/>
        </w:trPr>
        <w:tc>
          <w:tcPr>
            <w:tcW w:w="1383" w:type="dxa"/>
            <w:shd w:val="clear" w:color="auto" w:fill="auto"/>
          </w:tcPr>
          <w:p w14:paraId="2FC2457C" w14:textId="77777777" w:rsidR="006F05B0" w:rsidRPr="003051E3" w:rsidRDefault="006F05B0" w:rsidP="000E1556">
            <w:pPr>
              <w:pStyle w:val="TableText"/>
              <w:jc w:val="both"/>
            </w:pPr>
            <w:r w:rsidRPr="003051E3">
              <w:t>Treatment effectiveness</w:t>
            </w:r>
          </w:p>
        </w:tc>
        <w:tc>
          <w:tcPr>
            <w:tcW w:w="5733" w:type="dxa"/>
            <w:shd w:val="clear" w:color="auto" w:fill="auto"/>
          </w:tcPr>
          <w:p w14:paraId="4AF06669" w14:textId="77777777" w:rsidR="006F05B0" w:rsidRPr="003051E3" w:rsidRDefault="006F05B0" w:rsidP="000E1556">
            <w:pPr>
              <w:pStyle w:val="TableText"/>
              <w:jc w:val="both"/>
            </w:pPr>
            <w:r w:rsidRPr="003051E3">
              <w:t xml:space="preserve">Two single-arm, non-randomised studies of crizotinib in NSCLC patients with </w:t>
            </w:r>
            <w:r w:rsidRPr="00420D95">
              <w:rPr>
                <w:i/>
              </w:rPr>
              <w:t>ROS1</w:t>
            </w:r>
            <w:r w:rsidRPr="003051E3">
              <w:t xml:space="preserve"> gene rearrangements and the pemetrexed arm of a RCT that compared pemetrexed and docetaxel for second-line treatment of NSCLC. Four supporting studies of crizotinib in </w:t>
            </w:r>
            <w:r w:rsidRPr="00420D95">
              <w:rPr>
                <w:i/>
              </w:rPr>
              <w:t>ROS1</w:t>
            </w:r>
            <w:r w:rsidRPr="003051E3">
              <w:t>-positive NSCLC were also presented</w:t>
            </w:r>
          </w:p>
        </w:tc>
        <w:tc>
          <w:tcPr>
            <w:tcW w:w="1966" w:type="dxa"/>
            <w:vAlign w:val="center"/>
          </w:tcPr>
          <w:p w14:paraId="0395A51D" w14:textId="2FBB1558" w:rsidR="006F05B0" w:rsidRPr="003051E3" w:rsidRDefault="006F05B0" w:rsidP="000E1556">
            <w:pPr>
              <w:pStyle w:val="TableText"/>
              <w:jc w:val="both"/>
            </w:pPr>
            <w:r w:rsidRPr="003051E3">
              <w:fldChar w:fldCharType="begin">
                <w:ffData>
                  <w:name w:val=""/>
                  <w:enabled/>
                  <w:calcOnExit w:val="0"/>
                  <w:checkBox>
                    <w:sizeAuto/>
                    <w:default w:val="1"/>
                  </w:checkBox>
                </w:ffData>
              </w:fldChar>
            </w:r>
            <w:r w:rsidRPr="003051E3">
              <w:instrText xml:space="preserve"> FORMCHECKBOX </w:instrText>
            </w:r>
            <w:r w:rsidR="001163BD">
              <w:fldChar w:fldCharType="separate"/>
            </w:r>
            <w:r w:rsidRPr="003051E3">
              <w:fldChar w:fldCharType="end"/>
            </w:r>
            <w:r w:rsidRPr="003051E3">
              <w:t xml:space="preserve">  k = 7   n = 609</w:t>
            </w:r>
          </w:p>
        </w:tc>
      </w:tr>
    </w:tbl>
    <w:p w14:paraId="5B878E17" w14:textId="77777777" w:rsidR="006F05B0" w:rsidRPr="003051E3" w:rsidRDefault="006F05B0" w:rsidP="006F05B0">
      <w:pPr>
        <w:pStyle w:val="TableFooter"/>
      </w:pPr>
      <w:r w:rsidRPr="003051E3">
        <w:t xml:space="preserve">FISH = fluorescent in-situ hybridisation; IHC = immunohistochemistry; NGS = next-generation sequencing; NSCLC = non-small cell lung cancer; OS = overall survival; RCT = randomised controlled trial; </w:t>
      </w:r>
      <w:r w:rsidRPr="00420D95">
        <w:rPr>
          <w:i/>
        </w:rPr>
        <w:t>ROS1</w:t>
      </w:r>
      <w:r w:rsidRPr="003051E3">
        <w:t xml:space="preserve"> = </w:t>
      </w:r>
      <w:r w:rsidRPr="00420D95">
        <w:rPr>
          <w:i/>
        </w:rPr>
        <w:t>ROS</w:t>
      </w:r>
      <w:r w:rsidRPr="003051E3">
        <w:t xml:space="preserve"> proto-oncogene 1; RT-PCR = reverse transcription polymerase chain reaction</w:t>
      </w:r>
    </w:p>
    <w:p w14:paraId="7A63028F" w14:textId="77777777" w:rsidR="006F05B0" w:rsidRPr="003051E3" w:rsidRDefault="006F05B0" w:rsidP="006F05B0">
      <w:pPr>
        <w:pStyle w:val="TableFooter"/>
        <w:spacing w:after="0"/>
      </w:pPr>
      <w:proofErr w:type="gramStart"/>
      <w:r w:rsidRPr="003051E3">
        <w:rPr>
          <w:vertAlign w:val="superscript"/>
        </w:rPr>
        <w:t>a</w:t>
      </w:r>
      <w:proofErr w:type="gramEnd"/>
      <w:r w:rsidRPr="003051E3">
        <w:t xml:space="preserve"> Number of </w:t>
      </w:r>
      <w:r w:rsidRPr="00420D95">
        <w:rPr>
          <w:i/>
        </w:rPr>
        <w:t>ROS1</w:t>
      </w:r>
      <w:r w:rsidRPr="003051E3">
        <w:t>-positive patients</w:t>
      </w:r>
    </w:p>
    <w:p w14:paraId="436631F8" w14:textId="77777777" w:rsidR="006F05B0" w:rsidRPr="003051E3" w:rsidRDefault="006F05B0" w:rsidP="006F05B0">
      <w:pPr>
        <w:pStyle w:val="MSACESHeading2"/>
        <w:spacing w:before="120"/>
        <w:rPr>
          <w:rFonts w:eastAsiaTheme="minorHAnsi" w:cstheme="minorBidi"/>
          <w:snapToGrid/>
          <w:szCs w:val="22"/>
          <w:lang w:bidi="en-US"/>
        </w:rPr>
      </w:pPr>
      <w:r w:rsidRPr="003051E3">
        <w:rPr>
          <w:rFonts w:eastAsiaTheme="minorHAnsi" w:cstheme="minorBidi"/>
          <w:snapToGrid/>
          <w:szCs w:val="22"/>
          <w:lang w:bidi="en-US"/>
        </w:rPr>
        <w:t>Prognostic evidence</w:t>
      </w:r>
      <w:bookmarkEnd w:id="1"/>
    </w:p>
    <w:p w14:paraId="4297C10C" w14:textId="77777777" w:rsidR="006F05B0" w:rsidRPr="00C138EE" w:rsidRDefault="006F05B0" w:rsidP="006F05B0">
      <w:pPr>
        <w:spacing w:after="120"/>
        <w:rPr>
          <w:color w:val="000000" w:themeColor="text1"/>
        </w:rPr>
      </w:pPr>
      <w:r w:rsidRPr="00C138EE">
        <w:rPr>
          <w:color w:val="000000" w:themeColor="text1"/>
        </w:rPr>
        <w:t xml:space="preserve">The prognostic evidence presented in the </w:t>
      </w:r>
      <w:r>
        <w:rPr>
          <w:szCs w:val="28"/>
          <w:lang w:bidi="en-US"/>
        </w:rPr>
        <w:t>application,</w:t>
      </w:r>
      <w:r w:rsidRPr="00C138EE">
        <w:rPr>
          <w:color w:val="000000" w:themeColor="text1"/>
        </w:rPr>
        <w:t xml:space="preserve"> from t</w:t>
      </w:r>
      <w:r>
        <w:rPr>
          <w:color w:val="000000" w:themeColor="text1"/>
        </w:rPr>
        <w:t>he nine studies that included ten</w:t>
      </w:r>
      <w:r w:rsidRPr="00C138EE">
        <w:rPr>
          <w:color w:val="000000" w:themeColor="text1"/>
        </w:rPr>
        <w:t xml:space="preserve"> or more </w:t>
      </w:r>
      <w:r w:rsidRPr="00C138EE">
        <w:rPr>
          <w:i/>
          <w:color w:val="000000" w:themeColor="text1"/>
        </w:rPr>
        <w:t>ROS1</w:t>
      </w:r>
      <w:r w:rsidRPr="00C138EE">
        <w:rPr>
          <w:color w:val="000000" w:themeColor="text1"/>
        </w:rPr>
        <w:t>-positive patients</w:t>
      </w:r>
      <w:r>
        <w:rPr>
          <w:color w:val="000000" w:themeColor="text1"/>
        </w:rPr>
        <w:t>,</w:t>
      </w:r>
      <w:r w:rsidRPr="00C138EE">
        <w:rPr>
          <w:color w:val="000000" w:themeColor="text1"/>
        </w:rPr>
        <w:t xml:space="preserve"> is presented in the table below.</w:t>
      </w:r>
    </w:p>
    <w:p w14:paraId="52D5CDEA" w14:textId="77777777" w:rsidR="006F05B0" w:rsidRPr="003051E3" w:rsidRDefault="006F05B0" w:rsidP="006F05B0">
      <w:pPr>
        <w:pStyle w:val="TableHeading"/>
        <w:jc w:val="both"/>
      </w:pPr>
      <w:r>
        <w:lastRenderedPageBreak/>
        <w:t>Table 3</w:t>
      </w:r>
      <w:r w:rsidRPr="003051E3">
        <w:t xml:space="preserve">: Prognostic evidence for </w:t>
      </w:r>
      <w:r w:rsidRPr="00420D95">
        <w:rPr>
          <w:i/>
        </w:rPr>
        <w:t>ROS1</w:t>
      </w:r>
      <w:r w:rsidRPr="003051E3">
        <w:t>-positive NSCLC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Description w:val="Summary of the prognostic evidence for ROS1 positive NSCLC patients"/>
      </w:tblPr>
      <w:tblGrid>
        <w:gridCol w:w="1334"/>
        <w:gridCol w:w="896"/>
        <w:gridCol w:w="684"/>
        <w:gridCol w:w="1711"/>
        <w:gridCol w:w="654"/>
        <w:gridCol w:w="1838"/>
        <w:gridCol w:w="1133"/>
        <w:gridCol w:w="832"/>
      </w:tblGrid>
      <w:tr w:rsidR="006F05B0" w:rsidRPr="003051E3" w:rsidDel="00E24EC4" w14:paraId="2FF37C04" w14:textId="77777777" w:rsidTr="000E1556">
        <w:tc>
          <w:tcPr>
            <w:tcW w:w="734" w:type="pct"/>
            <w:tcBorders>
              <w:bottom w:val="single" w:sz="4" w:space="0" w:color="auto"/>
            </w:tcBorders>
            <w:shd w:val="clear" w:color="auto" w:fill="auto"/>
          </w:tcPr>
          <w:p w14:paraId="6F495AB4" w14:textId="77777777" w:rsidR="006F05B0" w:rsidRPr="003051E3" w:rsidDel="00E24EC4" w:rsidRDefault="006F05B0" w:rsidP="000E1556">
            <w:pPr>
              <w:pStyle w:val="TableText"/>
              <w:jc w:val="both"/>
              <w:rPr>
                <w:b/>
              </w:rPr>
            </w:pPr>
            <w:r w:rsidRPr="003051E3" w:rsidDel="00E24EC4">
              <w:rPr>
                <w:b/>
              </w:rPr>
              <w:t>Study</w:t>
            </w:r>
          </w:p>
        </w:tc>
        <w:tc>
          <w:tcPr>
            <w:tcW w:w="493" w:type="pct"/>
            <w:tcBorders>
              <w:bottom w:val="single" w:sz="4" w:space="0" w:color="auto"/>
            </w:tcBorders>
          </w:tcPr>
          <w:p w14:paraId="6C299D47" w14:textId="77777777" w:rsidR="006F05B0" w:rsidRPr="003051E3" w:rsidDel="00E24EC4" w:rsidRDefault="006F05B0" w:rsidP="000E1556">
            <w:pPr>
              <w:pStyle w:val="TableText"/>
              <w:jc w:val="both"/>
              <w:rPr>
                <w:b/>
              </w:rPr>
            </w:pPr>
            <w:r w:rsidRPr="00420D95">
              <w:rPr>
                <w:b/>
                <w:i/>
              </w:rPr>
              <w:t>ROS1</w:t>
            </w:r>
            <w:r w:rsidRPr="003051E3">
              <w:rPr>
                <w:b/>
              </w:rPr>
              <w:t xml:space="preserve"> n (%) N</w:t>
            </w:r>
          </w:p>
        </w:tc>
        <w:tc>
          <w:tcPr>
            <w:tcW w:w="376" w:type="pct"/>
            <w:tcBorders>
              <w:bottom w:val="single" w:sz="4" w:space="0" w:color="auto"/>
            </w:tcBorders>
          </w:tcPr>
          <w:p w14:paraId="1383B098" w14:textId="77777777" w:rsidR="006F05B0" w:rsidRPr="003051E3" w:rsidRDefault="006F05B0" w:rsidP="000E1556">
            <w:pPr>
              <w:pStyle w:val="TableText"/>
              <w:jc w:val="both"/>
              <w:rPr>
                <w:b/>
              </w:rPr>
            </w:pPr>
            <w:r w:rsidRPr="003051E3">
              <w:rPr>
                <w:b/>
              </w:rPr>
              <w:t>Testing method</w:t>
            </w:r>
          </w:p>
        </w:tc>
        <w:tc>
          <w:tcPr>
            <w:tcW w:w="942" w:type="pct"/>
            <w:tcBorders>
              <w:bottom w:val="single" w:sz="4" w:space="0" w:color="auto"/>
            </w:tcBorders>
            <w:shd w:val="clear" w:color="auto" w:fill="auto"/>
          </w:tcPr>
          <w:p w14:paraId="3E1A7E2D" w14:textId="77777777" w:rsidR="006F05B0" w:rsidRPr="003051E3" w:rsidDel="00E24EC4" w:rsidRDefault="006F05B0" w:rsidP="000E1556">
            <w:pPr>
              <w:pStyle w:val="TableText"/>
              <w:jc w:val="both"/>
              <w:rPr>
                <w:b/>
              </w:rPr>
            </w:pPr>
            <w:r w:rsidRPr="003051E3">
              <w:rPr>
                <w:b/>
              </w:rPr>
              <w:t>Population: NSCLC</w:t>
            </w:r>
          </w:p>
        </w:tc>
        <w:tc>
          <w:tcPr>
            <w:tcW w:w="360" w:type="pct"/>
            <w:tcBorders>
              <w:bottom w:val="single" w:sz="4" w:space="0" w:color="auto"/>
              <w:right w:val="outset" w:sz="6" w:space="0" w:color="auto"/>
            </w:tcBorders>
            <w:shd w:val="clear" w:color="auto" w:fill="auto"/>
          </w:tcPr>
          <w:p w14:paraId="19675EB7" w14:textId="77777777" w:rsidR="006F05B0" w:rsidRPr="003051E3" w:rsidDel="00E24EC4" w:rsidRDefault="006F05B0" w:rsidP="000E1556">
            <w:pPr>
              <w:pStyle w:val="TableText"/>
              <w:jc w:val="both"/>
              <w:rPr>
                <w:b/>
              </w:rPr>
            </w:pPr>
            <w:r w:rsidRPr="003051E3" w:rsidDel="00E24EC4">
              <w:rPr>
                <w:b/>
              </w:rPr>
              <w:t>Risk of bias</w:t>
            </w:r>
          </w:p>
        </w:tc>
        <w:tc>
          <w:tcPr>
            <w:tcW w:w="1012" w:type="pct"/>
            <w:tcBorders>
              <w:bottom w:val="single" w:sz="4" w:space="0" w:color="auto"/>
            </w:tcBorders>
          </w:tcPr>
          <w:p w14:paraId="2DA94835" w14:textId="77777777" w:rsidR="006F05B0" w:rsidRPr="003051E3" w:rsidRDefault="006F05B0" w:rsidP="000E1556">
            <w:pPr>
              <w:pStyle w:val="TableText"/>
              <w:jc w:val="both"/>
              <w:rPr>
                <w:b/>
              </w:rPr>
            </w:pPr>
            <w:r w:rsidRPr="003051E3">
              <w:rPr>
                <w:b/>
              </w:rPr>
              <w:t>Treatments</w:t>
            </w:r>
          </w:p>
          <w:p w14:paraId="5243D5CC" w14:textId="77777777" w:rsidR="006F05B0" w:rsidRPr="003051E3" w:rsidDel="00E24EC4" w:rsidRDefault="006F05B0" w:rsidP="000E1556">
            <w:pPr>
              <w:pStyle w:val="TableText"/>
              <w:jc w:val="both"/>
              <w:rPr>
                <w:b/>
              </w:rPr>
            </w:pPr>
            <w:r w:rsidRPr="00420D95">
              <w:rPr>
                <w:b/>
                <w:i/>
              </w:rPr>
              <w:t>ROS1</w:t>
            </w:r>
            <w:r w:rsidRPr="003051E3">
              <w:rPr>
                <w:b/>
              </w:rPr>
              <w:t xml:space="preserve">-pos </w:t>
            </w:r>
          </w:p>
        </w:tc>
        <w:tc>
          <w:tcPr>
            <w:tcW w:w="624" w:type="pct"/>
            <w:tcBorders>
              <w:bottom w:val="single" w:sz="4" w:space="0" w:color="auto"/>
              <w:right w:val="outset" w:sz="6" w:space="0" w:color="auto"/>
            </w:tcBorders>
          </w:tcPr>
          <w:p w14:paraId="0F6DC3F6" w14:textId="77777777" w:rsidR="006F05B0" w:rsidRPr="003051E3" w:rsidRDefault="006F05B0" w:rsidP="000E1556">
            <w:pPr>
              <w:pStyle w:val="TableText"/>
              <w:jc w:val="both"/>
              <w:rPr>
                <w:b/>
              </w:rPr>
            </w:pPr>
            <w:r w:rsidRPr="003051E3">
              <w:rPr>
                <w:b/>
              </w:rPr>
              <w:t>Treatments</w:t>
            </w:r>
          </w:p>
          <w:p w14:paraId="01036779" w14:textId="77777777" w:rsidR="006F05B0" w:rsidRPr="003051E3" w:rsidDel="00E24EC4" w:rsidRDefault="006F05B0" w:rsidP="000E1556">
            <w:pPr>
              <w:pStyle w:val="TableText"/>
              <w:jc w:val="both"/>
              <w:rPr>
                <w:b/>
              </w:rPr>
            </w:pPr>
            <w:r w:rsidRPr="00420D95">
              <w:rPr>
                <w:b/>
                <w:i/>
              </w:rPr>
              <w:t>ROS1</w:t>
            </w:r>
            <w:r w:rsidRPr="003051E3">
              <w:rPr>
                <w:b/>
              </w:rPr>
              <w:t xml:space="preserve">-neg </w:t>
            </w:r>
          </w:p>
        </w:tc>
        <w:tc>
          <w:tcPr>
            <w:tcW w:w="458" w:type="pct"/>
            <w:tcBorders>
              <w:bottom w:val="single" w:sz="4" w:space="0" w:color="auto"/>
              <w:right w:val="outset" w:sz="6" w:space="0" w:color="auto"/>
            </w:tcBorders>
          </w:tcPr>
          <w:p w14:paraId="7AA53BC9" w14:textId="77777777" w:rsidR="006F05B0" w:rsidRPr="003051E3" w:rsidRDefault="006F05B0" w:rsidP="000E1556">
            <w:pPr>
              <w:pStyle w:val="TableText"/>
              <w:jc w:val="both"/>
              <w:rPr>
                <w:b/>
              </w:rPr>
            </w:pPr>
            <w:r w:rsidRPr="003051E3">
              <w:rPr>
                <w:b/>
              </w:rPr>
              <w:t>Outcome</w:t>
            </w:r>
          </w:p>
        </w:tc>
      </w:tr>
      <w:tr w:rsidR="006F05B0" w:rsidRPr="003051E3" w:rsidDel="00E24EC4" w14:paraId="4AEEC400" w14:textId="77777777" w:rsidTr="000E1556">
        <w:tc>
          <w:tcPr>
            <w:tcW w:w="734" w:type="pct"/>
            <w:tcBorders>
              <w:right w:val="nil"/>
            </w:tcBorders>
            <w:shd w:val="clear" w:color="auto" w:fill="auto"/>
            <w:vAlign w:val="center"/>
          </w:tcPr>
          <w:p w14:paraId="2AE97D58" w14:textId="77777777" w:rsidR="006F05B0" w:rsidRPr="003051E3" w:rsidDel="00E24EC4" w:rsidRDefault="006F05B0" w:rsidP="000E1556">
            <w:pPr>
              <w:pStyle w:val="TableText"/>
              <w:jc w:val="both"/>
            </w:pPr>
            <w:r w:rsidRPr="003051E3">
              <w:t xml:space="preserve">Prospective </w:t>
            </w:r>
          </w:p>
        </w:tc>
        <w:tc>
          <w:tcPr>
            <w:tcW w:w="493" w:type="pct"/>
            <w:tcBorders>
              <w:left w:val="nil"/>
              <w:right w:val="nil"/>
            </w:tcBorders>
            <w:vAlign w:val="center"/>
          </w:tcPr>
          <w:p w14:paraId="5A7A7547" w14:textId="77777777" w:rsidR="006F05B0" w:rsidRPr="003051E3" w:rsidRDefault="006F05B0" w:rsidP="000E1556">
            <w:pPr>
              <w:pStyle w:val="TableText"/>
              <w:jc w:val="both"/>
            </w:pPr>
          </w:p>
        </w:tc>
        <w:tc>
          <w:tcPr>
            <w:tcW w:w="376" w:type="pct"/>
            <w:tcBorders>
              <w:left w:val="nil"/>
              <w:right w:val="nil"/>
            </w:tcBorders>
          </w:tcPr>
          <w:p w14:paraId="26F21C9B" w14:textId="77777777" w:rsidR="006F05B0" w:rsidRPr="003051E3" w:rsidDel="00E24EC4" w:rsidRDefault="006F05B0" w:rsidP="000E1556">
            <w:pPr>
              <w:pStyle w:val="TableText"/>
              <w:jc w:val="both"/>
            </w:pPr>
          </w:p>
        </w:tc>
        <w:tc>
          <w:tcPr>
            <w:tcW w:w="942" w:type="pct"/>
            <w:tcBorders>
              <w:left w:val="nil"/>
              <w:right w:val="nil"/>
            </w:tcBorders>
            <w:shd w:val="clear" w:color="auto" w:fill="auto"/>
            <w:vAlign w:val="center"/>
          </w:tcPr>
          <w:p w14:paraId="31402ACB" w14:textId="77777777" w:rsidR="006F05B0" w:rsidRPr="003051E3" w:rsidDel="00E24EC4" w:rsidRDefault="006F05B0" w:rsidP="000E1556">
            <w:pPr>
              <w:pStyle w:val="TableText"/>
              <w:jc w:val="both"/>
            </w:pPr>
          </w:p>
        </w:tc>
        <w:tc>
          <w:tcPr>
            <w:tcW w:w="360" w:type="pct"/>
            <w:tcBorders>
              <w:left w:val="nil"/>
              <w:right w:val="nil"/>
            </w:tcBorders>
            <w:shd w:val="clear" w:color="auto" w:fill="auto"/>
            <w:vAlign w:val="center"/>
          </w:tcPr>
          <w:p w14:paraId="05B68857" w14:textId="77777777" w:rsidR="006F05B0" w:rsidRPr="003051E3" w:rsidDel="00E24EC4" w:rsidRDefault="006F05B0" w:rsidP="000E1556">
            <w:pPr>
              <w:pStyle w:val="TableText"/>
              <w:jc w:val="both"/>
            </w:pPr>
          </w:p>
        </w:tc>
        <w:tc>
          <w:tcPr>
            <w:tcW w:w="1012" w:type="pct"/>
            <w:tcBorders>
              <w:left w:val="nil"/>
              <w:right w:val="nil"/>
            </w:tcBorders>
          </w:tcPr>
          <w:p w14:paraId="469915DF" w14:textId="77777777" w:rsidR="006F05B0" w:rsidRPr="003051E3" w:rsidDel="00E24EC4" w:rsidRDefault="006F05B0" w:rsidP="000E1556">
            <w:pPr>
              <w:pStyle w:val="TableText"/>
              <w:jc w:val="both"/>
            </w:pPr>
          </w:p>
        </w:tc>
        <w:tc>
          <w:tcPr>
            <w:tcW w:w="624" w:type="pct"/>
            <w:tcBorders>
              <w:left w:val="nil"/>
              <w:right w:val="nil"/>
            </w:tcBorders>
          </w:tcPr>
          <w:p w14:paraId="79E8E28D" w14:textId="77777777" w:rsidR="006F05B0" w:rsidRPr="003051E3" w:rsidDel="00E24EC4" w:rsidRDefault="006F05B0" w:rsidP="000E1556">
            <w:pPr>
              <w:pStyle w:val="TableText"/>
              <w:jc w:val="both"/>
            </w:pPr>
          </w:p>
        </w:tc>
        <w:tc>
          <w:tcPr>
            <w:tcW w:w="458" w:type="pct"/>
            <w:tcBorders>
              <w:left w:val="nil"/>
            </w:tcBorders>
          </w:tcPr>
          <w:p w14:paraId="7648338E" w14:textId="77777777" w:rsidR="006F05B0" w:rsidRPr="003051E3" w:rsidDel="00E24EC4" w:rsidRDefault="006F05B0" w:rsidP="000E1556">
            <w:pPr>
              <w:pStyle w:val="TableText"/>
              <w:jc w:val="both"/>
            </w:pPr>
          </w:p>
        </w:tc>
      </w:tr>
      <w:tr w:rsidR="006F05B0" w:rsidRPr="003051E3" w:rsidDel="00E24EC4" w14:paraId="37BB5818" w14:textId="77777777" w:rsidTr="000E1556">
        <w:tc>
          <w:tcPr>
            <w:tcW w:w="734" w:type="pct"/>
            <w:shd w:val="clear" w:color="auto" w:fill="auto"/>
            <w:vAlign w:val="center"/>
          </w:tcPr>
          <w:p w14:paraId="44E1FFC1" w14:textId="77777777" w:rsidR="006F05B0" w:rsidRPr="003051E3" w:rsidDel="00E24EC4" w:rsidRDefault="006F05B0" w:rsidP="000E1556">
            <w:pPr>
              <w:pStyle w:val="TableText"/>
              <w:jc w:val="both"/>
              <w:rPr>
                <w:vertAlign w:val="superscript"/>
              </w:rPr>
            </w:pPr>
            <w:proofErr w:type="spellStart"/>
            <w:r w:rsidRPr="003051E3" w:rsidDel="00E24EC4">
              <w:t>Scheffler</w:t>
            </w:r>
            <w:proofErr w:type="spellEnd"/>
            <w:r w:rsidRPr="003051E3" w:rsidDel="00E24EC4">
              <w:t xml:space="preserve"> 2015</w:t>
            </w:r>
            <w:r w:rsidRPr="003051E3">
              <w:t xml:space="preserve"> </w:t>
            </w:r>
            <w:r w:rsidRPr="003051E3">
              <w:rPr>
                <w:vertAlign w:val="superscript"/>
              </w:rPr>
              <w:t>a</w:t>
            </w:r>
          </w:p>
        </w:tc>
        <w:tc>
          <w:tcPr>
            <w:tcW w:w="493" w:type="pct"/>
            <w:vAlign w:val="center"/>
          </w:tcPr>
          <w:p w14:paraId="2D1D5B18" w14:textId="77777777" w:rsidR="006F05B0" w:rsidRPr="003051E3" w:rsidRDefault="006F05B0" w:rsidP="000E1556">
            <w:pPr>
              <w:pStyle w:val="TableText"/>
              <w:jc w:val="both"/>
            </w:pPr>
            <w:r w:rsidRPr="003051E3">
              <w:t xml:space="preserve">19 </w:t>
            </w:r>
            <w:r w:rsidRPr="003051E3" w:rsidDel="00E24EC4">
              <w:t>(</w:t>
            </w:r>
            <w:r w:rsidRPr="003051E3">
              <w:t>1.8%)</w:t>
            </w:r>
          </w:p>
          <w:p w14:paraId="5A3C623D" w14:textId="77777777" w:rsidR="006F05B0" w:rsidRPr="003051E3" w:rsidDel="00E24EC4" w:rsidRDefault="006F05B0" w:rsidP="000E1556">
            <w:pPr>
              <w:pStyle w:val="TableText"/>
              <w:jc w:val="both"/>
            </w:pPr>
            <w:r w:rsidRPr="003051E3">
              <w:t>1,035</w:t>
            </w:r>
          </w:p>
        </w:tc>
        <w:tc>
          <w:tcPr>
            <w:tcW w:w="376" w:type="pct"/>
          </w:tcPr>
          <w:p w14:paraId="599192AE" w14:textId="77777777" w:rsidR="006F05B0" w:rsidRPr="003051E3" w:rsidRDefault="006F05B0" w:rsidP="000E1556">
            <w:pPr>
              <w:pStyle w:val="TableText"/>
              <w:jc w:val="both"/>
            </w:pPr>
            <w:r w:rsidRPr="003051E3">
              <w:t xml:space="preserve">FISH, NGS </w:t>
            </w:r>
            <w:r w:rsidRPr="003051E3">
              <w:rPr>
                <w:vertAlign w:val="superscript"/>
              </w:rPr>
              <w:t>b</w:t>
            </w:r>
          </w:p>
        </w:tc>
        <w:tc>
          <w:tcPr>
            <w:tcW w:w="942" w:type="pct"/>
            <w:shd w:val="clear" w:color="auto" w:fill="auto"/>
            <w:vAlign w:val="center"/>
          </w:tcPr>
          <w:p w14:paraId="40B4F2DB" w14:textId="77777777" w:rsidR="006F05B0" w:rsidRPr="003051E3" w:rsidRDefault="006F05B0" w:rsidP="000E1556">
            <w:pPr>
              <w:pStyle w:val="TableText"/>
              <w:jc w:val="both"/>
              <w:rPr>
                <w:rFonts w:cs="Times New Roman"/>
              </w:rPr>
            </w:pPr>
            <w:r w:rsidRPr="003051E3">
              <w:t>2</w:t>
            </w:r>
            <w:r w:rsidRPr="003051E3">
              <w:rPr>
                <w:vertAlign w:val="superscript"/>
              </w:rPr>
              <w:t>nd</w:t>
            </w:r>
            <w:r w:rsidRPr="003051E3">
              <w:t xml:space="preserve"> line </w:t>
            </w:r>
            <w:r w:rsidRPr="003051E3">
              <w:rPr>
                <w:rFonts w:cs="Times New Roman"/>
              </w:rPr>
              <w:t xml:space="preserve">≥, Stage I-IV </w:t>
            </w:r>
          </w:p>
          <w:p w14:paraId="78D586A2" w14:textId="77777777" w:rsidR="006F05B0" w:rsidRPr="003051E3" w:rsidDel="00E24EC4" w:rsidRDefault="006F05B0" w:rsidP="000E1556">
            <w:pPr>
              <w:pStyle w:val="TableText"/>
              <w:jc w:val="both"/>
            </w:pPr>
            <w:r w:rsidRPr="003051E3">
              <w:t>84% Stage IIIB/IV</w:t>
            </w:r>
          </w:p>
        </w:tc>
        <w:tc>
          <w:tcPr>
            <w:tcW w:w="360" w:type="pct"/>
            <w:shd w:val="clear" w:color="auto" w:fill="auto"/>
            <w:vAlign w:val="center"/>
          </w:tcPr>
          <w:p w14:paraId="329AF534" w14:textId="77777777" w:rsidR="006F05B0" w:rsidRPr="003051E3" w:rsidDel="00E24EC4" w:rsidRDefault="006F05B0" w:rsidP="000E1556">
            <w:pPr>
              <w:pStyle w:val="TableText"/>
              <w:jc w:val="both"/>
            </w:pPr>
            <w:r w:rsidRPr="003051E3" w:rsidDel="00E24EC4">
              <w:t xml:space="preserve">High </w:t>
            </w:r>
            <w:r w:rsidRPr="003051E3">
              <w:rPr>
                <w:vertAlign w:val="superscript"/>
              </w:rPr>
              <w:t>c</w:t>
            </w:r>
          </w:p>
          <w:p w14:paraId="7DBDAB92" w14:textId="77777777" w:rsidR="006F05B0" w:rsidRPr="003051E3" w:rsidDel="00E24EC4" w:rsidRDefault="006F05B0" w:rsidP="000E1556">
            <w:pPr>
              <w:pStyle w:val="TableText"/>
              <w:jc w:val="both"/>
            </w:pPr>
          </w:p>
        </w:tc>
        <w:tc>
          <w:tcPr>
            <w:tcW w:w="1012" w:type="pct"/>
          </w:tcPr>
          <w:p w14:paraId="706BFE84" w14:textId="77777777" w:rsidR="006F05B0" w:rsidRPr="003051E3" w:rsidDel="00E24EC4" w:rsidRDefault="006F05B0" w:rsidP="000E1556">
            <w:pPr>
              <w:pStyle w:val="TableText"/>
              <w:jc w:val="both"/>
            </w:pPr>
            <w:r w:rsidRPr="003051E3">
              <w:t xml:space="preserve">Crizotinib </w:t>
            </w:r>
            <w:r w:rsidRPr="003051E3">
              <w:rPr>
                <w:vertAlign w:val="superscript"/>
              </w:rPr>
              <w:t xml:space="preserve">c </w:t>
            </w:r>
            <w:r w:rsidRPr="003051E3">
              <w:t>or chemo</w:t>
            </w:r>
          </w:p>
        </w:tc>
        <w:tc>
          <w:tcPr>
            <w:tcW w:w="624" w:type="pct"/>
          </w:tcPr>
          <w:p w14:paraId="7A0FFF2B" w14:textId="77777777" w:rsidR="006F05B0" w:rsidRPr="003051E3" w:rsidDel="00E24EC4" w:rsidRDefault="006F05B0" w:rsidP="000E1556">
            <w:pPr>
              <w:pStyle w:val="TableText"/>
              <w:jc w:val="both"/>
              <w:rPr>
                <w:vertAlign w:val="superscript"/>
              </w:rPr>
            </w:pPr>
            <w:r w:rsidRPr="003051E3">
              <w:t xml:space="preserve">Targeted and non-targeted </w:t>
            </w:r>
            <w:r w:rsidRPr="003051E3">
              <w:rPr>
                <w:vertAlign w:val="superscript"/>
              </w:rPr>
              <w:t>d</w:t>
            </w:r>
          </w:p>
        </w:tc>
        <w:tc>
          <w:tcPr>
            <w:tcW w:w="458" w:type="pct"/>
          </w:tcPr>
          <w:p w14:paraId="52BD0024" w14:textId="77777777" w:rsidR="006F05B0" w:rsidRPr="003051E3" w:rsidRDefault="006F05B0" w:rsidP="000E1556">
            <w:pPr>
              <w:pStyle w:val="TableText"/>
              <w:jc w:val="both"/>
            </w:pPr>
            <w:r w:rsidRPr="003051E3">
              <w:t>OS</w:t>
            </w:r>
          </w:p>
        </w:tc>
      </w:tr>
      <w:tr w:rsidR="006F05B0" w:rsidRPr="003051E3" w:rsidDel="00E24EC4" w14:paraId="44624C7D" w14:textId="77777777" w:rsidTr="000E1556">
        <w:tc>
          <w:tcPr>
            <w:tcW w:w="734" w:type="pct"/>
            <w:shd w:val="clear" w:color="auto" w:fill="auto"/>
            <w:vAlign w:val="center"/>
          </w:tcPr>
          <w:p w14:paraId="292F6397" w14:textId="77777777" w:rsidR="006F05B0" w:rsidRPr="003051E3" w:rsidDel="00E24EC4" w:rsidRDefault="006F05B0" w:rsidP="000E1556">
            <w:pPr>
              <w:pStyle w:val="TableText"/>
              <w:jc w:val="both"/>
            </w:pPr>
            <w:proofErr w:type="spellStart"/>
            <w:r w:rsidRPr="003051E3">
              <w:t>Wiesweg</w:t>
            </w:r>
            <w:proofErr w:type="spellEnd"/>
            <w:r w:rsidRPr="003051E3">
              <w:t xml:space="preserve"> </w:t>
            </w:r>
            <w:r w:rsidRPr="003051E3" w:rsidDel="00E24EC4">
              <w:t>2017</w:t>
            </w:r>
          </w:p>
        </w:tc>
        <w:tc>
          <w:tcPr>
            <w:tcW w:w="493" w:type="pct"/>
            <w:vAlign w:val="center"/>
          </w:tcPr>
          <w:p w14:paraId="1A0C6DA7" w14:textId="77777777" w:rsidR="006F05B0" w:rsidRPr="003051E3" w:rsidDel="00E24EC4" w:rsidRDefault="006F05B0" w:rsidP="000E1556">
            <w:pPr>
              <w:pStyle w:val="TableText"/>
              <w:jc w:val="both"/>
            </w:pPr>
            <w:r w:rsidRPr="003051E3">
              <w:t xml:space="preserve">11 (2%) </w:t>
            </w:r>
            <w:r w:rsidRPr="003051E3">
              <w:rPr>
                <w:vertAlign w:val="superscript"/>
              </w:rPr>
              <w:t>e</w:t>
            </w:r>
            <w:r w:rsidRPr="003051E3">
              <w:br/>
              <w:t>805</w:t>
            </w:r>
          </w:p>
        </w:tc>
        <w:tc>
          <w:tcPr>
            <w:tcW w:w="376" w:type="pct"/>
          </w:tcPr>
          <w:p w14:paraId="69D75251" w14:textId="77777777" w:rsidR="006F05B0" w:rsidRPr="003051E3" w:rsidRDefault="006F05B0" w:rsidP="000E1556">
            <w:pPr>
              <w:pStyle w:val="TableText"/>
              <w:jc w:val="both"/>
            </w:pPr>
            <w:r w:rsidRPr="003051E3">
              <w:t>IHC, FISH</w:t>
            </w:r>
          </w:p>
        </w:tc>
        <w:tc>
          <w:tcPr>
            <w:tcW w:w="942" w:type="pct"/>
            <w:shd w:val="clear" w:color="auto" w:fill="auto"/>
            <w:vAlign w:val="center"/>
          </w:tcPr>
          <w:p w14:paraId="047DE58A" w14:textId="77777777" w:rsidR="006F05B0" w:rsidRPr="003051E3" w:rsidDel="00E24EC4" w:rsidRDefault="006F05B0" w:rsidP="000E1556">
            <w:pPr>
              <w:pStyle w:val="TableText"/>
              <w:jc w:val="both"/>
            </w:pPr>
            <w:r w:rsidRPr="003051E3">
              <w:t>Any line; Stage IIA-IV 96% Stage IIIB/IV</w:t>
            </w:r>
          </w:p>
        </w:tc>
        <w:tc>
          <w:tcPr>
            <w:tcW w:w="360" w:type="pct"/>
            <w:shd w:val="clear" w:color="auto" w:fill="auto"/>
            <w:vAlign w:val="center"/>
          </w:tcPr>
          <w:p w14:paraId="6CDB9920" w14:textId="77777777" w:rsidR="006F05B0" w:rsidRPr="003051E3" w:rsidDel="00E24EC4" w:rsidRDefault="006F05B0" w:rsidP="000E1556">
            <w:pPr>
              <w:pStyle w:val="TableText"/>
              <w:jc w:val="both"/>
              <w:rPr>
                <w:vertAlign w:val="superscript"/>
              </w:rPr>
            </w:pPr>
            <w:r w:rsidRPr="003051E3" w:rsidDel="00E24EC4">
              <w:t xml:space="preserve">High </w:t>
            </w:r>
            <w:r w:rsidRPr="003051E3">
              <w:rPr>
                <w:vertAlign w:val="superscript"/>
              </w:rPr>
              <w:t>f</w:t>
            </w:r>
          </w:p>
          <w:p w14:paraId="3F8E5118" w14:textId="77777777" w:rsidR="006F05B0" w:rsidRPr="003051E3" w:rsidDel="00E24EC4" w:rsidRDefault="006F05B0" w:rsidP="000E1556">
            <w:pPr>
              <w:pStyle w:val="TableText"/>
              <w:jc w:val="both"/>
            </w:pPr>
          </w:p>
        </w:tc>
        <w:tc>
          <w:tcPr>
            <w:tcW w:w="1012" w:type="pct"/>
          </w:tcPr>
          <w:p w14:paraId="51C9D1EC" w14:textId="77777777" w:rsidR="006F05B0" w:rsidRPr="003051E3" w:rsidDel="00E24EC4" w:rsidRDefault="006F05B0" w:rsidP="000E1556">
            <w:pPr>
              <w:pStyle w:val="TableText"/>
              <w:jc w:val="both"/>
            </w:pPr>
            <w:r w:rsidRPr="003051E3">
              <w:t>Crizotinib/Pemetrexed/ doublet chemo</w:t>
            </w:r>
          </w:p>
        </w:tc>
        <w:tc>
          <w:tcPr>
            <w:tcW w:w="624" w:type="pct"/>
          </w:tcPr>
          <w:p w14:paraId="46871A29" w14:textId="77777777" w:rsidR="006F05B0" w:rsidRPr="003051E3" w:rsidDel="00E24EC4" w:rsidRDefault="006F05B0" w:rsidP="000E1556">
            <w:pPr>
              <w:pStyle w:val="TableText"/>
              <w:jc w:val="both"/>
              <w:rPr>
                <w:highlight w:val="yellow"/>
              </w:rPr>
            </w:pPr>
            <w:r w:rsidRPr="003051E3">
              <w:t>NR</w:t>
            </w:r>
          </w:p>
        </w:tc>
        <w:tc>
          <w:tcPr>
            <w:tcW w:w="458" w:type="pct"/>
          </w:tcPr>
          <w:p w14:paraId="48035F0D" w14:textId="77777777" w:rsidR="006F05B0" w:rsidRPr="003051E3" w:rsidRDefault="006F05B0" w:rsidP="000E1556">
            <w:pPr>
              <w:pStyle w:val="TableText"/>
              <w:jc w:val="both"/>
            </w:pPr>
            <w:r w:rsidRPr="003051E3">
              <w:t>OS</w:t>
            </w:r>
          </w:p>
        </w:tc>
      </w:tr>
      <w:tr w:rsidR="006F05B0" w:rsidRPr="003051E3" w:rsidDel="00E24EC4" w14:paraId="20C25BA6" w14:textId="77777777" w:rsidTr="000E1556">
        <w:tc>
          <w:tcPr>
            <w:tcW w:w="734" w:type="pct"/>
            <w:tcBorders>
              <w:bottom w:val="single" w:sz="4" w:space="0" w:color="auto"/>
            </w:tcBorders>
            <w:shd w:val="clear" w:color="auto" w:fill="auto"/>
            <w:vAlign w:val="center"/>
          </w:tcPr>
          <w:p w14:paraId="0A1D3E4A" w14:textId="77777777" w:rsidR="006F05B0" w:rsidRPr="003051E3" w:rsidDel="00E24EC4" w:rsidRDefault="006F05B0" w:rsidP="000E1556">
            <w:pPr>
              <w:pStyle w:val="TableText"/>
              <w:jc w:val="both"/>
            </w:pPr>
            <w:r w:rsidRPr="003051E3" w:rsidDel="00E24EC4">
              <w:t>Chen 2014</w:t>
            </w:r>
          </w:p>
        </w:tc>
        <w:tc>
          <w:tcPr>
            <w:tcW w:w="493" w:type="pct"/>
            <w:tcBorders>
              <w:bottom w:val="single" w:sz="4" w:space="0" w:color="auto"/>
            </w:tcBorders>
            <w:vAlign w:val="center"/>
          </w:tcPr>
          <w:p w14:paraId="1EEB5F6C" w14:textId="77777777" w:rsidR="006F05B0" w:rsidRPr="003051E3" w:rsidRDefault="006F05B0" w:rsidP="000E1556">
            <w:pPr>
              <w:pStyle w:val="TableText"/>
              <w:jc w:val="both"/>
            </w:pPr>
            <w:r w:rsidRPr="003051E3">
              <w:t>12 (2.4%)</w:t>
            </w:r>
          </w:p>
          <w:p w14:paraId="46B87119" w14:textId="77777777" w:rsidR="006F05B0" w:rsidRPr="003051E3" w:rsidDel="00E24EC4" w:rsidRDefault="006F05B0" w:rsidP="000E1556">
            <w:pPr>
              <w:pStyle w:val="TableText"/>
              <w:jc w:val="both"/>
            </w:pPr>
            <w:r w:rsidRPr="003051E3">
              <w:t>492</w:t>
            </w:r>
          </w:p>
        </w:tc>
        <w:tc>
          <w:tcPr>
            <w:tcW w:w="376" w:type="pct"/>
            <w:tcBorders>
              <w:bottom w:val="single" w:sz="4" w:space="0" w:color="auto"/>
            </w:tcBorders>
          </w:tcPr>
          <w:p w14:paraId="2CD7B522" w14:textId="77777777" w:rsidR="006F05B0" w:rsidRPr="003051E3" w:rsidRDefault="006F05B0" w:rsidP="000E1556">
            <w:pPr>
              <w:pStyle w:val="TableText"/>
              <w:jc w:val="both"/>
            </w:pPr>
            <w:r w:rsidRPr="003051E3">
              <w:t>IHC, RT-PCR</w:t>
            </w:r>
          </w:p>
        </w:tc>
        <w:tc>
          <w:tcPr>
            <w:tcW w:w="942" w:type="pct"/>
            <w:tcBorders>
              <w:bottom w:val="single" w:sz="4" w:space="0" w:color="auto"/>
            </w:tcBorders>
            <w:shd w:val="clear" w:color="auto" w:fill="auto"/>
            <w:vAlign w:val="center"/>
          </w:tcPr>
          <w:p w14:paraId="6A4CA627" w14:textId="77777777" w:rsidR="006F05B0" w:rsidRPr="003051E3" w:rsidDel="00E24EC4" w:rsidRDefault="006F05B0" w:rsidP="000E1556">
            <w:pPr>
              <w:pStyle w:val="TableText"/>
              <w:jc w:val="both"/>
            </w:pPr>
            <w:r w:rsidRPr="003051E3">
              <w:t>Any line, Stage I-IV 58% Stage IV</w:t>
            </w:r>
          </w:p>
        </w:tc>
        <w:tc>
          <w:tcPr>
            <w:tcW w:w="360" w:type="pct"/>
            <w:tcBorders>
              <w:bottom w:val="single" w:sz="4" w:space="0" w:color="auto"/>
            </w:tcBorders>
            <w:shd w:val="clear" w:color="auto" w:fill="auto"/>
            <w:vAlign w:val="center"/>
          </w:tcPr>
          <w:p w14:paraId="198F06FA" w14:textId="77777777" w:rsidR="006F05B0" w:rsidRPr="003051E3" w:rsidDel="00E24EC4" w:rsidRDefault="006F05B0" w:rsidP="000E1556">
            <w:pPr>
              <w:pStyle w:val="TableText"/>
              <w:jc w:val="both"/>
            </w:pPr>
            <w:r w:rsidRPr="003051E3" w:rsidDel="00E24EC4">
              <w:t>Unclear</w:t>
            </w:r>
          </w:p>
        </w:tc>
        <w:tc>
          <w:tcPr>
            <w:tcW w:w="1012" w:type="pct"/>
            <w:tcBorders>
              <w:bottom w:val="single" w:sz="4" w:space="0" w:color="auto"/>
            </w:tcBorders>
          </w:tcPr>
          <w:p w14:paraId="1F0B7260" w14:textId="77777777" w:rsidR="006F05B0" w:rsidRPr="003051E3" w:rsidDel="00E24EC4" w:rsidRDefault="006F05B0" w:rsidP="000E1556">
            <w:pPr>
              <w:pStyle w:val="TableText"/>
              <w:jc w:val="both"/>
            </w:pPr>
            <w:r w:rsidRPr="003051E3">
              <w:t>Pemetrexed/ doublet chemo/</w:t>
            </w:r>
            <w:r w:rsidRPr="00CC1ED6">
              <w:t>EGFR</w:t>
            </w:r>
            <w:r w:rsidRPr="003051E3">
              <w:t xml:space="preserve"> TKI</w:t>
            </w:r>
          </w:p>
        </w:tc>
        <w:tc>
          <w:tcPr>
            <w:tcW w:w="624" w:type="pct"/>
            <w:tcBorders>
              <w:bottom w:val="single" w:sz="4" w:space="0" w:color="auto"/>
            </w:tcBorders>
          </w:tcPr>
          <w:p w14:paraId="152F8047" w14:textId="77777777" w:rsidR="006F05B0" w:rsidRPr="003051E3" w:rsidDel="00E24EC4" w:rsidRDefault="006F05B0" w:rsidP="000E1556">
            <w:pPr>
              <w:pStyle w:val="TableText"/>
              <w:jc w:val="both"/>
              <w:rPr>
                <w:highlight w:val="yellow"/>
              </w:rPr>
            </w:pPr>
            <w:r w:rsidRPr="003051E3">
              <w:t>Similar</w:t>
            </w:r>
          </w:p>
        </w:tc>
        <w:tc>
          <w:tcPr>
            <w:tcW w:w="458" w:type="pct"/>
            <w:tcBorders>
              <w:bottom w:val="single" w:sz="4" w:space="0" w:color="auto"/>
            </w:tcBorders>
          </w:tcPr>
          <w:p w14:paraId="5A58EE7F" w14:textId="77777777" w:rsidR="006F05B0" w:rsidRPr="003051E3" w:rsidRDefault="006F05B0" w:rsidP="000E1556">
            <w:pPr>
              <w:pStyle w:val="TableText"/>
              <w:jc w:val="both"/>
            </w:pPr>
            <w:r w:rsidRPr="003051E3">
              <w:t>OS</w:t>
            </w:r>
          </w:p>
        </w:tc>
      </w:tr>
      <w:tr w:rsidR="006F05B0" w:rsidRPr="003051E3" w:rsidDel="00E24EC4" w14:paraId="5B8FDD0A" w14:textId="77777777" w:rsidTr="000E1556">
        <w:tc>
          <w:tcPr>
            <w:tcW w:w="734" w:type="pct"/>
            <w:tcBorders>
              <w:right w:val="nil"/>
            </w:tcBorders>
            <w:shd w:val="clear" w:color="auto" w:fill="auto"/>
            <w:vAlign w:val="center"/>
          </w:tcPr>
          <w:p w14:paraId="5B42BD27" w14:textId="77777777" w:rsidR="006F05B0" w:rsidRPr="003051E3" w:rsidDel="00E24EC4" w:rsidRDefault="006F05B0" w:rsidP="000E1556">
            <w:pPr>
              <w:pStyle w:val="TableText"/>
              <w:jc w:val="both"/>
            </w:pPr>
            <w:r w:rsidRPr="003051E3">
              <w:t xml:space="preserve">Retrospective </w:t>
            </w:r>
          </w:p>
        </w:tc>
        <w:tc>
          <w:tcPr>
            <w:tcW w:w="493" w:type="pct"/>
            <w:tcBorders>
              <w:left w:val="nil"/>
              <w:right w:val="nil"/>
            </w:tcBorders>
            <w:vAlign w:val="center"/>
          </w:tcPr>
          <w:p w14:paraId="2A5F76CF" w14:textId="77777777" w:rsidR="006F05B0" w:rsidRPr="003051E3" w:rsidDel="00E24EC4" w:rsidRDefault="006F05B0" w:rsidP="000E1556">
            <w:pPr>
              <w:pStyle w:val="TableText"/>
              <w:jc w:val="both"/>
            </w:pPr>
          </w:p>
        </w:tc>
        <w:tc>
          <w:tcPr>
            <w:tcW w:w="376" w:type="pct"/>
            <w:tcBorders>
              <w:left w:val="nil"/>
              <w:right w:val="nil"/>
            </w:tcBorders>
          </w:tcPr>
          <w:p w14:paraId="2B5D9D6C" w14:textId="77777777" w:rsidR="006F05B0" w:rsidRPr="003051E3" w:rsidDel="00E24EC4" w:rsidRDefault="006F05B0" w:rsidP="000E1556">
            <w:pPr>
              <w:pStyle w:val="TableText"/>
              <w:jc w:val="both"/>
            </w:pPr>
          </w:p>
        </w:tc>
        <w:tc>
          <w:tcPr>
            <w:tcW w:w="942" w:type="pct"/>
            <w:tcBorders>
              <w:left w:val="nil"/>
              <w:right w:val="nil"/>
            </w:tcBorders>
            <w:shd w:val="clear" w:color="auto" w:fill="auto"/>
            <w:vAlign w:val="center"/>
          </w:tcPr>
          <w:p w14:paraId="416CF0E1" w14:textId="77777777" w:rsidR="006F05B0" w:rsidRPr="003051E3" w:rsidDel="00E24EC4" w:rsidRDefault="006F05B0" w:rsidP="000E1556">
            <w:pPr>
              <w:pStyle w:val="TableText"/>
              <w:jc w:val="both"/>
            </w:pPr>
          </w:p>
        </w:tc>
        <w:tc>
          <w:tcPr>
            <w:tcW w:w="360" w:type="pct"/>
            <w:tcBorders>
              <w:left w:val="nil"/>
              <w:right w:val="nil"/>
            </w:tcBorders>
            <w:shd w:val="clear" w:color="auto" w:fill="auto"/>
            <w:vAlign w:val="center"/>
          </w:tcPr>
          <w:p w14:paraId="0B61CDDE" w14:textId="77777777" w:rsidR="006F05B0" w:rsidRPr="003051E3" w:rsidDel="00E24EC4" w:rsidRDefault="006F05B0" w:rsidP="000E1556">
            <w:pPr>
              <w:pStyle w:val="TableText"/>
              <w:jc w:val="both"/>
            </w:pPr>
          </w:p>
        </w:tc>
        <w:tc>
          <w:tcPr>
            <w:tcW w:w="1012" w:type="pct"/>
            <w:tcBorders>
              <w:left w:val="nil"/>
              <w:right w:val="nil"/>
            </w:tcBorders>
          </w:tcPr>
          <w:p w14:paraId="4223873A" w14:textId="77777777" w:rsidR="006F05B0" w:rsidRPr="003051E3" w:rsidDel="00E24EC4" w:rsidRDefault="006F05B0" w:rsidP="000E1556">
            <w:pPr>
              <w:pStyle w:val="TableText"/>
              <w:jc w:val="both"/>
            </w:pPr>
          </w:p>
        </w:tc>
        <w:tc>
          <w:tcPr>
            <w:tcW w:w="624" w:type="pct"/>
            <w:tcBorders>
              <w:left w:val="nil"/>
              <w:right w:val="nil"/>
            </w:tcBorders>
          </w:tcPr>
          <w:p w14:paraId="6807A425" w14:textId="77777777" w:rsidR="006F05B0" w:rsidRPr="003051E3" w:rsidDel="00E24EC4" w:rsidRDefault="006F05B0" w:rsidP="000E1556">
            <w:pPr>
              <w:pStyle w:val="TableText"/>
              <w:jc w:val="both"/>
            </w:pPr>
          </w:p>
        </w:tc>
        <w:tc>
          <w:tcPr>
            <w:tcW w:w="458" w:type="pct"/>
            <w:tcBorders>
              <w:left w:val="nil"/>
            </w:tcBorders>
          </w:tcPr>
          <w:p w14:paraId="083104C0" w14:textId="77777777" w:rsidR="006F05B0" w:rsidRPr="003051E3" w:rsidDel="00E24EC4" w:rsidRDefault="006F05B0" w:rsidP="000E1556">
            <w:pPr>
              <w:pStyle w:val="TableText"/>
              <w:jc w:val="both"/>
            </w:pPr>
          </w:p>
        </w:tc>
      </w:tr>
      <w:tr w:rsidR="006F05B0" w:rsidRPr="003051E3" w:rsidDel="00E24EC4" w14:paraId="45F68C4D" w14:textId="77777777" w:rsidTr="000E1556">
        <w:tc>
          <w:tcPr>
            <w:tcW w:w="734" w:type="pct"/>
            <w:shd w:val="clear" w:color="auto" w:fill="auto"/>
            <w:vAlign w:val="center"/>
          </w:tcPr>
          <w:p w14:paraId="391FB7AD" w14:textId="77777777" w:rsidR="006F05B0" w:rsidRPr="003051E3" w:rsidDel="00E24EC4" w:rsidRDefault="006F05B0" w:rsidP="000E1556">
            <w:pPr>
              <w:pStyle w:val="TableText"/>
              <w:jc w:val="both"/>
            </w:pPr>
            <w:proofErr w:type="spellStart"/>
            <w:r w:rsidRPr="003051E3" w:rsidDel="00E24EC4">
              <w:t>Drilon</w:t>
            </w:r>
            <w:proofErr w:type="spellEnd"/>
            <w:r w:rsidRPr="003051E3" w:rsidDel="00E24EC4">
              <w:t xml:space="preserve"> 2016</w:t>
            </w:r>
          </w:p>
        </w:tc>
        <w:tc>
          <w:tcPr>
            <w:tcW w:w="493" w:type="pct"/>
            <w:vAlign w:val="center"/>
          </w:tcPr>
          <w:p w14:paraId="10D64908" w14:textId="77777777" w:rsidR="006F05B0" w:rsidRPr="003051E3" w:rsidRDefault="006F05B0" w:rsidP="000E1556">
            <w:pPr>
              <w:pStyle w:val="TableText"/>
              <w:jc w:val="both"/>
            </w:pPr>
            <w:r w:rsidRPr="003051E3">
              <w:t>10 (10%)</w:t>
            </w:r>
          </w:p>
          <w:p w14:paraId="07BC81F0" w14:textId="77777777" w:rsidR="006F05B0" w:rsidRPr="003051E3" w:rsidDel="00E24EC4" w:rsidRDefault="006F05B0" w:rsidP="000E1556">
            <w:pPr>
              <w:pStyle w:val="TableText"/>
              <w:jc w:val="both"/>
            </w:pPr>
            <w:r w:rsidRPr="003051E3">
              <w:t>104</w:t>
            </w:r>
          </w:p>
        </w:tc>
        <w:tc>
          <w:tcPr>
            <w:tcW w:w="376" w:type="pct"/>
          </w:tcPr>
          <w:p w14:paraId="65D19958" w14:textId="77777777" w:rsidR="006F05B0" w:rsidRPr="003051E3" w:rsidDel="00E24EC4" w:rsidRDefault="006F05B0" w:rsidP="000E1556">
            <w:pPr>
              <w:pStyle w:val="TableText"/>
              <w:jc w:val="both"/>
            </w:pPr>
            <w:r w:rsidRPr="003051E3">
              <w:t>FISH, MSMM</w:t>
            </w:r>
          </w:p>
        </w:tc>
        <w:tc>
          <w:tcPr>
            <w:tcW w:w="942" w:type="pct"/>
            <w:shd w:val="clear" w:color="auto" w:fill="auto"/>
            <w:vAlign w:val="center"/>
          </w:tcPr>
          <w:p w14:paraId="34F4B7E9" w14:textId="77777777" w:rsidR="006F05B0" w:rsidRPr="003051E3" w:rsidDel="00E24EC4" w:rsidRDefault="006F05B0" w:rsidP="000E1556">
            <w:pPr>
              <w:pStyle w:val="TableText"/>
              <w:jc w:val="both"/>
            </w:pPr>
            <w:r w:rsidRPr="003051E3">
              <w:t>1</w:t>
            </w:r>
            <w:r w:rsidRPr="003051E3">
              <w:rPr>
                <w:vertAlign w:val="superscript"/>
              </w:rPr>
              <w:t>st</w:t>
            </w:r>
            <w:r w:rsidRPr="003051E3">
              <w:t xml:space="preserve"> line, Stage IIIB, IV 100% Stage IIIB/IV</w:t>
            </w:r>
          </w:p>
        </w:tc>
        <w:tc>
          <w:tcPr>
            <w:tcW w:w="360" w:type="pct"/>
            <w:shd w:val="clear" w:color="auto" w:fill="auto"/>
            <w:vAlign w:val="center"/>
          </w:tcPr>
          <w:p w14:paraId="2B40318C" w14:textId="77777777" w:rsidR="006F05B0" w:rsidRPr="003051E3" w:rsidDel="00E24EC4" w:rsidRDefault="006F05B0" w:rsidP="000E1556">
            <w:pPr>
              <w:pStyle w:val="TableText"/>
              <w:jc w:val="both"/>
            </w:pPr>
            <w:r w:rsidRPr="003051E3">
              <w:t>Low</w:t>
            </w:r>
          </w:p>
        </w:tc>
        <w:tc>
          <w:tcPr>
            <w:tcW w:w="1012" w:type="pct"/>
          </w:tcPr>
          <w:p w14:paraId="58B9A1C6" w14:textId="77777777" w:rsidR="006F05B0" w:rsidRPr="003051E3" w:rsidDel="00E24EC4" w:rsidRDefault="006F05B0" w:rsidP="000E1556">
            <w:pPr>
              <w:pStyle w:val="TableText"/>
              <w:jc w:val="both"/>
            </w:pPr>
            <w:r w:rsidRPr="003051E3">
              <w:t xml:space="preserve">Pemetrexed/doublet or non-doublet chemo </w:t>
            </w:r>
            <w:r w:rsidRPr="003051E3">
              <w:rPr>
                <w:vertAlign w:val="superscript"/>
              </w:rPr>
              <w:t>g</w:t>
            </w:r>
          </w:p>
        </w:tc>
        <w:tc>
          <w:tcPr>
            <w:tcW w:w="624" w:type="pct"/>
          </w:tcPr>
          <w:p w14:paraId="64800191" w14:textId="77777777" w:rsidR="006F05B0" w:rsidRPr="003051E3" w:rsidDel="00E24EC4" w:rsidRDefault="006F05B0" w:rsidP="000E1556">
            <w:pPr>
              <w:pStyle w:val="TableText"/>
              <w:jc w:val="both"/>
            </w:pPr>
            <w:r w:rsidRPr="003051E3">
              <w:t>Similar</w:t>
            </w:r>
          </w:p>
        </w:tc>
        <w:tc>
          <w:tcPr>
            <w:tcW w:w="458" w:type="pct"/>
          </w:tcPr>
          <w:p w14:paraId="1DC9134F" w14:textId="77777777" w:rsidR="006F05B0" w:rsidRPr="003051E3" w:rsidRDefault="006F05B0" w:rsidP="000E1556">
            <w:pPr>
              <w:pStyle w:val="TableText"/>
              <w:jc w:val="both"/>
            </w:pPr>
            <w:r w:rsidRPr="003051E3">
              <w:t>OS</w:t>
            </w:r>
          </w:p>
        </w:tc>
      </w:tr>
      <w:tr w:rsidR="006F05B0" w:rsidRPr="003051E3" w:rsidDel="00E24EC4" w14:paraId="06258C8E" w14:textId="77777777" w:rsidTr="000E1556">
        <w:tc>
          <w:tcPr>
            <w:tcW w:w="734" w:type="pct"/>
            <w:shd w:val="clear" w:color="auto" w:fill="auto"/>
            <w:vAlign w:val="center"/>
          </w:tcPr>
          <w:p w14:paraId="1E712E35" w14:textId="77777777" w:rsidR="006F05B0" w:rsidRPr="003051E3" w:rsidDel="00E24EC4" w:rsidRDefault="006F05B0" w:rsidP="000E1556">
            <w:pPr>
              <w:pStyle w:val="TableText"/>
              <w:jc w:val="both"/>
            </w:pPr>
            <w:proofErr w:type="spellStart"/>
            <w:r w:rsidRPr="003051E3">
              <w:t>Bergethon</w:t>
            </w:r>
            <w:proofErr w:type="spellEnd"/>
            <w:r w:rsidRPr="003051E3">
              <w:t xml:space="preserve"> </w:t>
            </w:r>
            <w:r w:rsidRPr="003051E3" w:rsidDel="00E24EC4">
              <w:t>2012</w:t>
            </w:r>
          </w:p>
        </w:tc>
        <w:tc>
          <w:tcPr>
            <w:tcW w:w="493" w:type="pct"/>
            <w:vAlign w:val="center"/>
          </w:tcPr>
          <w:p w14:paraId="77065E9F" w14:textId="77777777" w:rsidR="006F05B0" w:rsidRPr="003051E3" w:rsidRDefault="006F05B0" w:rsidP="000E1556">
            <w:pPr>
              <w:pStyle w:val="TableText"/>
              <w:jc w:val="both"/>
            </w:pPr>
            <w:r w:rsidRPr="003051E3">
              <w:t>18 (1.7%)</w:t>
            </w:r>
          </w:p>
          <w:p w14:paraId="4A6902E1" w14:textId="77777777" w:rsidR="006F05B0" w:rsidRPr="003051E3" w:rsidDel="00E24EC4" w:rsidRDefault="006F05B0" w:rsidP="000E1556">
            <w:pPr>
              <w:pStyle w:val="TableText"/>
              <w:jc w:val="both"/>
            </w:pPr>
            <w:r w:rsidRPr="003051E3">
              <w:t>1,073</w:t>
            </w:r>
          </w:p>
        </w:tc>
        <w:tc>
          <w:tcPr>
            <w:tcW w:w="376" w:type="pct"/>
          </w:tcPr>
          <w:p w14:paraId="39A05B2A" w14:textId="77777777" w:rsidR="006F05B0" w:rsidRPr="003051E3" w:rsidDel="00E24EC4" w:rsidRDefault="006F05B0" w:rsidP="000E1556">
            <w:pPr>
              <w:pStyle w:val="TableText"/>
              <w:jc w:val="both"/>
            </w:pPr>
            <w:r w:rsidRPr="003051E3">
              <w:t>FISH, RT-PCR</w:t>
            </w:r>
          </w:p>
        </w:tc>
        <w:tc>
          <w:tcPr>
            <w:tcW w:w="942" w:type="pct"/>
            <w:shd w:val="clear" w:color="auto" w:fill="auto"/>
            <w:vAlign w:val="center"/>
          </w:tcPr>
          <w:p w14:paraId="57D62389" w14:textId="77777777" w:rsidR="006F05B0" w:rsidRPr="003051E3" w:rsidDel="00E24EC4" w:rsidRDefault="006F05B0" w:rsidP="000E1556">
            <w:pPr>
              <w:pStyle w:val="TableText"/>
              <w:jc w:val="both"/>
            </w:pPr>
            <w:r w:rsidRPr="003051E3">
              <w:t>1</w:t>
            </w:r>
            <w:r w:rsidRPr="003051E3">
              <w:rPr>
                <w:vertAlign w:val="superscript"/>
              </w:rPr>
              <w:t>st</w:t>
            </w:r>
            <w:r w:rsidRPr="003051E3">
              <w:t xml:space="preserve"> line, Stage IA-IV 72% Stage IIIB/IV</w:t>
            </w:r>
          </w:p>
        </w:tc>
        <w:tc>
          <w:tcPr>
            <w:tcW w:w="360" w:type="pct"/>
            <w:shd w:val="clear" w:color="auto" w:fill="auto"/>
            <w:vAlign w:val="center"/>
          </w:tcPr>
          <w:p w14:paraId="4D1E3156" w14:textId="77777777" w:rsidR="006F05B0" w:rsidRPr="003051E3" w:rsidDel="00E24EC4" w:rsidRDefault="006F05B0" w:rsidP="000E1556">
            <w:pPr>
              <w:pStyle w:val="TableText"/>
              <w:jc w:val="both"/>
            </w:pPr>
            <w:r w:rsidRPr="003051E3">
              <w:t>Low</w:t>
            </w:r>
          </w:p>
        </w:tc>
        <w:tc>
          <w:tcPr>
            <w:tcW w:w="1012" w:type="pct"/>
          </w:tcPr>
          <w:p w14:paraId="1A577FAB" w14:textId="77777777" w:rsidR="006F05B0" w:rsidRPr="003051E3" w:rsidRDefault="006F05B0" w:rsidP="000E1556">
            <w:pPr>
              <w:pStyle w:val="TableText"/>
              <w:jc w:val="both"/>
            </w:pPr>
            <w:r w:rsidRPr="003051E3">
              <w:t>Not stated</w:t>
            </w:r>
          </w:p>
          <w:p w14:paraId="29C98B47" w14:textId="77777777" w:rsidR="006F05B0" w:rsidRPr="003051E3" w:rsidDel="00E24EC4" w:rsidRDefault="006F05B0" w:rsidP="000E1556">
            <w:pPr>
              <w:pStyle w:val="TableText"/>
              <w:jc w:val="both"/>
            </w:pPr>
            <w:r w:rsidRPr="003051E3">
              <w:t>Crizotinib (in vitro)</w:t>
            </w:r>
          </w:p>
        </w:tc>
        <w:tc>
          <w:tcPr>
            <w:tcW w:w="624" w:type="pct"/>
          </w:tcPr>
          <w:p w14:paraId="33F0F990" w14:textId="77777777" w:rsidR="006F05B0" w:rsidRPr="003051E3" w:rsidDel="00E24EC4" w:rsidRDefault="006F05B0" w:rsidP="000E1556">
            <w:pPr>
              <w:pStyle w:val="TableText"/>
              <w:jc w:val="both"/>
            </w:pPr>
            <w:r w:rsidRPr="003051E3">
              <w:t>Similar</w:t>
            </w:r>
          </w:p>
        </w:tc>
        <w:tc>
          <w:tcPr>
            <w:tcW w:w="458" w:type="pct"/>
          </w:tcPr>
          <w:p w14:paraId="3EA2C9D3" w14:textId="77777777" w:rsidR="006F05B0" w:rsidRPr="003051E3" w:rsidRDefault="006F05B0" w:rsidP="000E1556">
            <w:pPr>
              <w:pStyle w:val="TableText"/>
              <w:jc w:val="both"/>
            </w:pPr>
            <w:r w:rsidRPr="003051E3">
              <w:t>OS</w:t>
            </w:r>
          </w:p>
        </w:tc>
      </w:tr>
      <w:tr w:rsidR="006F05B0" w:rsidRPr="003051E3" w:rsidDel="00E24EC4" w14:paraId="4CD3F8C0" w14:textId="77777777" w:rsidTr="000E1556">
        <w:tc>
          <w:tcPr>
            <w:tcW w:w="734" w:type="pct"/>
            <w:shd w:val="clear" w:color="auto" w:fill="auto"/>
            <w:vAlign w:val="center"/>
          </w:tcPr>
          <w:p w14:paraId="698DE273" w14:textId="77777777" w:rsidR="006F05B0" w:rsidRPr="003051E3" w:rsidDel="00E24EC4" w:rsidRDefault="006F05B0" w:rsidP="000E1556">
            <w:pPr>
              <w:pStyle w:val="TableText"/>
              <w:jc w:val="both"/>
            </w:pPr>
            <w:r w:rsidRPr="003051E3" w:rsidDel="00E24EC4">
              <w:t>Yoshida 2013</w:t>
            </w:r>
          </w:p>
        </w:tc>
        <w:tc>
          <w:tcPr>
            <w:tcW w:w="493" w:type="pct"/>
            <w:vAlign w:val="center"/>
          </w:tcPr>
          <w:p w14:paraId="03353ED5" w14:textId="77777777" w:rsidR="006F05B0" w:rsidRPr="003051E3" w:rsidRDefault="006F05B0" w:rsidP="000E1556">
            <w:pPr>
              <w:pStyle w:val="TableText"/>
              <w:jc w:val="both"/>
            </w:pPr>
            <w:r w:rsidRPr="003051E3">
              <w:t>15 (2.6%)</w:t>
            </w:r>
          </w:p>
          <w:p w14:paraId="2CB817D2" w14:textId="77777777" w:rsidR="006F05B0" w:rsidRPr="003051E3" w:rsidDel="00E24EC4" w:rsidRDefault="006F05B0" w:rsidP="000E1556">
            <w:pPr>
              <w:pStyle w:val="TableText"/>
              <w:jc w:val="both"/>
            </w:pPr>
            <w:r w:rsidRPr="003051E3">
              <w:t>570</w:t>
            </w:r>
          </w:p>
        </w:tc>
        <w:tc>
          <w:tcPr>
            <w:tcW w:w="376" w:type="pct"/>
          </w:tcPr>
          <w:p w14:paraId="2D768DBD" w14:textId="77777777" w:rsidR="006F05B0" w:rsidRPr="003051E3" w:rsidDel="00E24EC4" w:rsidRDefault="006F05B0" w:rsidP="000E1556">
            <w:pPr>
              <w:pStyle w:val="TableText"/>
              <w:jc w:val="both"/>
            </w:pPr>
            <w:r w:rsidRPr="003051E3">
              <w:t>IHC FISH</w:t>
            </w:r>
          </w:p>
        </w:tc>
        <w:tc>
          <w:tcPr>
            <w:tcW w:w="942" w:type="pct"/>
            <w:shd w:val="clear" w:color="auto" w:fill="auto"/>
            <w:vAlign w:val="center"/>
          </w:tcPr>
          <w:p w14:paraId="382849DA" w14:textId="77777777" w:rsidR="006F05B0" w:rsidRPr="003051E3" w:rsidRDefault="006F05B0" w:rsidP="000E1556">
            <w:pPr>
              <w:pStyle w:val="TableText"/>
              <w:jc w:val="both"/>
            </w:pPr>
            <w:r w:rsidRPr="003051E3">
              <w:t xml:space="preserve">NR, Stage I-III </w:t>
            </w:r>
          </w:p>
          <w:p w14:paraId="7CA600E4" w14:textId="77777777" w:rsidR="006F05B0" w:rsidRPr="003051E3" w:rsidDel="00E24EC4" w:rsidRDefault="006F05B0" w:rsidP="000E1556">
            <w:pPr>
              <w:pStyle w:val="TableText"/>
              <w:jc w:val="both"/>
            </w:pPr>
            <w:r w:rsidRPr="003051E3">
              <w:t>53% Stage IIIB/IV</w:t>
            </w:r>
          </w:p>
        </w:tc>
        <w:tc>
          <w:tcPr>
            <w:tcW w:w="360" w:type="pct"/>
            <w:shd w:val="clear" w:color="auto" w:fill="auto"/>
            <w:vAlign w:val="center"/>
          </w:tcPr>
          <w:p w14:paraId="077D1CB9" w14:textId="77777777" w:rsidR="006F05B0" w:rsidRPr="003051E3" w:rsidDel="00E24EC4" w:rsidRDefault="006F05B0" w:rsidP="000E1556">
            <w:pPr>
              <w:pStyle w:val="TableText"/>
              <w:jc w:val="both"/>
            </w:pPr>
            <w:r w:rsidRPr="003051E3" w:rsidDel="00E24EC4">
              <w:t>Unclear</w:t>
            </w:r>
          </w:p>
        </w:tc>
        <w:tc>
          <w:tcPr>
            <w:tcW w:w="1012" w:type="pct"/>
            <w:vAlign w:val="center"/>
          </w:tcPr>
          <w:p w14:paraId="65C39C47" w14:textId="77777777" w:rsidR="006F05B0" w:rsidRPr="003051E3" w:rsidDel="00E24EC4" w:rsidRDefault="006F05B0" w:rsidP="000E1556">
            <w:pPr>
              <w:pStyle w:val="TableText"/>
              <w:jc w:val="both"/>
            </w:pPr>
            <w:r w:rsidRPr="003051E3">
              <w:t>NR</w:t>
            </w:r>
          </w:p>
        </w:tc>
        <w:tc>
          <w:tcPr>
            <w:tcW w:w="624" w:type="pct"/>
            <w:vAlign w:val="center"/>
          </w:tcPr>
          <w:p w14:paraId="1C4F3D0A" w14:textId="77777777" w:rsidR="006F05B0" w:rsidRPr="003051E3" w:rsidDel="00E24EC4" w:rsidRDefault="006F05B0" w:rsidP="000E1556">
            <w:pPr>
              <w:pStyle w:val="TableText"/>
              <w:jc w:val="both"/>
            </w:pPr>
            <w:r w:rsidRPr="003051E3">
              <w:t>NR</w:t>
            </w:r>
          </w:p>
        </w:tc>
        <w:tc>
          <w:tcPr>
            <w:tcW w:w="458" w:type="pct"/>
            <w:vAlign w:val="center"/>
          </w:tcPr>
          <w:p w14:paraId="26E57C08" w14:textId="77777777" w:rsidR="006F05B0" w:rsidRPr="003051E3" w:rsidRDefault="006F05B0" w:rsidP="000E1556">
            <w:pPr>
              <w:pStyle w:val="TableText"/>
              <w:jc w:val="both"/>
            </w:pPr>
            <w:r w:rsidRPr="003051E3">
              <w:t>OS</w:t>
            </w:r>
          </w:p>
        </w:tc>
      </w:tr>
      <w:tr w:rsidR="006F05B0" w:rsidRPr="003051E3" w:rsidDel="00E24EC4" w14:paraId="7794DFC0" w14:textId="77777777" w:rsidTr="000E1556">
        <w:tc>
          <w:tcPr>
            <w:tcW w:w="734" w:type="pct"/>
            <w:shd w:val="clear" w:color="auto" w:fill="auto"/>
            <w:vAlign w:val="center"/>
          </w:tcPr>
          <w:p w14:paraId="7AFAC047" w14:textId="77777777" w:rsidR="006F05B0" w:rsidRPr="003051E3" w:rsidDel="00E24EC4" w:rsidRDefault="006F05B0" w:rsidP="000E1556">
            <w:pPr>
              <w:pStyle w:val="TableText"/>
              <w:jc w:val="both"/>
            </w:pPr>
            <w:r w:rsidRPr="003051E3" w:rsidDel="00E24EC4">
              <w:t>Lee 2013</w:t>
            </w:r>
          </w:p>
        </w:tc>
        <w:tc>
          <w:tcPr>
            <w:tcW w:w="493" w:type="pct"/>
            <w:vAlign w:val="center"/>
          </w:tcPr>
          <w:p w14:paraId="00AF5E88" w14:textId="77777777" w:rsidR="006F05B0" w:rsidRPr="003051E3" w:rsidRDefault="006F05B0" w:rsidP="000E1556">
            <w:pPr>
              <w:pStyle w:val="TableText"/>
              <w:jc w:val="both"/>
            </w:pPr>
            <w:r w:rsidRPr="003051E3">
              <w:t>33 (6.7%)</w:t>
            </w:r>
          </w:p>
          <w:p w14:paraId="62CA28E6" w14:textId="77777777" w:rsidR="006F05B0" w:rsidRPr="003051E3" w:rsidDel="00E24EC4" w:rsidRDefault="006F05B0" w:rsidP="000E1556">
            <w:pPr>
              <w:pStyle w:val="TableText"/>
              <w:jc w:val="both"/>
            </w:pPr>
            <w:r w:rsidRPr="003051E3">
              <w:t>491</w:t>
            </w:r>
          </w:p>
        </w:tc>
        <w:tc>
          <w:tcPr>
            <w:tcW w:w="376" w:type="pct"/>
          </w:tcPr>
          <w:p w14:paraId="008FE0D1" w14:textId="77777777" w:rsidR="006F05B0" w:rsidRPr="003051E3" w:rsidDel="00E24EC4" w:rsidRDefault="006F05B0" w:rsidP="000E1556">
            <w:pPr>
              <w:pStyle w:val="TableText"/>
              <w:jc w:val="both"/>
              <w:rPr>
                <w:vertAlign w:val="superscript"/>
              </w:rPr>
            </w:pPr>
            <w:r w:rsidRPr="003051E3">
              <w:t xml:space="preserve">IHC FISH </w:t>
            </w:r>
            <w:r w:rsidRPr="003051E3">
              <w:rPr>
                <w:vertAlign w:val="superscript"/>
              </w:rPr>
              <w:t>h</w:t>
            </w:r>
          </w:p>
        </w:tc>
        <w:tc>
          <w:tcPr>
            <w:tcW w:w="942" w:type="pct"/>
            <w:shd w:val="clear" w:color="auto" w:fill="auto"/>
            <w:vAlign w:val="center"/>
          </w:tcPr>
          <w:p w14:paraId="2AB06807" w14:textId="77777777" w:rsidR="006F05B0" w:rsidRPr="003051E3" w:rsidRDefault="006F05B0" w:rsidP="000E1556">
            <w:pPr>
              <w:pStyle w:val="TableText"/>
              <w:jc w:val="both"/>
            </w:pPr>
            <w:r w:rsidRPr="003051E3">
              <w:t>NR, Stage I-III</w:t>
            </w:r>
          </w:p>
          <w:p w14:paraId="4C938D90" w14:textId="77777777" w:rsidR="006F05B0" w:rsidRPr="003051E3" w:rsidDel="00E24EC4" w:rsidRDefault="006F05B0" w:rsidP="000E1556">
            <w:pPr>
              <w:pStyle w:val="TableText"/>
              <w:jc w:val="both"/>
            </w:pPr>
            <w:r w:rsidRPr="003051E3">
              <w:t xml:space="preserve">58% Stage IV </w:t>
            </w:r>
          </w:p>
        </w:tc>
        <w:tc>
          <w:tcPr>
            <w:tcW w:w="360" w:type="pct"/>
            <w:shd w:val="clear" w:color="auto" w:fill="auto"/>
            <w:vAlign w:val="center"/>
          </w:tcPr>
          <w:p w14:paraId="53AABB6B" w14:textId="77777777" w:rsidR="006F05B0" w:rsidRPr="003051E3" w:rsidDel="00E24EC4" w:rsidRDefault="006F05B0" w:rsidP="000E1556">
            <w:pPr>
              <w:pStyle w:val="TableText"/>
              <w:jc w:val="both"/>
            </w:pPr>
            <w:r w:rsidRPr="003051E3" w:rsidDel="00E24EC4">
              <w:t>Unclear</w:t>
            </w:r>
          </w:p>
        </w:tc>
        <w:tc>
          <w:tcPr>
            <w:tcW w:w="1012" w:type="pct"/>
            <w:vAlign w:val="center"/>
          </w:tcPr>
          <w:p w14:paraId="57E4E1D2" w14:textId="77777777" w:rsidR="006F05B0" w:rsidRPr="003051E3" w:rsidDel="00E24EC4" w:rsidRDefault="006F05B0" w:rsidP="000E1556">
            <w:pPr>
              <w:pStyle w:val="TableText"/>
              <w:jc w:val="both"/>
            </w:pPr>
            <w:r w:rsidRPr="003051E3">
              <w:t>NR</w:t>
            </w:r>
          </w:p>
        </w:tc>
        <w:tc>
          <w:tcPr>
            <w:tcW w:w="624" w:type="pct"/>
            <w:vAlign w:val="center"/>
          </w:tcPr>
          <w:p w14:paraId="02B808FD" w14:textId="77777777" w:rsidR="006F05B0" w:rsidRPr="003051E3" w:rsidDel="00E24EC4" w:rsidRDefault="006F05B0" w:rsidP="000E1556">
            <w:pPr>
              <w:pStyle w:val="TableText"/>
              <w:jc w:val="both"/>
            </w:pPr>
            <w:r w:rsidRPr="003051E3">
              <w:t>NR</w:t>
            </w:r>
          </w:p>
        </w:tc>
        <w:tc>
          <w:tcPr>
            <w:tcW w:w="458" w:type="pct"/>
            <w:vAlign w:val="center"/>
          </w:tcPr>
          <w:p w14:paraId="693D8143" w14:textId="77777777" w:rsidR="006F05B0" w:rsidRPr="003051E3" w:rsidRDefault="006F05B0" w:rsidP="000E1556">
            <w:pPr>
              <w:pStyle w:val="TableText"/>
              <w:jc w:val="both"/>
            </w:pPr>
            <w:r w:rsidRPr="003051E3">
              <w:t>OS</w:t>
            </w:r>
          </w:p>
        </w:tc>
      </w:tr>
      <w:tr w:rsidR="006F05B0" w:rsidRPr="003051E3" w:rsidDel="00E24EC4" w14:paraId="713C7FA3" w14:textId="77777777" w:rsidTr="000E1556">
        <w:tc>
          <w:tcPr>
            <w:tcW w:w="734" w:type="pct"/>
            <w:shd w:val="clear" w:color="auto" w:fill="auto"/>
            <w:vAlign w:val="center"/>
          </w:tcPr>
          <w:p w14:paraId="2558B59F" w14:textId="77777777" w:rsidR="006F05B0" w:rsidRPr="003051E3" w:rsidDel="00E24EC4" w:rsidRDefault="006F05B0" w:rsidP="000E1556">
            <w:pPr>
              <w:pStyle w:val="TableText"/>
              <w:jc w:val="both"/>
            </w:pPr>
            <w:proofErr w:type="spellStart"/>
            <w:r w:rsidRPr="003051E3" w:rsidDel="00E24EC4">
              <w:t>Jin</w:t>
            </w:r>
            <w:proofErr w:type="spellEnd"/>
            <w:r w:rsidRPr="003051E3" w:rsidDel="00E24EC4">
              <w:t xml:space="preserve"> 2015</w:t>
            </w:r>
          </w:p>
        </w:tc>
        <w:tc>
          <w:tcPr>
            <w:tcW w:w="493" w:type="pct"/>
            <w:vAlign w:val="center"/>
          </w:tcPr>
          <w:p w14:paraId="573C6BC1" w14:textId="77777777" w:rsidR="006F05B0" w:rsidRPr="003051E3" w:rsidRDefault="006F05B0" w:rsidP="000E1556">
            <w:pPr>
              <w:pStyle w:val="TableText"/>
              <w:jc w:val="both"/>
            </w:pPr>
            <w:r w:rsidRPr="003051E3">
              <w:t>10 (1.3%)</w:t>
            </w:r>
          </w:p>
          <w:p w14:paraId="43FEA088" w14:textId="77777777" w:rsidR="006F05B0" w:rsidRPr="003051E3" w:rsidDel="00E24EC4" w:rsidRDefault="006F05B0" w:rsidP="000E1556">
            <w:pPr>
              <w:pStyle w:val="TableText"/>
              <w:jc w:val="both"/>
            </w:pPr>
            <w:r w:rsidRPr="003051E3">
              <w:t>754</w:t>
            </w:r>
          </w:p>
        </w:tc>
        <w:tc>
          <w:tcPr>
            <w:tcW w:w="376" w:type="pct"/>
          </w:tcPr>
          <w:p w14:paraId="1A615DF2" w14:textId="77777777" w:rsidR="006F05B0" w:rsidRPr="003051E3" w:rsidRDefault="006F05B0" w:rsidP="000E1556">
            <w:pPr>
              <w:pStyle w:val="TableText"/>
              <w:jc w:val="both"/>
            </w:pPr>
            <w:r w:rsidRPr="003051E3">
              <w:t>IHC</w:t>
            </w:r>
          </w:p>
          <w:p w14:paraId="245DCCE8" w14:textId="77777777" w:rsidR="006F05B0" w:rsidRPr="003051E3" w:rsidDel="00E24EC4" w:rsidRDefault="006F05B0" w:rsidP="000E1556">
            <w:pPr>
              <w:pStyle w:val="TableText"/>
              <w:jc w:val="both"/>
            </w:pPr>
            <w:r w:rsidRPr="003051E3">
              <w:t>FISH</w:t>
            </w:r>
          </w:p>
        </w:tc>
        <w:tc>
          <w:tcPr>
            <w:tcW w:w="942" w:type="pct"/>
            <w:shd w:val="clear" w:color="auto" w:fill="auto"/>
            <w:vAlign w:val="center"/>
          </w:tcPr>
          <w:p w14:paraId="3D8A9867" w14:textId="77777777" w:rsidR="006F05B0" w:rsidRPr="003051E3" w:rsidRDefault="006F05B0" w:rsidP="000E1556">
            <w:pPr>
              <w:pStyle w:val="TableText"/>
              <w:jc w:val="both"/>
            </w:pPr>
            <w:r w:rsidRPr="003051E3">
              <w:t xml:space="preserve">NR, Stage I-IV </w:t>
            </w:r>
          </w:p>
          <w:p w14:paraId="09058322" w14:textId="77777777" w:rsidR="006F05B0" w:rsidRPr="003051E3" w:rsidDel="00E24EC4" w:rsidRDefault="006F05B0" w:rsidP="000E1556">
            <w:pPr>
              <w:pStyle w:val="TableText"/>
              <w:jc w:val="both"/>
            </w:pPr>
            <w:r w:rsidRPr="003051E3">
              <w:t>NR Stage IIIB/IV</w:t>
            </w:r>
          </w:p>
        </w:tc>
        <w:tc>
          <w:tcPr>
            <w:tcW w:w="360" w:type="pct"/>
            <w:shd w:val="clear" w:color="auto" w:fill="auto"/>
            <w:vAlign w:val="center"/>
          </w:tcPr>
          <w:p w14:paraId="33846F6B" w14:textId="77777777" w:rsidR="006F05B0" w:rsidRPr="003051E3" w:rsidDel="00E24EC4" w:rsidRDefault="006F05B0" w:rsidP="000E1556">
            <w:pPr>
              <w:pStyle w:val="TableText"/>
              <w:jc w:val="both"/>
            </w:pPr>
            <w:r w:rsidRPr="003051E3" w:rsidDel="00E24EC4">
              <w:t>Unclear</w:t>
            </w:r>
          </w:p>
        </w:tc>
        <w:tc>
          <w:tcPr>
            <w:tcW w:w="1012" w:type="pct"/>
            <w:vAlign w:val="center"/>
          </w:tcPr>
          <w:p w14:paraId="7AB31AF5" w14:textId="77777777" w:rsidR="006F05B0" w:rsidRPr="003051E3" w:rsidDel="00E24EC4" w:rsidRDefault="006F05B0" w:rsidP="000E1556">
            <w:pPr>
              <w:pStyle w:val="TableText"/>
              <w:jc w:val="both"/>
            </w:pPr>
            <w:r w:rsidRPr="003051E3">
              <w:t>NR</w:t>
            </w:r>
          </w:p>
        </w:tc>
        <w:tc>
          <w:tcPr>
            <w:tcW w:w="624" w:type="pct"/>
            <w:vAlign w:val="center"/>
          </w:tcPr>
          <w:p w14:paraId="441E26F5" w14:textId="77777777" w:rsidR="006F05B0" w:rsidRPr="003051E3" w:rsidDel="00E24EC4" w:rsidRDefault="006F05B0" w:rsidP="000E1556">
            <w:pPr>
              <w:pStyle w:val="TableText"/>
              <w:jc w:val="both"/>
            </w:pPr>
            <w:r w:rsidRPr="003051E3">
              <w:t>NR</w:t>
            </w:r>
          </w:p>
        </w:tc>
        <w:tc>
          <w:tcPr>
            <w:tcW w:w="458" w:type="pct"/>
            <w:vAlign w:val="center"/>
          </w:tcPr>
          <w:p w14:paraId="53C96BE1" w14:textId="77777777" w:rsidR="006F05B0" w:rsidRPr="003051E3" w:rsidRDefault="006F05B0" w:rsidP="000E1556">
            <w:pPr>
              <w:pStyle w:val="TableText"/>
              <w:jc w:val="both"/>
            </w:pPr>
            <w:r w:rsidRPr="003051E3">
              <w:t>OS</w:t>
            </w:r>
          </w:p>
        </w:tc>
      </w:tr>
      <w:tr w:rsidR="006F05B0" w:rsidRPr="003051E3" w:rsidDel="00E24EC4" w14:paraId="0D649DBE" w14:textId="77777777" w:rsidTr="000E1556">
        <w:tc>
          <w:tcPr>
            <w:tcW w:w="734" w:type="pct"/>
            <w:shd w:val="clear" w:color="auto" w:fill="auto"/>
            <w:vAlign w:val="center"/>
          </w:tcPr>
          <w:p w14:paraId="38F97572" w14:textId="77777777" w:rsidR="006F05B0" w:rsidRPr="003051E3" w:rsidDel="00E24EC4" w:rsidRDefault="006F05B0" w:rsidP="000E1556">
            <w:pPr>
              <w:pStyle w:val="TableText"/>
              <w:jc w:val="both"/>
            </w:pPr>
            <w:r w:rsidRPr="003051E3" w:rsidDel="00E24EC4">
              <w:t>Pan 2014</w:t>
            </w:r>
          </w:p>
        </w:tc>
        <w:tc>
          <w:tcPr>
            <w:tcW w:w="493" w:type="pct"/>
            <w:vAlign w:val="center"/>
          </w:tcPr>
          <w:p w14:paraId="551B592D" w14:textId="77777777" w:rsidR="006F05B0" w:rsidRPr="003051E3" w:rsidRDefault="006F05B0" w:rsidP="000E1556">
            <w:pPr>
              <w:pStyle w:val="TableText"/>
              <w:jc w:val="both"/>
            </w:pPr>
            <w:r w:rsidRPr="003051E3">
              <w:t>11 (1.0%)</w:t>
            </w:r>
          </w:p>
          <w:p w14:paraId="1538E71F" w14:textId="77777777" w:rsidR="006F05B0" w:rsidRPr="003051E3" w:rsidDel="00E24EC4" w:rsidRDefault="006F05B0" w:rsidP="000E1556">
            <w:pPr>
              <w:pStyle w:val="TableText"/>
              <w:jc w:val="both"/>
            </w:pPr>
            <w:r w:rsidRPr="003051E3">
              <w:t>1,128</w:t>
            </w:r>
          </w:p>
        </w:tc>
        <w:tc>
          <w:tcPr>
            <w:tcW w:w="376" w:type="pct"/>
          </w:tcPr>
          <w:p w14:paraId="43074696" w14:textId="77777777" w:rsidR="006F05B0" w:rsidRPr="003051E3" w:rsidDel="00E24EC4" w:rsidRDefault="006F05B0" w:rsidP="000E1556">
            <w:pPr>
              <w:pStyle w:val="TableText"/>
              <w:jc w:val="both"/>
            </w:pPr>
            <w:r w:rsidRPr="003051E3">
              <w:t xml:space="preserve">IHC FISH RT-PCR </w:t>
            </w:r>
          </w:p>
        </w:tc>
        <w:tc>
          <w:tcPr>
            <w:tcW w:w="942" w:type="pct"/>
            <w:shd w:val="clear" w:color="auto" w:fill="auto"/>
            <w:vAlign w:val="center"/>
          </w:tcPr>
          <w:p w14:paraId="092BB66C" w14:textId="77777777" w:rsidR="006F05B0" w:rsidRPr="003051E3" w:rsidDel="00E24EC4" w:rsidRDefault="006F05B0" w:rsidP="000E1556">
            <w:pPr>
              <w:pStyle w:val="TableText"/>
              <w:jc w:val="both"/>
            </w:pPr>
            <w:r w:rsidRPr="003051E3">
              <w:t>1</w:t>
            </w:r>
            <w:r w:rsidRPr="003051E3">
              <w:rPr>
                <w:vertAlign w:val="superscript"/>
              </w:rPr>
              <w:t>st</w:t>
            </w:r>
            <w:r w:rsidRPr="003051E3">
              <w:t xml:space="preserve"> line, Stage I-IV 55% Stage II/-V</w:t>
            </w:r>
          </w:p>
        </w:tc>
        <w:tc>
          <w:tcPr>
            <w:tcW w:w="360" w:type="pct"/>
            <w:shd w:val="clear" w:color="auto" w:fill="auto"/>
            <w:vAlign w:val="center"/>
          </w:tcPr>
          <w:p w14:paraId="6D01FD1C" w14:textId="77777777" w:rsidR="006F05B0" w:rsidRPr="003051E3" w:rsidDel="00E24EC4" w:rsidRDefault="006F05B0" w:rsidP="000E1556">
            <w:pPr>
              <w:pStyle w:val="TableText"/>
              <w:jc w:val="both"/>
            </w:pPr>
            <w:r w:rsidRPr="003051E3" w:rsidDel="00E24EC4">
              <w:t>Unclear</w:t>
            </w:r>
          </w:p>
        </w:tc>
        <w:tc>
          <w:tcPr>
            <w:tcW w:w="1012" w:type="pct"/>
            <w:vAlign w:val="center"/>
          </w:tcPr>
          <w:p w14:paraId="00581E00" w14:textId="77777777" w:rsidR="006F05B0" w:rsidRPr="003051E3" w:rsidDel="00E24EC4" w:rsidRDefault="006F05B0" w:rsidP="000E1556">
            <w:pPr>
              <w:pStyle w:val="TableText"/>
              <w:jc w:val="both"/>
            </w:pPr>
            <w:r w:rsidRPr="003051E3">
              <w:t>NR</w:t>
            </w:r>
          </w:p>
        </w:tc>
        <w:tc>
          <w:tcPr>
            <w:tcW w:w="624" w:type="pct"/>
            <w:vAlign w:val="center"/>
          </w:tcPr>
          <w:p w14:paraId="4F839F2B" w14:textId="77777777" w:rsidR="006F05B0" w:rsidRPr="003051E3" w:rsidDel="00E24EC4" w:rsidRDefault="006F05B0" w:rsidP="000E1556">
            <w:pPr>
              <w:pStyle w:val="TableText"/>
              <w:jc w:val="both"/>
            </w:pPr>
            <w:r w:rsidRPr="003051E3">
              <w:t>NR</w:t>
            </w:r>
          </w:p>
        </w:tc>
        <w:tc>
          <w:tcPr>
            <w:tcW w:w="458" w:type="pct"/>
            <w:vAlign w:val="center"/>
          </w:tcPr>
          <w:p w14:paraId="077E252B" w14:textId="77777777" w:rsidR="006F05B0" w:rsidRPr="003051E3" w:rsidRDefault="006F05B0" w:rsidP="000E1556">
            <w:pPr>
              <w:pStyle w:val="TableText"/>
              <w:jc w:val="both"/>
            </w:pPr>
            <w:r w:rsidRPr="003051E3">
              <w:t>OS</w:t>
            </w:r>
          </w:p>
        </w:tc>
      </w:tr>
    </w:tbl>
    <w:p w14:paraId="6804418F" w14:textId="77777777" w:rsidR="006F05B0" w:rsidRPr="003051E3" w:rsidRDefault="006F05B0" w:rsidP="006F05B0">
      <w:pPr>
        <w:pStyle w:val="TableFooter"/>
      </w:pPr>
      <w:r w:rsidRPr="00420D95">
        <w:rPr>
          <w:i/>
        </w:rPr>
        <w:t>ALK</w:t>
      </w:r>
      <w:r w:rsidRPr="003051E3" w:rsidDel="00E24EC4">
        <w:t xml:space="preserve"> = anaplastic lymphoma kinase;</w:t>
      </w:r>
      <w:r w:rsidRPr="003051E3">
        <w:t xml:space="preserve"> chemo = chemotherapy; </w:t>
      </w:r>
      <w:r w:rsidRPr="00CC1ED6">
        <w:t>EGFR</w:t>
      </w:r>
      <w:r w:rsidRPr="003051E3" w:rsidDel="00E24EC4">
        <w:t xml:space="preserve"> = epidermal growth factor receptor; </w:t>
      </w:r>
      <w:r w:rsidRPr="00CC1ED6" w:rsidDel="00E24EC4">
        <w:rPr>
          <w:i/>
        </w:rPr>
        <w:t>KRAS</w:t>
      </w:r>
      <w:r w:rsidRPr="003051E3" w:rsidDel="00E24EC4">
        <w:t xml:space="preserve"> = Kirsten rat sarcoma proto-oncogene; m = months;</w:t>
      </w:r>
      <w:r w:rsidRPr="003051E3">
        <w:t xml:space="preserve"> MSMM = mass spectrometry multiplex mutation;</w:t>
      </w:r>
      <w:r w:rsidRPr="003051E3" w:rsidDel="00E24EC4">
        <w:t xml:space="preserve"> </w:t>
      </w:r>
      <w:proofErr w:type="spellStart"/>
      <w:r w:rsidRPr="003051E3" w:rsidDel="00E24EC4">
        <w:t>neg</w:t>
      </w:r>
      <w:proofErr w:type="spellEnd"/>
      <w:r w:rsidRPr="003051E3" w:rsidDel="00E24EC4">
        <w:t xml:space="preserve"> = negative; NSCLC = non-small cell lung cancer;</w:t>
      </w:r>
      <w:r w:rsidRPr="003051E3">
        <w:t xml:space="preserve"> NR = not reported; </w:t>
      </w:r>
      <w:r w:rsidRPr="003051E3" w:rsidDel="00E24EC4">
        <w:t xml:space="preserve">OS=overall survival; PFS=progression-free survival; </w:t>
      </w:r>
      <w:proofErr w:type="spellStart"/>
      <w:r w:rsidRPr="003051E3" w:rsidDel="00E24EC4">
        <w:t>pos</w:t>
      </w:r>
      <w:proofErr w:type="spellEnd"/>
      <w:r w:rsidRPr="003051E3" w:rsidDel="00E24EC4">
        <w:t xml:space="preserve"> = positive; pts = patients; R=randomised; RET = rearranged during transfection proto-oncogene;</w:t>
      </w:r>
      <w:r w:rsidRPr="003051E3">
        <w:t xml:space="preserve"> RT-PCR = reverse transcription polymerase chain reaction</w:t>
      </w:r>
      <w:r>
        <w:t xml:space="preserve"> </w:t>
      </w:r>
      <w:r w:rsidRPr="003051E3">
        <w:t xml:space="preserve">=; </w:t>
      </w:r>
      <w:r w:rsidRPr="00420D95">
        <w:rPr>
          <w:i/>
        </w:rPr>
        <w:t>ROS1</w:t>
      </w:r>
      <w:r w:rsidRPr="003051E3" w:rsidDel="00E24EC4">
        <w:t xml:space="preserve"> = </w:t>
      </w:r>
      <w:r w:rsidRPr="00420D95">
        <w:rPr>
          <w:i/>
        </w:rPr>
        <w:t>ROS</w:t>
      </w:r>
      <w:r w:rsidRPr="003051E3" w:rsidDel="00E24EC4">
        <w:t xml:space="preserve"> proto-oncogene;</w:t>
      </w:r>
      <w:r w:rsidRPr="003051E3">
        <w:t xml:space="preserve"> TKI = tyrosine kinase inhibitor;</w:t>
      </w:r>
      <w:r w:rsidRPr="003051E3" w:rsidDel="00E24EC4">
        <w:t xml:space="preserve"> vs = versus; </w:t>
      </w:r>
      <w:proofErr w:type="spellStart"/>
      <w:r w:rsidRPr="003051E3">
        <w:t>yr</w:t>
      </w:r>
      <w:proofErr w:type="spellEnd"/>
      <w:r w:rsidRPr="003051E3">
        <w:t xml:space="preserve"> = year</w:t>
      </w:r>
    </w:p>
    <w:p w14:paraId="06540C5B" w14:textId="77777777" w:rsidR="006F05B0" w:rsidRPr="003051E3" w:rsidRDefault="006F05B0" w:rsidP="006F05B0">
      <w:pPr>
        <w:pStyle w:val="TableFooter"/>
      </w:pPr>
      <w:proofErr w:type="gramStart"/>
      <w:r w:rsidRPr="003051E3">
        <w:rPr>
          <w:vertAlign w:val="superscript"/>
        </w:rPr>
        <w:t>a</w:t>
      </w:r>
      <w:proofErr w:type="gramEnd"/>
      <w:r w:rsidRPr="003051E3">
        <w:rPr>
          <w:vertAlign w:val="superscript"/>
        </w:rPr>
        <w:t xml:space="preserve"> </w:t>
      </w:r>
      <w:r w:rsidRPr="003051E3">
        <w:t>Phase II trial</w:t>
      </w:r>
    </w:p>
    <w:p w14:paraId="616AA6C5" w14:textId="77777777" w:rsidR="006F05B0" w:rsidRPr="003051E3" w:rsidRDefault="006F05B0" w:rsidP="006F05B0">
      <w:pPr>
        <w:pStyle w:val="TableFooter"/>
      </w:pPr>
      <w:proofErr w:type="gramStart"/>
      <w:r w:rsidRPr="003051E3">
        <w:rPr>
          <w:vertAlign w:val="superscript"/>
        </w:rPr>
        <w:t>b</w:t>
      </w:r>
      <w:proofErr w:type="gramEnd"/>
      <w:r w:rsidRPr="003051E3">
        <w:rPr>
          <w:vertAlign w:val="superscript"/>
        </w:rPr>
        <w:t xml:space="preserve"> </w:t>
      </w:r>
      <w:r w:rsidRPr="003051E3">
        <w:t>NGS was used in co-occurring mutations</w:t>
      </w:r>
    </w:p>
    <w:p w14:paraId="538CB7BF" w14:textId="77777777" w:rsidR="006F05B0" w:rsidRPr="003051E3" w:rsidRDefault="006F05B0" w:rsidP="006F05B0">
      <w:pPr>
        <w:pStyle w:val="TableFooter"/>
      </w:pPr>
      <w:proofErr w:type="gramStart"/>
      <w:r w:rsidRPr="003051E3">
        <w:rPr>
          <w:vertAlign w:val="superscript"/>
        </w:rPr>
        <w:t>c</w:t>
      </w:r>
      <w:proofErr w:type="gramEnd"/>
      <w:r w:rsidRPr="003051E3">
        <w:t xml:space="preserve"> A total of</w:t>
      </w:r>
      <w:r w:rsidRPr="003051E3">
        <w:rPr>
          <w:vertAlign w:val="superscript"/>
        </w:rPr>
        <w:t xml:space="preserve"> </w:t>
      </w:r>
      <w:r w:rsidRPr="003051E3">
        <w:t xml:space="preserve">5 (26%) </w:t>
      </w:r>
      <w:r w:rsidRPr="00420D95">
        <w:rPr>
          <w:i/>
        </w:rPr>
        <w:t>ROS1</w:t>
      </w:r>
      <w:r w:rsidRPr="003051E3">
        <w:t>-positive patients received crizotinib</w:t>
      </w:r>
    </w:p>
    <w:p w14:paraId="5871EE9B" w14:textId="40B9BB40" w:rsidR="006F05B0" w:rsidRPr="003051E3" w:rsidRDefault="006F05B0" w:rsidP="006F05B0">
      <w:pPr>
        <w:pStyle w:val="TableFooter"/>
      </w:pPr>
      <w:proofErr w:type="gramStart"/>
      <w:r w:rsidRPr="003051E3">
        <w:rPr>
          <w:vertAlign w:val="superscript"/>
        </w:rPr>
        <w:t>d</w:t>
      </w:r>
      <w:proofErr w:type="gramEnd"/>
      <w:r w:rsidRPr="003051E3">
        <w:rPr>
          <w:vertAlign w:val="superscript"/>
        </w:rPr>
        <w:t xml:space="preserve"> </w:t>
      </w:r>
      <w:r w:rsidRPr="003051E3">
        <w:t xml:space="preserve">A mix of mutations in </w:t>
      </w:r>
      <w:r w:rsidRPr="00420D95">
        <w:rPr>
          <w:i/>
        </w:rPr>
        <w:t>ROS1</w:t>
      </w:r>
      <w:r w:rsidR="005E1F58">
        <w:rPr>
          <w:i/>
        </w:rPr>
        <w:t>-</w:t>
      </w:r>
      <w:r w:rsidRPr="003051E3">
        <w:t xml:space="preserve">negative patients including: </w:t>
      </w:r>
      <w:r w:rsidRPr="00420D95">
        <w:rPr>
          <w:i/>
        </w:rPr>
        <w:t>EGFR</w:t>
      </w:r>
      <w:r w:rsidRPr="003051E3">
        <w:t xml:space="preserve"> mutations, treated with erlotinib and/or gefitinib and/or afatinib (</w:t>
      </w:r>
      <w:r w:rsidRPr="003051E3">
        <w:rPr>
          <w:rFonts w:ascii="Times New Roman" w:hAnsi="Times New Roman" w:cs="Times New Roman"/>
        </w:rPr>
        <w:t>±</w:t>
      </w:r>
      <w:r w:rsidRPr="003051E3">
        <w:t xml:space="preserve">cetuximab); </w:t>
      </w:r>
      <w:r w:rsidRPr="00420D95">
        <w:rPr>
          <w:i/>
        </w:rPr>
        <w:t>ALK</w:t>
      </w:r>
      <w:r w:rsidRPr="003051E3">
        <w:t xml:space="preserve"> rearrangement, treated with crizotinib and/or </w:t>
      </w:r>
      <w:proofErr w:type="spellStart"/>
      <w:r w:rsidRPr="003051E3">
        <w:t>certinib</w:t>
      </w:r>
      <w:proofErr w:type="spellEnd"/>
      <w:r w:rsidRPr="003051E3">
        <w:t xml:space="preserve">; patients with </w:t>
      </w:r>
      <w:r w:rsidRPr="00CC1ED6">
        <w:rPr>
          <w:i/>
        </w:rPr>
        <w:t>KRAS</w:t>
      </w:r>
      <w:r w:rsidRPr="003051E3">
        <w:t xml:space="preserve"> mutations (treatment unspecified)</w:t>
      </w:r>
    </w:p>
    <w:p w14:paraId="25DB9072" w14:textId="50ACB113" w:rsidR="006F05B0" w:rsidRPr="003051E3" w:rsidRDefault="006F05B0" w:rsidP="006F05B0">
      <w:pPr>
        <w:pStyle w:val="TableFooter"/>
      </w:pPr>
      <w:proofErr w:type="gramStart"/>
      <w:r w:rsidRPr="003051E3">
        <w:rPr>
          <w:vertAlign w:val="superscript"/>
        </w:rPr>
        <w:t>e</w:t>
      </w:r>
      <w:proofErr w:type="gramEnd"/>
      <w:r w:rsidRPr="003051E3">
        <w:rPr>
          <w:vertAlign w:val="superscript"/>
        </w:rPr>
        <w:t xml:space="preserve"> </w:t>
      </w:r>
      <w:r w:rsidRPr="003051E3">
        <w:t xml:space="preserve">25 patients </w:t>
      </w:r>
      <w:r w:rsidRPr="005E1F58">
        <w:t>ROS1</w:t>
      </w:r>
      <w:r w:rsidRPr="003051E3">
        <w:t xml:space="preserve"> IHC positive. 11 patients </w:t>
      </w:r>
      <w:r w:rsidRPr="00420D95">
        <w:rPr>
          <w:i/>
        </w:rPr>
        <w:t>ROS1</w:t>
      </w:r>
      <w:r w:rsidRPr="003051E3">
        <w:t xml:space="preserve"> FISH positive</w:t>
      </w:r>
    </w:p>
    <w:p w14:paraId="73411A9C" w14:textId="77777777" w:rsidR="006F05B0" w:rsidRPr="003051E3" w:rsidRDefault="006F05B0" w:rsidP="006F05B0">
      <w:pPr>
        <w:pStyle w:val="TableFooter"/>
        <w:rPr>
          <w:vertAlign w:val="superscript"/>
        </w:rPr>
      </w:pPr>
      <w:proofErr w:type="gramStart"/>
      <w:r w:rsidRPr="003051E3">
        <w:rPr>
          <w:vertAlign w:val="superscript"/>
        </w:rPr>
        <w:t>f</w:t>
      </w:r>
      <w:proofErr w:type="gramEnd"/>
      <w:r w:rsidRPr="003051E3">
        <w:t xml:space="preserve"> A total of</w:t>
      </w:r>
      <w:r w:rsidRPr="003051E3">
        <w:rPr>
          <w:vertAlign w:val="superscript"/>
        </w:rPr>
        <w:t xml:space="preserve"> </w:t>
      </w:r>
      <w:r w:rsidRPr="003051E3">
        <w:t xml:space="preserve">9 (36%) </w:t>
      </w:r>
      <w:r w:rsidRPr="00420D95">
        <w:rPr>
          <w:i/>
        </w:rPr>
        <w:t>ROS1</w:t>
      </w:r>
      <w:r w:rsidRPr="003051E3">
        <w:t>-positive patients received crizotinib</w:t>
      </w:r>
    </w:p>
    <w:p w14:paraId="23A6D187" w14:textId="39F4FC7A" w:rsidR="006F05B0" w:rsidRPr="003051E3" w:rsidDel="00E24EC4" w:rsidRDefault="005E249A" w:rsidP="006F05B0">
      <w:pPr>
        <w:pStyle w:val="TableFooter"/>
      </w:pPr>
      <w:proofErr w:type="gramStart"/>
      <w:r>
        <w:rPr>
          <w:vertAlign w:val="superscript"/>
        </w:rPr>
        <w:t>g</w:t>
      </w:r>
      <w:proofErr w:type="gramEnd"/>
      <w:r>
        <w:rPr>
          <w:vertAlign w:val="superscript"/>
        </w:rPr>
        <w:t xml:space="preserve"> </w:t>
      </w:r>
      <w:r w:rsidR="006F05B0" w:rsidRPr="003051E3">
        <w:t>With or without bevacizumab</w:t>
      </w:r>
    </w:p>
    <w:p w14:paraId="51C0EF73" w14:textId="77777777" w:rsidR="006F05B0" w:rsidRPr="003051E3" w:rsidRDefault="006F05B0" w:rsidP="006F05B0">
      <w:pPr>
        <w:pStyle w:val="TableFooter"/>
      </w:pPr>
      <w:proofErr w:type="gramStart"/>
      <w:r w:rsidRPr="003051E3">
        <w:rPr>
          <w:vertAlign w:val="superscript"/>
        </w:rPr>
        <w:t>h</w:t>
      </w:r>
      <w:proofErr w:type="gramEnd"/>
      <w:r w:rsidRPr="003051E3">
        <w:rPr>
          <w:vertAlign w:val="superscript"/>
        </w:rPr>
        <w:t xml:space="preserve"> </w:t>
      </w:r>
      <w:r w:rsidRPr="003051E3">
        <w:t>RT-PCR, DNA extract and pyrosequencing</w:t>
      </w:r>
    </w:p>
    <w:p w14:paraId="71AEEC96" w14:textId="39E9462C" w:rsidR="006F05B0" w:rsidRPr="003051E3" w:rsidRDefault="006F05B0" w:rsidP="006F05B0">
      <w:pPr>
        <w:spacing w:after="120"/>
      </w:pPr>
      <w:r w:rsidRPr="003051E3">
        <w:rPr>
          <w:color w:val="000000" w:themeColor="text1"/>
        </w:rPr>
        <w:t xml:space="preserve">Overall, the </w:t>
      </w:r>
      <w:r>
        <w:rPr>
          <w:szCs w:val="28"/>
          <w:lang w:bidi="en-US"/>
        </w:rPr>
        <w:t>application</w:t>
      </w:r>
      <w:r w:rsidRPr="003051E3">
        <w:rPr>
          <w:color w:val="000000" w:themeColor="text1"/>
        </w:rPr>
        <w:t xml:space="preserve"> suggested that </w:t>
      </w:r>
      <w:r w:rsidRPr="00420D95">
        <w:rPr>
          <w:i/>
          <w:color w:val="000000" w:themeColor="text1"/>
        </w:rPr>
        <w:t>ROS1</w:t>
      </w:r>
      <w:r w:rsidRPr="003051E3">
        <w:rPr>
          <w:color w:val="000000" w:themeColor="text1"/>
        </w:rPr>
        <w:t xml:space="preserve"> positivity was unlikely to be a favourable prognostic factor. The </w:t>
      </w:r>
      <w:r>
        <w:rPr>
          <w:color w:val="000000" w:themeColor="text1"/>
        </w:rPr>
        <w:t xml:space="preserve">critique considered that the </w:t>
      </w:r>
      <w:r w:rsidRPr="003051E3">
        <w:rPr>
          <w:color w:val="000000" w:themeColor="text1"/>
        </w:rPr>
        <w:t xml:space="preserve">independent prognostic impact of </w:t>
      </w:r>
      <w:r w:rsidRPr="00420D95">
        <w:rPr>
          <w:i/>
          <w:color w:val="000000" w:themeColor="text1"/>
        </w:rPr>
        <w:t>ROS1</w:t>
      </w:r>
      <w:r w:rsidRPr="003051E3">
        <w:rPr>
          <w:color w:val="000000" w:themeColor="text1"/>
        </w:rPr>
        <w:t xml:space="preserve"> gene rearrangements was difficult to determine</w:t>
      </w:r>
      <w:r w:rsidRPr="003051E3">
        <w:t xml:space="preserve"> due to (</w:t>
      </w:r>
      <w:proofErr w:type="spellStart"/>
      <w:r w:rsidRPr="003051E3">
        <w:t>i</w:t>
      </w:r>
      <w:proofErr w:type="spellEnd"/>
      <w:r w:rsidRPr="003051E3">
        <w:t xml:space="preserve">) the potential confounding from differences in disease stage between </w:t>
      </w:r>
      <w:r w:rsidRPr="00420D95">
        <w:rPr>
          <w:i/>
        </w:rPr>
        <w:t>ROS1</w:t>
      </w:r>
      <w:r w:rsidRPr="003051E3">
        <w:t xml:space="preserve">-positive and broader NSCLC groups; (ii) limited information on the treatments used by </w:t>
      </w:r>
      <w:r w:rsidRPr="00420D95">
        <w:rPr>
          <w:i/>
        </w:rPr>
        <w:t>ROS1</w:t>
      </w:r>
      <w:r w:rsidR="005E1F58">
        <w:rPr>
          <w:i/>
        </w:rPr>
        <w:t>-</w:t>
      </w:r>
      <w:r w:rsidRPr="003051E3">
        <w:t xml:space="preserve">negative patients and (iii) use of crizotinib by </w:t>
      </w:r>
      <w:r w:rsidRPr="00420D95">
        <w:rPr>
          <w:i/>
        </w:rPr>
        <w:t>ROS1</w:t>
      </w:r>
      <w:r w:rsidRPr="003051E3">
        <w:t>-positive patients (</w:t>
      </w:r>
      <w:proofErr w:type="spellStart"/>
      <w:r w:rsidRPr="003051E3">
        <w:t>eg</w:t>
      </w:r>
      <w:proofErr w:type="spellEnd"/>
      <w:r w:rsidRPr="003051E3">
        <w:t xml:space="preserve"> in </w:t>
      </w:r>
      <w:proofErr w:type="spellStart"/>
      <w:r w:rsidRPr="003051E3">
        <w:t>Scheffler</w:t>
      </w:r>
      <w:proofErr w:type="spellEnd"/>
      <w:r w:rsidRPr="003051E3">
        <w:t xml:space="preserve"> 2015 and in </w:t>
      </w:r>
      <w:proofErr w:type="spellStart"/>
      <w:r w:rsidRPr="003051E3">
        <w:t>Wiesweg</w:t>
      </w:r>
      <w:proofErr w:type="spellEnd"/>
      <w:r w:rsidRPr="003051E3">
        <w:t xml:space="preserve"> 2017). As a result, the prognostic impact of </w:t>
      </w:r>
      <w:r w:rsidRPr="00420D95">
        <w:rPr>
          <w:i/>
        </w:rPr>
        <w:t>ROS1</w:t>
      </w:r>
      <w:r w:rsidRPr="003051E3">
        <w:t xml:space="preserve"> gene rearrangements in advanced NSCLC could not be determined.</w:t>
      </w:r>
    </w:p>
    <w:p w14:paraId="5EB72037" w14:textId="77777777" w:rsidR="006F05B0" w:rsidRPr="003051E3" w:rsidRDefault="006F05B0" w:rsidP="006F05B0">
      <w:pPr>
        <w:spacing w:after="120"/>
        <w:rPr>
          <w:rFonts w:ascii="Cambria" w:hAnsi="Cambria"/>
          <w:b/>
          <w:lang w:bidi="en-US"/>
        </w:rPr>
      </w:pPr>
      <w:r w:rsidRPr="003051E3">
        <w:rPr>
          <w:rFonts w:ascii="Cambria" w:hAnsi="Cambria"/>
          <w:b/>
          <w:lang w:bidi="en-US"/>
        </w:rPr>
        <w:t>Predictive evidence</w:t>
      </w:r>
    </w:p>
    <w:p w14:paraId="325BC336" w14:textId="586FCEFF" w:rsidR="006F05B0" w:rsidRPr="00843B29" w:rsidRDefault="006F05B0" w:rsidP="006F05B0">
      <w:pPr>
        <w:rPr>
          <w:lang w:bidi="en-US"/>
        </w:rPr>
      </w:pPr>
      <w:r w:rsidRPr="003051E3">
        <w:rPr>
          <w:color w:val="000000" w:themeColor="text1"/>
        </w:rPr>
        <w:t xml:space="preserve">The </w:t>
      </w:r>
      <w:r>
        <w:rPr>
          <w:szCs w:val="28"/>
          <w:lang w:bidi="en-US"/>
        </w:rPr>
        <w:t>application</w:t>
      </w:r>
      <w:r w:rsidRPr="003051E3">
        <w:rPr>
          <w:color w:val="000000" w:themeColor="text1"/>
        </w:rPr>
        <w:t xml:space="preserve"> did not present evidence comparing crizotinib and pemetrexed in both </w:t>
      </w:r>
      <w:r w:rsidRPr="00420D95">
        <w:rPr>
          <w:i/>
          <w:color w:val="000000" w:themeColor="text1"/>
        </w:rPr>
        <w:t>ROS1</w:t>
      </w:r>
      <w:r w:rsidR="005E1F58">
        <w:rPr>
          <w:i/>
          <w:color w:val="000000" w:themeColor="text1"/>
        </w:rPr>
        <w:t>-</w:t>
      </w:r>
      <w:r w:rsidRPr="003051E3">
        <w:rPr>
          <w:color w:val="000000" w:themeColor="text1"/>
        </w:rPr>
        <w:t xml:space="preserve">positive and </w:t>
      </w:r>
      <w:r w:rsidRPr="00420D95">
        <w:rPr>
          <w:i/>
          <w:color w:val="000000" w:themeColor="text1"/>
        </w:rPr>
        <w:t>ROS1</w:t>
      </w:r>
      <w:r w:rsidR="005E1F58">
        <w:rPr>
          <w:i/>
          <w:color w:val="000000" w:themeColor="text1"/>
        </w:rPr>
        <w:t>-</w:t>
      </w:r>
      <w:r w:rsidRPr="003051E3">
        <w:rPr>
          <w:color w:val="000000" w:themeColor="text1"/>
        </w:rPr>
        <w:t xml:space="preserve">negative patients. The crizotinib studies were in patients with </w:t>
      </w:r>
      <w:r w:rsidRPr="00420D95">
        <w:rPr>
          <w:i/>
          <w:color w:val="000000" w:themeColor="text1"/>
        </w:rPr>
        <w:t>ROS1</w:t>
      </w:r>
      <w:r w:rsidRPr="003051E3">
        <w:rPr>
          <w:color w:val="000000" w:themeColor="text1"/>
        </w:rPr>
        <w:t>-positive NSCLC and the pemetrexed trial was in a broad NSCLC population with an unknown pre</w:t>
      </w:r>
      <w:r>
        <w:rPr>
          <w:color w:val="000000" w:themeColor="text1"/>
        </w:rPr>
        <w:t>valence of genetic aberrations.</w:t>
      </w:r>
    </w:p>
    <w:p w14:paraId="055CB14F" w14:textId="77777777" w:rsidR="006F05B0" w:rsidRPr="003051E3" w:rsidRDefault="006F05B0" w:rsidP="006F05B0">
      <w:pPr>
        <w:pStyle w:val="MSACESHeading2"/>
        <w:spacing w:before="120"/>
      </w:pPr>
      <w:bookmarkStart w:id="3" w:name="_Toc491433479"/>
      <w:r w:rsidRPr="003051E3">
        <w:lastRenderedPageBreak/>
        <w:t>Comparative analytical performance</w:t>
      </w:r>
      <w:bookmarkEnd w:id="3"/>
    </w:p>
    <w:p w14:paraId="500ACA23" w14:textId="0C1201C5" w:rsidR="006F05B0" w:rsidRPr="003051E3" w:rsidRDefault="006F05B0" w:rsidP="006F05B0">
      <w:pPr>
        <w:spacing w:after="120"/>
        <w:rPr>
          <w:color w:val="000000" w:themeColor="text1"/>
        </w:rPr>
      </w:pPr>
      <w:r w:rsidRPr="003051E3">
        <w:rPr>
          <w:color w:val="000000" w:themeColor="text1"/>
        </w:rPr>
        <w:t xml:space="preserve">The analytical performance of </w:t>
      </w:r>
      <w:r w:rsidRPr="005E1F58">
        <w:rPr>
          <w:color w:val="000000" w:themeColor="text1"/>
        </w:rPr>
        <w:t>ROS1</w:t>
      </w:r>
      <w:r w:rsidRPr="003051E3">
        <w:rPr>
          <w:color w:val="000000" w:themeColor="text1"/>
        </w:rPr>
        <w:t xml:space="preserve"> IHC using staining intensity criteria is presented in the table below.</w:t>
      </w:r>
    </w:p>
    <w:p w14:paraId="48F98186" w14:textId="77777777" w:rsidR="006F05B0" w:rsidRPr="003051E3" w:rsidRDefault="006F05B0" w:rsidP="006F05B0">
      <w:pPr>
        <w:pStyle w:val="TableHeading"/>
        <w:jc w:val="both"/>
      </w:pPr>
      <w:r>
        <w:t>Table 4:</w:t>
      </w:r>
      <w:r w:rsidRPr="003051E3">
        <w:t xml:space="preserve"> IHC analytic performance outcomes using staining intensity criteria of 2+ or 3+</w:t>
      </w:r>
    </w:p>
    <w:tbl>
      <w:tblPr>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Description w:val="Summary of the study results for IHC analytic performance outcomes using staining intensity criteria of 2+ or 3+"/>
      </w:tblPr>
      <w:tblGrid>
        <w:gridCol w:w="1985"/>
        <w:gridCol w:w="709"/>
        <w:gridCol w:w="2126"/>
        <w:gridCol w:w="1134"/>
        <w:gridCol w:w="1276"/>
        <w:gridCol w:w="850"/>
        <w:gridCol w:w="992"/>
      </w:tblGrid>
      <w:tr w:rsidR="006F05B0" w:rsidRPr="003051E3" w14:paraId="797622ED" w14:textId="77777777" w:rsidTr="000E1556">
        <w:trPr>
          <w:cantSplit/>
          <w:tblHeader/>
        </w:trPr>
        <w:tc>
          <w:tcPr>
            <w:tcW w:w="1985" w:type="dxa"/>
          </w:tcPr>
          <w:p w14:paraId="26EABF3B" w14:textId="77777777" w:rsidR="006F05B0" w:rsidRPr="003051E3" w:rsidRDefault="006F05B0" w:rsidP="000E1556">
            <w:pPr>
              <w:pStyle w:val="TableText"/>
              <w:keepNext w:val="0"/>
              <w:widowControl w:val="0"/>
              <w:jc w:val="both"/>
              <w:rPr>
                <w:b/>
              </w:rPr>
            </w:pPr>
            <w:r w:rsidRPr="003051E3">
              <w:rPr>
                <w:b/>
              </w:rPr>
              <w:t xml:space="preserve">Study </w:t>
            </w:r>
          </w:p>
        </w:tc>
        <w:tc>
          <w:tcPr>
            <w:tcW w:w="709" w:type="dxa"/>
          </w:tcPr>
          <w:p w14:paraId="16B71433" w14:textId="77777777" w:rsidR="006F05B0" w:rsidRPr="003051E3" w:rsidRDefault="006F05B0" w:rsidP="000E1556">
            <w:pPr>
              <w:pStyle w:val="TableText"/>
              <w:keepNext w:val="0"/>
              <w:widowControl w:val="0"/>
              <w:jc w:val="center"/>
              <w:rPr>
                <w:b/>
                <w:iCs/>
                <w:szCs w:val="24"/>
                <w:vertAlign w:val="superscript"/>
                <w:lang w:val="en-US"/>
              </w:rPr>
            </w:pPr>
            <w:r w:rsidRPr="003051E3">
              <w:rPr>
                <w:b/>
                <w:iCs/>
                <w:szCs w:val="24"/>
                <w:lang w:val="en-US"/>
              </w:rPr>
              <w:t>N</w:t>
            </w:r>
            <w:r w:rsidRPr="003051E3">
              <w:rPr>
                <w:b/>
                <w:iCs/>
                <w:szCs w:val="24"/>
                <w:vertAlign w:val="superscript"/>
                <w:lang w:val="en-US"/>
              </w:rPr>
              <w:t>a</w:t>
            </w:r>
          </w:p>
        </w:tc>
        <w:tc>
          <w:tcPr>
            <w:tcW w:w="2126" w:type="dxa"/>
          </w:tcPr>
          <w:p w14:paraId="088EB33C" w14:textId="77777777" w:rsidR="006F05B0" w:rsidRPr="003051E3" w:rsidRDefault="006F05B0" w:rsidP="000E1556">
            <w:pPr>
              <w:pStyle w:val="TableText"/>
              <w:keepNext w:val="0"/>
              <w:widowControl w:val="0"/>
              <w:jc w:val="center"/>
              <w:rPr>
                <w:b/>
                <w:iCs/>
                <w:szCs w:val="24"/>
                <w:lang w:val="en-US"/>
              </w:rPr>
            </w:pPr>
            <w:r w:rsidRPr="00420D95">
              <w:rPr>
                <w:b/>
                <w:i/>
                <w:iCs/>
                <w:szCs w:val="24"/>
                <w:lang w:val="en-US"/>
              </w:rPr>
              <w:t>ROS1</w:t>
            </w:r>
            <w:r w:rsidRPr="003051E3">
              <w:rPr>
                <w:b/>
                <w:iCs/>
                <w:szCs w:val="24"/>
                <w:lang w:val="en-US"/>
              </w:rPr>
              <w:t>-positive n/N (%)</w:t>
            </w:r>
          </w:p>
        </w:tc>
        <w:tc>
          <w:tcPr>
            <w:tcW w:w="1134" w:type="dxa"/>
          </w:tcPr>
          <w:p w14:paraId="657EBBF1" w14:textId="77777777" w:rsidR="006F05B0" w:rsidRPr="003051E3" w:rsidRDefault="006F05B0" w:rsidP="000E1556">
            <w:pPr>
              <w:pStyle w:val="TableText"/>
              <w:keepNext w:val="0"/>
              <w:widowControl w:val="0"/>
              <w:jc w:val="center"/>
              <w:rPr>
                <w:szCs w:val="24"/>
                <w:lang w:val="en-US"/>
              </w:rPr>
            </w:pPr>
            <w:r w:rsidRPr="003051E3">
              <w:rPr>
                <w:b/>
                <w:iCs/>
                <w:szCs w:val="24"/>
                <w:lang w:val="en-US"/>
              </w:rPr>
              <w:t>Sensitivity</w:t>
            </w:r>
          </w:p>
        </w:tc>
        <w:tc>
          <w:tcPr>
            <w:tcW w:w="1276" w:type="dxa"/>
          </w:tcPr>
          <w:p w14:paraId="49FD00C4" w14:textId="77777777" w:rsidR="006F05B0" w:rsidRPr="003051E3" w:rsidRDefault="006F05B0" w:rsidP="000E1556">
            <w:pPr>
              <w:pStyle w:val="TableText"/>
              <w:keepNext w:val="0"/>
              <w:widowControl w:val="0"/>
              <w:jc w:val="center"/>
              <w:rPr>
                <w:szCs w:val="24"/>
                <w:lang w:val="en-US"/>
              </w:rPr>
            </w:pPr>
            <w:r w:rsidRPr="003051E3">
              <w:rPr>
                <w:b/>
                <w:iCs/>
                <w:szCs w:val="24"/>
                <w:lang w:val="en-US"/>
              </w:rPr>
              <w:t>Specificity</w:t>
            </w:r>
          </w:p>
        </w:tc>
        <w:tc>
          <w:tcPr>
            <w:tcW w:w="850" w:type="dxa"/>
          </w:tcPr>
          <w:p w14:paraId="0A132E7B" w14:textId="77777777" w:rsidR="006F05B0" w:rsidRPr="003051E3" w:rsidRDefault="006F05B0" w:rsidP="000E1556">
            <w:pPr>
              <w:pStyle w:val="TableText"/>
              <w:keepNext w:val="0"/>
              <w:widowControl w:val="0"/>
              <w:jc w:val="center"/>
              <w:rPr>
                <w:szCs w:val="24"/>
                <w:lang w:val="en-US"/>
              </w:rPr>
            </w:pPr>
            <w:r w:rsidRPr="003051E3">
              <w:rPr>
                <w:b/>
                <w:iCs/>
                <w:szCs w:val="24"/>
                <w:lang w:val="en-US"/>
              </w:rPr>
              <w:t>PPV</w:t>
            </w:r>
          </w:p>
        </w:tc>
        <w:tc>
          <w:tcPr>
            <w:tcW w:w="992" w:type="dxa"/>
          </w:tcPr>
          <w:p w14:paraId="1CEADEE8" w14:textId="77777777" w:rsidR="006F05B0" w:rsidRPr="003051E3" w:rsidRDefault="006F05B0" w:rsidP="000E1556">
            <w:pPr>
              <w:pStyle w:val="TableText"/>
              <w:keepNext w:val="0"/>
              <w:widowControl w:val="0"/>
              <w:jc w:val="center"/>
              <w:rPr>
                <w:szCs w:val="24"/>
                <w:lang w:val="en-US"/>
              </w:rPr>
            </w:pPr>
            <w:r w:rsidRPr="003051E3">
              <w:rPr>
                <w:b/>
                <w:iCs/>
                <w:szCs w:val="24"/>
                <w:lang w:val="en-US"/>
              </w:rPr>
              <w:t>NPV</w:t>
            </w:r>
          </w:p>
        </w:tc>
      </w:tr>
      <w:tr w:rsidR="006F05B0" w:rsidRPr="003051E3" w14:paraId="604C2BD6" w14:textId="77777777" w:rsidTr="000E1556">
        <w:trPr>
          <w:cantSplit/>
          <w:trHeight w:val="159"/>
        </w:trPr>
        <w:tc>
          <w:tcPr>
            <w:tcW w:w="1985" w:type="dxa"/>
          </w:tcPr>
          <w:p w14:paraId="4426C43A" w14:textId="77777777" w:rsidR="006F05B0" w:rsidRPr="003051E3" w:rsidRDefault="006F05B0" w:rsidP="000E1556">
            <w:pPr>
              <w:pStyle w:val="TableText"/>
              <w:keepNext w:val="0"/>
              <w:widowControl w:val="0"/>
              <w:jc w:val="both"/>
              <w:rPr>
                <w:b/>
              </w:rPr>
            </w:pPr>
            <w:proofErr w:type="spellStart"/>
            <w:r w:rsidRPr="003051E3">
              <w:rPr>
                <w:b/>
              </w:rPr>
              <w:t>Selinger</w:t>
            </w:r>
            <w:proofErr w:type="spellEnd"/>
            <w:r w:rsidRPr="003051E3">
              <w:rPr>
                <w:b/>
              </w:rPr>
              <w:t xml:space="preserve"> 2016</w:t>
            </w:r>
          </w:p>
        </w:tc>
        <w:tc>
          <w:tcPr>
            <w:tcW w:w="709" w:type="dxa"/>
          </w:tcPr>
          <w:p w14:paraId="1E42AEBA" w14:textId="77777777" w:rsidR="006F05B0" w:rsidRPr="003051E3" w:rsidRDefault="006F05B0" w:rsidP="000E1556">
            <w:pPr>
              <w:pStyle w:val="TableText"/>
              <w:keepNext w:val="0"/>
              <w:widowControl w:val="0"/>
              <w:jc w:val="center"/>
              <w:rPr>
                <w:b/>
                <w:vertAlign w:val="superscript"/>
              </w:rPr>
            </w:pPr>
            <w:r w:rsidRPr="003051E3">
              <w:rPr>
                <w:b/>
              </w:rPr>
              <w:t xml:space="preserve">278 </w:t>
            </w:r>
            <w:r w:rsidRPr="003051E3">
              <w:rPr>
                <w:b/>
                <w:vertAlign w:val="superscript"/>
              </w:rPr>
              <w:t>b</w:t>
            </w:r>
          </w:p>
        </w:tc>
        <w:tc>
          <w:tcPr>
            <w:tcW w:w="2126" w:type="dxa"/>
          </w:tcPr>
          <w:p w14:paraId="7F35DE3F" w14:textId="77777777" w:rsidR="006F05B0" w:rsidRPr="003051E3" w:rsidRDefault="006F05B0" w:rsidP="000E1556">
            <w:pPr>
              <w:pStyle w:val="TableText"/>
              <w:keepNext w:val="0"/>
              <w:widowControl w:val="0"/>
              <w:jc w:val="center"/>
              <w:rPr>
                <w:b/>
              </w:rPr>
            </w:pPr>
            <w:r w:rsidRPr="003051E3">
              <w:rPr>
                <w:b/>
              </w:rPr>
              <w:t>1/278 (0.4%)</w:t>
            </w:r>
          </w:p>
        </w:tc>
        <w:tc>
          <w:tcPr>
            <w:tcW w:w="1134" w:type="dxa"/>
          </w:tcPr>
          <w:p w14:paraId="509C1E6E" w14:textId="77777777" w:rsidR="006F05B0" w:rsidRPr="003051E3" w:rsidRDefault="006F05B0" w:rsidP="000E1556">
            <w:pPr>
              <w:pStyle w:val="TableText"/>
              <w:keepNext w:val="0"/>
              <w:widowControl w:val="0"/>
              <w:jc w:val="center"/>
              <w:rPr>
                <w:b/>
              </w:rPr>
            </w:pPr>
            <w:r w:rsidRPr="003051E3">
              <w:rPr>
                <w:b/>
              </w:rPr>
              <w:t>100%</w:t>
            </w:r>
          </w:p>
        </w:tc>
        <w:tc>
          <w:tcPr>
            <w:tcW w:w="1276" w:type="dxa"/>
          </w:tcPr>
          <w:p w14:paraId="1048526E" w14:textId="77777777" w:rsidR="006F05B0" w:rsidRPr="003051E3" w:rsidRDefault="006F05B0" w:rsidP="000E1556">
            <w:pPr>
              <w:pStyle w:val="TableText"/>
              <w:keepNext w:val="0"/>
              <w:widowControl w:val="0"/>
              <w:jc w:val="center"/>
              <w:rPr>
                <w:rFonts w:ascii="Times" w:eastAsia="Times New Roman" w:hAnsi="Times" w:cs="Times New Roman"/>
                <w:b/>
              </w:rPr>
            </w:pPr>
            <w:r w:rsidRPr="003051E3">
              <w:rPr>
                <w:b/>
              </w:rPr>
              <w:t>96.8%</w:t>
            </w:r>
          </w:p>
        </w:tc>
        <w:tc>
          <w:tcPr>
            <w:tcW w:w="850" w:type="dxa"/>
          </w:tcPr>
          <w:p w14:paraId="418F1217" w14:textId="77777777" w:rsidR="006F05B0" w:rsidRPr="003051E3" w:rsidRDefault="006F05B0" w:rsidP="000E1556">
            <w:pPr>
              <w:pStyle w:val="TableText"/>
              <w:keepNext w:val="0"/>
              <w:widowControl w:val="0"/>
              <w:jc w:val="center"/>
              <w:rPr>
                <w:rFonts w:ascii="Times" w:eastAsia="Times New Roman" w:hAnsi="Times" w:cs="Times New Roman"/>
                <w:b/>
              </w:rPr>
            </w:pPr>
            <w:r w:rsidRPr="003051E3">
              <w:rPr>
                <w:b/>
              </w:rPr>
              <w:t>10%</w:t>
            </w:r>
          </w:p>
        </w:tc>
        <w:tc>
          <w:tcPr>
            <w:tcW w:w="992" w:type="dxa"/>
          </w:tcPr>
          <w:p w14:paraId="28B5C4D0" w14:textId="77777777" w:rsidR="006F05B0" w:rsidRPr="003051E3" w:rsidRDefault="006F05B0" w:rsidP="000E1556">
            <w:pPr>
              <w:pStyle w:val="TableText"/>
              <w:keepNext w:val="0"/>
              <w:widowControl w:val="0"/>
              <w:jc w:val="center"/>
              <w:rPr>
                <w:rFonts w:ascii="Times" w:eastAsia="Times New Roman" w:hAnsi="Times" w:cs="Times New Roman"/>
                <w:b/>
              </w:rPr>
            </w:pPr>
            <w:r w:rsidRPr="003051E3">
              <w:rPr>
                <w:b/>
              </w:rPr>
              <w:t>100%</w:t>
            </w:r>
          </w:p>
        </w:tc>
      </w:tr>
      <w:tr w:rsidR="006F05B0" w:rsidRPr="003051E3" w14:paraId="028A4CCC" w14:textId="77777777" w:rsidTr="000E1556">
        <w:trPr>
          <w:cantSplit/>
          <w:trHeight w:val="297"/>
        </w:trPr>
        <w:tc>
          <w:tcPr>
            <w:tcW w:w="1985" w:type="dxa"/>
          </w:tcPr>
          <w:p w14:paraId="653AAD7F" w14:textId="77777777" w:rsidR="006F05B0" w:rsidRPr="003051E3" w:rsidRDefault="006F05B0" w:rsidP="000E1556">
            <w:pPr>
              <w:pStyle w:val="TableText"/>
              <w:keepNext w:val="0"/>
              <w:widowControl w:val="0"/>
              <w:jc w:val="both"/>
            </w:pPr>
            <w:r w:rsidRPr="003051E3">
              <w:t>Cha 2014</w:t>
            </w:r>
          </w:p>
        </w:tc>
        <w:tc>
          <w:tcPr>
            <w:tcW w:w="709" w:type="dxa"/>
          </w:tcPr>
          <w:p w14:paraId="171ECB8A" w14:textId="77777777" w:rsidR="006F05B0" w:rsidRPr="003051E3" w:rsidRDefault="006F05B0" w:rsidP="000E1556">
            <w:pPr>
              <w:pStyle w:val="TableText"/>
              <w:keepNext w:val="0"/>
              <w:widowControl w:val="0"/>
              <w:jc w:val="center"/>
            </w:pPr>
            <w:r w:rsidRPr="003051E3">
              <w:t>330</w:t>
            </w:r>
          </w:p>
        </w:tc>
        <w:tc>
          <w:tcPr>
            <w:tcW w:w="2126" w:type="dxa"/>
          </w:tcPr>
          <w:p w14:paraId="13731DEA" w14:textId="77777777" w:rsidR="006F05B0" w:rsidRPr="003051E3" w:rsidRDefault="006F05B0" w:rsidP="000E1556">
            <w:pPr>
              <w:pStyle w:val="TableText"/>
              <w:keepNext w:val="0"/>
              <w:widowControl w:val="0"/>
              <w:jc w:val="center"/>
            </w:pPr>
            <w:r w:rsidRPr="003051E3">
              <w:t>13/330 (4.1%)</w:t>
            </w:r>
          </w:p>
        </w:tc>
        <w:tc>
          <w:tcPr>
            <w:tcW w:w="1134" w:type="dxa"/>
          </w:tcPr>
          <w:p w14:paraId="424F5700" w14:textId="77777777" w:rsidR="006F05B0" w:rsidRPr="003051E3" w:rsidRDefault="006F05B0" w:rsidP="000E1556">
            <w:pPr>
              <w:pStyle w:val="TableText"/>
              <w:keepNext w:val="0"/>
              <w:widowControl w:val="0"/>
              <w:jc w:val="center"/>
            </w:pPr>
            <w:r w:rsidRPr="003051E3">
              <w:t>100%</w:t>
            </w:r>
          </w:p>
        </w:tc>
        <w:tc>
          <w:tcPr>
            <w:tcW w:w="1276" w:type="dxa"/>
          </w:tcPr>
          <w:p w14:paraId="78C96F4B" w14:textId="77777777" w:rsidR="006F05B0" w:rsidRPr="003051E3" w:rsidRDefault="006F05B0" w:rsidP="000E1556">
            <w:pPr>
              <w:pStyle w:val="TableText"/>
              <w:keepNext w:val="0"/>
              <w:widowControl w:val="0"/>
              <w:jc w:val="center"/>
              <w:rPr>
                <w:rFonts w:ascii="Times" w:eastAsia="Times New Roman" w:hAnsi="Times" w:cs="Times New Roman"/>
              </w:rPr>
            </w:pPr>
            <w:r w:rsidRPr="003051E3">
              <w:t>95%</w:t>
            </w:r>
          </w:p>
        </w:tc>
        <w:tc>
          <w:tcPr>
            <w:tcW w:w="850" w:type="dxa"/>
          </w:tcPr>
          <w:p w14:paraId="62BF7758" w14:textId="77777777" w:rsidR="006F05B0" w:rsidRPr="003051E3" w:rsidRDefault="006F05B0" w:rsidP="000E1556">
            <w:pPr>
              <w:pStyle w:val="TableText"/>
              <w:keepNext w:val="0"/>
              <w:widowControl w:val="0"/>
              <w:jc w:val="center"/>
              <w:rPr>
                <w:rFonts w:ascii="Times" w:eastAsia="Times New Roman" w:hAnsi="Times" w:cs="Times New Roman"/>
              </w:rPr>
            </w:pPr>
            <w:r w:rsidRPr="003051E3">
              <w:t>45%</w:t>
            </w:r>
          </w:p>
        </w:tc>
        <w:tc>
          <w:tcPr>
            <w:tcW w:w="992" w:type="dxa"/>
          </w:tcPr>
          <w:p w14:paraId="665268C5" w14:textId="77777777" w:rsidR="006F05B0" w:rsidRPr="003051E3" w:rsidRDefault="006F05B0" w:rsidP="000E1556">
            <w:pPr>
              <w:pStyle w:val="TableText"/>
              <w:keepNext w:val="0"/>
              <w:widowControl w:val="0"/>
              <w:jc w:val="center"/>
              <w:rPr>
                <w:rFonts w:ascii="Times" w:eastAsia="Times New Roman" w:hAnsi="Times" w:cs="Times New Roman"/>
              </w:rPr>
            </w:pPr>
            <w:r w:rsidRPr="003051E3">
              <w:t>100%</w:t>
            </w:r>
          </w:p>
        </w:tc>
      </w:tr>
      <w:tr w:rsidR="006F05B0" w:rsidRPr="003051E3" w14:paraId="330B763A" w14:textId="77777777" w:rsidTr="000E1556">
        <w:trPr>
          <w:cantSplit/>
        </w:trPr>
        <w:tc>
          <w:tcPr>
            <w:tcW w:w="1985" w:type="dxa"/>
          </w:tcPr>
          <w:p w14:paraId="0EB0F1EC" w14:textId="77777777" w:rsidR="006F05B0" w:rsidRPr="003051E3" w:rsidRDefault="006F05B0" w:rsidP="000E1556">
            <w:pPr>
              <w:pStyle w:val="TableText"/>
              <w:keepNext w:val="0"/>
              <w:widowControl w:val="0"/>
              <w:jc w:val="both"/>
              <w:rPr>
                <w:b/>
              </w:rPr>
            </w:pPr>
            <w:proofErr w:type="spellStart"/>
            <w:r w:rsidRPr="003051E3">
              <w:rPr>
                <w:b/>
              </w:rPr>
              <w:t>Jin</w:t>
            </w:r>
            <w:proofErr w:type="spellEnd"/>
            <w:r w:rsidRPr="003051E3">
              <w:rPr>
                <w:b/>
              </w:rPr>
              <w:t xml:space="preserve"> 2015</w:t>
            </w:r>
          </w:p>
        </w:tc>
        <w:tc>
          <w:tcPr>
            <w:tcW w:w="709" w:type="dxa"/>
          </w:tcPr>
          <w:p w14:paraId="353DACF9" w14:textId="77777777" w:rsidR="006F05B0" w:rsidRPr="003051E3" w:rsidRDefault="006F05B0" w:rsidP="000E1556">
            <w:pPr>
              <w:pStyle w:val="TableText"/>
              <w:keepNext w:val="0"/>
              <w:widowControl w:val="0"/>
              <w:jc w:val="center"/>
              <w:rPr>
                <w:b/>
              </w:rPr>
            </w:pPr>
            <w:r w:rsidRPr="003051E3">
              <w:rPr>
                <w:b/>
              </w:rPr>
              <w:t>754</w:t>
            </w:r>
          </w:p>
        </w:tc>
        <w:tc>
          <w:tcPr>
            <w:tcW w:w="2126" w:type="dxa"/>
          </w:tcPr>
          <w:p w14:paraId="1A21ACD1" w14:textId="77777777" w:rsidR="006F05B0" w:rsidRPr="003051E3" w:rsidRDefault="006F05B0" w:rsidP="000E1556">
            <w:pPr>
              <w:pStyle w:val="TableText"/>
              <w:keepNext w:val="0"/>
              <w:widowControl w:val="0"/>
              <w:jc w:val="center"/>
              <w:rPr>
                <w:b/>
              </w:rPr>
            </w:pPr>
            <w:r w:rsidRPr="003051E3">
              <w:rPr>
                <w:b/>
              </w:rPr>
              <w:t>10/754 (1.3%)</w:t>
            </w:r>
          </w:p>
        </w:tc>
        <w:tc>
          <w:tcPr>
            <w:tcW w:w="1134" w:type="dxa"/>
          </w:tcPr>
          <w:p w14:paraId="18EF9808" w14:textId="77777777" w:rsidR="006F05B0" w:rsidRPr="003051E3" w:rsidRDefault="006F05B0" w:rsidP="000E1556">
            <w:pPr>
              <w:pStyle w:val="TableText"/>
              <w:keepNext w:val="0"/>
              <w:widowControl w:val="0"/>
              <w:jc w:val="center"/>
              <w:rPr>
                <w:b/>
              </w:rPr>
            </w:pPr>
            <w:r w:rsidRPr="003051E3">
              <w:rPr>
                <w:b/>
              </w:rPr>
              <w:t>80%</w:t>
            </w:r>
          </w:p>
        </w:tc>
        <w:tc>
          <w:tcPr>
            <w:tcW w:w="1276" w:type="dxa"/>
          </w:tcPr>
          <w:p w14:paraId="3AA83709" w14:textId="77777777" w:rsidR="006F05B0" w:rsidRPr="003051E3" w:rsidRDefault="006F05B0" w:rsidP="000E1556">
            <w:pPr>
              <w:pStyle w:val="TableText"/>
              <w:keepNext w:val="0"/>
              <w:widowControl w:val="0"/>
              <w:jc w:val="center"/>
              <w:rPr>
                <w:rFonts w:ascii="Times" w:eastAsia="Times New Roman" w:hAnsi="Times" w:cs="Times New Roman"/>
                <w:b/>
              </w:rPr>
            </w:pPr>
            <w:r w:rsidRPr="003051E3">
              <w:rPr>
                <w:b/>
              </w:rPr>
              <w:t>89.5%</w:t>
            </w:r>
          </w:p>
        </w:tc>
        <w:tc>
          <w:tcPr>
            <w:tcW w:w="850" w:type="dxa"/>
          </w:tcPr>
          <w:p w14:paraId="62541CB9" w14:textId="77777777" w:rsidR="006F05B0" w:rsidRPr="003051E3" w:rsidRDefault="006F05B0" w:rsidP="000E1556">
            <w:pPr>
              <w:pStyle w:val="TableText"/>
              <w:jc w:val="center"/>
              <w:rPr>
                <w:b/>
              </w:rPr>
            </w:pPr>
            <w:r w:rsidRPr="003051E3">
              <w:rPr>
                <w:b/>
              </w:rPr>
              <w:t>9.3%</w:t>
            </w:r>
          </w:p>
        </w:tc>
        <w:tc>
          <w:tcPr>
            <w:tcW w:w="992" w:type="dxa"/>
          </w:tcPr>
          <w:p w14:paraId="4FDED7D9" w14:textId="77777777" w:rsidR="006F05B0" w:rsidRPr="003051E3" w:rsidRDefault="006F05B0" w:rsidP="000E1556">
            <w:pPr>
              <w:pStyle w:val="TableText"/>
              <w:jc w:val="center"/>
              <w:rPr>
                <w:b/>
              </w:rPr>
            </w:pPr>
            <w:r w:rsidRPr="003051E3">
              <w:rPr>
                <w:b/>
              </w:rPr>
              <w:t>100%</w:t>
            </w:r>
          </w:p>
        </w:tc>
      </w:tr>
      <w:tr w:rsidR="006F05B0" w:rsidRPr="003051E3" w14:paraId="77061EE5" w14:textId="77777777" w:rsidTr="000E1556">
        <w:trPr>
          <w:cantSplit/>
        </w:trPr>
        <w:tc>
          <w:tcPr>
            <w:tcW w:w="1985" w:type="dxa"/>
          </w:tcPr>
          <w:p w14:paraId="59C3531B" w14:textId="77777777" w:rsidR="006F05B0" w:rsidRPr="003051E3" w:rsidRDefault="006F05B0" w:rsidP="000E1556">
            <w:pPr>
              <w:pStyle w:val="TableText"/>
              <w:keepNext w:val="0"/>
              <w:widowControl w:val="0"/>
              <w:jc w:val="both"/>
            </w:pPr>
            <w:r w:rsidRPr="003051E3">
              <w:t>Wu 2016</w:t>
            </w:r>
          </w:p>
        </w:tc>
        <w:tc>
          <w:tcPr>
            <w:tcW w:w="709" w:type="dxa"/>
          </w:tcPr>
          <w:p w14:paraId="355809F4" w14:textId="77777777" w:rsidR="006F05B0" w:rsidRPr="003051E3" w:rsidRDefault="006F05B0" w:rsidP="000E1556">
            <w:pPr>
              <w:pStyle w:val="TableText"/>
              <w:keepNext w:val="0"/>
              <w:widowControl w:val="0"/>
              <w:jc w:val="center"/>
            </w:pPr>
            <w:r w:rsidRPr="003051E3">
              <w:t>238</w:t>
            </w:r>
          </w:p>
        </w:tc>
        <w:tc>
          <w:tcPr>
            <w:tcW w:w="2126" w:type="dxa"/>
          </w:tcPr>
          <w:p w14:paraId="0D8292A3" w14:textId="77777777" w:rsidR="006F05B0" w:rsidRPr="003051E3" w:rsidRDefault="006F05B0" w:rsidP="000E1556">
            <w:pPr>
              <w:pStyle w:val="TableText"/>
              <w:keepNext w:val="0"/>
              <w:widowControl w:val="0"/>
              <w:jc w:val="center"/>
            </w:pPr>
            <w:r w:rsidRPr="003051E3">
              <w:t>10/238 (4.2%)</w:t>
            </w:r>
          </w:p>
        </w:tc>
        <w:tc>
          <w:tcPr>
            <w:tcW w:w="1134" w:type="dxa"/>
          </w:tcPr>
          <w:p w14:paraId="65402525" w14:textId="77777777" w:rsidR="006F05B0" w:rsidRPr="003051E3" w:rsidRDefault="006F05B0" w:rsidP="000E1556">
            <w:pPr>
              <w:pStyle w:val="TableText"/>
              <w:keepNext w:val="0"/>
              <w:widowControl w:val="0"/>
              <w:jc w:val="center"/>
            </w:pPr>
            <w:r w:rsidRPr="003051E3">
              <w:t>100%</w:t>
            </w:r>
          </w:p>
        </w:tc>
        <w:tc>
          <w:tcPr>
            <w:tcW w:w="1276" w:type="dxa"/>
          </w:tcPr>
          <w:p w14:paraId="68DDE38A" w14:textId="77777777" w:rsidR="006F05B0" w:rsidRPr="003051E3" w:rsidRDefault="006F05B0" w:rsidP="000E1556">
            <w:pPr>
              <w:pStyle w:val="TableText"/>
              <w:keepNext w:val="0"/>
              <w:widowControl w:val="0"/>
              <w:jc w:val="center"/>
            </w:pPr>
            <w:r w:rsidRPr="003051E3">
              <w:t>99.6%</w:t>
            </w:r>
          </w:p>
        </w:tc>
        <w:tc>
          <w:tcPr>
            <w:tcW w:w="850" w:type="dxa"/>
          </w:tcPr>
          <w:p w14:paraId="236F22F1" w14:textId="77777777" w:rsidR="006F05B0" w:rsidRPr="003051E3" w:rsidRDefault="006F05B0" w:rsidP="000E1556">
            <w:pPr>
              <w:pStyle w:val="TableText"/>
              <w:keepNext w:val="0"/>
              <w:widowControl w:val="0"/>
              <w:jc w:val="center"/>
            </w:pPr>
            <w:r w:rsidRPr="003051E3">
              <w:t>91%</w:t>
            </w:r>
          </w:p>
        </w:tc>
        <w:tc>
          <w:tcPr>
            <w:tcW w:w="992" w:type="dxa"/>
          </w:tcPr>
          <w:p w14:paraId="799C2A0D" w14:textId="77777777" w:rsidR="006F05B0" w:rsidRPr="003051E3" w:rsidRDefault="006F05B0" w:rsidP="000E1556">
            <w:pPr>
              <w:pStyle w:val="TableText"/>
              <w:keepNext w:val="0"/>
              <w:widowControl w:val="0"/>
              <w:jc w:val="center"/>
            </w:pPr>
            <w:r w:rsidRPr="003051E3">
              <w:t>100%</w:t>
            </w:r>
          </w:p>
        </w:tc>
      </w:tr>
      <w:tr w:rsidR="006F05B0" w:rsidRPr="003051E3" w14:paraId="47005DC6" w14:textId="77777777" w:rsidTr="000E1556">
        <w:trPr>
          <w:cantSplit/>
        </w:trPr>
        <w:tc>
          <w:tcPr>
            <w:tcW w:w="1985" w:type="dxa"/>
            <w:tcBorders>
              <w:bottom w:val="single" w:sz="4" w:space="0" w:color="auto"/>
            </w:tcBorders>
          </w:tcPr>
          <w:p w14:paraId="40DC1FDE" w14:textId="77777777" w:rsidR="006F05B0" w:rsidRPr="003051E3" w:rsidRDefault="006F05B0" w:rsidP="000E1556">
            <w:pPr>
              <w:pStyle w:val="TableText"/>
              <w:keepNext w:val="0"/>
              <w:widowControl w:val="0"/>
              <w:jc w:val="both"/>
            </w:pPr>
            <w:r w:rsidRPr="003051E3">
              <w:t>Zhou 2016</w:t>
            </w:r>
          </w:p>
        </w:tc>
        <w:tc>
          <w:tcPr>
            <w:tcW w:w="709" w:type="dxa"/>
          </w:tcPr>
          <w:p w14:paraId="57BF580C" w14:textId="77777777" w:rsidR="006F05B0" w:rsidRPr="003051E3" w:rsidRDefault="006F05B0" w:rsidP="000E1556">
            <w:pPr>
              <w:pStyle w:val="TableText"/>
              <w:keepNext w:val="0"/>
              <w:widowControl w:val="0"/>
              <w:jc w:val="center"/>
            </w:pPr>
            <w:r w:rsidRPr="003051E3">
              <w:t>349</w:t>
            </w:r>
          </w:p>
        </w:tc>
        <w:tc>
          <w:tcPr>
            <w:tcW w:w="2126" w:type="dxa"/>
          </w:tcPr>
          <w:p w14:paraId="62A19A60" w14:textId="77777777" w:rsidR="006F05B0" w:rsidRPr="003051E3" w:rsidRDefault="006F05B0" w:rsidP="000E1556">
            <w:pPr>
              <w:pStyle w:val="TableText"/>
              <w:keepNext w:val="0"/>
              <w:widowControl w:val="0"/>
              <w:jc w:val="center"/>
            </w:pPr>
            <w:r w:rsidRPr="003051E3">
              <w:t>27/349 (7.7%)</w:t>
            </w:r>
          </w:p>
        </w:tc>
        <w:tc>
          <w:tcPr>
            <w:tcW w:w="1134" w:type="dxa"/>
          </w:tcPr>
          <w:p w14:paraId="6CAC42CB" w14:textId="77777777" w:rsidR="006F05B0" w:rsidRPr="003051E3" w:rsidRDefault="006F05B0" w:rsidP="000E1556">
            <w:pPr>
              <w:pStyle w:val="TableText"/>
              <w:keepNext w:val="0"/>
              <w:widowControl w:val="0"/>
              <w:jc w:val="center"/>
            </w:pPr>
            <w:r w:rsidRPr="003051E3">
              <w:t>100%</w:t>
            </w:r>
          </w:p>
        </w:tc>
        <w:tc>
          <w:tcPr>
            <w:tcW w:w="1276" w:type="dxa"/>
          </w:tcPr>
          <w:p w14:paraId="278B517F" w14:textId="77777777" w:rsidR="006F05B0" w:rsidRPr="003051E3" w:rsidRDefault="006F05B0" w:rsidP="000E1556">
            <w:pPr>
              <w:pStyle w:val="TableText"/>
              <w:keepNext w:val="0"/>
              <w:widowControl w:val="0"/>
              <w:jc w:val="center"/>
            </w:pPr>
            <w:r w:rsidRPr="003051E3">
              <w:t>34.4%</w:t>
            </w:r>
          </w:p>
        </w:tc>
        <w:tc>
          <w:tcPr>
            <w:tcW w:w="850" w:type="dxa"/>
          </w:tcPr>
          <w:p w14:paraId="26C23068" w14:textId="77777777" w:rsidR="006F05B0" w:rsidRPr="003051E3" w:rsidRDefault="006F05B0" w:rsidP="000E1556">
            <w:pPr>
              <w:pStyle w:val="TableText"/>
              <w:keepNext w:val="0"/>
              <w:widowControl w:val="0"/>
              <w:jc w:val="center"/>
            </w:pPr>
            <w:r w:rsidRPr="003051E3">
              <w:t>60%</w:t>
            </w:r>
          </w:p>
        </w:tc>
        <w:tc>
          <w:tcPr>
            <w:tcW w:w="992" w:type="dxa"/>
          </w:tcPr>
          <w:p w14:paraId="02C7D343" w14:textId="77777777" w:rsidR="006F05B0" w:rsidRPr="003051E3" w:rsidRDefault="006F05B0" w:rsidP="000E1556">
            <w:pPr>
              <w:pStyle w:val="TableText"/>
              <w:keepNext w:val="0"/>
              <w:widowControl w:val="0"/>
              <w:jc w:val="center"/>
            </w:pPr>
            <w:r w:rsidRPr="003051E3">
              <w:t>100%</w:t>
            </w:r>
          </w:p>
        </w:tc>
      </w:tr>
      <w:tr w:rsidR="006F05B0" w:rsidRPr="003051E3" w14:paraId="7E961819" w14:textId="77777777" w:rsidTr="000E1556">
        <w:trPr>
          <w:cantSplit/>
        </w:trPr>
        <w:tc>
          <w:tcPr>
            <w:tcW w:w="1985" w:type="dxa"/>
            <w:tcBorders>
              <w:top w:val="single" w:sz="4" w:space="0" w:color="auto"/>
              <w:right w:val="single" w:sz="4" w:space="0" w:color="auto"/>
            </w:tcBorders>
          </w:tcPr>
          <w:p w14:paraId="741A43C1" w14:textId="77777777" w:rsidR="006F05B0" w:rsidRPr="003051E3" w:rsidRDefault="006F05B0" w:rsidP="000E1556">
            <w:pPr>
              <w:pStyle w:val="TableText"/>
              <w:keepNext w:val="0"/>
              <w:widowControl w:val="0"/>
              <w:jc w:val="both"/>
              <w:rPr>
                <w:b/>
              </w:rPr>
            </w:pPr>
            <w:r w:rsidRPr="003051E3">
              <w:rPr>
                <w:b/>
              </w:rPr>
              <w:t>Cao 2016</w:t>
            </w:r>
          </w:p>
        </w:tc>
        <w:tc>
          <w:tcPr>
            <w:tcW w:w="709" w:type="dxa"/>
          </w:tcPr>
          <w:p w14:paraId="2EA63741" w14:textId="77777777" w:rsidR="006F05B0" w:rsidRPr="003051E3" w:rsidRDefault="006F05B0" w:rsidP="000E1556">
            <w:pPr>
              <w:pStyle w:val="TableText"/>
              <w:keepNext w:val="0"/>
              <w:widowControl w:val="0"/>
              <w:jc w:val="center"/>
              <w:rPr>
                <w:b/>
              </w:rPr>
            </w:pPr>
            <w:r w:rsidRPr="003051E3">
              <w:rPr>
                <w:b/>
              </w:rPr>
              <w:t>183</w:t>
            </w:r>
          </w:p>
        </w:tc>
        <w:tc>
          <w:tcPr>
            <w:tcW w:w="2126" w:type="dxa"/>
          </w:tcPr>
          <w:p w14:paraId="39A28112" w14:textId="77777777" w:rsidR="006F05B0" w:rsidRPr="003051E3" w:rsidRDefault="006F05B0" w:rsidP="000E1556">
            <w:pPr>
              <w:pStyle w:val="TableText"/>
              <w:keepNext w:val="0"/>
              <w:widowControl w:val="0"/>
              <w:jc w:val="center"/>
              <w:rPr>
                <w:b/>
              </w:rPr>
            </w:pPr>
            <w:r w:rsidRPr="003051E3">
              <w:rPr>
                <w:b/>
              </w:rPr>
              <w:t>3/183 (1.6%)</w:t>
            </w:r>
          </w:p>
        </w:tc>
        <w:tc>
          <w:tcPr>
            <w:tcW w:w="1134" w:type="dxa"/>
          </w:tcPr>
          <w:p w14:paraId="2A3E5BD1" w14:textId="77777777" w:rsidR="006F05B0" w:rsidRPr="003051E3" w:rsidRDefault="006F05B0" w:rsidP="000E1556">
            <w:pPr>
              <w:pStyle w:val="TableText"/>
              <w:keepNext w:val="0"/>
              <w:widowControl w:val="0"/>
              <w:jc w:val="center"/>
              <w:rPr>
                <w:b/>
              </w:rPr>
            </w:pPr>
            <w:r w:rsidRPr="003051E3">
              <w:rPr>
                <w:b/>
              </w:rPr>
              <w:t>100%</w:t>
            </w:r>
          </w:p>
        </w:tc>
        <w:tc>
          <w:tcPr>
            <w:tcW w:w="1276" w:type="dxa"/>
          </w:tcPr>
          <w:p w14:paraId="35553752" w14:textId="77777777" w:rsidR="006F05B0" w:rsidRPr="003051E3" w:rsidRDefault="006F05B0" w:rsidP="000E1556">
            <w:pPr>
              <w:pStyle w:val="TableText"/>
              <w:keepNext w:val="0"/>
              <w:widowControl w:val="0"/>
              <w:jc w:val="center"/>
              <w:rPr>
                <w:b/>
              </w:rPr>
            </w:pPr>
            <w:r w:rsidRPr="003051E3">
              <w:rPr>
                <w:b/>
              </w:rPr>
              <w:t>97.8%</w:t>
            </w:r>
          </w:p>
        </w:tc>
        <w:tc>
          <w:tcPr>
            <w:tcW w:w="850" w:type="dxa"/>
          </w:tcPr>
          <w:p w14:paraId="213808D3" w14:textId="77777777" w:rsidR="006F05B0" w:rsidRPr="003051E3" w:rsidRDefault="006F05B0" w:rsidP="000E1556">
            <w:pPr>
              <w:pStyle w:val="TableText"/>
              <w:keepNext w:val="0"/>
              <w:widowControl w:val="0"/>
              <w:jc w:val="center"/>
              <w:rPr>
                <w:b/>
              </w:rPr>
            </w:pPr>
            <w:r w:rsidRPr="003051E3">
              <w:rPr>
                <w:b/>
              </w:rPr>
              <w:t>43%</w:t>
            </w:r>
          </w:p>
        </w:tc>
        <w:tc>
          <w:tcPr>
            <w:tcW w:w="992" w:type="dxa"/>
          </w:tcPr>
          <w:p w14:paraId="7DB75DCA" w14:textId="77777777" w:rsidR="006F05B0" w:rsidRPr="003051E3" w:rsidRDefault="006F05B0" w:rsidP="000E1556">
            <w:pPr>
              <w:pStyle w:val="TableText"/>
              <w:keepNext w:val="0"/>
              <w:widowControl w:val="0"/>
              <w:jc w:val="center"/>
              <w:rPr>
                <w:b/>
              </w:rPr>
            </w:pPr>
            <w:r w:rsidRPr="003051E3">
              <w:rPr>
                <w:b/>
              </w:rPr>
              <w:t>100%</w:t>
            </w:r>
          </w:p>
        </w:tc>
      </w:tr>
      <w:tr w:rsidR="006F05B0" w:rsidRPr="003051E3" w14:paraId="0A289B17" w14:textId="77777777" w:rsidTr="000E1556">
        <w:trPr>
          <w:cantSplit/>
        </w:trPr>
        <w:tc>
          <w:tcPr>
            <w:tcW w:w="1985" w:type="dxa"/>
          </w:tcPr>
          <w:p w14:paraId="5F2771E3" w14:textId="77777777" w:rsidR="006F05B0" w:rsidRPr="003051E3" w:rsidRDefault="006F05B0" w:rsidP="000E1556">
            <w:pPr>
              <w:pStyle w:val="TableText"/>
              <w:keepNext w:val="0"/>
              <w:widowControl w:val="0"/>
              <w:jc w:val="both"/>
            </w:pPr>
            <w:r w:rsidRPr="003051E3">
              <w:t>Scholl 2013</w:t>
            </w:r>
          </w:p>
        </w:tc>
        <w:tc>
          <w:tcPr>
            <w:tcW w:w="709" w:type="dxa"/>
          </w:tcPr>
          <w:p w14:paraId="07490695" w14:textId="77777777" w:rsidR="006F05B0" w:rsidRPr="003051E3" w:rsidRDefault="006F05B0" w:rsidP="000E1556">
            <w:pPr>
              <w:pStyle w:val="TableText"/>
              <w:keepNext w:val="0"/>
              <w:widowControl w:val="0"/>
              <w:jc w:val="center"/>
            </w:pPr>
            <w:r w:rsidRPr="003051E3">
              <w:t>56</w:t>
            </w:r>
          </w:p>
        </w:tc>
        <w:tc>
          <w:tcPr>
            <w:tcW w:w="2126" w:type="dxa"/>
          </w:tcPr>
          <w:p w14:paraId="178E31F0" w14:textId="77777777" w:rsidR="006F05B0" w:rsidRPr="003051E3" w:rsidRDefault="006F05B0" w:rsidP="000E1556">
            <w:pPr>
              <w:pStyle w:val="TableText"/>
              <w:keepNext w:val="0"/>
              <w:widowControl w:val="0"/>
              <w:jc w:val="center"/>
            </w:pPr>
            <w:r w:rsidRPr="003051E3">
              <w:t>8/56 (14.3%)</w:t>
            </w:r>
          </w:p>
        </w:tc>
        <w:tc>
          <w:tcPr>
            <w:tcW w:w="1134" w:type="dxa"/>
          </w:tcPr>
          <w:p w14:paraId="451E7351" w14:textId="77777777" w:rsidR="006F05B0" w:rsidRPr="003051E3" w:rsidRDefault="006F05B0" w:rsidP="000E1556">
            <w:pPr>
              <w:pStyle w:val="TableText"/>
              <w:keepNext w:val="0"/>
              <w:widowControl w:val="0"/>
              <w:jc w:val="center"/>
            </w:pPr>
            <w:r w:rsidRPr="003051E3">
              <w:t>100%</w:t>
            </w:r>
          </w:p>
        </w:tc>
        <w:tc>
          <w:tcPr>
            <w:tcW w:w="1276" w:type="dxa"/>
          </w:tcPr>
          <w:p w14:paraId="3C3ACDEE" w14:textId="77777777" w:rsidR="006F05B0" w:rsidRPr="003051E3" w:rsidRDefault="006F05B0" w:rsidP="000E1556">
            <w:pPr>
              <w:pStyle w:val="TableText"/>
              <w:keepNext w:val="0"/>
              <w:widowControl w:val="0"/>
              <w:jc w:val="center"/>
            </w:pPr>
            <w:r w:rsidRPr="003051E3">
              <w:t>91.7%</w:t>
            </w:r>
          </w:p>
        </w:tc>
        <w:tc>
          <w:tcPr>
            <w:tcW w:w="850" w:type="dxa"/>
          </w:tcPr>
          <w:p w14:paraId="36FB05B1" w14:textId="77777777" w:rsidR="006F05B0" w:rsidRPr="003051E3" w:rsidRDefault="006F05B0" w:rsidP="000E1556">
            <w:pPr>
              <w:pStyle w:val="TableText"/>
              <w:keepNext w:val="0"/>
              <w:widowControl w:val="0"/>
              <w:jc w:val="center"/>
            </w:pPr>
            <w:r w:rsidRPr="003051E3">
              <w:t>67%</w:t>
            </w:r>
          </w:p>
        </w:tc>
        <w:tc>
          <w:tcPr>
            <w:tcW w:w="992" w:type="dxa"/>
          </w:tcPr>
          <w:p w14:paraId="57163629" w14:textId="77777777" w:rsidR="006F05B0" w:rsidRPr="003051E3" w:rsidRDefault="006F05B0" w:rsidP="000E1556">
            <w:pPr>
              <w:pStyle w:val="TableText"/>
              <w:keepNext w:val="0"/>
              <w:widowControl w:val="0"/>
              <w:jc w:val="center"/>
            </w:pPr>
            <w:r w:rsidRPr="003051E3">
              <w:t>100%</w:t>
            </w:r>
          </w:p>
        </w:tc>
      </w:tr>
      <w:tr w:rsidR="006F05B0" w:rsidRPr="003051E3" w14:paraId="4FC2360C" w14:textId="77777777" w:rsidTr="000E1556">
        <w:trPr>
          <w:cantSplit/>
        </w:trPr>
        <w:tc>
          <w:tcPr>
            <w:tcW w:w="1985" w:type="dxa"/>
          </w:tcPr>
          <w:p w14:paraId="52D26CD0" w14:textId="77777777" w:rsidR="006F05B0" w:rsidRPr="003051E3" w:rsidRDefault="006F05B0" w:rsidP="000E1556">
            <w:pPr>
              <w:pStyle w:val="TableText"/>
              <w:keepNext w:val="0"/>
              <w:widowControl w:val="0"/>
              <w:jc w:val="both"/>
            </w:pPr>
            <w:proofErr w:type="spellStart"/>
            <w:r w:rsidRPr="003051E3">
              <w:t>Mescam</w:t>
            </w:r>
            <w:proofErr w:type="spellEnd"/>
            <w:r w:rsidRPr="003051E3">
              <w:t>-Mancini 2014</w:t>
            </w:r>
          </w:p>
        </w:tc>
        <w:tc>
          <w:tcPr>
            <w:tcW w:w="709" w:type="dxa"/>
          </w:tcPr>
          <w:p w14:paraId="6DA54EE3" w14:textId="77777777" w:rsidR="006F05B0" w:rsidRPr="003051E3" w:rsidRDefault="006F05B0" w:rsidP="000E1556">
            <w:pPr>
              <w:pStyle w:val="TableText"/>
              <w:keepNext w:val="0"/>
              <w:widowControl w:val="0"/>
              <w:jc w:val="center"/>
            </w:pPr>
            <w:r w:rsidRPr="003051E3">
              <w:t>121</w:t>
            </w:r>
          </w:p>
        </w:tc>
        <w:tc>
          <w:tcPr>
            <w:tcW w:w="2126" w:type="dxa"/>
          </w:tcPr>
          <w:p w14:paraId="79D046CF" w14:textId="77777777" w:rsidR="006F05B0" w:rsidRPr="003051E3" w:rsidRDefault="006F05B0" w:rsidP="000E1556">
            <w:pPr>
              <w:pStyle w:val="TableText"/>
              <w:keepNext w:val="0"/>
              <w:widowControl w:val="0"/>
              <w:jc w:val="center"/>
            </w:pPr>
            <w:r w:rsidRPr="003051E3">
              <w:t>98/107 (8.4%)</w:t>
            </w:r>
          </w:p>
        </w:tc>
        <w:tc>
          <w:tcPr>
            <w:tcW w:w="1134" w:type="dxa"/>
          </w:tcPr>
          <w:p w14:paraId="46396637" w14:textId="77777777" w:rsidR="006F05B0" w:rsidRPr="003051E3" w:rsidRDefault="006F05B0" w:rsidP="000E1556">
            <w:pPr>
              <w:pStyle w:val="TableText"/>
              <w:keepNext w:val="0"/>
              <w:widowControl w:val="0"/>
              <w:jc w:val="center"/>
            </w:pPr>
            <w:r w:rsidRPr="003051E3">
              <w:t>100%</w:t>
            </w:r>
          </w:p>
        </w:tc>
        <w:tc>
          <w:tcPr>
            <w:tcW w:w="1276" w:type="dxa"/>
          </w:tcPr>
          <w:p w14:paraId="23131EEE" w14:textId="77777777" w:rsidR="006F05B0" w:rsidRPr="003051E3" w:rsidRDefault="006F05B0" w:rsidP="000E1556">
            <w:pPr>
              <w:pStyle w:val="TableText"/>
              <w:keepNext w:val="0"/>
              <w:widowControl w:val="0"/>
              <w:jc w:val="center"/>
            </w:pPr>
            <w:r w:rsidRPr="003051E3">
              <w:t>98.0%</w:t>
            </w:r>
          </w:p>
        </w:tc>
        <w:tc>
          <w:tcPr>
            <w:tcW w:w="850" w:type="dxa"/>
          </w:tcPr>
          <w:p w14:paraId="2F9646DC" w14:textId="77777777" w:rsidR="006F05B0" w:rsidRPr="003051E3" w:rsidRDefault="006F05B0" w:rsidP="000E1556">
            <w:pPr>
              <w:pStyle w:val="TableText"/>
              <w:keepNext w:val="0"/>
              <w:widowControl w:val="0"/>
              <w:jc w:val="center"/>
            </w:pPr>
            <w:r w:rsidRPr="003051E3">
              <w:t>82%</w:t>
            </w:r>
          </w:p>
        </w:tc>
        <w:tc>
          <w:tcPr>
            <w:tcW w:w="992" w:type="dxa"/>
          </w:tcPr>
          <w:p w14:paraId="33293AD1" w14:textId="77777777" w:rsidR="006F05B0" w:rsidRPr="003051E3" w:rsidRDefault="006F05B0" w:rsidP="000E1556">
            <w:pPr>
              <w:pStyle w:val="TableText"/>
              <w:keepNext w:val="0"/>
              <w:widowControl w:val="0"/>
              <w:jc w:val="center"/>
            </w:pPr>
            <w:r w:rsidRPr="003051E3">
              <w:t>100%</w:t>
            </w:r>
          </w:p>
        </w:tc>
      </w:tr>
      <w:tr w:rsidR="006F05B0" w:rsidRPr="003051E3" w14:paraId="631A4741" w14:textId="77777777" w:rsidTr="000E1556">
        <w:trPr>
          <w:cantSplit/>
        </w:trPr>
        <w:tc>
          <w:tcPr>
            <w:tcW w:w="1985" w:type="dxa"/>
          </w:tcPr>
          <w:p w14:paraId="68A04732" w14:textId="77777777" w:rsidR="006F05B0" w:rsidRPr="003051E3" w:rsidRDefault="006F05B0" w:rsidP="000E1556">
            <w:pPr>
              <w:pStyle w:val="TableText"/>
              <w:keepNext w:val="0"/>
              <w:widowControl w:val="0"/>
              <w:jc w:val="both"/>
            </w:pPr>
            <w:r w:rsidRPr="003051E3">
              <w:t>Yoshida 2014</w:t>
            </w:r>
          </w:p>
        </w:tc>
        <w:tc>
          <w:tcPr>
            <w:tcW w:w="709" w:type="dxa"/>
          </w:tcPr>
          <w:p w14:paraId="67D82506" w14:textId="77777777" w:rsidR="006F05B0" w:rsidRPr="003051E3" w:rsidRDefault="006F05B0" w:rsidP="000E1556">
            <w:pPr>
              <w:pStyle w:val="TableText"/>
              <w:keepNext w:val="0"/>
              <w:widowControl w:val="0"/>
              <w:jc w:val="center"/>
            </w:pPr>
            <w:r w:rsidRPr="003051E3">
              <w:t>270</w:t>
            </w:r>
          </w:p>
        </w:tc>
        <w:tc>
          <w:tcPr>
            <w:tcW w:w="2126" w:type="dxa"/>
          </w:tcPr>
          <w:p w14:paraId="6A114B8B" w14:textId="77777777" w:rsidR="006F05B0" w:rsidRPr="003051E3" w:rsidRDefault="006F05B0" w:rsidP="000E1556">
            <w:pPr>
              <w:pStyle w:val="TableText"/>
              <w:keepNext w:val="0"/>
              <w:widowControl w:val="0"/>
              <w:jc w:val="center"/>
            </w:pPr>
            <w:r w:rsidRPr="003051E3">
              <w:t>17/270 (6.3%)</w:t>
            </w:r>
          </w:p>
        </w:tc>
        <w:tc>
          <w:tcPr>
            <w:tcW w:w="1134" w:type="dxa"/>
          </w:tcPr>
          <w:p w14:paraId="348BF0B5" w14:textId="77777777" w:rsidR="006F05B0" w:rsidRPr="003051E3" w:rsidRDefault="006F05B0" w:rsidP="000E1556">
            <w:pPr>
              <w:pStyle w:val="TableText"/>
              <w:keepNext w:val="0"/>
              <w:widowControl w:val="0"/>
              <w:jc w:val="center"/>
            </w:pPr>
            <w:r w:rsidRPr="003051E3">
              <w:t>94.1%</w:t>
            </w:r>
          </w:p>
        </w:tc>
        <w:tc>
          <w:tcPr>
            <w:tcW w:w="1276" w:type="dxa"/>
          </w:tcPr>
          <w:p w14:paraId="779E2817" w14:textId="77777777" w:rsidR="006F05B0" w:rsidRPr="003051E3" w:rsidRDefault="006F05B0" w:rsidP="000E1556">
            <w:pPr>
              <w:pStyle w:val="TableText"/>
              <w:keepNext w:val="0"/>
              <w:widowControl w:val="0"/>
              <w:jc w:val="center"/>
            </w:pPr>
            <w:r w:rsidRPr="003051E3">
              <w:t>87.0%</w:t>
            </w:r>
          </w:p>
        </w:tc>
        <w:tc>
          <w:tcPr>
            <w:tcW w:w="850" w:type="dxa"/>
          </w:tcPr>
          <w:p w14:paraId="0975007B" w14:textId="77777777" w:rsidR="006F05B0" w:rsidRPr="003051E3" w:rsidRDefault="006F05B0" w:rsidP="000E1556">
            <w:pPr>
              <w:pStyle w:val="TableText"/>
              <w:keepNext w:val="0"/>
              <w:widowControl w:val="0"/>
              <w:jc w:val="center"/>
            </w:pPr>
            <w:r w:rsidRPr="003051E3">
              <w:t>32.7%</w:t>
            </w:r>
          </w:p>
        </w:tc>
        <w:tc>
          <w:tcPr>
            <w:tcW w:w="992" w:type="dxa"/>
          </w:tcPr>
          <w:p w14:paraId="68A0278D" w14:textId="77777777" w:rsidR="006F05B0" w:rsidRPr="003051E3" w:rsidRDefault="006F05B0" w:rsidP="000E1556">
            <w:pPr>
              <w:pStyle w:val="TableText"/>
              <w:keepNext w:val="0"/>
              <w:widowControl w:val="0"/>
              <w:jc w:val="center"/>
            </w:pPr>
            <w:r w:rsidRPr="003051E3">
              <w:t>100%</w:t>
            </w:r>
          </w:p>
        </w:tc>
      </w:tr>
      <w:tr w:rsidR="006F05B0" w:rsidRPr="003051E3" w14:paraId="18CE2336" w14:textId="77777777" w:rsidTr="000E1556">
        <w:trPr>
          <w:cantSplit/>
        </w:trPr>
        <w:tc>
          <w:tcPr>
            <w:tcW w:w="1985" w:type="dxa"/>
          </w:tcPr>
          <w:p w14:paraId="022C6C32" w14:textId="77777777" w:rsidR="006F05B0" w:rsidRPr="003051E3" w:rsidRDefault="006F05B0" w:rsidP="000E1556">
            <w:pPr>
              <w:pStyle w:val="TableText"/>
              <w:keepNext w:val="0"/>
              <w:widowControl w:val="0"/>
              <w:jc w:val="both"/>
            </w:pPr>
            <w:r w:rsidRPr="003051E3">
              <w:t>Shan 2015</w:t>
            </w:r>
          </w:p>
        </w:tc>
        <w:tc>
          <w:tcPr>
            <w:tcW w:w="709" w:type="dxa"/>
          </w:tcPr>
          <w:p w14:paraId="7D3F7CFF" w14:textId="77777777" w:rsidR="006F05B0" w:rsidRPr="003051E3" w:rsidRDefault="006F05B0" w:rsidP="000E1556">
            <w:pPr>
              <w:pStyle w:val="TableText"/>
              <w:keepNext w:val="0"/>
              <w:widowControl w:val="0"/>
              <w:jc w:val="center"/>
            </w:pPr>
            <w:r w:rsidRPr="003051E3">
              <w:t>60</w:t>
            </w:r>
          </w:p>
        </w:tc>
        <w:tc>
          <w:tcPr>
            <w:tcW w:w="2126" w:type="dxa"/>
          </w:tcPr>
          <w:p w14:paraId="07AB43BF" w14:textId="77777777" w:rsidR="006F05B0" w:rsidRPr="003051E3" w:rsidRDefault="006F05B0" w:rsidP="000E1556">
            <w:pPr>
              <w:pStyle w:val="TableText"/>
              <w:keepNext w:val="0"/>
              <w:widowControl w:val="0"/>
              <w:jc w:val="center"/>
            </w:pPr>
            <w:r w:rsidRPr="003051E3">
              <w:t>13/60 (21.7%)</w:t>
            </w:r>
          </w:p>
        </w:tc>
        <w:tc>
          <w:tcPr>
            <w:tcW w:w="1134" w:type="dxa"/>
          </w:tcPr>
          <w:p w14:paraId="5052993A" w14:textId="77777777" w:rsidR="006F05B0" w:rsidRPr="003051E3" w:rsidRDefault="006F05B0" w:rsidP="000E1556">
            <w:pPr>
              <w:pStyle w:val="TableText"/>
              <w:keepNext w:val="0"/>
              <w:widowControl w:val="0"/>
              <w:jc w:val="center"/>
            </w:pPr>
            <w:r w:rsidRPr="003051E3">
              <w:t>76.9%</w:t>
            </w:r>
          </w:p>
        </w:tc>
        <w:tc>
          <w:tcPr>
            <w:tcW w:w="1276" w:type="dxa"/>
          </w:tcPr>
          <w:p w14:paraId="0BCD31AC" w14:textId="77777777" w:rsidR="006F05B0" w:rsidRPr="003051E3" w:rsidRDefault="006F05B0" w:rsidP="000E1556">
            <w:pPr>
              <w:pStyle w:val="TableText"/>
              <w:keepNext w:val="0"/>
              <w:widowControl w:val="0"/>
              <w:jc w:val="center"/>
            </w:pPr>
            <w:r w:rsidRPr="003051E3">
              <w:t>95.7%</w:t>
            </w:r>
          </w:p>
        </w:tc>
        <w:tc>
          <w:tcPr>
            <w:tcW w:w="850" w:type="dxa"/>
          </w:tcPr>
          <w:p w14:paraId="59F740AA" w14:textId="77777777" w:rsidR="006F05B0" w:rsidRPr="003051E3" w:rsidRDefault="006F05B0" w:rsidP="000E1556">
            <w:pPr>
              <w:pStyle w:val="TableText"/>
              <w:keepNext w:val="0"/>
              <w:widowControl w:val="0"/>
              <w:jc w:val="center"/>
            </w:pPr>
            <w:r w:rsidRPr="003051E3">
              <w:t>83%</w:t>
            </w:r>
          </w:p>
        </w:tc>
        <w:tc>
          <w:tcPr>
            <w:tcW w:w="992" w:type="dxa"/>
          </w:tcPr>
          <w:p w14:paraId="7D78A7E6" w14:textId="77777777" w:rsidR="006F05B0" w:rsidRPr="003051E3" w:rsidRDefault="006F05B0" w:rsidP="000E1556">
            <w:pPr>
              <w:pStyle w:val="TableText"/>
              <w:keepNext w:val="0"/>
              <w:widowControl w:val="0"/>
              <w:jc w:val="center"/>
            </w:pPr>
            <w:r w:rsidRPr="003051E3">
              <w:t>94%</w:t>
            </w:r>
          </w:p>
        </w:tc>
      </w:tr>
      <w:tr w:rsidR="006F05B0" w:rsidRPr="003051E3" w14:paraId="65B16024" w14:textId="77777777" w:rsidTr="000E1556">
        <w:trPr>
          <w:cantSplit/>
        </w:trPr>
        <w:tc>
          <w:tcPr>
            <w:tcW w:w="1985" w:type="dxa"/>
          </w:tcPr>
          <w:p w14:paraId="37297D73" w14:textId="77777777" w:rsidR="006F05B0" w:rsidRPr="003051E3" w:rsidRDefault="006F05B0" w:rsidP="000E1556">
            <w:pPr>
              <w:pStyle w:val="TableText"/>
              <w:keepNext w:val="0"/>
              <w:widowControl w:val="0"/>
              <w:jc w:val="both"/>
            </w:pPr>
            <w:r w:rsidRPr="003051E3">
              <w:t>Kao 2016</w:t>
            </w:r>
          </w:p>
        </w:tc>
        <w:tc>
          <w:tcPr>
            <w:tcW w:w="709" w:type="dxa"/>
          </w:tcPr>
          <w:p w14:paraId="4DBE6C69" w14:textId="77777777" w:rsidR="006F05B0" w:rsidRPr="003051E3" w:rsidRDefault="006F05B0" w:rsidP="000E1556">
            <w:pPr>
              <w:pStyle w:val="TableText"/>
              <w:keepNext w:val="0"/>
              <w:widowControl w:val="0"/>
              <w:jc w:val="center"/>
            </w:pPr>
            <w:r w:rsidRPr="003051E3">
              <w:t>205</w:t>
            </w:r>
          </w:p>
        </w:tc>
        <w:tc>
          <w:tcPr>
            <w:tcW w:w="2126" w:type="dxa"/>
          </w:tcPr>
          <w:p w14:paraId="1D51C480" w14:textId="77777777" w:rsidR="006F05B0" w:rsidRPr="003051E3" w:rsidRDefault="006F05B0" w:rsidP="000E1556">
            <w:pPr>
              <w:pStyle w:val="TableText"/>
              <w:keepNext w:val="0"/>
              <w:widowControl w:val="0"/>
              <w:jc w:val="center"/>
            </w:pPr>
            <w:r w:rsidRPr="003051E3">
              <w:t>5/199 (2.5%)</w:t>
            </w:r>
          </w:p>
        </w:tc>
        <w:tc>
          <w:tcPr>
            <w:tcW w:w="1134" w:type="dxa"/>
          </w:tcPr>
          <w:p w14:paraId="64EC197F" w14:textId="77777777" w:rsidR="006F05B0" w:rsidRPr="003051E3" w:rsidRDefault="006F05B0" w:rsidP="000E1556">
            <w:pPr>
              <w:pStyle w:val="TableText"/>
              <w:keepNext w:val="0"/>
              <w:widowControl w:val="0"/>
              <w:jc w:val="center"/>
            </w:pPr>
            <w:r w:rsidRPr="003051E3">
              <w:t>100%</w:t>
            </w:r>
          </w:p>
        </w:tc>
        <w:tc>
          <w:tcPr>
            <w:tcW w:w="1276" w:type="dxa"/>
          </w:tcPr>
          <w:p w14:paraId="509B036A" w14:textId="77777777" w:rsidR="006F05B0" w:rsidRPr="003051E3" w:rsidRDefault="006F05B0" w:rsidP="000E1556">
            <w:pPr>
              <w:pStyle w:val="TableText"/>
              <w:keepNext w:val="0"/>
              <w:widowControl w:val="0"/>
              <w:jc w:val="center"/>
            </w:pPr>
            <w:r w:rsidRPr="003051E3">
              <w:t>96.0%</w:t>
            </w:r>
          </w:p>
        </w:tc>
        <w:tc>
          <w:tcPr>
            <w:tcW w:w="850" w:type="dxa"/>
          </w:tcPr>
          <w:p w14:paraId="65DED106" w14:textId="77777777" w:rsidR="006F05B0" w:rsidRPr="003051E3" w:rsidRDefault="006F05B0" w:rsidP="000E1556">
            <w:pPr>
              <w:pStyle w:val="TableText"/>
              <w:keepNext w:val="0"/>
              <w:widowControl w:val="0"/>
              <w:jc w:val="center"/>
            </w:pPr>
            <w:r w:rsidRPr="003051E3">
              <w:t>33%</w:t>
            </w:r>
          </w:p>
        </w:tc>
        <w:tc>
          <w:tcPr>
            <w:tcW w:w="992" w:type="dxa"/>
          </w:tcPr>
          <w:p w14:paraId="3005B304" w14:textId="77777777" w:rsidR="006F05B0" w:rsidRPr="003051E3" w:rsidRDefault="006F05B0" w:rsidP="000E1556">
            <w:pPr>
              <w:pStyle w:val="TableText"/>
              <w:keepNext w:val="0"/>
              <w:widowControl w:val="0"/>
              <w:jc w:val="center"/>
            </w:pPr>
            <w:r w:rsidRPr="003051E3">
              <w:t>100%</w:t>
            </w:r>
          </w:p>
        </w:tc>
      </w:tr>
      <w:tr w:rsidR="006F05B0" w:rsidRPr="003051E3" w14:paraId="728C180A" w14:textId="77777777" w:rsidTr="000E1556">
        <w:trPr>
          <w:cantSplit/>
        </w:trPr>
        <w:tc>
          <w:tcPr>
            <w:tcW w:w="1985" w:type="dxa"/>
            <w:tcBorders>
              <w:bottom w:val="single" w:sz="4" w:space="0" w:color="auto"/>
            </w:tcBorders>
          </w:tcPr>
          <w:p w14:paraId="60C22E0D" w14:textId="77777777" w:rsidR="006F05B0" w:rsidRPr="003051E3" w:rsidRDefault="006F05B0" w:rsidP="000E1556">
            <w:pPr>
              <w:pStyle w:val="TableText"/>
              <w:keepNext w:val="0"/>
              <w:widowControl w:val="0"/>
              <w:jc w:val="both"/>
              <w:rPr>
                <w:b/>
              </w:rPr>
            </w:pPr>
            <w:r w:rsidRPr="003051E3">
              <w:rPr>
                <w:b/>
              </w:rPr>
              <w:t>Rogers 2015</w:t>
            </w:r>
          </w:p>
        </w:tc>
        <w:tc>
          <w:tcPr>
            <w:tcW w:w="709" w:type="dxa"/>
            <w:tcBorders>
              <w:bottom w:val="single" w:sz="4" w:space="0" w:color="auto"/>
            </w:tcBorders>
          </w:tcPr>
          <w:p w14:paraId="146D94EC" w14:textId="77777777" w:rsidR="006F05B0" w:rsidRPr="003051E3" w:rsidRDefault="006F05B0" w:rsidP="000E1556">
            <w:pPr>
              <w:pStyle w:val="TableText"/>
              <w:keepNext w:val="0"/>
              <w:widowControl w:val="0"/>
              <w:jc w:val="center"/>
              <w:rPr>
                <w:b/>
              </w:rPr>
            </w:pPr>
            <w:r w:rsidRPr="003051E3">
              <w:rPr>
                <w:b/>
              </w:rPr>
              <w:t>362</w:t>
            </w:r>
          </w:p>
        </w:tc>
        <w:tc>
          <w:tcPr>
            <w:tcW w:w="2126" w:type="dxa"/>
            <w:tcBorders>
              <w:bottom w:val="single" w:sz="4" w:space="0" w:color="auto"/>
            </w:tcBorders>
          </w:tcPr>
          <w:p w14:paraId="4AF6E04D" w14:textId="77777777" w:rsidR="006F05B0" w:rsidRPr="003051E3" w:rsidRDefault="006F05B0" w:rsidP="000E1556">
            <w:pPr>
              <w:pStyle w:val="TableText"/>
              <w:keepNext w:val="0"/>
              <w:widowControl w:val="0"/>
              <w:jc w:val="center"/>
              <w:rPr>
                <w:b/>
              </w:rPr>
            </w:pPr>
            <w:r w:rsidRPr="003051E3">
              <w:rPr>
                <w:b/>
              </w:rPr>
              <w:t>3/303 (1.0%)</w:t>
            </w:r>
          </w:p>
        </w:tc>
        <w:tc>
          <w:tcPr>
            <w:tcW w:w="1134" w:type="dxa"/>
            <w:tcBorders>
              <w:bottom w:val="single" w:sz="4" w:space="0" w:color="auto"/>
            </w:tcBorders>
          </w:tcPr>
          <w:p w14:paraId="7C07B725" w14:textId="77777777" w:rsidR="006F05B0" w:rsidRPr="003051E3" w:rsidRDefault="006F05B0" w:rsidP="000E1556">
            <w:pPr>
              <w:pStyle w:val="TableText"/>
              <w:keepNext w:val="0"/>
              <w:widowControl w:val="0"/>
              <w:jc w:val="center"/>
              <w:rPr>
                <w:b/>
              </w:rPr>
            </w:pPr>
            <w:r w:rsidRPr="003051E3">
              <w:rPr>
                <w:b/>
              </w:rPr>
              <w:t>33.3%</w:t>
            </w:r>
          </w:p>
        </w:tc>
        <w:tc>
          <w:tcPr>
            <w:tcW w:w="1276" w:type="dxa"/>
            <w:tcBorders>
              <w:bottom w:val="single" w:sz="4" w:space="0" w:color="auto"/>
            </w:tcBorders>
          </w:tcPr>
          <w:p w14:paraId="4F0A0A17" w14:textId="77777777" w:rsidR="006F05B0" w:rsidRPr="003051E3" w:rsidRDefault="006F05B0" w:rsidP="000E1556">
            <w:pPr>
              <w:pStyle w:val="TableText"/>
              <w:keepNext w:val="0"/>
              <w:widowControl w:val="0"/>
              <w:jc w:val="center"/>
              <w:rPr>
                <w:b/>
              </w:rPr>
            </w:pPr>
            <w:r w:rsidRPr="003051E3">
              <w:rPr>
                <w:b/>
              </w:rPr>
              <w:t>100%</w:t>
            </w:r>
          </w:p>
        </w:tc>
        <w:tc>
          <w:tcPr>
            <w:tcW w:w="850" w:type="dxa"/>
            <w:tcBorders>
              <w:bottom w:val="single" w:sz="4" w:space="0" w:color="auto"/>
            </w:tcBorders>
          </w:tcPr>
          <w:p w14:paraId="4F31F3BD" w14:textId="77777777" w:rsidR="006F05B0" w:rsidRPr="003051E3" w:rsidRDefault="006F05B0" w:rsidP="000E1556">
            <w:pPr>
              <w:pStyle w:val="TableText"/>
              <w:keepNext w:val="0"/>
              <w:widowControl w:val="0"/>
              <w:jc w:val="center"/>
              <w:rPr>
                <w:b/>
              </w:rPr>
            </w:pPr>
            <w:r w:rsidRPr="003051E3">
              <w:rPr>
                <w:b/>
              </w:rPr>
              <w:t>100%</w:t>
            </w:r>
          </w:p>
        </w:tc>
        <w:tc>
          <w:tcPr>
            <w:tcW w:w="992" w:type="dxa"/>
            <w:tcBorders>
              <w:bottom w:val="single" w:sz="4" w:space="0" w:color="auto"/>
            </w:tcBorders>
          </w:tcPr>
          <w:p w14:paraId="4A607C44" w14:textId="77777777" w:rsidR="006F05B0" w:rsidRPr="003051E3" w:rsidRDefault="006F05B0" w:rsidP="000E1556">
            <w:pPr>
              <w:pStyle w:val="TableText"/>
              <w:keepNext w:val="0"/>
              <w:widowControl w:val="0"/>
              <w:jc w:val="center"/>
              <w:rPr>
                <w:b/>
              </w:rPr>
            </w:pPr>
            <w:r w:rsidRPr="003051E3">
              <w:rPr>
                <w:b/>
              </w:rPr>
              <w:t>99%</w:t>
            </w:r>
          </w:p>
        </w:tc>
      </w:tr>
    </w:tbl>
    <w:p w14:paraId="03832196" w14:textId="77777777" w:rsidR="006F05B0" w:rsidRPr="003051E3" w:rsidRDefault="006F05B0" w:rsidP="006F05B0">
      <w:pPr>
        <w:pStyle w:val="TableFooter"/>
        <w:rPr>
          <w:b/>
        </w:rPr>
      </w:pPr>
      <w:r w:rsidRPr="003051E3">
        <w:rPr>
          <w:b/>
        </w:rPr>
        <w:t xml:space="preserve">Bold = studies with </w:t>
      </w:r>
      <w:r w:rsidRPr="00420D95">
        <w:rPr>
          <w:b/>
          <w:i/>
        </w:rPr>
        <w:t>ROS1</w:t>
      </w:r>
      <w:r w:rsidRPr="003051E3">
        <w:rPr>
          <w:b/>
        </w:rPr>
        <w:t xml:space="preserve"> prevalence less than 2%.</w:t>
      </w:r>
    </w:p>
    <w:p w14:paraId="58AC24F9" w14:textId="77777777" w:rsidR="006F05B0" w:rsidRPr="003051E3" w:rsidRDefault="006F05B0" w:rsidP="006F05B0">
      <w:pPr>
        <w:pStyle w:val="TableFooter"/>
        <w:rPr>
          <w:b/>
        </w:rPr>
      </w:pPr>
      <w:r w:rsidRPr="003051E3">
        <w:t xml:space="preserve">FISH = fluorescent in-situ hybridisation; IHC = immunohistochemistry; NPV = negative predictive value; PPV = positive predictive value; </w:t>
      </w:r>
      <w:r w:rsidRPr="00420D95">
        <w:rPr>
          <w:i/>
        </w:rPr>
        <w:t>ROS1</w:t>
      </w:r>
      <w:r w:rsidRPr="003051E3">
        <w:t xml:space="preserve"> = </w:t>
      </w:r>
      <w:r w:rsidRPr="00420D95">
        <w:rPr>
          <w:i/>
        </w:rPr>
        <w:t>ROS</w:t>
      </w:r>
      <w:r w:rsidRPr="003051E3">
        <w:t xml:space="preserve"> proto-oncogene 1</w:t>
      </w:r>
    </w:p>
    <w:p w14:paraId="5F13481C" w14:textId="77777777" w:rsidR="006F05B0" w:rsidRPr="003051E3" w:rsidRDefault="006F05B0" w:rsidP="006F05B0">
      <w:pPr>
        <w:pStyle w:val="TableFooter"/>
      </w:pPr>
      <w:r w:rsidRPr="003051E3">
        <w:rPr>
          <w:vertAlign w:val="superscript"/>
        </w:rPr>
        <w:t xml:space="preserve">a </w:t>
      </w:r>
      <w:r w:rsidRPr="003051E3">
        <w:t>May be higher than the denominator in the results due to failed tests, inadequate tumour samples or some tests carried out on a subset of total samples.</w:t>
      </w:r>
    </w:p>
    <w:p w14:paraId="01C24A58" w14:textId="29DA8A35" w:rsidR="006F05B0" w:rsidRPr="003051E3" w:rsidRDefault="006F05B0" w:rsidP="006F05B0">
      <w:pPr>
        <w:pStyle w:val="TableFooter"/>
      </w:pPr>
      <w:proofErr w:type="gramStart"/>
      <w:r w:rsidRPr="003051E3">
        <w:rPr>
          <w:vertAlign w:val="superscript"/>
        </w:rPr>
        <w:t>b</w:t>
      </w:r>
      <w:proofErr w:type="gramEnd"/>
      <w:r w:rsidRPr="003051E3">
        <w:rPr>
          <w:vertAlign w:val="superscript"/>
        </w:rPr>
        <w:t xml:space="preserve"> </w:t>
      </w:r>
      <w:r w:rsidRPr="003051E3">
        <w:t xml:space="preserve">Retrospective cohort only because prospective cohort was reported as </w:t>
      </w:r>
      <w:r w:rsidRPr="0036761F">
        <w:t>ROS1</w:t>
      </w:r>
      <w:r w:rsidRPr="003051E3">
        <w:t xml:space="preserve"> IHC positive with any staining.</w:t>
      </w:r>
    </w:p>
    <w:p w14:paraId="15AAC23A" w14:textId="3FF4CA1A" w:rsidR="006F05B0" w:rsidRPr="003051E3" w:rsidRDefault="006F05B0" w:rsidP="006F05B0">
      <w:pPr>
        <w:spacing w:after="120"/>
      </w:pPr>
      <w:r w:rsidRPr="003051E3">
        <w:t>The sensitivity and specificity of IHC ranged from 33-100% and 34-100%, respectively with most studies reporting sensitivity of 100% where a staining intensity of 2+ or 3</w:t>
      </w:r>
      <w:r w:rsidR="000C3598">
        <w:t>+</w:t>
      </w:r>
      <w:r w:rsidRPr="003051E3">
        <w:t xml:space="preserve"> was considered positive. Rogers et al (2015), (one of two Australian studies) reported a sensitivity of 33%, which was substantially lower than the other studies. The study authors noted the reasons for the difference in results were unclear, and implied that the use of whole tissue blocks may have had an effect on the IHC testing. It was unclear whether the IHC testing practices in some Australian pathology laboratories may result in a higher level of false negative results for </w:t>
      </w:r>
      <w:r w:rsidRPr="0036761F">
        <w:t>ROS1</w:t>
      </w:r>
      <w:r w:rsidRPr="003051E3">
        <w:t xml:space="preserve"> IHC tests.</w:t>
      </w:r>
    </w:p>
    <w:p w14:paraId="52E9DDA6" w14:textId="77777777" w:rsidR="006F05B0" w:rsidRPr="003051E3" w:rsidRDefault="006F05B0" w:rsidP="006F05B0">
      <w:pPr>
        <w:spacing w:after="120"/>
      </w:pPr>
      <w:r w:rsidRPr="003051E3">
        <w:t xml:space="preserve">The pooled results of IHC analytical performance and meta-analysis performed during the evaluation </w:t>
      </w:r>
      <w:r>
        <w:t>are</w:t>
      </w:r>
      <w:r w:rsidRPr="003051E3">
        <w:t xml:space="preserve"> presented in the table below.</w:t>
      </w:r>
    </w:p>
    <w:p w14:paraId="70E90B15" w14:textId="77777777" w:rsidR="006F05B0" w:rsidRPr="003051E3" w:rsidRDefault="006F05B0" w:rsidP="006F05B0">
      <w:pPr>
        <w:pStyle w:val="TableHeading"/>
        <w:jc w:val="both"/>
      </w:pPr>
      <w:r>
        <w:t>Table 5</w:t>
      </w:r>
      <w:r w:rsidRPr="003051E3">
        <w:t>: Pooled results of IHC analytic performance outcomes across the studies</w:t>
      </w:r>
    </w:p>
    <w:tbl>
      <w:tblPr>
        <w:tblW w:w="500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Summary of the pooled trial results of IHC analytic performance outcomes across the studies"/>
      </w:tblPr>
      <w:tblGrid>
        <w:gridCol w:w="2520"/>
        <w:gridCol w:w="2016"/>
        <w:gridCol w:w="1985"/>
        <w:gridCol w:w="2561"/>
      </w:tblGrid>
      <w:tr w:rsidR="006F05B0" w:rsidRPr="003051E3" w14:paraId="05E0BE58" w14:textId="77777777" w:rsidTr="000E1556">
        <w:trPr>
          <w:tblHeader/>
        </w:trPr>
        <w:tc>
          <w:tcPr>
            <w:tcW w:w="1387" w:type="pct"/>
          </w:tcPr>
          <w:p w14:paraId="375B2668" w14:textId="77777777" w:rsidR="006F05B0" w:rsidRPr="003051E3" w:rsidRDefault="006F05B0" w:rsidP="000E1556">
            <w:pPr>
              <w:pStyle w:val="TableText"/>
              <w:jc w:val="both"/>
              <w:rPr>
                <w:b/>
              </w:rPr>
            </w:pPr>
            <w:r w:rsidRPr="003051E3">
              <w:rPr>
                <w:b/>
              </w:rPr>
              <w:t>Analysis</w:t>
            </w:r>
          </w:p>
        </w:tc>
        <w:tc>
          <w:tcPr>
            <w:tcW w:w="1110" w:type="pct"/>
          </w:tcPr>
          <w:p w14:paraId="3EDD2E56" w14:textId="77777777" w:rsidR="006F05B0" w:rsidRPr="003051E3" w:rsidRDefault="006F05B0" w:rsidP="000E1556">
            <w:pPr>
              <w:pStyle w:val="TableText"/>
              <w:jc w:val="center"/>
              <w:rPr>
                <w:b/>
                <w:iCs/>
                <w:szCs w:val="24"/>
                <w:lang w:val="en-US"/>
              </w:rPr>
            </w:pPr>
            <w:r w:rsidRPr="003051E3">
              <w:rPr>
                <w:b/>
                <w:iCs/>
                <w:szCs w:val="24"/>
                <w:lang w:val="en-US"/>
              </w:rPr>
              <w:t>Sensitivity [95% CI]</w:t>
            </w:r>
          </w:p>
        </w:tc>
        <w:tc>
          <w:tcPr>
            <w:tcW w:w="1093" w:type="pct"/>
          </w:tcPr>
          <w:p w14:paraId="464768D1" w14:textId="77777777" w:rsidR="006F05B0" w:rsidRPr="003051E3" w:rsidRDefault="006F05B0" w:rsidP="000E1556">
            <w:pPr>
              <w:pStyle w:val="TableText"/>
              <w:jc w:val="center"/>
              <w:rPr>
                <w:b/>
              </w:rPr>
            </w:pPr>
            <w:r w:rsidRPr="003051E3">
              <w:rPr>
                <w:b/>
              </w:rPr>
              <w:t xml:space="preserve">Specificity </w:t>
            </w:r>
            <w:r w:rsidRPr="003051E3">
              <w:rPr>
                <w:b/>
                <w:iCs/>
                <w:szCs w:val="24"/>
                <w:lang w:val="en-US"/>
              </w:rPr>
              <w:t>[95% CI]</w:t>
            </w:r>
          </w:p>
        </w:tc>
        <w:tc>
          <w:tcPr>
            <w:tcW w:w="1410" w:type="pct"/>
          </w:tcPr>
          <w:p w14:paraId="3C8CF005" w14:textId="2F2F2DEC" w:rsidR="006F05B0" w:rsidRPr="003051E3" w:rsidRDefault="006F05B0" w:rsidP="000E1556">
            <w:pPr>
              <w:pStyle w:val="TableText"/>
              <w:jc w:val="center"/>
              <w:rPr>
                <w:b/>
                <w:szCs w:val="24"/>
                <w:lang w:val="en-US"/>
              </w:rPr>
            </w:pPr>
            <w:r w:rsidRPr="003051E3">
              <w:rPr>
                <w:b/>
                <w:szCs w:val="24"/>
                <w:lang w:val="en-US"/>
              </w:rPr>
              <w:t xml:space="preserve">Likelihood ratios </w:t>
            </w:r>
            <w:r w:rsidR="00E2007C">
              <w:rPr>
                <w:b/>
                <w:iCs/>
                <w:szCs w:val="24"/>
                <w:lang w:val="en-US"/>
              </w:rPr>
              <w:t>[</w:t>
            </w:r>
            <w:r w:rsidRPr="003051E3">
              <w:rPr>
                <w:b/>
                <w:iCs/>
                <w:szCs w:val="24"/>
                <w:lang w:val="en-US"/>
              </w:rPr>
              <w:t>95% CI]</w:t>
            </w:r>
          </w:p>
        </w:tc>
      </w:tr>
      <w:tr w:rsidR="006F05B0" w:rsidRPr="003051E3" w14:paraId="666C8EA9" w14:textId="77777777" w:rsidTr="000E1556">
        <w:tc>
          <w:tcPr>
            <w:tcW w:w="1387" w:type="pct"/>
          </w:tcPr>
          <w:p w14:paraId="19F2F73C" w14:textId="77777777" w:rsidR="006F05B0" w:rsidRPr="003051E3" w:rsidRDefault="006F05B0" w:rsidP="000E1556">
            <w:pPr>
              <w:pStyle w:val="TableText"/>
              <w:jc w:val="both"/>
            </w:pPr>
            <w:r w:rsidRPr="003051E3">
              <w:t>Pooled (excluding Rogers 2015)</w:t>
            </w:r>
          </w:p>
        </w:tc>
        <w:tc>
          <w:tcPr>
            <w:tcW w:w="1110" w:type="pct"/>
          </w:tcPr>
          <w:p w14:paraId="1903744B" w14:textId="77777777" w:rsidR="006F05B0" w:rsidRPr="003051E3" w:rsidRDefault="006F05B0" w:rsidP="000E1556">
            <w:pPr>
              <w:pStyle w:val="TableText"/>
              <w:jc w:val="center"/>
            </w:pPr>
            <w:r w:rsidRPr="003051E3">
              <w:t>95.1%</w:t>
            </w:r>
          </w:p>
        </w:tc>
        <w:tc>
          <w:tcPr>
            <w:tcW w:w="1093" w:type="pct"/>
          </w:tcPr>
          <w:p w14:paraId="34911D44" w14:textId="77777777" w:rsidR="006F05B0" w:rsidRPr="003051E3" w:rsidRDefault="006F05B0" w:rsidP="000E1556">
            <w:pPr>
              <w:pStyle w:val="TableText"/>
              <w:jc w:val="center"/>
            </w:pPr>
            <w:r w:rsidRPr="003051E3">
              <w:t>93.8%</w:t>
            </w:r>
          </w:p>
        </w:tc>
        <w:tc>
          <w:tcPr>
            <w:tcW w:w="1410" w:type="pct"/>
          </w:tcPr>
          <w:p w14:paraId="3E1C8023" w14:textId="77777777" w:rsidR="006F05B0" w:rsidRPr="003051E3" w:rsidRDefault="006F05B0" w:rsidP="000E1556">
            <w:pPr>
              <w:pStyle w:val="TableText"/>
              <w:jc w:val="center"/>
              <w:rPr>
                <w:rFonts w:ascii="Times" w:eastAsia="Times New Roman" w:hAnsi="Times" w:cs="Times New Roman"/>
              </w:rPr>
            </w:pPr>
            <w:r w:rsidRPr="003051E3">
              <w:rPr>
                <w:rFonts w:ascii="Times" w:eastAsia="Times New Roman" w:hAnsi="Times" w:cs="Times New Roman"/>
              </w:rPr>
              <w:t>-</w:t>
            </w:r>
          </w:p>
        </w:tc>
      </w:tr>
      <w:tr w:rsidR="006F05B0" w:rsidRPr="003051E3" w14:paraId="47FD62B5" w14:textId="77777777" w:rsidTr="000E1556">
        <w:tc>
          <w:tcPr>
            <w:tcW w:w="1387" w:type="pct"/>
            <w:tcBorders>
              <w:bottom w:val="single" w:sz="4" w:space="0" w:color="auto"/>
            </w:tcBorders>
          </w:tcPr>
          <w:p w14:paraId="6DA9E254" w14:textId="77777777" w:rsidR="006F05B0" w:rsidRPr="003051E3" w:rsidRDefault="006F05B0" w:rsidP="000E1556">
            <w:pPr>
              <w:pStyle w:val="TableText"/>
              <w:jc w:val="both"/>
            </w:pPr>
            <w:r w:rsidRPr="003051E3">
              <w:t>Pooled (including Rogers 2015)</w:t>
            </w:r>
          </w:p>
        </w:tc>
        <w:tc>
          <w:tcPr>
            <w:tcW w:w="1110" w:type="pct"/>
          </w:tcPr>
          <w:p w14:paraId="295C90CD" w14:textId="77777777" w:rsidR="006F05B0" w:rsidRPr="003051E3" w:rsidRDefault="006F05B0" w:rsidP="000E1556">
            <w:pPr>
              <w:pStyle w:val="TableText"/>
              <w:jc w:val="center"/>
            </w:pPr>
            <w:r w:rsidRPr="003051E3">
              <w:t>90%</w:t>
            </w:r>
          </w:p>
        </w:tc>
        <w:tc>
          <w:tcPr>
            <w:tcW w:w="1093" w:type="pct"/>
          </w:tcPr>
          <w:p w14:paraId="5F2BCBAF" w14:textId="77777777" w:rsidR="006F05B0" w:rsidRPr="003051E3" w:rsidRDefault="006F05B0" w:rsidP="000E1556">
            <w:pPr>
              <w:pStyle w:val="TableText"/>
              <w:jc w:val="center"/>
            </w:pPr>
            <w:r w:rsidRPr="003051E3">
              <w:t>94%</w:t>
            </w:r>
          </w:p>
        </w:tc>
        <w:tc>
          <w:tcPr>
            <w:tcW w:w="1410" w:type="pct"/>
          </w:tcPr>
          <w:p w14:paraId="2E31CFCB" w14:textId="77777777" w:rsidR="006F05B0" w:rsidRPr="003051E3" w:rsidRDefault="006F05B0" w:rsidP="000E1556">
            <w:pPr>
              <w:pStyle w:val="TableText"/>
              <w:jc w:val="center"/>
              <w:rPr>
                <w:rFonts w:ascii="Times" w:eastAsia="Times New Roman" w:hAnsi="Times" w:cs="Times New Roman"/>
              </w:rPr>
            </w:pPr>
            <w:r w:rsidRPr="003051E3">
              <w:rPr>
                <w:rFonts w:ascii="Times" w:eastAsia="Times New Roman" w:hAnsi="Times" w:cs="Times New Roman"/>
              </w:rPr>
              <w:t>-</w:t>
            </w:r>
          </w:p>
        </w:tc>
      </w:tr>
      <w:tr w:rsidR="006F05B0" w:rsidRPr="003051E3" w14:paraId="1EE26F45" w14:textId="77777777" w:rsidTr="000E1556">
        <w:trPr>
          <w:trHeight w:val="301"/>
        </w:trPr>
        <w:tc>
          <w:tcPr>
            <w:tcW w:w="1387" w:type="pct"/>
            <w:tcBorders>
              <w:bottom w:val="nil"/>
            </w:tcBorders>
          </w:tcPr>
          <w:p w14:paraId="5EC089ED" w14:textId="77777777" w:rsidR="006F05B0" w:rsidRPr="003051E3" w:rsidRDefault="006F05B0" w:rsidP="000E1556">
            <w:pPr>
              <w:pStyle w:val="TableText"/>
              <w:jc w:val="both"/>
              <w:rPr>
                <w:vertAlign w:val="superscript"/>
              </w:rPr>
            </w:pPr>
            <w:r w:rsidRPr="003051E3">
              <w:t>Pooled (excluding Rogers 2015)</w:t>
            </w:r>
            <w:r w:rsidRPr="003051E3">
              <w:rPr>
                <w:vertAlign w:val="superscript"/>
              </w:rPr>
              <w:t>a</w:t>
            </w:r>
          </w:p>
        </w:tc>
        <w:tc>
          <w:tcPr>
            <w:tcW w:w="1110" w:type="pct"/>
          </w:tcPr>
          <w:p w14:paraId="1B783094" w14:textId="77777777" w:rsidR="006F05B0" w:rsidRPr="003051E3" w:rsidRDefault="006F05B0" w:rsidP="000E1556">
            <w:pPr>
              <w:pStyle w:val="TableText"/>
              <w:jc w:val="center"/>
            </w:pPr>
            <w:r w:rsidRPr="003051E3">
              <w:t>96.4% [84.5%, 99.2%]</w:t>
            </w:r>
          </w:p>
        </w:tc>
        <w:tc>
          <w:tcPr>
            <w:tcW w:w="1093" w:type="pct"/>
          </w:tcPr>
          <w:p w14:paraId="6CEC4B52" w14:textId="77777777" w:rsidR="006F05B0" w:rsidRPr="003051E3" w:rsidRDefault="006F05B0" w:rsidP="000E1556">
            <w:pPr>
              <w:pStyle w:val="TableText"/>
              <w:jc w:val="center"/>
              <w:rPr>
                <w:rFonts w:ascii="Times" w:eastAsia="Times New Roman" w:hAnsi="Times" w:cs="Times New Roman"/>
              </w:rPr>
            </w:pPr>
            <w:r w:rsidRPr="003051E3">
              <w:t>95.5% [92.9%, 97.2%]</w:t>
            </w:r>
          </w:p>
        </w:tc>
        <w:tc>
          <w:tcPr>
            <w:tcW w:w="1410" w:type="pct"/>
          </w:tcPr>
          <w:p w14:paraId="4012736A" w14:textId="77777777" w:rsidR="006F05B0" w:rsidRPr="003051E3" w:rsidRDefault="006F05B0" w:rsidP="000E1556">
            <w:pPr>
              <w:pStyle w:val="TableText"/>
              <w:jc w:val="center"/>
              <w:rPr>
                <w:rFonts w:ascii="Times" w:eastAsia="Times New Roman" w:hAnsi="Times" w:cs="Times New Roman"/>
              </w:rPr>
            </w:pPr>
            <w:r w:rsidRPr="003051E3">
              <w:t>Positive LR: 21.5 [13.3, 34.9]</w:t>
            </w:r>
          </w:p>
        </w:tc>
      </w:tr>
      <w:tr w:rsidR="006F05B0" w:rsidRPr="003051E3" w14:paraId="503B495D" w14:textId="77777777" w:rsidTr="000E1556">
        <w:tc>
          <w:tcPr>
            <w:tcW w:w="1387" w:type="pct"/>
            <w:tcBorders>
              <w:top w:val="nil"/>
              <w:bottom w:val="single" w:sz="4" w:space="0" w:color="auto"/>
            </w:tcBorders>
          </w:tcPr>
          <w:p w14:paraId="6FD361A9" w14:textId="77777777" w:rsidR="006F05B0" w:rsidRPr="003051E3" w:rsidRDefault="006F05B0" w:rsidP="000E1556">
            <w:pPr>
              <w:pStyle w:val="TableText"/>
              <w:jc w:val="both"/>
            </w:pPr>
          </w:p>
        </w:tc>
        <w:tc>
          <w:tcPr>
            <w:tcW w:w="1110" w:type="pct"/>
          </w:tcPr>
          <w:p w14:paraId="1B56880F" w14:textId="77777777" w:rsidR="006F05B0" w:rsidRPr="003051E3" w:rsidRDefault="006F05B0" w:rsidP="000E1556">
            <w:pPr>
              <w:pStyle w:val="TableText"/>
              <w:jc w:val="center"/>
            </w:pPr>
            <w:r w:rsidRPr="003051E3">
              <w:t>1-sensitivity</w:t>
            </w:r>
            <w:r w:rsidRPr="003051E3">
              <w:br/>
              <w:t>(false negative) = 3.6%</w:t>
            </w:r>
          </w:p>
        </w:tc>
        <w:tc>
          <w:tcPr>
            <w:tcW w:w="1093" w:type="pct"/>
          </w:tcPr>
          <w:p w14:paraId="61AE5E12" w14:textId="77777777" w:rsidR="006F05B0" w:rsidRPr="003051E3" w:rsidRDefault="006F05B0" w:rsidP="000E1556">
            <w:pPr>
              <w:pStyle w:val="TableText"/>
              <w:jc w:val="center"/>
            </w:pPr>
            <w:r w:rsidRPr="003051E3">
              <w:t xml:space="preserve">1-specificity </w:t>
            </w:r>
            <w:r w:rsidRPr="003051E3">
              <w:br/>
              <w:t>(false positive) = 4.5%</w:t>
            </w:r>
          </w:p>
        </w:tc>
        <w:tc>
          <w:tcPr>
            <w:tcW w:w="1410" w:type="pct"/>
          </w:tcPr>
          <w:p w14:paraId="795BC256" w14:textId="77777777" w:rsidR="006F05B0" w:rsidRPr="003051E3" w:rsidRDefault="006F05B0" w:rsidP="000E1556">
            <w:pPr>
              <w:pStyle w:val="TableText"/>
              <w:jc w:val="center"/>
              <w:rPr>
                <w:rFonts w:ascii="Times" w:eastAsia="Times New Roman" w:hAnsi="Times" w:cs="Times New Roman"/>
              </w:rPr>
            </w:pPr>
            <w:r w:rsidRPr="003051E3">
              <w:t>Negative LR: 0.0 [0.0, 0.2]</w:t>
            </w:r>
          </w:p>
        </w:tc>
      </w:tr>
      <w:tr w:rsidR="006F05B0" w:rsidRPr="003051E3" w14:paraId="6DFFFBFC" w14:textId="77777777" w:rsidTr="000E1556">
        <w:trPr>
          <w:trHeight w:val="203"/>
        </w:trPr>
        <w:tc>
          <w:tcPr>
            <w:tcW w:w="1387" w:type="pct"/>
            <w:tcBorders>
              <w:bottom w:val="nil"/>
            </w:tcBorders>
          </w:tcPr>
          <w:p w14:paraId="0D7A52D3" w14:textId="77777777" w:rsidR="006F05B0" w:rsidRPr="003051E3" w:rsidRDefault="006F05B0" w:rsidP="000E1556">
            <w:pPr>
              <w:pStyle w:val="TableText"/>
              <w:jc w:val="both"/>
              <w:rPr>
                <w:vertAlign w:val="superscript"/>
              </w:rPr>
            </w:pPr>
            <w:r w:rsidRPr="003051E3">
              <w:t>Pooled (including Rogers 2015)</w:t>
            </w:r>
            <w:r w:rsidRPr="003051E3">
              <w:rPr>
                <w:vertAlign w:val="superscript"/>
              </w:rPr>
              <w:t>a</w:t>
            </w:r>
          </w:p>
        </w:tc>
        <w:tc>
          <w:tcPr>
            <w:tcW w:w="1110" w:type="pct"/>
          </w:tcPr>
          <w:p w14:paraId="28C81A8E" w14:textId="77777777" w:rsidR="006F05B0" w:rsidRPr="003051E3" w:rsidRDefault="006F05B0" w:rsidP="000E1556">
            <w:pPr>
              <w:pStyle w:val="TableText"/>
              <w:jc w:val="center"/>
            </w:pPr>
            <w:r w:rsidRPr="003051E3">
              <w:t>94.4% [81.0%, 98.5%]</w:t>
            </w:r>
          </w:p>
        </w:tc>
        <w:tc>
          <w:tcPr>
            <w:tcW w:w="1093" w:type="pct"/>
          </w:tcPr>
          <w:p w14:paraId="1FAF9261" w14:textId="77777777" w:rsidR="006F05B0" w:rsidRPr="003051E3" w:rsidRDefault="006F05B0" w:rsidP="000E1556">
            <w:pPr>
              <w:pStyle w:val="TableText"/>
              <w:jc w:val="center"/>
              <w:rPr>
                <w:rFonts w:ascii="Times" w:eastAsia="Times New Roman" w:hAnsi="Times" w:cs="Times New Roman"/>
              </w:rPr>
            </w:pPr>
            <w:r w:rsidRPr="003051E3">
              <w:t>96.7% [93.7%, 98.3%]</w:t>
            </w:r>
          </w:p>
        </w:tc>
        <w:tc>
          <w:tcPr>
            <w:tcW w:w="1410" w:type="pct"/>
          </w:tcPr>
          <w:p w14:paraId="2D8F5015" w14:textId="77777777" w:rsidR="006F05B0" w:rsidRPr="003051E3" w:rsidRDefault="006F05B0" w:rsidP="000E1556">
            <w:pPr>
              <w:pStyle w:val="TableText"/>
              <w:jc w:val="center"/>
            </w:pPr>
            <w:r w:rsidRPr="003051E3">
              <w:t>Positive LR: 28.4 [15.0, 53.6]</w:t>
            </w:r>
          </w:p>
        </w:tc>
      </w:tr>
      <w:tr w:rsidR="006F05B0" w:rsidRPr="003051E3" w14:paraId="391313D4" w14:textId="77777777" w:rsidTr="000E1556">
        <w:tc>
          <w:tcPr>
            <w:tcW w:w="1387" w:type="pct"/>
            <w:tcBorders>
              <w:top w:val="nil"/>
            </w:tcBorders>
          </w:tcPr>
          <w:p w14:paraId="1072E1E5" w14:textId="77777777" w:rsidR="006F05B0" w:rsidRPr="003051E3" w:rsidRDefault="006F05B0" w:rsidP="000E1556">
            <w:pPr>
              <w:pStyle w:val="TableText"/>
              <w:jc w:val="both"/>
            </w:pPr>
          </w:p>
        </w:tc>
        <w:tc>
          <w:tcPr>
            <w:tcW w:w="1110" w:type="pct"/>
          </w:tcPr>
          <w:p w14:paraId="2250BEAC" w14:textId="77777777" w:rsidR="006F05B0" w:rsidRPr="003051E3" w:rsidRDefault="006F05B0" w:rsidP="000E1556">
            <w:pPr>
              <w:pStyle w:val="TableText"/>
              <w:jc w:val="center"/>
            </w:pPr>
            <w:r w:rsidRPr="003051E3">
              <w:t>1-sensitivity</w:t>
            </w:r>
            <w:r w:rsidRPr="003051E3">
              <w:br/>
              <w:t>(false negative) = 5.6%</w:t>
            </w:r>
          </w:p>
        </w:tc>
        <w:tc>
          <w:tcPr>
            <w:tcW w:w="1093" w:type="pct"/>
          </w:tcPr>
          <w:p w14:paraId="0EAF93F8" w14:textId="77777777" w:rsidR="006F05B0" w:rsidRPr="003051E3" w:rsidRDefault="006F05B0" w:rsidP="000E1556">
            <w:pPr>
              <w:pStyle w:val="TableText"/>
              <w:jc w:val="center"/>
            </w:pPr>
            <w:r w:rsidRPr="003051E3">
              <w:t>1-specificity</w:t>
            </w:r>
            <w:r w:rsidRPr="003051E3">
              <w:br/>
              <w:t>(false positive) = 3.3%</w:t>
            </w:r>
          </w:p>
        </w:tc>
        <w:tc>
          <w:tcPr>
            <w:tcW w:w="1410" w:type="pct"/>
          </w:tcPr>
          <w:p w14:paraId="00CC4F83" w14:textId="77777777" w:rsidR="006F05B0" w:rsidRPr="003051E3" w:rsidRDefault="006F05B0" w:rsidP="000E1556">
            <w:pPr>
              <w:pStyle w:val="TableText"/>
              <w:jc w:val="center"/>
            </w:pPr>
            <w:r w:rsidRPr="003051E3">
              <w:t>Negative LR: 0.1[0.0, 0.2]</w:t>
            </w:r>
          </w:p>
        </w:tc>
      </w:tr>
    </w:tbl>
    <w:p w14:paraId="2BEC918C" w14:textId="77777777" w:rsidR="006F05B0" w:rsidRPr="003051E3" w:rsidRDefault="006F05B0" w:rsidP="006F05B0">
      <w:pPr>
        <w:pStyle w:val="TableFooter"/>
      </w:pPr>
      <w:r w:rsidRPr="003051E3">
        <w:t>CI = confidence interval; IHC = immunohistochemistry; LR = likelihood ratio.</w:t>
      </w:r>
    </w:p>
    <w:p w14:paraId="2D986B85" w14:textId="77777777" w:rsidR="006F05B0" w:rsidRPr="003051E3" w:rsidRDefault="006F05B0" w:rsidP="006F05B0">
      <w:pPr>
        <w:pStyle w:val="TableFooter"/>
      </w:pPr>
      <w:proofErr w:type="gramStart"/>
      <w:r w:rsidRPr="003051E3">
        <w:rPr>
          <w:vertAlign w:val="superscript"/>
        </w:rPr>
        <w:t>a</w:t>
      </w:r>
      <w:proofErr w:type="gramEnd"/>
      <w:r w:rsidRPr="003051E3">
        <w:rPr>
          <w:vertAlign w:val="superscript"/>
        </w:rPr>
        <w:t xml:space="preserve"> </w:t>
      </w:r>
      <w:r w:rsidRPr="003051E3">
        <w:t xml:space="preserve">Calculated during the evaluation using STATA </w:t>
      </w:r>
      <w:proofErr w:type="spellStart"/>
      <w:r w:rsidRPr="003051E3">
        <w:t>metandi</w:t>
      </w:r>
      <w:proofErr w:type="spellEnd"/>
      <w:r w:rsidRPr="003051E3">
        <w:t xml:space="preserve"> command. </w:t>
      </w:r>
      <w:proofErr w:type="spellStart"/>
      <w:r w:rsidRPr="003051E3">
        <w:t>Metandi</w:t>
      </w:r>
      <w:proofErr w:type="spellEnd"/>
      <w:r w:rsidRPr="003051E3">
        <w:t xml:space="preserve"> fits a hierarchical logistic regression model for meta-analysis of diagnostic test accuracy</w:t>
      </w:r>
    </w:p>
    <w:p w14:paraId="4B61A7FB" w14:textId="2CFA1FCA" w:rsidR="006F05B0" w:rsidRPr="003051E3" w:rsidRDefault="006F05B0" w:rsidP="006F05B0">
      <w:pPr>
        <w:spacing w:after="120"/>
      </w:pPr>
      <w:r w:rsidRPr="003051E3">
        <w:t xml:space="preserve">The </w:t>
      </w:r>
      <w:r>
        <w:t>application</w:t>
      </w:r>
      <w:r w:rsidRPr="003051E3">
        <w:t xml:space="preserve"> used the 95.1% sensitivity and 93.8% specificity for </w:t>
      </w:r>
      <w:r w:rsidRPr="0036761F">
        <w:t>ROS1</w:t>
      </w:r>
      <w:r w:rsidRPr="003051E3">
        <w:t xml:space="preserve"> IHC testing in the economic evaluation (excluding Rogers et al 2015). The meta-analyses conducted during the </w:t>
      </w:r>
      <w:r w:rsidRPr="003051E3">
        <w:lastRenderedPageBreak/>
        <w:t>evaluation resulted in higher sensitivity and specificity results of 96.4% and 95.5%, respectively excluding Rogers et al (2015) and 94.4% and 96.7% including Rogers et al (2015).</w:t>
      </w:r>
    </w:p>
    <w:p w14:paraId="7C7619C7" w14:textId="77777777" w:rsidR="006F05B0" w:rsidRPr="003051E3" w:rsidRDefault="006F05B0" w:rsidP="006F05B0">
      <w:pPr>
        <w:spacing w:after="120"/>
      </w:pPr>
      <w:r w:rsidRPr="00D46DCD">
        <w:t>The critique noted that the application</w:t>
      </w:r>
      <w:r w:rsidRPr="003051E3">
        <w:t xml:space="preserve"> implicitly claimed that IHC with a staining intensity of 2+ or greater was an adequate </w:t>
      </w:r>
      <w:r>
        <w:t>pre-</w:t>
      </w:r>
      <w:r w:rsidRPr="003051E3">
        <w:t xml:space="preserve">test to identify patients for further determinative testing for those whose NSCLC tumours have </w:t>
      </w:r>
      <w:r w:rsidRPr="00420D95">
        <w:rPr>
          <w:i/>
        </w:rPr>
        <w:t>ROS1</w:t>
      </w:r>
      <w:r w:rsidRPr="003051E3">
        <w:t xml:space="preserve"> gene rearrangements. This was broadly supported by evidence presented in the </w:t>
      </w:r>
      <w:r>
        <w:rPr>
          <w:szCs w:val="28"/>
          <w:lang w:bidi="en-US"/>
        </w:rPr>
        <w:t>application</w:t>
      </w:r>
      <w:r w:rsidRPr="003051E3">
        <w:t xml:space="preserve">. However, one Australian study reported a substantially lower sensitivity than the other studies of 33%, raising concerns about whether the high sensitivity for detecting </w:t>
      </w:r>
      <w:r w:rsidRPr="00420D95">
        <w:rPr>
          <w:i/>
        </w:rPr>
        <w:t>ROS1</w:t>
      </w:r>
      <w:r w:rsidRPr="003051E3">
        <w:t xml:space="preserve"> gene rearrangements reported in the evidence presented in the </w:t>
      </w:r>
      <w:r>
        <w:rPr>
          <w:szCs w:val="28"/>
          <w:lang w:bidi="en-US"/>
        </w:rPr>
        <w:t>application</w:t>
      </w:r>
      <w:r w:rsidRPr="003051E3">
        <w:t xml:space="preserve"> would occur in Australian practice. Poor sensitivity is of concern for this test given that its purpose would be to </w:t>
      </w:r>
      <w:r>
        <w:t xml:space="preserve">pre-test to decide </w:t>
      </w:r>
      <w:r w:rsidRPr="003051E3">
        <w:t xml:space="preserve">whether the subsequent determinative test should be used. The </w:t>
      </w:r>
      <w:r>
        <w:t>application</w:t>
      </w:r>
      <w:r w:rsidRPr="003051E3">
        <w:t xml:space="preserve"> considered that FISH, as the reference standard, would correctly identify all patients with </w:t>
      </w:r>
      <w:r w:rsidRPr="00420D95">
        <w:rPr>
          <w:i/>
        </w:rPr>
        <w:t>ROS1</w:t>
      </w:r>
      <w:r w:rsidRPr="003051E3">
        <w:t xml:space="preserve"> gene rearrangements without false positives. This would be appropriate if accredited pathology laboratories perform </w:t>
      </w:r>
      <w:r w:rsidRPr="00420D95">
        <w:rPr>
          <w:i/>
        </w:rPr>
        <w:t>ROS1</w:t>
      </w:r>
      <w:r w:rsidRPr="003051E3">
        <w:t xml:space="preserve"> FISH testing with accepted quality assurance programs to minimise false results. </w:t>
      </w:r>
      <w:r>
        <w:t>A</w:t>
      </w:r>
      <w:r w:rsidRPr="003051E3">
        <w:t>t its November 2013 consideration</w:t>
      </w:r>
      <w:r>
        <w:t>,</w:t>
      </w:r>
      <w:r w:rsidRPr="003051E3">
        <w:t xml:space="preserve"> MSAC previously considered that 100% sensitivity and specificity was only true for FISH testing of </w:t>
      </w:r>
      <w:r w:rsidRPr="00420D95">
        <w:rPr>
          <w:i/>
        </w:rPr>
        <w:t>ALK</w:t>
      </w:r>
      <w:r w:rsidRPr="003051E3">
        <w:t xml:space="preserve"> gene rearrangements in ideal circumstances.</w:t>
      </w:r>
    </w:p>
    <w:p w14:paraId="59C7E013" w14:textId="77777777" w:rsidR="006F05B0" w:rsidRPr="003051E3" w:rsidRDefault="006F05B0" w:rsidP="006F05B0">
      <w:pPr>
        <w:spacing w:after="120"/>
      </w:pPr>
      <w:r w:rsidRPr="003051E3">
        <w:t xml:space="preserve">The </w:t>
      </w:r>
      <w:r>
        <w:t>application</w:t>
      </w:r>
      <w:r w:rsidRPr="003051E3">
        <w:t xml:space="preserve"> considered NGS to be highly concordant with </w:t>
      </w:r>
      <w:r w:rsidRPr="00420D95">
        <w:rPr>
          <w:i/>
        </w:rPr>
        <w:t>ROS1</w:t>
      </w:r>
      <w:r w:rsidRPr="003051E3">
        <w:t xml:space="preserve"> FISH testing. </w:t>
      </w:r>
      <w:r>
        <w:t>However, the applicat</w:t>
      </w:r>
      <w:r w:rsidRPr="003051E3">
        <w:t xml:space="preserve">ion considered that IHC would still be a preferred </w:t>
      </w:r>
      <w:r>
        <w:t>pre-</w:t>
      </w:r>
      <w:r w:rsidRPr="003051E3">
        <w:t xml:space="preserve">test. </w:t>
      </w:r>
      <w:r>
        <w:t xml:space="preserve">The critique noted that </w:t>
      </w:r>
      <w:r w:rsidRPr="003051E3">
        <w:t xml:space="preserve">NGS is likely to be performed as a single test to ascertain </w:t>
      </w:r>
      <w:r w:rsidRPr="00420D95">
        <w:rPr>
          <w:i/>
        </w:rPr>
        <w:t>ROS1</w:t>
      </w:r>
      <w:r w:rsidRPr="003051E3">
        <w:t xml:space="preserve"> status alongside other clinically relevant genetic aberrations, and not as a </w:t>
      </w:r>
      <w:r>
        <w:t>pre-</w:t>
      </w:r>
      <w:r w:rsidRPr="003051E3">
        <w:t>test</w:t>
      </w:r>
      <w:r>
        <w:t xml:space="preserve"> as proposed in the applicat</w:t>
      </w:r>
      <w:r w:rsidRPr="003051E3">
        <w:t>ion. NGS, when conducted with robust methodology, would likely be a high</w:t>
      </w:r>
      <w:r>
        <w:t>ly sensitive and specific test.</w:t>
      </w:r>
    </w:p>
    <w:p w14:paraId="63EC319C" w14:textId="7F7F8165" w:rsidR="006F05B0" w:rsidRPr="003051E3" w:rsidRDefault="006F05B0" w:rsidP="006F05B0">
      <w:pPr>
        <w:spacing w:after="120"/>
      </w:pPr>
      <w:r>
        <w:t>The applicatio</w:t>
      </w:r>
      <w:r w:rsidRPr="003051E3">
        <w:t xml:space="preserve">n considered RT-PCR to be unsuitable as a </w:t>
      </w:r>
      <w:r>
        <w:t>pre-</w:t>
      </w:r>
      <w:r w:rsidRPr="003051E3">
        <w:t xml:space="preserve">test to detect </w:t>
      </w:r>
      <w:r w:rsidRPr="00420D95">
        <w:rPr>
          <w:i/>
        </w:rPr>
        <w:t>ROS1</w:t>
      </w:r>
      <w:r w:rsidRPr="003051E3">
        <w:t xml:space="preserve"> gene rearrangements because it can only detect known </w:t>
      </w:r>
      <w:r w:rsidRPr="00420D95">
        <w:rPr>
          <w:i/>
        </w:rPr>
        <w:t>ROS1</w:t>
      </w:r>
      <w:r w:rsidRPr="003051E3">
        <w:t xml:space="preserve"> rearrangements. Th</w:t>
      </w:r>
      <w:r>
        <w:t>e critique considered that th</w:t>
      </w:r>
      <w:r w:rsidRPr="003051E3">
        <w:t xml:space="preserve">is was appropriate because there are a large number of </w:t>
      </w:r>
      <w:r w:rsidRPr="00420D95">
        <w:rPr>
          <w:i/>
        </w:rPr>
        <w:t>ROS1</w:t>
      </w:r>
      <w:r w:rsidRPr="003051E3">
        <w:t xml:space="preserve"> fusion partners and RT-PCR would incorrectly classify some </w:t>
      </w:r>
      <w:r w:rsidRPr="00420D95">
        <w:rPr>
          <w:i/>
        </w:rPr>
        <w:t>ROS1</w:t>
      </w:r>
      <w:r w:rsidRPr="003051E3">
        <w:t xml:space="preserve">-positive samples as </w:t>
      </w:r>
      <w:r w:rsidRPr="00420D95">
        <w:rPr>
          <w:i/>
        </w:rPr>
        <w:t>ROS1</w:t>
      </w:r>
      <w:r w:rsidRPr="003051E3">
        <w:t>-negative.</w:t>
      </w:r>
      <w:r w:rsidR="00E2007C">
        <w:t xml:space="preserve"> MSAC considered that this could be reviewed when these alternative options </w:t>
      </w:r>
      <w:r w:rsidR="00E2007C" w:rsidRPr="00E2007C">
        <w:t xml:space="preserve">are of sufficient accuracy to not compromise the overall </w:t>
      </w:r>
      <w:r w:rsidR="00E2007C">
        <w:t xml:space="preserve">clinical </w:t>
      </w:r>
      <w:r w:rsidR="00E2007C" w:rsidRPr="00E2007C">
        <w:t>utility of test</w:t>
      </w:r>
      <w:r w:rsidR="00E2007C">
        <w:t>ing</w:t>
      </w:r>
      <w:r w:rsidR="00E2007C" w:rsidRPr="00E2007C">
        <w:t xml:space="preserve"> when compared with IHC/FISH testing.</w:t>
      </w:r>
    </w:p>
    <w:p w14:paraId="77381F69" w14:textId="77777777" w:rsidR="006F05B0" w:rsidRPr="003051E3" w:rsidRDefault="006F05B0" w:rsidP="006F05B0">
      <w:pPr>
        <w:spacing w:after="120"/>
        <w:rPr>
          <w:color w:val="000000" w:themeColor="text1"/>
        </w:rPr>
      </w:pPr>
      <w:r w:rsidRPr="003051E3">
        <w:rPr>
          <w:color w:val="000000" w:themeColor="text1"/>
        </w:rPr>
        <w:t>The comparative analytical performance of NGS against FISH testing is presented below.</w:t>
      </w:r>
    </w:p>
    <w:p w14:paraId="3F19F502" w14:textId="77777777" w:rsidR="006F05B0" w:rsidRPr="003051E3" w:rsidRDefault="006F05B0" w:rsidP="006F05B0">
      <w:pPr>
        <w:pStyle w:val="TableHeading"/>
        <w:jc w:val="both"/>
        <w:rPr>
          <w:rFonts w:cs="Times New Roman"/>
        </w:rPr>
      </w:pPr>
      <w:r>
        <w:rPr>
          <w:rFonts w:cs="Times New Roman"/>
        </w:rPr>
        <w:t>Table 6</w:t>
      </w:r>
      <w:r w:rsidRPr="003051E3">
        <w:rPr>
          <w:rFonts w:cs="Times New Roman"/>
        </w:rPr>
        <w:t xml:space="preserve">: Results of NGS analytic performance outcomes across </w:t>
      </w:r>
      <w:r>
        <w:rPr>
          <w:rFonts w:cs="Times New Roman"/>
        </w:rPr>
        <w:t>the studies</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Summary of the trial results of NGS analytic performance outcomes"/>
      </w:tblPr>
      <w:tblGrid>
        <w:gridCol w:w="709"/>
        <w:gridCol w:w="425"/>
        <w:gridCol w:w="3119"/>
        <w:gridCol w:w="1276"/>
        <w:gridCol w:w="1368"/>
        <w:gridCol w:w="1128"/>
        <w:gridCol w:w="1029"/>
      </w:tblGrid>
      <w:tr w:rsidR="006F05B0" w:rsidRPr="003051E3" w14:paraId="310AAA1D" w14:textId="77777777" w:rsidTr="000E1556">
        <w:trPr>
          <w:tblHeader/>
        </w:trPr>
        <w:tc>
          <w:tcPr>
            <w:tcW w:w="709" w:type="dxa"/>
          </w:tcPr>
          <w:p w14:paraId="61D91CED" w14:textId="77777777" w:rsidR="006F05B0" w:rsidRPr="003051E3" w:rsidRDefault="006F05B0" w:rsidP="000E1556">
            <w:pPr>
              <w:pStyle w:val="TableText"/>
              <w:jc w:val="both"/>
              <w:rPr>
                <w:rFonts w:cs="Times New Roman"/>
                <w:b/>
              </w:rPr>
            </w:pPr>
            <w:r w:rsidRPr="003051E3">
              <w:rPr>
                <w:rFonts w:cs="Times New Roman"/>
                <w:b/>
              </w:rPr>
              <w:t xml:space="preserve">Study </w:t>
            </w:r>
          </w:p>
        </w:tc>
        <w:tc>
          <w:tcPr>
            <w:tcW w:w="425" w:type="dxa"/>
          </w:tcPr>
          <w:p w14:paraId="613789B6" w14:textId="77777777" w:rsidR="006F05B0" w:rsidRPr="003051E3" w:rsidRDefault="006F05B0" w:rsidP="000E1556">
            <w:pPr>
              <w:pStyle w:val="TableText"/>
              <w:jc w:val="both"/>
              <w:rPr>
                <w:rFonts w:cs="Times New Roman"/>
                <w:b/>
                <w:iCs/>
                <w:szCs w:val="24"/>
                <w:lang w:val="en-US"/>
              </w:rPr>
            </w:pPr>
            <w:r w:rsidRPr="003051E3">
              <w:rPr>
                <w:rFonts w:cs="Times New Roman"/>
                <w:b/>
                <w:iCs/>
                <w:szCs w:val="24"/>
                <w:lang w:val="en-US"/>
              </w:rPr>
              <w:t xml:space="preserve">N </w:t>
            </w:r>
            <w:r w:rsidRPr="003051E3">
              <w:rPr>
                <w:rFonts w:cs="Times New Roman"/>
                <w:b/>
                <w:iCs/>
                <w:szCs w:val="24"/>
                <w:vertAlign w:val="superscript"/>
                <w:lang w:val="en-US"/>
              </w:rPr>
              <w:t>a</w:t>
            </w:r>
          </w:p>
        </w:tc>
        <w:tc>
          <w:tcPr>
            <w:tcW w:w="3119" w:type="dxa"/>
          </w:tcPr>
          <w:p w14:paraId="2AAAEE40" w14:textId="77777777" w:rsidR="006F05B0" w:rsidRPr="003051E3" w:rsidRDefault="006F05B0" w:rsidP="000E1556">
            <w:pPr>
              <w:pStyle w:val="TableText"/>
              <w:jc w:val="both"/>
              <w:rPr>
                <w:rFonts w:cs="Times New Roman"/>
                <w:b/>
                <w:szCs w:val="24"/>
                <w:lang w:val="en-US"/>
              </w:rPr>
            </w:pPr>
            <w:r w:rsidRPr="003051E3">
              <w:rPr>
                <w:rFonts w:cs="Times New Roman"/>
                <w:b/>
              </w:rPr>
              <w:t>NGS</w:t>
            </w:r>
          </w:p>
        </w:tc>
        <w:tc>
          <w:tcPr>
            <w:tcW w:w="1276" w:type="dxa"/>
          </w:tcPr>
          <w:p w14:paraId="7A82CCA3" w14:textId="77777777" w:rsidR="006F05B0" w:rsidRPr="003051E3" w:rsidRDefault="006F05B0" w:rsidP="000E1556">
            <w:pPr>
              <w:pStyle w:val="TableText"/>
              <w:jc w:val="both"/>
              <w:rPr>
                <w:rFonts w:cs="Times New Roman"/>
                <w:szCs w:val="24"/>
                <w:lang w:val="en-US"/>
              </w:rPr>
            </w:pPr>
            <w:r w:rsidRPr="003051E3">
              <w:rPr>
                <w:rFonts w:cs="Times New Roman"/>
                <w:b/>
                <w:iCs/>
                <w:szCs w:val="24"/>
                <w:lang w:val="en-US"/>
              </w:rPr>
              <w:t>FISH</w:t>
            </w:r>
          </w:p>
        </w:tc>
        <w:tc>
          <w:tcPr>
            <w:tcW w:w="1368" w:type="dxa"/>
          </w:tcPr>
          <w:p w14:paraId="06F17CAF" w14:textId="77777777" w:rsidR="006F05B0" w:rsidRPr="003051E3" w:rsidRDefault="006F05B0" w:rsidP="000E1556">
            <w:pPr>
              <w:pStyle w:val="TableText"/>
              <w:jc w:val="center"/>
              <w:rPr>
                <w:rFonts w:cs="Times New Roman"/>
                <w:b/>
                <w:iCs/>
                <w:szCs w:val="24"/>
                <w:lang w:val="en-US"/>
              </w:rPr>
            </w:pPr>
            <w:r w:rsidRPr="00420D95">
              <w:rPr>
                <w:rFonts w:cs="Times New Roman"/>
                <w:b/>
                <w:i/>
                <w:iCs/>
                <w:szCs w:val="24"/>
                <w:lang w:val="en-US"/>
              </w:rPr>
              <w:t>ROS1</w:t>
            </w:r>
            <w:r w:rsidRPr="003051E3">
              <w:rPr>
                <w:rFonts w:cs="Times New Roman"/>
                <w:b/>
                <w:iCs/>
                <w:szCs w:val="24"/>
                <w:lang w:val="en-US"/>
              </w:rPr>
              <w:t xml:space="preserve"> </w:t>
            </w:r>
            <w:proofErr w:type="spellStart"/>
            <w:r w:rsidRPr="003051E3">
              <w:rPr>
                <w:rFonts w:cs="Times New Roman"/>
                <w:b/>
                <w:iCs/>
                <w:szCs w:val="24"/>
                <w:lang w:val="en-US"/>
              </w:rPr>
              <w:t>pos</w:t>
            </w:r>
            <w:proofErr w:type="spellEnd"/>
            <w:r w:rsidRPr="003051E3">
              <w:rPr>
                <w:rFonts w:cs="Times New Roman"/>
                <w:b/>
                <w:iCs/>
                <w:szCs w:val="24"/>
                <w:lang w:val="en-US"/>
              </w:rPr>
              <w:t xml:space="preserve"> n (%)</w:t>
            </w:r>
          </w:p>
        </w:tc>
        <w:tc>
          <w:tcPr>
            <w:tcW w:w="1128" w:type="dxa"/>
          </w:tcPr>
          <w:p w14:paraId="7948F59A" w14:textId="77777777" w:rsidR="006F05B0" w:rsidRPr="003051E3" w:rsidRDefault="006F05B0" w:rsidP="000E1556">
            <w:pPr>
              <w:pStyle w:val="TableText"/>
              <w:jc w:val="center"/>
              <w:rPr>
                <w:rFonts w:cs="Times New Roman"/>
                <w:szCs w:val="24"/>
                <w:lang w:val="en-US"/>
              </w:rPr>
            </w:pPr>
            <w:r w:rsidRPr="003051E3">
              <w:rPr>
                <w:rFonts w:cs="Times New Roman"/>
                <w:b/>
                <w:iCs/>
                <w:szCs w:val="24"/>
                <w:lang w:val="en-US"/>
              </w:rPr>
              <w:t>Sensitivity</w:t>
            </w:r>
          </w:p>
        </w:tc>
        <w:tc>
          <w:tcPr>
            <w:tcW w:w="1029" w:type="dxa"/>
          </w:tcPr>
          <w:p w14:paraId="7F02FF57" w14:textId="77777777" w:rsidR="006F05B0" w:rsidRPr="003051E3" w:rsidRDefault="006F05B0" w:rsidP="000E1556">
            <w:pPr>
              <w:pStyle w:val="TableText"/>
              <w:jc w:val="center"/>
              <w:rPr>
                <w:rFonts w:cs="Times New Roman"/>
                <w:szCs w:val="24"/>
                <w:lang w:val="en-US"/>
              </w:rPr>
            </w:pPr>
            <w:r w:rsidRPr="003051E3">
              <w:rPr>
                <w:rFonts w:cs="Times New Roman"/>
                <w:b/>
                <w:iCs/>
                <w:szCs w:val="24"/>
                <w:lang w:val="en-US"/>
              </w:rPr>
              <w:t>Specificity</w:t>
            </w:r>
          </w:p>
        </w:tc>
      </w:tr>
      <w:tr w:rsidR="006F05B0" w:rsidRPr="003051E3" w14:paraId="5EE12593" w14:textId="77777777" w:rsidTr="000E1556">
        <w:tc>
          <w:tcPr>
            <w:tcW w:w="709" w:type="dxa"/>
          </w:tcPr>
          <w:p w14:paraId="012CD79B" w14:textId="77777777" w:rsidR="006F05B0" w:rsidRPr="003051E3" w:rsidRDefault="006F05B0" w:rsidP="000E1556">
            <w:pPr>
              <w:pStyle w:val="TableText"/>
              <w:jc w:val="both"/>
              <w:rPr>
                <w:rFonts w:cs="Times New Roman"/>
              </w:rPr>
            </w:pPr>
            <w:proofErr w:type="spellStart"/>
            <w:r w:rsidRPr="003051E3">
              <w:rPr>
                <w:rFonts w:cs="Times New Roman"/>
              </w:rPr>
              <w:t>Pfarr</w:t>
            </w:r>
            <w:proofErr w:type="spellEnd"/>
            <w:r w:rsidRPr="003051E3">
              <w:rPr>
                <w:rFonts w:cs="Times New Roman"/>
              </w:rPr>
              <w:t xml:space="preserve"> 2016</w:t>
            </w:r>
          </w:p>
        </w:tc>
        <w:tc>
          <w:tcPr>
            <w:tcW w:w="425" w:type="dxa"/>
          </w:tcPr>
          <w:p w14:paraId="30580A36" w14:textId="77777777" w:rsidR="006F05B0" w:rsidRPr="003051E3" w:rsidRDefault="006F05B0" w:rsidP="000E1556">
            <w:pPr>
              <w:pStyle w:val="TableText"/>
              <w:jc w:val="both"/>
              <w:rPr>
                <w:rFonts w:cs="Times New Roman"/>
              </w:rPr>
            </w:pPr>
            <w:r w:rsidRPr="003051E3">
              <w:rPr>
                <w:rFonts w:cs="Times New Roman"/>
              </w:rPr>
              <w:t>159</w:t>
            </w:r>
          </w:p>
        </w:tc>
        <w:tc>
          <w:tcPr>
            <w:tcW w:w="3119" w:type="dxa"/>
          </w:tcPr>
          <w:p w14:paraId="3C8C763C" w14:textId="77777777" w:rsidR="006F05B0" w:rsidRPr="003051E3" w:rsidRDefault="006F05B0" w:rsidP="000E1556">
            <w:pPr>
              <w:pStyle w:val="TableText"/>
              <w:jc w:val="both"/>
              <w:rPr>
                <w:rFonts w:eastAsia="Times New Roman" w:cs="Times New Roman"/>
              </w:rPr>
            </w:pPr>
            <w:r w:rsidRPr="003051E3">
              <w:rPr>
                <w:rFonts w:cs="Times New Roman"/>
              </w:rPr>
              <w:t xml:space="preserve">Ion Torrent </w:t>
            </w:r>
            <w:proofErr w:type="spellStart"/>
            <w:r w:rsidRPr="003051E3">
              <w:rPr>
                <w:rFonts w:cs="Times New Roman"/>
              </w:rPr>
              <w:t>AmpliSeq</w:t>
            </w:r>
            <w:proofErr w:type="spellEnd"/>
            <w:r w:rsidRPr="003051E3">
              <w:rPr>
                <w:rFonts w:cs="Times New Roman"/>
              </w:rPr>
              <w:t>™ (</w:t>
            </w:r>
            <w:proofErr w:type="spellStart"/>
            <w:r w:rsidRPr="003051E3">
              <w:rPr>
                <w:rFonts w:cs="Times New Roman"/>
              </w:rPr>
              <w:t>ThermoFisher</w:t>
            </w:r>
            <w:proofErr w:type="spellEnd"/>
            <w:r w:rsidRPr="003051E3">
              <w:rPr>
                <w:rFonts w:cs="Times New Roman"/>
              </w:rPr>
              <w:t>) with RNA Lung Cancer Fusion Panel</w:t>
            </w:r>
          </w:p>
        </w:tc>
        <w:tc>
          <w:tcPr>
            <w:tcW w:w="1276" w:type="dxa"/>
          </w:tcPr>
          <w:p w14:paraId="73A0BF1D" w14:textId="77777777" w:rsidR="006F05B0" w:rsidRPr="003051E3" w:rsidRDefault="006F05B0" w:rsidP="000E1556">
            <w:pPr>
              <w:pStyle w:val="TableText"/>
              <w:jc w:val="both"/>
              <w:rPr>
                <w:rFonts w:eastAsia="Times New Roman" w:cs="Times New Roman"/>
              </w:rPr>
            </w:pPr>
            <w:proofErr w:type="spellStart"/>
            <w:r w:rsidRPr="003051E3">
              <w:rPr>
                <w:rFonts w:cs="Times New Roman"/>
              </w:rPr>
              <w:t>ZytoLight</w:t>
            </w:r>
            <w:proofErr w:type="spellEnd"/>
            <w:r w:rsidRPr="003051E3">
              <w:rPr>
                <w:rFonts w:cs="Times New Roman"/>
              </w:rPr>
              <w:t xml:space="preserve"> SPEC </w:t>
            </w:r>
            <w:r w:rsidRPr="00420D95">
              <w:rPr>
                <w:rFonts w:cs="Times New Roman"/>
                <w:i/>
              </w:rPr>
              <w:t>ROS1</w:t>
            </w:r>
            <w:r w:rsidRPr="003051E3">
              <w:rPr>
                <w:rFonts w:cs="Times New Roman"/>
              </w:rPr>
              <w:t xml:space="preserve"> probe</w:t>
            </w:r>
          </w:p>
        </w:tc>
        <w:tc>
          <w:tcPr>
            <w:tcW w:w="1368" w:type="dxa"/>
          </w:tcPr>
          <w:p w14:paraId="78D09F7D" w14:textId="77777777" w:rsidR="006F05B0" w:rsidRPr="003051E3" w:rsidRDefault="006F05B0" w:rsidP="000E1556">
            <w:pPr>
              <w:pStyle w:val="TableText"/>
              <w:jc w:val="center"/>
              <w:rPr>
                <w:rFonts w:cs="Times New Roman"/>
              </w:rPr>
            </w:pPr>
            <w:r w:rsidRPr="003051E3">
              <w:rPr>
                <w:rFonts w:cs="Times New Roman"/>
              </w:rPr>
              <w:t>8/135 (6%)</w:t>
            </w:r>
          </w:p>
        </w:tc>
        <w:tc>
          <w:tcPr>
            <w:tcW w:w="1128" w:type="dxa"/>
          </w:tcPr>
          <w:p w14:paraId="7683643C" w14:textId="77777777" w:rsidR="006F05B0" w:rsidRPr="003051E3" w:rsidRDefault="006F05B0" w:rsidP="000E1556">
            <w:pPr>
              <w:pStyle w:val="TableText"/>
              <w:jc w:val="center"/>
              <w:rPr>
                <w:rFonts w:eastAsia="Times New Roman" w:cs="Times New Roman"/>
                <w:vertAlign w:val="superscript"/>
              </w:rPr>
            </w:pPr>
            <w:r w:rsidRPr="003051E3">
              <w:rPr>
                <w:rFonts w:cs="Times New Roman"/>
              </w:rPr>
              <w:t>100%</w:t>
            </w:r>
            <w:r w:rsidRPr="003051E3">
              <w:rPr>
                <w:rFonts w:cs="Times New Roman"/>
                <w:vertAlign w:val="superscript"/>
              </w:rPr>
              <w:t>b</w:t>
            </w:r>
          </w:p>
        </w:tc>
        <w:tc>
          <w:tcPr>
            <w:tcW w:w="1029" w:type="dxa"/>
          </w:tcPr>
          <w:p w14:paraId="29A94C4E" w14:textId="77777777" w:rsidR="006F05B0" w:rsidRPr="003051E3" w:rsidRDefault="006F05B0" w:rsidP="000E1556">
            <w:pPr>
              <w:pStyle w:val="TableText"/>
              <w:jc w:val="center"/>
              <w:rPr>
                <w:rFonts w:eastAsia="Times New Roman" w:cs="Times New Roman"/>
              </w:rPr>
            </w:pPr>
            <w:r w:rsidRPr="003051E3">
              <w:rPr>
                <w:rFonts w:cs="Times New Roman"/>
              </w:rPr>
              <w:t>100%</w:t>
            </w:r>
            <w:r w:rsidRPr="003051E3">
              <w:rPr>
                <w:rFonts w:cs="Times New Roman"/>
                <w:vertAlign w:val="superscript"/>
              </w:rPr>
              <w:t xml:space="preserve"> b</w:t>
            </w:r>
          </w:p>
        </w:tc>
      </w:tr>
      <w:tr w:rsidR="006F05B0" w:rsidRPr="003051E3" w14:paraId="569EAA9E" w14:textId="77777777" w:rsidTr="000E1556">
        <w:trPr>
          <w:trHeight w:val="534"/>
        </w:trPr>
        <w:tc>
          <w:tcPr>
            <w:tcW w:w="709" w:type="dxa"/>
          </w:tcPr>
          <w:p w14:paraId="7E6B5F0D" w14:textId="77777777" w:rsidR="006F05B0" w:rsidRPr="003051E3" w:rsidRDefault="006F05B0" w:rsidP="000E1556">
            <w:pPr>
              <w:pStyle w:val="TableText"/>
              <w:jc w:val="both"/>
              <w:rPr>
                <w:rFonts w:cs="Times New Roman"/>
              </w:rPr>
            </w:pPr>
            <w:r w:rsidRPr="003051E3">
              <w:rPr>
                <w:rFonts w:cs="Times New Roman"/>
              </w:rPr>
              <w:t>Lira 2014</w:t>
            </w:r>
          </w:p>
        </w:tc>
        <w:tc>
          <w:tcPr>
            <w:tcW w:w="425" w:type="dxa"/>
          </w:tcPr>
          <w:p w14:paraId="782A7014" w14:textId="77777777" w:rsidR="006F05B0" w:rsidRPr="003051E3" w:rsidRDefault="006F05B0" w:rsidP="000E1556">
            <w:pPr>
              <w:pStyle w:val="TableText"/>
              <w:jc w:val="both"/>
              <w:rPr>
                <w:rFonts w:cs="Times New Roman"/>
              </w:rPr>
            </w:pPr>
            <w:r w:rsidRPr="003051E3">
              <w:rPr>
                <w:rFonts w:cs="Times New Roman"/>
              </w:rPr>
              <w:t>295</w:t>
            </w:r>
          </w:p>
        </w:tc>
        <w:tc>
          <w:tcPr>
            <w:tcW w:w="3119" w:type="dxa"/>
          </w:tcPr>
          <w:p w14:paraId="0F1AA0EF" w14:textId="77777777" w:rsidR="006F05B0" w:rsidRPr="003051E3" w:rsidRDefault="006F05B0" w:rsidP="000E1556">
            <w:pPr>
              <w:pStyle w:val="TableText"/>
              <w:jc w:val="both"/>
              <w:rPr>
                <w:rFonts w:cs="Times New Roman"/>
              </w:rPr>
            </w:pPr>
            <w:r w:rsidRPr="003051E3">
              <w:rPr>
                <w:rFonts w:cs="Times New Roman"/>
              </w:rPr>
              <w:t xml:space="preserve">Custom </w:t>
            </w:r>
            <w:r w:rsidRPr="00420D95">
              <w:rPr>
                <w:rFonts w:cs="Times New Roman"/>
                <w:i/>
              </w:rPr>
              <w:t>ROS1</w:t>
            </w:r>
            <w:r w:rsidRPr="003051E3">
              <w:rPr>
                <w:rFonts w:cs="Times New Roman"/>
              </w:rPr>
              <w:t xml:space="preserve"> target sequence (</w:t>
            </w:r>
            <w:proofErr w:type="spellStart"/>
            <w:r w:rsidRPr="003051E3">
              <w:rPr>
                <w:rFonts w:cs="Times New Roman"/>
              </w:rPr>
              <w:t>NanoString</w:t>
            </w:r>
            <w:proofErr w:type="spellEnd"/>
            <w:r w:rsidRPr="003051E3">
              <w:rPr>
                <w:rFonts w:cs="Times New Roman"/>
              </w:rPr>
              <w:t xml:space="preserve"> Technologies)</w:t>
            </w:r>
          </w:p>
        </w:tc>
        <w:tc>
          <w:tcPr>
            <w:tcW w:w="1276" w:type="dxa"/>
          </w:tcPr>
          <w:p w14:paraId="0B9CB96F" w14:textId="77777777" w:rsidR="006F05B0" w:rsidRPr="003051E3" w:rsidRDefault="006F05B0" w:rsidP="000E1556">
            <w:pPr>
              <w:pStyle w:val="TableText"/>
              <w:jc w:val="both"/>
              <w:rPr>
                <w:rFonts w:eastAsia="Times New Roman" w:cs="Times New Roman"/>
              </w:rPr>
            </w:pPr>
            <w:proofErr w:type="spellStart"/>
            <w:r w:rsidRPr="003051E3">
              <w:rPr>
                <w:rFonts w:cs="Times New Roman"/>
              </w:rPr>
              <w:t>ZytoLight</w:t>
            </w:r>
            <w:proofErr w:type="spellEnd"/>
            <w:r w:rsidRPr="003051E3">
              <w:rPr>
                <w:rFonts w:cs="Times New Roman"/>
              </w:rPr>
              <w:t xml:space="preserve"> SPEC </w:t>
            </w:r>
            <w:r w:rsidRPr="00420D95">
              <w:rPr>
                <w:rFonts w:cs="Times New Roman"/>
                <w:i/>
              </w:rPr>
              <w:t>ROS1</w:t>
            </w:r>
            <w:r w:rsidRPr="003051E3">
              <w:rPr>
                <w:rFonts w:cs="Times New Roman"/>
              </w:rPr>
              <w:t xml:space="preserve"> probe</w:t>
            </w:r>
          </w:p>
        </w:tc>
        <w:tc>
          <w:tcPr>
            <w:tcW w:w="1368" w:type="dxa"/>
          </w:tcPr>
          <w:p w14:paraId="16828B2D" w14:textId="77777777" w:rsidR="006F05B0" w:rsidRPr="003051E3" w:rsidRDefault="006F05B0" w:rsidP="000E1556">
            <w:pPr>
              <w:pStyle w:val="TableText"/>
              <w:jc w:val="center"/>
              <w:rPr>
                <w:rFonts w:cs="Times New Roman"/>
              </w:rPr>
            </w:pPr>
            <w:r w:rsidRPr="003051E3">
              <w:rPr>
                <w:rFonts w:cs="Times New Roman"/>
              </w:rPr>
              <w:t>4/46 (9%)</w:t>
            </w:r>
          </w:p>
        </w:tc>
        <w:tc>
          <w:tcPr>
            <w:tcW w:w="1128" w:type="dxa"/>
          </w:tcPr>
          <w:p w14:paraId="29220B80" w14:textId="77777777" w:rsidR="006F05B0" w:rsidRPr="003051E3" w:rsidRDefault="006F05B0" w:rsidP="000E1556">
            <w:pPr>
              <w:pStyle w:val="TableText"/>
              <w:jc w:val="center"/>
              <w:rPr>
                <w:rFonts w:eastAsia="Times New Roman" w:cs="Times New Roman"/>
              </w:rPr>
            </w:pPr>
            <w:r w:rsidRPr="003051E3">
              <w:rPr>
                <w:rFonts w:cs="Times New Roman"/>
              </w:rPr>
              <w:t>100%</w:t>
            </w:r>
          </w:p>
        </w:tc>
        <w:tc>
          <w:tcPr>
            <w:tcW w:w="1029" w:type="dxa"/>
          </w:tcPr>
          <w:p w14:paraId="1A1FF249" w14:textId="77777777" w:rsidR="006F05B0" w:rsidRPr="003051E3" w:rsidRDefault="006F05B0" w:rsidP="000E1556">
            <w:pPr>
              <w:pStyle w:val="TableText"/>
              <w:jc w:val="center"/>
              <w:rPr>
                <w:rFonts w:eastAsia="Times New Roman" w:cs="Times New Roman"/>
              </w:rPr>
            </w:pPr>
            <w:r w:rsidRPr="003051E3">
              <w:rPr>
                <w:rFonts w:cs="Times New Roman"/>
              </w:rPr>
              <w:t>100%</w:t>
            </w:r>
          </w:p>
        </w:tc>
      </w:tr>
      <w:tr w:rsidR="006F05B0" w:rsidRPr="003051E3" w14:paraId="48D72091" w14:textId="77777777" w:rsidTr="000E1556">
        <w:tc>
          <w:tcPr>
            <w:tcW w:w="709" w:type="dxa"/>
          </w:tcPr>
          <w:p w14:paraId="20044FE9" w14:textId="77777777" w:rsidR="006F05B0" w:rsidRPr="003051E3" w:rsidRDefault="006F05B0" w:rsidP="000E1556">
            <w:pPr>
              <w:pStyle w:val="TableText"/>
              <w:jc w:val="both"/>
              <w:rPr>
                <w:rFonts w:cs="Times New Roman"/>
              </w:rPr>
            </w:pPr>
            <w:proofErr w:type="spellStart"/>
            <w:r w:rsidRPr="003051E3">
              <w:rPr>
                <w:rFonts w:cs="Times New Roman"/>
              </w:rPr>
              <w:t>Reguart</w:t>
            </w:r>
            <w:proofErr w:type="spellEnd"/>
            <w:r w:rsidRPr="003051E3">
              <w:rPr>
                <w:rFonts w:cs="Times New Roman"/>
              </w:rPr>
              <w:t xml:space="preserve"> 2017</w:t>
            </w:r>
          </w:p>
        </w:tc>
        <w:tc>
          <w:tcPr>
            <w:tcW w:w="425" w:type="dxa"/>
          </w:tcPr>
          <w:p w14:paraId="607A4F52" w14:textId="77777777" w:rsidR="006F05B0" w:rsidRPr="003051E3" w:rsidRDefault="006F05B0" w:rsidP="000E1556">
            <w:pPr>
              <w:pStyle w:val="TableText"/>
              <w:jc w:val="both"/>
              <w:rPr>
                <w:rFonts w:cs="Times New Roman"/>
              </w:rPr>
            </w:pPr>
            <w:r w:rsidRPr="003051E3">
              <w:rPr>
                <w:rFonts w:cs="Times New Roman"/>
              </w:rPr>
              <w:t>108</w:t>
            </w:r>
          </w:p>
        </w:tc>
        <w:tc>
          <w:tcPr>
            <w:tcW w:w="3119" w:type="dxa"/>
          </w:tcPr>
          <w:p w14:paraId="4F41E709" w14:textId="77777777" w:rsidR="006F05B0" w:rsidRPr="003051E3" w:rsidRDefault="006F05B0" w:rsidP="000E1556">
            <w:pPr>
              <w:pStyle w:val="TableText"/>
              <w:jc w:val="both"/>
              <w:rPr>
                <w:rFonts w:eastAsia="Times New Roman" w:cs="Times New Roman"/>
              </w:rPr>
            </w:pPr>
            <w:proofErr w:type="spellStart"/>
            <w:r w:rsidRPr="003051E3">
              <w:rPr>
                <w:rFonts w:cs="Times New Roman"/>
              </w:rPr>
              <w:t>nCounter</w:t>
            </w:r>
            <w:proofErr w:type="spellEnd"/>
            <w:r w:rsidRPr="003051E3">
              <w:rPr>
                <w:rFonts w:cs="Times New Roman"/>
              </w:rPr>
              <w:t xml:space="preserve"> Prep Station™ and Digital </w:t>
            </w:r>
            <w:proofErr w:type="spellStart"/>
            <w:r w:rsidRPr="003051E3">
              <w:rPr>
                <w:rFonts w:cs="Times New Roman"/>
              </w:rPr>
              <w:t>Analyzer</w:t>
            </w:r>
            <w:proofErr w:type="spellEnd"/>
            <w:r w:rsidRPr="003051E3">
              <w:rPr>
                <w:rFonts w:cs="Times New Roman"/>
              </w:rPr>
              <w:t xml:space="preserve">™ </w:t>
            </w:r>
          </w:p>
        </w:tc>
        <w:tc>
          <w:tcPr>
            <w:tcW w:w="1276" w:type="dxa"/>
          </w:tcPr>
          <w:p w14:paraId="2E4933D7" w14:textId="77777777" w:rsidR="006F05B0" w:rsidRPr="003051E3" w:rsidRDefault="006F05B0" w:rsidP="000E1556">
            <w:pPr>
              <w:pStyle w:val="TableText"/>
              <w:jc w:val="both"/>
              <w:rPr>
                <w:rFonts w:eastAsia="Times New Roman" w:cs="Times New Roman"/>
              </w:rPr>
            </w:pPr>
            <w:proofErr w:type="spellStart"/>
            <w:r w:rsidRPr="003051E3">
              <w:rPr>
                <w:rFonts w:cs="Times New Roman"/>
              </w:rPr>
              <w:t>ZytoLight</w:t>
            </w:r>
            <w:proofErr w:type="spellEnd"/>
            <w:r w:rsidRPr="003051E3">
              <w:rPr>
                <w:rFonts w:cs="Times New Roman"/>
              </w:rPr>
              <w:t xml:space="preserve"> SPEC </w:t>
            </w:r>
            <w:r w:rsidRPr="00420D95">
              <w:rPr>
                <w:rFonts w:cs="Times New Roman"/>
                <w:i/>
              </w:rPr>
              <w:t>ROS1</w:t>
            </w:r>
            <w:r w:rsidRPr="003051E3">
              <w:rPr>
                <w:rFonts w:cs="Times New Roman"/>
              </w:rPr>
              <w:t xml:space="preserve"> probe</w:t>
            </w:r>
          </w:p>
        </w:tc>
        <w:tc>
          <w:tcPr>
            <w:tcW w:w="1368" w:type="dxa"/>
          </w:tcPr>
          <w:p w14:paraId="49568457" w14:textId="77777777" w:rsidR="006F05B0" w:rsidRPr="003051E3" w:rsidRDefault="006F05B0" w:rsidP="000E1556">
            <w:pPr>
              <w:pStyle w:val="TableText"/>
              <w:jc w:val="center"/>
              <w:rPr>
                <w:rFonts w:cs="Times New Roman"/>
              </w:rPr>
            </w:pPr>
            <w:r w:rsidRPr="003051E3">
              <w:rPr>
                <w:rFonts w:cs="Times New Roman"/>
              </w:rPr>
              <w:t>27/79 (35%)</w:t>
            </w:r>
          </w:p>
        </w:tc>
        <w:tc>
          <w:tcPr>
            <w:tcW w:w="1128" w:type="dxa"/>
          </w:tcPr>
          <w:p w14:paraId="171FD127" w14:textId="77777777" w:rsidR="006F05B0" w:rsidRPr="003051E3" w:rsidRDefault="006F05B0" w:rsidP="000E1556">
            <w:pPr>
              <w:pStyle w:val="TableText"/>
              <w:jc w:val="center"/>
              <w:rPr>
                <w:rFonts w:cs="Times New Roman"/>
              </w:rPr>
            </w:pPr>
            <w:r w:rsidRPr="003051E3">
              <w:rPr>
                <w:rFonts w:cs="Times New Roman"/>
              </w:rPr>
              <w:t>70%</w:t>
            </w:r>
          </w:p>
        </w:tc>
        <w:tc>
          <w:tcPr>
            <w:tcW w:w="1029" w:type="dxa"/>
          </w:tcPr>
          <w:p w14:paraId="3AA78CF3" w14:textId="77777777" w:rsidR="006F05B0" w:rsidRPr="003051E3" w:rsidRDefault="006F05B0" w:rsidP="000E1556">
            <w:pPr>
              <w:pStyle w:val="TableText"/>
              <w:jc w:val="center"/>
              <w:rPr>
                <w:rFonts w:cs="Times New Roman"/>
              </w:rPr>
            </w:pPr>
            <w:r w:rsidRPr="003051E3">
              <w:rPr>
                <w:rFonts w:cs="Times New Roman"/>
              </w:rPr>
              <w:t>96%</w:t>
            </w:r>
          </w:p>
        </w:tc>
      </w:tr>
    </w:tbl>
    <w:p w14:paraId="00092FCC" w14:textId="77777777" w:rsidR="006F05B0" w:rsidRPr="003051E3" w:rsidRDefault="006F05B0" w:rsidP="006F05B0">
      <w:pPr>
        <w:pStyle w:val="TableFooter"/>
        <w:rPr>
          <w:rFonts w:cs="Times New Roman"/>
        </w:rPr>
      </w:pPr>
      <w:r w:rsidRPr="003051E3">
        <w:rPr>
          <w:rFonts w:cs="Times New Roman"/>
        </w:rPr>
        <w:t xml:space="preserve">FISH = fluorescent in-situ hybridisation; IHC = immunohistochemistry; NGS = next-generation sequencing; NPV = negative predictive value; </w:t>
      </w:r>
      <w:proofErr w:type="spellStart"/>
      <w:r w:rsidRPr="003051E3">
        <w:rPr>
          <w:rFonts w:cs="Times New Roman"/>
        </w:rPr>
        <w:t>pos</w:t>
      </w:r>
      <w:proofErr w:type="spellEnd"/>
      <w:r w:rsidRPr="003051E3">
        <w:rPr>
          <w:rFonts w:cs="Times New Roman"/>
        </w:rPr>
        <w:t xml:space="preserve"> = positive; PCR = polymerase chain reaction; PPV = positive predictive value; RNA = ribonucleic acid; </w:t>
      </w:r>
      <w:r w:rsidRPr="00420D95">
        <w:rPr>
          <w:rFonts w:cs="Times New Roman"/>
          <w:i/>
        </w:rPr>
        <w:t>ROS1</w:t>
      </w:r>
      <w:r w:rsidRPr="003051E3">
        <w:rPr>
          <w:rFonts w:cs="Times New Roman"/>
        </w:rPr>
        <w:t xml:space="preserve"> = </w:t>
      </w:r>
      <w:r w:rsidRPr="00420D95">
        <w:rPr>
          <w:rFonts w:cs="Times New Roman"/>
          <w:i/>
        </w:rPr>
        <w:t>ROS</w:t>
      </w:r>
      <w:r w:rsidRPr="003051E3">
        <w:rPr>
          <w:rFonts w:cs="Times New Roman"/>
        </w:rPr>
        <w:t xml:space="preserve"> proto-oncogene 1; RT-PCR = reverse transcription polymerase chain reaction.</w:t>
      </w:r>
    </w:p>
    <w:p w14:paraId="7B7B65C5" w14:textId="77777777" w:rsidR="006F05B0" w:rsidRPr="003051E3" w:rsidRDefault="006F05B0" w:rsidP="006F05B0">
      <w:pPr>
        <w:pStyle w:val="TableFooter"/>
        <w:rPr>
          <w:rFonts w:cs="Times New Roman"/>
        </w:rPr>
      </w:pPr>
      <w:r w:rsidRPr="003051E3">
        <w:rPr>
          <w:rFonts w:cs="Times New Roman"/>
          <w:vertAlign w:val="superscript"/>
        </w:rPr>
        <w:t xml:space="preserve">a </w:t>
      </w:r>
      <w:r w:rsidRPr="003051E3">
        <w:rPr>
          <w:rFonts w:cs="Times New Roman"/>
        </w:rPr>
        <w:t>May be higher than the denominator in the results due to failed tests, inadequate tumour samples or some tests carried out on a subset of total samples.</w:t>
      </w:r>
    </w:p>
    <w:p w14:paraId="47FC2D67" w14:textId="77777777" w:rsidR="006F05B0" w:rsidRPr="003051E3" w:rsidRDefault="006F05B0" w:rsidP="006F05B0">
      <w:pPr>
        <w:pStyle w:val="TableFooter"/>
        <w:rPr>
          <w:rFonts w:cs="Times New Roman"/>
        </w:rPr>
      </w:pPr>
      <w:proofErr w:type="gramStart"/>
      <w:r w:rsidRPr="003051E3">
        <w:rPr>
          <w:rFonts w:cs="Times New Roman"/>
          <w:vertAlign w:val="superscript"/>
        </w:rPr>
        <w:t>b</w:t>
      </w:r>
      <w:proofErr w:type="gramEnd"/>
      <w:r w:rsidRPr="003051E3">
        <w:rPr>
          <w:rFonts w:cs="Times New Roman"/>
        </w:rPr>
        <w:t xml:space="preserve"> Only a subset of positive and negative </w:t>
      </w:r>
      <w:r>
        <w:rPr>
          <w:rFonts w:cs="Times New Roman"/>
        </w:rPr>
        <w:t>cases were verified using FISH.</w:t>
      </w:r>
    </w:p>
    <w:p w14:paraId="3066B331" w14:textId="77777777" w:rsidR="006F05B0" w:rsidRPr="003051E3" w:rsidRDefault="006F05B0" w:rsidP="006F05B0">
      <w:pPr>
        <w:spacing w:after="120"/>
        <w:rPr>
          <w:color w:val="000000" w:themeColor="text1"/>
        </w:rPr>
      </w:pPr>
      <w:r w:rsidRPr="003051E3">
        <w:rPr>
          <w:color w:val="000000" w:themeColor="text1"/>
        </w:rPr>
        <w:t>T</w:t>
      </w:r>
      <w:r w:rsidRPr="003051E3">
        <w:t xml:space="preserve">he </w:t>
      </w:r>
      <w:r>
        <w:t>application</w:t>
      </w:r>
      <w:r w:rsidRPr="003051E3">
        <w:t xml:space="preserve"> claimed that NGS technologies were highly concordant with </w:t>
      </w:r>
      <w:r w:rsidRPr="00420D95">
        <w:rPr>
          <w:i/>
        </w:rPr>
        <w:t>ROS1</w:t>
      </w:r>
      <w:r w:rsidRPr="003051E3">
        <w:t xml:space="preserve"> FISH testing. </w:t>
      </w:r>
      <w:r>
        <w:t>The critique considered that this was appropriate and that, i</w:t>
      </w:r>
      <w:r w:rsidRPr="003051E3">
        <w:t xml:space="preserve">f NGS is used to detect </w:t>
      </w:r>
      <w:r w:rsidRPr="00420D95">
        <w:rPr>
          <w:i/>
        </w:rPr>
        <w:t>ROS1</w:t>
      </w:r>
      <w:r w:rsidRPr="003051E3">
        <w:t xml:space="preserve"> gene rearrangements in NSCLC, it is likely to be utilised as the main test to identify </w:t>
      </w:r>
      <w:r w:rsidRPr="00420D95">
        <w:rPr>
          <w:i/>
        </w:rPr>
        <w:t>ROS1</w:t>
      </w:r>
      <w:r w:rsidRPr="003051E3">
        <w:t xml:space="preserve"> rearrangements and other lung cancer genetic aberrations, not as a </w:t>
      </w:r>
      <w:r>
        <w:t>pre-</w:t>
      </w:r>
      <w:r w:rsidRPr="003051E3">
        <w:t xml:space="preserve">test as implied in the </w:t>
      </w:r>
      <w:r>
        <w:t>application</w:t>
      </w:r>
      <w:r w:rsidRPr="003051E3">
        <w:t>.</w:t>
      </w:r>
    </w:p>
    <w:p w14:paraId="6EF5326B" w14:textId="0649D6C9" w:rsidR="006F05B0" w:rsidRPr="003051E3" w:rsidRDefault="006F05B0" w:rsidP="006F05B0">
      <w:pPr>
        <w:spacing w:after="120"/>
        <w:rPr>
          <w:color w:val="000000" w:themeColor="text1"/>
        </w:rPr>
      </w:pPr>
      <w:r w:rsidRPr="003051E3">
        <w:rPr>
          <w:color w:val="000000" w:themeColor="text1"/>
        </w:rPr>
        <w:lastRenderedPageBreak/>
        <w:t xml:space="preserve">The </w:t>
      </w:r>
      <w:r>
        <w:rPr>
          <w:color w:val="000000" w:themeColor="text1"/>
        </w:rPr>
        <w:t xml:space="preserve">application </w:t>
      </w:r>
      <w:r w:rsidRPr="003051E3">
        <w:rPr>
          <w:color w:val="000000" w:themeColor="text1"/>
        </w:rPr>
        <w:t xml:space="preserve">considered that RT-PCR was less reliable than FISH as a diagnostic test to detect </w:t>
      </w:r>
      <w:r w:rsidRPr="00420D95">
        <w:rPr>
          <w:i/>
          <w:color w:val="000000" w:themeColor="text1"/>
        </w:rPr>
        <w:t>ROS1</w:t>
      </w:r>
      <w:r w:rsidRPr="003051E3">
        <w:rPr>
          <w:color w:val="000000" w:themeColor="text1"/>
        </w:rPr>
        <w:t xml:space="preserve"> gene rearrangements, because RT-PCR is unable to detect </w:t>
      </w:r>
      <w:r w:rsidRPr="00420D95">
        <w:rPr>
          <w:i/>
          <w:color w:val="000000" w:themeColor="text1"/>
        </w:rPr>
        <w:t>ROS1</w:t>
      </w:r>
      <w:r w:rsidRPr="003051E3">
        <w:rPr>
          <w:color w:val="000000" w:themeColor="text1"/>
        </w:rPr>
        <w:t xml:space="preserve"> fusions that are beyond the range of the primers used. </w:t>
      </w:r>
      <w:r>
        <w:t xml:space="preserve">The critique considered that this </w:t>
      </w:r>
      <w:r w:rsidRPr="003051E3">
        <w:rPr>
          <w:color w:val="000000" w:themeColor="text1"/>
        </w:rPr>
        <w:t xml:space="preserve">was appropriate because there are numerous </w:t>
      </w:r>
      <w:r w:rsidRPr="00420D95">
        <w:rPr>
          <w:i/>
          <w:color w:val="000000" w:themeColor="text1"/>
        </w:rPr>
        <w:t>ROS1</w:t>
      </w:r>
      <w:r w:rsidRPr="003051E3">
        <w:rPr>
          <w:color w:val="000000" w:themeColor="text1"/>
        </w:rPr>
        <w:t xml:space="preserve"> fusion partners </w:t>
      </w:r>
      <w:proofErr w:type="gramStart"/>
      <w:r w:rsidRPr="003051E3">
        <w:rPr>
          <w:color w:val="000000" w:themeColor="text1"/>
        </w:rPr>
        <w:t>which</w:t>
      </w:r>
      <w:proofErr w:type="gramEnd"/>
      <w:r w:rsidRPr="003051E3">
        <w:rPr>
          <w:color w:val="000000" w:themeColor="text1"/>
        </w:rPr>
        <w:t xml:space="preserve"> would be missed resulting in more false negative test results, and is consistent with MSAC’s November 2013 consideration of RT</w:t>
      </w:r>
      <w:r w:rsidR="0036761F">
        <w:rPr>
          <w:color w:val="000000" w:themeColor="text1"/>
        </w:rPr>
        <w:t>-</w:t>
      </w:r>
      <w:r w:rsidRPr="003051E3">
        <w:rPr>
          <w:color w:val="000000" w:themeColor="text1"/>
        </w:rPr>
        <w:t xml:space="preserve">PCR for </w:t>
      </w:r>
      <w:r w:rsidRPr="00420D95">
        <w:rPr>
          <w:i/>
          <w:color w:val="000000" w:themeColor="text1"/>
        </w:rPr>
        <w:t>ALK</w:t>
      </w:r>
      <w:r w:rsidRPr="003051E3">
        <w:rPr>
          <w:color w:val="000000" w:themeColor="text1"/>
        </w:rPr>
        <w:t xml:space="preserve"> testing.</w:t>
      </w:r>
    </w:p>
    <w:p w14:paraId="4F9C27FC" w14:textId="77777777" w:rsidR="006F05B0" w:rsidRPr="003051E3" w:rsidRDefault="006F05B0" w:rsidP="006F05B0">
      <w:pPr>
        <w:pStyle w:val="MSACESHeading2"/>
        <w:spacing w:before="120"/>
      </w:pPr>
      <w:bookmarkStart w:id="4" w:name="_Toc491433480"/>
      <w:r w:rsidRPr="003051E3">
        <w:t>Prevalence</w:t>
      </w:r>
      <w:bookmarkEnd w:id="4"/>
    </w:p>
    <w:p w14:paraId="34B6C4CA" w14:textId="77777777" w:rsidR="006F05B0" w:rsidRDefault="006F05B0" w:rsidP="006F05B0">
      <w:r w:rsidRPr="003051E3">
        <w:t xml:space="preserve">The </w:t>
      </w:r>
      <w:r>
        <w:t>application</w:t>
      </w:r>
      <w:r w:rsidRPr="003051E3">
        <w:t xml:space="preserve"> performed a systematic literature review to estimate the prevalence of </w:t>
      </w:r>
      <w:r w:rsidRPr="00420D95">
        <w:rPr>
          <w:i/>
        </w:rPr>
        <w:t>ROS1</w:t>
      </w:r>
      <w:r w:rsidRPr="003051E3">
        <w:t xml:space="preserve"> gene rearrangements in non-squamous NSCLC or pulmonary adenocarcinoma. The identified studies reported prevalence of </w:t>
      </w:r>
      <w:r w:rsidRPr="00420D95">
        <w:rPr>
          <w:i/>
        </w:rPr>
        <w:t>ROS1</w:t>
      </w:r>
      <w:r w:rsidRPr="003051E3">
        <w:t xml:space="preserve"> gene rearrangements ranging from 0.4% to 2.9%. The </w:t>
      </w:r>
      <w:r>
        <w:rPr>
          <w:szCs w:val="28"/>
          <w:lang w:bidi="en-US"/>
        </w:rPr>
        <w:t>application</w:t>
      </w:r>
      <w:r w:rsidRPr="003051E3">
        <w:t xml:space="preserve"> estimated a prevalence of 1.6% based on the pooled analysis of the studies. Two Australian studies reported prevalence of 0.4% (</w:t>
      </w:r>
      <w:proofErr w:type="spellStart"/>
      <w:r w:rsidRPr="003051E3">
        <w:t>Selinger</w:t>
      </w:r>
      <w:proofErr w:type="spellEnd"/>
      <w:r w:rsidRPr="003051E3">
        <w:t xml:space="preserve"> et al. 2016)</w:t>
      </w:r>
      <w:r>
        <w:t xml:space="preserve"> and 0.5% (Rogers et al. 2015).</w:t>
      </w:r>
    </w:p>
    <w:p w14:paraId="62A855D8" w14:textId="77777777" w:rsidR="006F05B0" w:rsidRPr="003051E3" w:rsidRDefault="006F05B0" w:rsidP="006F05B0">
      <w:pPr>
        <w:spacing w:before="240"/>
      </w:pPr>
      <w:r w:rsidRPr="003051E3">
        <w:t xml:space="preserve">The </w:t>
      </w:r>
      <w:r w:rsidRPr="00D46DCD">
        <w:t xml:space="preserve">critique considered that the </w:t>
      </w:r>
      <w:r w:rsidRPr="003051E3">
        <w:t xml:space="preserve">studies used to estimate the prevalence of </w:t>
      </w:r>
      <w:r w:rsidRPr="00420D95">
        <w:rPr>
          <w:i/>
        </w:rPr>
        <w:t>ROS1</w:t>
      </w:r>
      <w:r w:rsidRPr="003051E3">
        <w:t xml:space="preserve"> gene rearrangements had a number of issues including:</w:t>
      </w:r>
    </w:p>
    <w:p w14:paraId="6EF21EDA" w14:textId="77777777" w:rsidR="006F05B0" w:rsidRPr="003051E3" w:rsidRDefault="006F05B0" w:rsidP="009C087E">
      <w:pPr>
        <w:pStyle w:val="ListParagraph"/>
        <w:numPr>
          <w:ilvl w:val="0"/>
          <w:numId w:val="31"/>
        </w:numPr>
        <w:ind w:left="714" w:hanging="357"/>
        <w:contextualSpacing w:val="0"/>
      </w:pPr>
      <w:proofErr w:type="gramStart"/>
      <w:r w:rsidRPr="003051E3">
        <w:t>use</w:t>
      </w:r>
      <w:proofErr w:type="gramEnd"/>
      <w:r w:rsidRPr="003051E3">
        <w:t xml:space="preserve"> of specimens from patients who had undergone surgical resection resulting in patients with predominantly earlier stage NSCLC. This was not reflective of Australian NSCLC patients who are usually diagn</w:t>
      </w:r>
      <w:r>
        <w:t>osed with unresectable disease;</w:t>
      </w:r>
    </w:p>
    <w:p w14:paraId="599673CD" w14:textId="77777777" w:rsidR="006F05B0" w:rsidRPr="003051E3" w:rsidRDefault="006F05B0" w:rsidP="009C087E">
      <w:pPr>
        <w:pStyle w:val="ListParagraph"/>
        <w:numPr>
          <w:ilvl w:val="0"/>
          <w:numId w:val="31"/>
        </w:numPr>
        <w:ind w:left="714" w:hanging="357"/>
        <w:contextualSpacing w:val="0"/>
      </w:pPr>
      <w:r w:rsidRPr="003051E3">
        <w:t xml:space="preserve">12 of 20 included studies were in East Asian countries. The prevalence of </w:t>
      </w:r>
      <w:r w:rsidRPr="00420D95">
        <w:rPr>
          <w:i/>
        </w:rPr>
        <w:t>ROS1</w:t>
      </w:r>
      <w:r w:rsidRPr="003051E3">
        <w:t xml:space="preserve"> gene rearrangements might di</w:t>
      </w:r>
      <w:r>
        <w:t>ffer in East Asian populations;</w:t>
      </w:r>
    </w:p>
    <w:p w14:paraId="7BE55ACF" w14:textId="77777777" w:rsidR="006F05B0" w:rsidRPr="003051E3" w:rsidRDefault="006F05B0" w:rsidP="009C087E">
      <w:pPr>
        <w:pStyle w:val="ListParagraph"/>
        <w:numPr>
          <w:ilvl w:val="0"/>
          <w:numId w:val="31"/>
        </w:numPr>
        <w:ind w:left="714" w:hanging="357"/>
        <w:contextualSpacing w:val="0"/>
      </w:pPr>
      <w:proofErr w:type="gramStart"/>
      <w:r w:rsidRPr="003051E3">
        <w:t>the</w:t>
      </w:r>
      <w:proofErr w:type="gramEnd"/>
      <w:r w:rsidRPr="003051E3">
        <w:t xml:space="preserve"> heterogeneity in the proportion of patients who were female or non-smokers across included studies. (females and non-smokers are more likely to have </w:t>
      </w:r>
      <w:r w:rsidRPr="00420D95">
        <w:rPr>
          <w:i/>
        </w:rPr>
        <w:t>ROS1</w:t>
      </w:r>
      <w:r w:rsidRPr="003051E3">
        <w:t xml:space="preserve"> gene rearrangements</w:t>
      </w:r>
      <w:r>
        <w:t>); and</w:t>
      </w:r>
    </w:p>
    <w:p w14:paraId="28D9A126" w14:textId="77777777" w:rsidR="006F05B0" w:rsidRPr="003051E3" w:rsidRDefault="006F05B0" w:rsidP="009C087E">
      <w:pPr>
        <w:pStyle w:val="ListParagraph"/>
        <w:numPr>
          <w:ilvl w:val="0"/>
          <w:numId w:val="31"/>
        </w:numPr>
        <w:ind w:left="714" w:hanging="357"/>
        <w:contextualSpacing w:val="0"/>
      </w:pPr>
      <w:proofErr w:type="gramStart"/>
      <w:r w:rsidRPr="003051E3">
        <w:t>the</w:t>
      </w:r>
      <w:proofErr w:type="gramEnd"/>
      <w:r w:rsidRPr="003051E3">
        <w:t xml:space="preserve"> timing and source of the biopsy sample tested. </w:t>
      </w:r>
      <w:r w:rsidRPr="00420D95">
        <w:rPr>
          <w:i/>
        </w:rPr>
        <w:t>ROS1</w:t>
      </w:r>
      <w:r w:rsidRPr="003051E3">
        <w:t xml:space="preserve"> gene rearrangements may be more frequent in recurrent tumours. The majority of included studies did not provide sufficient detail to determine whether specimens were sourced fro</w:t>
      </w:r>
      <w:r>
        <w:t>m primary or recurrent tumours.</w:t>
      </w:r>
    </w:p>
    <w:p w14:paraId="400802A6" w14:textId="77777777" w:rsidR="006F05B0" w:rsidRPr="003051E3" w:rsidRDefault="006F05B0" w:rsidP="009C087E">
      <w:pPr>
        <w:spacing w:before="240"/>
      </w:pPr>
      <w:r w:rsidRPr="003051E3">
        <w:t xml:space="preserve">As a result, there was some uncertainty associated with the likely prevalence of </w:t>
      </w:r>
      <w:r w:rsidRPr="00420D95">
        <w:rPr>
          <w:i/>
        </w:rPr>
        <w:t>ROS1</w:t>
      </w:r>
      <w:r w:rsidRPr="003051E3">
        <w:t xml:space="preserve"> gene rearrangements in the Australian non-squamous NSCLC population. However, the </w:t>
      </w:r>
      <w:r>
        <w:t>application</w:t>
      </w:r>
      <w:r w:rsidRPr="003051E3">
        <w:t xml:space="preserve"> appropriately tested the financial impact of using the lower and upper estimates of prevalence of </w:t>
      </w:r>
      <w:r w:rsidRPr="00420D95">
        <w:rPr>
          <w:i/>
        </w:rPr>
        <w:t>ROS1</w:t>
      </w:r>
      <w:r w:rsidRPr="003051E3">
        <w:t xml:space="preserve"> gene rearr</w:t>
      </w:r>
      <w:r>
        <w:t>angements in sensitivity analyse</w:t>
      </w:r>
      <w:r w:rsidRPr="003051E3">
        <w:t>s.</w:t>
      </w:r>
    </w:p>
    <w:p w14:paraId="0E5A7DF6" w14:textId="0DAD1D25" w:rsidR="00F37B9C" w:rsidRDefault="0036761F" w:rsidP="00E2007C">
      <w:pPr>
        <w:pStyle w:val="MSACESHeading2"/>
        <w:spacing w:before="120"/>
      </w:pPr>
      <w:r>
        <w:t>Clinical c</w:t>
      </w:r>
      <w:r w:rsidR="00F37B9C" w:rsidRPr="00F37B9C">
        <w:t>laim</w:t>
      </w:r>
    </w:p>
    <w:p w14:paraId="409F102C" w14:textId="77777777" w:rsidR="006F05B0" w:rsidRDefault="006F05B0" w:rsidP="006F05B0">
      <w:pPr>
        <w:tabs>
          <w:tab w:val="left" w:pos="720"/>
          <w:tab w:val="left" w:pos="1140"/>
        </w:tabs>
        <w:spacing w:before="120" w:after="120"/>
        <w:rPr>
          <w:b/>
          <w:szCs w:val="24"/>
        </w:rPr>
      </w:pPr>
      <w:r>
        <w:t xml:space="preserve">The overall clinical claim is for superior efficacy and safety over the current scenario (i.e. no genetic testing for </w:t>
      </w:r>
      <w:r w:rsidRPr="0036761F">
        <w:rPr>
          <w:i/>
        </w:rPr>
        <w:t>ROS1</w:t>
      </w:r>
      <w:r>
        <w:t xml:space="preserve"> rearrangements and standard of care treatments).</w:t>
      </w:r>
    </w:p>
    <w:p w14:paraId="313C3E9A" w14:textId="77777777" w:rsidR="00BC1364" w:rsidRPr="00F715D1" w:rsidRDefault="00BC1364" w:rsidP="00F715D1">
      <w:pPr>
        <w:pStyle w:val="Heading1"/>
      </w:pPr>
      <w:r w:rsidRPr="00F715D1">
        <w:t>Economic evaluation</w:t>
      </w:r>
    </w:p>
    <w:p w14:paraId="6F3A72E2" w14:textId="77777777" w:rsidR="000E1556" w:rsidRPr="003051E3" w:rsidRDefault="000E1556" w:rsidP="000E1556">
      <w:pPr>
        <w:spacing w:after="120"/>
      </w:pPr>
      <w:r w:rsidRPr="003051E3">
        <w:t xml:space="preserve">The </w:t>
      </w:r>
      <w:r>
        <w:rPr>
          <w:szCs w:val="28"/>
          <w:lang w:bidi="en-US"/>
        </w:rPr>
        <w:t>application</w:t>
      </w:r>
      <w:r w:rsidRPr="003051E3">
        <w:t xml:space="preserve"> presented a modelled cost-utility analysis.</w:t>
      </w:r>
    </w:p>
    <w:p w14:paraId="3056393F" w14:textId="77777777" w:rsidR="000E1556" w:rsidRPr="003051E3" w:rsidRDefault="000E1556" w:rsidP="000E1556">
      <w:pPr>
        <w:pStyle w:val="TableHeading"/>
        <w:jc w:val="both"/>
      </w:pPr>
      <w:r>
        <w:lastRenderedPageBreak/>
        <w:t>Table 7</w:t>
      </w:r>
      <w:r w:rsidRPr="003051E3">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Summay of the key characteristics of the economic model and rationale for assumptions."/>
      </w:tblPr>
      <w:tblGrid>
        <w:gridCol w:w="2154"/>
        <w:gridCol w:w="6928"/>
      </w:tblGrid>
      <w:tr w:rsidR="000E1556" w:rsidRPr="003051E3" w14:paraId="3645704D" w14:textId="77777777" w:rsidTr="000E1556">
        <w:trPr>
          <w:tblHeader/>
        </w:trPr>
        <w:tc>
          <w:tcPr>
            <w:tcW w:w="1186" w:type="pct"/>
            <w:shd w:val="clear" w:color="auto" w:fill="auto"/>
            <w:vAlign w:val="center"/>
          </w:tcPr>
          <w:p w14:paraId="76DEE426" w14:textId="77777777" w:rsidR="000E1556" w:rsidRPr="003051E3" w:rsidRDefault="000E1556" w:rsidP="000E1556">
            <w:pPr>
              <w:pStyle w:val="TableText"/>
              <w:jc w:val="both"/>
              <w:rPr>
                <w:b/>
              </w:rPr>
            </w:pPr>
            <w:r w:rsidRPr="003051E3">
              <w:rPr>
                <w:b/>
              </w:rPr>
              <w:t>Component</w:t>
            </w:r>
          </w:p>
        </w:tc>
        <w:tc>
          <w:tcPr>
            <w:tcW w:w="3814" w:type="pct"/>
            <w:shd w:val="clear" w:color="auto" w:fill="auto"/>
            <w:vAlign w:val="center"/>
          </w:tcPr>
          <w:p w14:paraId="5FE383D5" w14:textId="77777777" w:rsidR="000E1556" w:rsidRPr="003051E3" w:rsidRDefault="000E1556" w:rsidP="000E1556">
            <w:pPr>
              <w:pStyle w:val="TableText"/>
              <w:jc w:val="both"/>
              <w:rPr>
                <w:b/>
              </w:rPr>
            </w:pPr>
            <w:r w:rsidRPr="003051E3">
              <w:rPr>
                <w:b/>
              </w:rPr>
              <w:t>Summary</w:t>
            </w:r>
          </w:p>
        </w:tc>
      </w:tr>
      <w:tr w:rsidR="000E1556" w:rsidRPr="003051E3" w14:paraId="2B9FBF09" w14:textId="77777777" w:rsidTr="000E1556">
        <w:tc>
          <w:tcPr>
            <w:tcW w:w="1186" w:type="pct"/>
            <w:shd w:val="clear" w:color="auto" w:fill="auto"/>
            <w:vAlign w:val="center"/>
          </w:tcPr>
          <w:p w14:paraId="20F1FF5C" w14:textId="77777777" w:rsidR="000E1556" w:rsidRPr="003051E3" w:rsidRDefault="000E1556" w:rsidP="000E1556">
            <w:pPr>
              <w:pStyle w:val="TableText"/>
              <w:jc w:val="both"/>
            </w:pPr>
            <w:r w:rsidRPr="003051E3">
              <w:t>Time horizon</w:t>
            </w:r>
          </w:p>
        </w:tc>
        <w:tc>
          <w:tcPr>
            <w:tcW w:w="3814" w:type="pct"/>
            <w:shd w:val="clear" w:color="auto" w:fill="auto"/>
            <w:vAlign w:val="center"/>
          </w:tcPr>
          <w:p w14:paraId="7EDE2789" w14:textId="751C9959" w:rsidR="000E1556" w:rsidRPr="003051E3" w:rsidRDefault="000E1556" w:rsidP="000E1556">
            <w:pPr>
              <w:pStyle w:val="TableText"/>
              <w:jc w:val="both"/>
              <w:rPr>
                <w:rFonts w:ascii="Times" w:eastAsia="Times New Roman" w:hAnsi="Times" w:cs="Times New Roman"/>
              </w:rPr>
            </w:pPr>
            <w:r w:rsidRPr="003051E3">
              <w:t xml:space="preserve">10 years in the model base case versus 25.4 months in A8081001 and </w:t>
            </w:r>
            <w:r w:rsidR="004C6121" w:rsidRPr="006B67E0">
              <w:rPr>
                <w:rFonts w:eastAsia="Calibri"/>
                <w:b/>
                <w:szCs w:val="24"/>
              </w:rPr>
              <w:t>redacted</w:t>
            </w:r>
            <w:r w:rsidR="004C6121" w:rsidRPr="003051E3">
              <w:t xml:space="preserve"> </w:t>
            </w:r>
            <w:r w:rsidRPr="003051E3">
              <w:t>months in OO12-01 and 7.5 months in Hanna et al (2004)</w:t>
            </w:r>
          </w:p>
        </w:tc>
      </w:tr>
      <w:tr w:rsidR="000E1556" w:rsidRPr="003051E3" w14:paraId="3657B31C" w14:textId="77777777" w:rsidTr="000E1556">
        <w:tc>
          <w:tcPr>
            <w:tcW w:w="1186" w:type="pct"/>
            <w:shd w:val="clear" w:color="auto" w:fill="auto"/>
            <w:vAlign w:val="center"/>
          </w:tcPr>
          <w:p w14:paraId="2A70974F" w14:textId="77777777" w:rsidR="000E1556" w:rsidRPr="003051E3" w:rsidRDefault="000E1556" w:rsidP="000E1556">
            <w:pPr>
              <w:pStyle w:val="TableText"/>
              <w:jc w:val="both"/>
              <w:rPr>
                <w:rFonts w:ascii="Times" w:eastAsia="Times New Roman" w:hAnsi="Times" w:cs="Times New Roman"/>
              </w:rPr>
            </w:pPr>
            <w:r w:rsidRPr="003051E3">
              <w:t>Outcomes</w:t>
            </w:r>
          </w:p>
        </w:tc>
        <w:tc>
          <w:tcPr>
            <w:tcW w:w="3814" w:type="pct"/>
            <w:shd w:val="clear" w:color="auto" w:fill="auto"/>
            <w:vAlign w:val="center"/>
          </w:tcPr>
          <w:p w14:paraId="3C697FC6" w14:textId="77777777" w:rsidR="000E1556" w:rsidRPr="003051E3" w:rsidRDefault="000E1556" w:rsidP="000E1556">
            <w:pPr>
              <w:pStyle w:val="TableText"/>
              <w:jc w:val="both"/>
              <w:rPr>
                <w:rFonts w:ascii="Times" w:eastAsia="Times New Roman" w:hAnsi="Times" w:cs="Times New Roman"/>
              </w:rPr>
            </w:pPr>
            <w:r w:rsidRPr="003051E3">
              <w:t>LYG and QALYs</w:t>
            </w:r>
          </w:p>
        </w:tc>
      </w:tr>
      <w:tr w:rsidR="000E1556" w:rsidRPr="003051E3" w14:paraId="7F3FAB6D" w14:textId="77777777" w:rsidTr="000E1556">
        <w:tc>
          <w:tcPr>
            <w:tcW w:w="1186" w:type="pct"/>
            <w:shd w:val="clear" w:color="auto" w:fill="auto"/>
            <w:vAlign w:val="center"/>
          </w:tcPr>
          <w:p w14:paraId="5D7F0D64" w14:textId="77777777" w:rsidR="000E1556" w:rsidRPr="003051E3" w:rsidRDefault="000E1556" w:rsidP="000E1556">
            <w:pPr>
              <w:pStyle w:val="TableText"/>
              <w:jc w:val="both"/>
              <w:rPr>
                <w:rFonts w:ascii="Times" w:eastAsia="Times New Roman" w:hAnsi="Times" w:cs="Times New Roman"/>
              </w:rPr>
            </w:pPr>
            <w:r w:rsidRPr="003051E3">
              <w:t>Methods used to generate results</w:t>
            </w:r>
          </w:p>
        </w:tc>
        <w:tc>
          <w:tcPr>
            <w:tcW w:w="3814" w:type="pct"/>
            <w:shd w:val="clear" w:color="auto" w:fill="auto"/>
            <w:vAlign w:val="center"/>
          </w:tcPr>
          <w:p w14:paraId="6E319575" w14:textId="77777777" w:rsidR="000E1556" w:rsidRPr="003051E3" w:rsidRDefault="000E1556" w:rsidP="000E1556">
            <w:pPr>
              <w:pStyle w:val="TableText"/>
              <w:jc w:val="both"/>
              <w:rPr>
                <w:rFonts w:ascii="Times" w:eastAsia="Times New Roman" w:hAnsi="Times" w:cs="Times New Roman"/>
              </w:rPr>
            </w:pPr>
            <w:r w:rsidRPr="003051E3">
              <w:t>Cohort expected value analysis</w:t>
            </w:r>
          </w:p>
        </w:tc>
      </w:tr>
      <w:tr w:rsidR="000E1556" w:rsidRPr="003051E3" w14:paraId="139ADC74" w14:textId="77777777" w:rsidTr="000E1556">
        <w:tc>
          <w:tcPr>
            <w:tcW w:w="1186" w:type="pct"/>
            <w:shd w:val="clear" w:color="auto" w:fill="auto"/>
            <w:vAlign w:val="center"/>
          </w:tcPr>
          <w:p w14:paraId="48A0739A" w14:textId="77777777" w:rsidR="000E1556" w:rsidRPr="003051E3" w:rsidRDefault="000E1556" w:rsidP="000E1556">
            <w:pPr>
              <w:pStyle w:val="TableText"/>
              <w:jc w:val="both"/>
              <w:rPr>
                <w:rFonts w:ascii="Times" w:eastAsia="Times New Roman" w:hAnsi="Times" w:cs="Times New Roman"/>
              </w:rPr>
            </w:pPr>
            <w:r w:rsidRPr="003051E3">
              <w:t>Health states</w:t>
            </w:r>
          </w:p>
        </w:tc>
        <w:tc>
          <w:tcPr>
            <w:tcW w:w="3814" w:type="pct"/>
            <w:shd w:val="clear" w:color="auto" w:fill="auto"/>
            <w:vAlign w:val="center"/>
          </w:tcPr>
          <w:p w14:paraId="4E7FB04A" w14:textId="77777777" w:rsidR="000E1556" w:rsidRPr="003051E3" w:rsidRDefault="000E1556" w:rsidP="000E1556">
            <w:pPr>
              <w:pStyle w:val="TableText"/>
              <w:jc w:val="both"/>
            </w:pPr>
            <w:r w:rsidRPr="003051E3">
              <w:t xml:space="preserve">Partitioned survival state-transition model with three health states: pre-progression, post-progression and dead. </w:t>
            </w:r>
          </w:p>
        </w:tc>
      </w:tr>
      <w:tr w:rsidR="000E1556" w:rsidRPr="003051E3" w14:paraId="60414BA7" w14:textId="77777777" w:rsidTr="000E1556">
        <w:tc>
          <w:tcPr>
            <w:tcW w:w="1186" w:type="pct"/>
            <w:shd w:val="clear" w:color="auto" w:fill="auto"/>
            <w:vAlign w:val="center"/>
          </w:tcPr>
          <w:p w14:paraId="37081240" w14:textId="77777777" w:rsidR="000E1556" w:rsidRPr="003051E3" w:rsidRDefault="000E1556" w:rsidP="000E1556">
            <w:pPr>
              <w:pStyle w:val="TableText"/>
              <w:jc w:val="both"/>
              <w:rPr>
                <w:rFonts w:ascii="Times" w:eastAsia="Times New Roman" w:hAnsi="Times" w:cs="Times New Roman"/>
              </w:rPr>
            </w:pPr>
            <w:r w:rsidRPr="003051E3">
              <w:t>Utilities</w:t>
            </w:r>
          </w:p>
        </w:tc>
        <w:tc>
          <w:tcPr>
            <w:tcW w:w="3814" w:type="pct"/>
            <w:shd w:val="clear" w:color="auto" w:fill="auto"/>
            <w:vAlign w:val="center"/>
          </w:tcPr>
          <w:p w14:paraId="4BB0FF5C" w14:textId="77777777" w:rsidR="000E1556" w:rsidRPr="003051E3" w:rsidRDefault="000E1556" w:rsidP="000E1556">
            <w:pPr>
              <w:pStyle w:val="TableText"/>
              <w:jc w:val="both"/>
              <w:rPr>
                <w:rFonts w:ascii="Times" w:eastAsia="Times New Roman" w:hAnsi="Times" w:cs="Times New Roman"/>
              </w:rPr>
            </w:pPr>
            <w:r w:rsidRPr="003051E3">
              <w:t xml:space="preserve">EORTC QLQ-C30 from OO12-01 mapped to EQ-5D-5L. Same for crizotinib and pemetrexed. </w:t>
            </w:r>
          </w:p>
        </w:tc>
      </w:tr>
      <w:tr w:rsidR="000E1556" w:rsidRPr="003051E3" w14:paraId="31078182" w14:textId="77777777" w:rsidTr="000E1556">
        <w:tc>
          <w:tcPr>
            <w:tcW w:w="1186" w:type="pct"/>
            <w:shd w:val="clear" w:color="auto" w:fill="auto"/>
            <w:vAlign w:val="center"/>
          </w:tcPr>
          <w:p w14:paraId="440040B3" w14:textId="77777777" w:rsidR="000E1556" w:rsidRPr="003051E3" w:rsidRDefault="000E1556" w:rsidP="000E1556">
            <w:pPr>
              <w:pStyle w:val="TableText"/>
              <w:jc w:val="both"/>
              <w:rPr>
                <w:rFonts w:ascii="Times" w:eastAsia="Times New Roman" w:hAnsi="Times" w:cs="Times New Roman"/>
              </w:rPr>
            </w:pPr>
            <w:r w:rsidRPr="003051E3">
              <w:t>Cycle length</w:t>
            </w:r>
          </w:p>
        </w:tc>
        <w:tc>
          <w:tcPr>
            <w:tcW w:w="3814" w:type="pct"/>
            <w:shd w:val="clear" w:color="auto" w:fill="auto"/>
            <w:vAlign w:val="center"/>
          </w:tcPr>
          <w:p w14:paraId="58BEF69B" w14:textId="77777777" w:rsidR="000E1556" w:rsidRPr="003051E3" w:rsidRDefault="000E1556" w:rsidP="000E1556">
            <w:pPr>
              <w:pStyle w:val="TableText"/>
              <w:jc w:val="both"/>
              <w:rPr>
                <w:rFonts w:ascii="Times" w:eastAsia="Times New Roman" w:hAnsi="Times" w:cs="Times New Roman"/>
              </w:rPr>
            </w:pPr>
            <w:r w:rsidRPr="003051E3">
              <w:t>8 weeks</w:t>
            </w:r>
          </w:p>
        </w:tc>
      </w:tr>
      <w:tr w:rsidR="000E1556" w:rsidRPr="003051E3" w14:paraId="1DEE5FE9" w14:textId="77777777" w:rsidTr="000E1556">
        <w:tc>
          <w:tcPr>
            <w:tcW w:w="1186" w:type="pct"/>
            <w:shd w:val="clear" w:color="auto" w:fill="auto"/>
            <w:vAlign w:val="center"/>
          </w:tcPr>
          <w:p w14:paraId="080032F8" w14:textId="77777777" w:rsidR="000E1556" w:rsidRPr="003051E3" w:rsidRDefault="000E1556" w:rsidP="000E1556">
            <w:pPr>
              <w:pStyle w:val="TableText"/>
              <w:jc w:val="both"/>
              <w:rPr>
                <w:rFonts w:ascii="Times" w:eastAsia="Times New Roman" w:hAnsi="Times" w:cs="Times New Roman"/>
              </w:rPr>
            </w:pPr>
            <w:r w:rsidRPr="003051E3">
              <w:t>Transition probabilities</w:t>
            </w:r>
          </w:p>
        </w:tc>
        <w:tc>
          <w:tcPr>
            <w:tcW w:w="3814" w:type="pct"/>
            <w:shd w:val="clear" w:color="auto" w:fill="auto"/>
            <w:vAlign w:val="center"/>
          </w:tcPr>
          <w:p w14:paraId="0AB0064D" w14:textId="77777777" w:rsidR="000E1556" w:rsidRPr="003051E3" w:rsidRDefault="000E1556" w:rsidP="000E1556">
            <w:pPr>
              <w:pStyle w:val="TableText"/>
              <w:jc w:val="both"/>
            </w:pPr>
            <w:r w:rsidRPr="003051E3">
              <w:t xml:space="preserve">Modelled using exponential function from pooled crizotinib KM PFS and OS curves and pemetrexed KM PFS and OS curves from Hanna et al. 2004. Modelled throughout (KM not used in base case). </w:t>
            </w:r>
          </w:p>
        </w:tc>
      </w:tr>
    </w:tbl>
    <w:p w14:paraId="5CE2405D" w14:textId="77777777" w:rsidR="000E1556" w:rsidRPr="003051E3" w:rsidRDefault="000E1556" w:rsidP="000E1556">
      <w:pPr>
        <w:pStyle w:val="TableFooter"/>
      </w:pPr>
      <w:r w:rsidRPr="003051E3">
        <w:rPr>
          <w:lang w:val="en-US"/>
        </w:rPr>
        <w:t>EORTC =</w:t>
      </w:r>
      <w:r w:rsidRPr="003051E3">
        <w:t xml:space="preserve"> European Organisation for Research and Treatment of Cancer; </w:t>
      </w:r>
      <w:r w:rsidRPr="003051E3">
        <w:rPr>
          <w:lang w:val="en-US"/>
        </w:rPr>
        <w:t xml:space="preserve">QLQ-C30 = </w:t>
      </w:r>
      <w:r w:rsidRPr="003051E3">
        <w:t>EORTC core quality of life questionnaire;</w:t>
      </w:r>
      <w:r w:rsidRPr="003051E3">
        <w:rPr>
          <w:lang w:val="en-US"/>
        </w:rPr>
        <w:t xml:space="preserve"> EQ-5D-5l = </w:t>
      </w:r>
      <w:proofErr w:type="spellStart"/>
      <w:r w:rsidRPr="003051E3">
        <w:rPr>
          <w:szCs w:val="18"/>
          <w:lang w:val="en-GB"/>
        </w:rPr>
        <w:t>Euroqol</w:t>
      </w:r>
      <w:proofErr w:type="spellEnd"/>
      <w:r w:rsidRPr="003051E3">
        <w:rPr>
          <w:szCs w:val="18"/>
          <w:lang w:val="en-GB"/>
        </w:rPr>
        <w:t xml:space="preserve"> 5-dimension 5-level instrument</w:t>
      </w:r>
      <w:r w:rsidRPr="003051E3">
        <w:t>; KM = Kaplan-Meier; LY = life year; OS = overall survival; PFS = progression-free survival; QALY = quality-adjusted life year</w:t>
      </w:r>
    </w:p>
    <w:p w14:paraId="6ECC1E01" w14:textId="12A241C8" w:rsidR="000E1556" w:rsidRPr="003051E3" w:rsidRDefault="000E1556" w:rsidP="000E1556">
      <w:pPr>
        <w:spacing w:after="120"/>
      </w:pPr>
      <w:r w:rsidRPr="003051E3">
        <w:t xml:space="preserve">The modelled evaluation was divided into two phases: testing and treatment. For the testing phase, a simple decision analytic was used to determine the proportion of patients who would qualify for crizotinib treatment on the basis of the underlying prevalence of </w:t>
      </w:r>
      <w:r w:rsidRPr="00420D95">
        <w:rPr>
          <w:i/>
        </w:rPr>
        <w:t>ROS1</w:t>
      </w:r>
      <w:r w:rsidRPr="003051E3">
        <w:t xml:space="preserve"> positivity (estimated at 1.61%) and the analytical performance of IHC (95.1% sensitivity and 93.8% specificity) as a </w:t>
      </w:r>
      <w:r>
        <w:t>pre-</w:t>
      </w:r>
      <w:r w:rsidRPr="003051E3">
        <w:t xml:space="preserve">test with FISH confirmation (100% sensitivity and specificity). This resulted in 7.7% of </w:t>
      </w:r>
      <w:r w:rsidRPr="0036761F">
        <w:t>ROS1</w:t>
      </w:r>
      <w:r w:rsidRPr="003051E3">
        <w:t xml:space="preserve"> IHC tested patients having a positive result and receiving FISH testing. The cost per </w:t>
      </w:r>
      <w:r w:rsidRPr="00420D95">
        <w:rPr>
          <w:i/>
        </w:rPr>
        <w:t>ROS1</w:t>
      </w:r>
      <w:r w:rsidRPr="003051E3">
        <w:t xml:space="preserve">-positive </w:t>
      </w:r>
      <w:r w:rsidR="00870942">
        <w:t xml:space="preserve">patient </w:t>
      </w:r>
      <w:r w:rsidRPr="003051E3">
        <w:t>was $5,914</w:t>
      </w:r>
      <w:r>
        <w:t>.</w:t>
      </w:r>
    </w:p>
    <w:p w14:paraId="27A7ED9F" w14:textId="77777777" w:rsidR="00BC1364" w:rsidRPr="00F715D1" w:rsidRDefault="00BC1364" w:rsidP="00F715D1">
      <w:pPr>
        <w:pStyle w:val="Heading1"/>
      </w:pPr>
      <w:r w:rsidRPr="00F715D1">
        <w:t>Financial/budgetary impacts</w:t>
      </w:r>
    </w:p>
    <w:p w14:paraId="7053BDE8" w14:textId="75C24E60" w:rsidR="000E1556" w:rsidRPr="003051E3" w:rsidRDefault="000E1556" w:rsidP="000E1556">
      <w:pPr>
        <w:spacing w:after="120"/>
      </w:pPr>
      <w:bookmarkStart w:id="5" w:name="_Toc490140958"/>
      <w:bookmarkStart w:id="6" w:name="_Toc490750512"/>
      <w:r w:rsidRPr="003051E3">
        <w:t xml:space="preserve">The cost of the </w:t>
      </w:r>
      <w:r w:rsidRPr="00420D95">
        <w:rPr>
          <w:i/>
        </w:rPr>
        <w:t>ROS1</w:t>
      </w:r>
      <w:r w:rsidRPr="003051E3">
        <w:t xml:space="preserve"> test per </w:t>
      </w:r>
      <w:r w:rsidRPr="00420D95">
        <w:rPr>
          <w:i/>
        </w:rPr>
        <w:t>ROS1</w:t>
      </w:r>
      <w:r w:rsidRPr="003051E3">
        <w:t>-positive patient was estimated to be around $</w:t>
      </w:r>
      <w:r w:rsidR="001172D5" w:rsidRPr="006B67E0">
        <w:rPr>
          <w:rFonts w:eastAsia="Calibri"/>
          <w:b/>
          <w:szCs w:val="24"/>
          <w:lang w:eastAsia="en-US"/>
        </w:rPr>
        <w:t>redacted</w:t>
      </w:r>
      <w:r w:rsidR="001172D5" w:rsidRPr="003051E3">
        <w:t xml:space="preserve"> </w:t>
      </w:r>
      <w:r w:rsidRPr="003051E3">
        <w:t xml:space="preserve">over the first six years of listing. This was based on a </w:t>
      </w:r>
      <w:r w:rsidRPr="00420D95">
        <w:rPr>
          <w:i/>
        </w:rPr>
        <w:t>ROS1</w:t>
      </w:r>
      <w:r w:rsidRPr="003051E3">
        <w:t xml:space="preserve"> gene rearrangement prevalence of 1.6%, assuming all patients undergoing at least one </w:t>
      </w:r>
      <w:r w:rsidRPr="0036761F">
        <w:t>ROS1</w:t>
      </w:r>
      <w:r w:rsidRPr="003051E3">
        <w:t xml:space="preserve"> IHC testing, of </w:t>
      </w:r>
      <w:proofErr w:type="gramStart"/>
      <w:r w:rsidRPr="003051E3">
        <w:t>whom</w:t>
      </w:r>
      <w:proofErr w:type="gramEnd"/>
      <w:r w:rsidRPr="003051E3">
        <w:t xml:space="preserve"> </w:t>
      </w:r>
      <w:r w:rsidR="001172D5" w:rsidRPr="006B67E0">
        <w:rPr>
          <w:rFonts w:eastAsia="Calibri"/>
          <w:b/>
          <w:szCs w:val="24"/>
          <w:lang w:eastAsia="en-US"/>
        </w:rPr>
        <w:t>redacted</w:t>
      </w:r>
      <w:r w:rsidRPr="003051E3">
        <w:t xml:space="preserve">% have a positive IHC result and </w:t>
      </w:r>
      <w:r w:rsidR="001172D5" w:rsidRPr="006B67E0">
        <w:rPr>
          <w:rFonts w:eastAsia="Calibri"/>
          <w:b/>
          <w:szCs w:val="24"/>
          <w:lang w:eastAsia="en-US"/>
        </w:rPr>
        <w:t>redacted</w:t>
      </w:r>
      <w:r w:rsidRPr="003051E3">
        <w:t xml:space="preserve">% undergo </w:t>
      </w:r>
      <w:r w:rsidRPr="00420D95">
        <w:rPr>
          <w:i/>
        </w:rPr>
        <w:t>ROS1</w:t>
      </w:r>
      <w:r w:rsidRPr="003051E3">
        <w:t xml:space="preserve"> FISH testing based on the uptake assumptions in the </w:t>
      </w:r>
      <w:r>
        <w:rPr>
          <w:szCs w:val="28"/>
          <w:lang w:bidi="en-US"/>
        </w:rPr>
        <w:t>application</w:t>
      </w:r>
      <w:r w:rsidRPr="003051E3">
        <w:t xml:space="preserve">. This differed from the economic evaluation because the financial impact assumed that some patients would not undergo </w:t>
      </w:r>
      <w:r w:rsidRPr="00420D95">
        <w:rPr>
          <w:i/>
        </w:rPr>
        <w:t>ROS1</w:t>
      </w:r>
      <w:r w:rsidRPr="003051E3">
        <w:t xml:space="preserve"> FISH. Additionally, it was assumed that </w:t>
      </w:r>
      <w:r w:rsidRPr="00420D95">
        <w:rPr>
          <w:i/>
        </w:rPr>
        <w:t>ROS1</w:t>
      </w:r>
      <w:r w:rsidRPr="003051E3">
        <w:t xml:space="preserve"> FISH testing was repeated in </w:t>
      </w:r>
      <w:r w:rsidR="001172D5" w:rsidRPr="006B67E0">
        <w:rPr>
          <w:rFonts w:eastAsia="Calibri"/>
          <w:b/>
          <w:szCs w:val="24"/>
          <w:lang w:eastAsia="en-US"/>
        </w:rPr>
        <w:t>redacted</w:t>
      </w:r>
      <w:r w:rsidRPr="003051E3">
        <w:t xml:space="preserve">% of patients. The proposed MBS fee for </w:t>
      </w:r>
      <w:r w:rsidRPr="00420D95">
        <w:rPr>
          <w:i/>
        </w:rPr>
        <w:t>ROS1</w:t>
      </w:r>
      <w:r w:rsidRPr="003051E3">
        <w:t xml:space="preserve"> FISH testing was $400.</w:t>
      </w:r>
    </w:p>
    <w:p w14:paraId="57A9629E" w14:textId="3A45A5F9" w:rsidR="000E1556" w:rsidRPr="003051E3" w:rsidRDefault="000E1556" w:rsidP="00100F62">
      <w:pPr>
        <w:spacing w:before="120" w:after="120"/>
      </w:pPr>
      <w:r w:rsidRPr="003051E3">
        <w:t xml:space="preserve">The utilisation of </w:t>
      </w:r>
      <w:r w:rsidRPr="0036761F">
        <w:t>ROS1</w:t>
      </w:r>
      <w:r w:rsidR="00C06002">
        <w:t xml:space="preserve"> </w:t>
      </w:r>
      <w:r w:rsidRPr="003051E3">
        <w:t xml:space="preserve">IHC testing and patients eligible for </w:t>
      </w:r>
      <w:r w:rsidRPr="00420D95">
        <w:rPr>
          <w:i/>
        </w:rPr>
        <w:t>ROS1</w:t>
      </w:r>
      <w:r w:rsidRPr="003051E3">
        <w:t xml:space="preserve"> FISH testing is presented in the table below.</w:t>
      </w:r>
    </w:p>
    <w:p w14:paraId="183932A0" w14:textId="77777777" w:rsidR="000E1556" w:rsidRPr="003051E3" w:rsidRDefault="000E1556" w:rsidP="000E1556">
      <w:pPr>
        <w:pStyle w:val="TableHeading"/>
        <w:jc w:val="both"/>
      </w:pPr>
      <w:r>
        <w:lastRenderedPageBreak/>
        <w:t xml:space="preserve">Table </w:t>
      </w:r>
      <w:r w:rsidR="00C47C59">
        <w:t>8</w:t>
      </w:r>
      <w:r w:rsidRPr="003051E3">
        <w:t xml:space="preserve">: Estimated number of patients receiving the proposed MBS item for </w:t>
      </w:r>
      <w:r w:rsidRPr="00420D95">
        <w:rPr>
          <w:i/>
        </w:rPr>
        <w:t>ROS1</w:t>
      </w:r>
      <w:r w:rsidRPr="003051E3">
        <w:t xml:space="preserve"> FISH testing</w:t>
      </w:r>
    </w:p>
    <w:tbl>
      <w:tblPr>
        <w:tblStyle w:val="GridTable1Light1"/>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e application estimates for the number of patients expected to undergo ROS1 FISH testing if listed on the MBS."/>
      </w:tblPr>
      <w:tblGrid>
        <w:gridCol w:w="3997"/>
        <w:gridCol w:w="851"/>
        <w:gridCol w:w="850"/>
        <w:gridCol w:w="851"/>
        <w:gridCol w:w="850"/>
        <w:gridCol w:w="851"/>
        <w:gridCol w:w="992"/>
      </w:tblGrid>
      <w:tr w:rsidR="000E1556" w:rsidRPr="003051E3" w14:paraId="2F6DE8C9" w14:textId="77777777" w:rsidTr="0003401A">
        <w:trPr>
          <w:cnfStyle w:val="100000000000" w:firstRow="1" w:lastRow="0" w:firstColumn="0" w:lastColumn="0" w:oddVBand="0" w:evenVBand="0" w:oddHBand="0" w:evenHBand="0" w:firstRowFirstColumn="0" w:firstRowLastColumn="0" w:lastRowFirstColumn="0" w:lastRowLastColumn="0"/>
          <w:cantSplit/>
          <w:trHeight w:val="141"/>
          <w:tblHeader/>
        </w:trPr>
        <w:tc>
          <w:tcPr>
            <w:cnfStyle w:val="001000000000" w:firstRow="0" w:lastRow="0" w:firstColumn="1" w:lastColumn="0" w:oddVBand="0" w:evenVBand="0" w:oddHBand="0" w:evenHBand="0" w:firstRowFirstColumn="0" w:firstRowLastColumn="0" w:lastRowFirstColumn="0" w:lastRowLastColumn="0"/>
            <w:tcW w:w="39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557D4D4" w14:textId="77777777" w:rsidR="000E1556" w:rsidRPr="003051E3" w:rsidRDefault="000E1556" w:rsidP="000E1556">
            <w:pPr>
              <w:pStyle w:val="TableText"/>
              <w:jc w:val="both"/>
              <w:rPr>
                <w:rFonts w:eastAsia="Calibri" w:cs="Arial"/>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58CA566" w14:textId="77777777" w:rsidR="000E1556" w:rsidRDefault="000E1556" w:rsidP="000E1556">
            <w:pPr>
              <w:pStyle w:val="TableText"/>
              <w:jc w:val="center"/>
              <w:cnfStyle w:val="100000000000" w:firstRow="1" w:lastRow="0" w:firstColumn="0" w:lastColumn="0" w:oddVBand="0" w:evenVBand="0" w:oddHBand="0" w:evenHBand="0" w:firstRowFirstColumn="0" w:firstRowLastColumn="0" w:lastRowFirstColumn="0" w:lastRowLastColumn="0"/>
              <w:rPr>
                <w:szCs w:val="20"/>
              </w:rPr>
            </w:pPr>
            <w:r w:rsidRPr="003051E3">
              <w:rPr>
                <w:szCs w:val="20"/>
              </w:rPr>
              <w:t>Year 1</w:t>
            </w:r>
          </w:p>
          <w:p w14:paraId="2FB238D6" w14:textId="77777777" w:rsidR="000E1556" w:rsidRPr="003051E3" w:rsidRDefault="000E1556" w:rsidP="000E1556">
            <w:pPr>
              <w:pStyle w:val="TableText"/>
              <w:jc w:val="center"/>
              <w:cnfStyle w:val="100000000000" w:firstRow="1" w:lastRow="0" w:firstColumn="0" w:lastColumn="0" w:oddVBand="0" w:evenVBand="0" w:oddHBand="0" w:evenHBand="0" w:firstRowFirstColumn="0" w:firstRowLastColumn="0" w:lastRowFirstColumn="0" w:lastRowLastColumn="0"/>
              <w:rPr>
                <w:rFonts w:cs="Arial"/>
                <w:color w:val="000000"/>
                <w:szCs w:val="20"/>
              </w:rPr>
            </w:pPr>
            <w:r w:rsidRPr="003051E3">
              <w:rPr>
                <w:szCs w:val="20"/>
              </w:rPr>
              <w:t>2018</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33B2A1B" w14:textId="77777777" w:rsidR="000E1556" w:rsidRPr="003051E3" w:rsidRDefault="000E1556" w:rsidP="000E1556">
            <w:pPr>
              <w:pStyle w:val="TableText"/>
              <w:jc w:val="center"/>
              <w:cnfStyle w:val="100000000000" w:firstRow="1" w:lastRow="0" w:firstColumn="0" w:lastColumn="0" w:oddVBand="0" w:evenVBand="0" w:oddHBand="0" w:evenHBand="0" w:firstRowFirstColumn="0" w:firstRowLastColumn="0" w:lastRowFirstColumn="0" w:lastRowLastColumn="0"/>
              <w:rPr>
                <w:szCs w:val="20"/>
              </w:rPr>
            </w:pPr>
            <w:r w:rsidRPr="003051E3">
              <w:rPr>
                <w:szCs w:val="20"/>
              </w:rPr>
              <w:t>Year 2</w:t>
            </w:r>
          </w:p>
          <w:p w14:paraId="6FCB28C5" w14:textId="77777777" w:rsidR="000E1556" w:rsidRPr="003051E3" w:rsidRDefault="000E1556" w:rsidP="000E1556">
            <w:pPr>
              <w:pStyle w:val="TableText"/>
              <w:jc w:val="center"/>
              <w:cnfStyle w:val="100000000000" w:firstRow="1" w:lastRow="0" w:firstColumn="0" w:lastColumn="0" w:oddVBand="0" w:evenVBand="0" w:oddHBand="0" w:evenHBand="0" w:firstRowFirstColumn="0" w:firstRowLastColumn="0" w:lastRowFirstColumn="0" w:lastRowLastColumn="0"/>
              <w:rPr>
                <w:rFonts w:cs="Arial"/>
                <w:color w:val="000000"/>
                <w:szCs w:val="20"/>
              </w:rPr>
            </w:pPr>
            <w:r w:rsidRPr="003051E3">
              <w:rPr>
                <w:szCs w:val="20"/>
              </w:rPr>
              <w:t>2019</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FE7FB09" w14:textId="77777777" w:rsidR="000E1556" w:rsidRPr="003051E3" w:rsidRDefault="000E1556" w:rsidP="000E1556">
            <w:pPr>
              <w:pStyle w:val="TableText"/>
              <w:jc w:val="center"/>
              <w:cnfStyle w:val="100000000000" w:firstRow="1" w:lastRow="0" w:firstColumn="0" w:lastColumn="0" w:oddVBand="0" w:evenVBand="0" w:oddHBand="0" w:evenHBand="0" w:firstRowFirstColumn="0" w:firstRowLastColumn="0" w:lastRowFirstColumn="0" w:lastRowLastColumn="0"/>
              <w:rPr>
                <w:szCs w:val="20"/>
              </w:rPr>
            </w:pPr>
            <w:r w:rsidRPr="003051E3">
              <w:rPr>
                <w:szCs w:val="20"/>
              </w:rPr>
              <w:t>Year 3</w:t>
            </w:r>
          </w:p>
          <w:p w14:paraId="619670A5" w14:textId="77777777" w:rsidR="000E1556" w:rsidRPr="003051E3" w:rsidRDefault="000E1556" w:rsidP="000E1556">
            <w:pPr>
              <w:pStyle w:val="TableText"/>
              <w:jc w:val="center"/>
              <w:cnfStyle w:val="100000000000" w:firstRow="1" w:lastRow="0" w:firstColumn="0" w:lastColumn="0" w:oddVBand="0" w:evenVBand="0" w:oddHBand="0" w:evenHBand="0" w:firstRowFirstColumn="0" w:firstRowLastColumn="0" w:lastRowFirstColumn="0" w:lastRowLastColumn="0"/>
              <w:rPr>
                <w:rFonts w:cs="Arial"/>
                <w:color w:val="000000"/>
                <w:szCs w:val="20"/>
              </w:rPr>
            </w:pPr>
            <w:r w:rsidRPr="003051E3">
              <w:rPr>
                <w:szCs w:val="20"/>
              </w:rPr>
              <w:t>2020</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36C44C1" w14:textId="77777777" w:rsidR="000E1556" w:rsidRPr="003051E3" w:rsidRDefault="000E1556" w:rsidP="000E1556">
            <w:pPr>
              <w:pStyle w:val="TableText"/>
              <w:jc w:val="center"/>
              <w:cnfStyle w:val="100000000000" w:firstRow="1" w:lastRow="0" w:firstColumn="0" w:lastColumn="0" w:oddVBand="0" w:evenVBand="0" w:oddHBand="0" w:evenHBand="0" w:firstRowFirstColumn="0" w:firstRowLastColumn="0" w:lastRowFirstColumn="0" w:lastRowLastColumn="0"/>
              <w:rPr>
                <w:szCs w:val="20"/>
              </w:rPr>
            </w:pPr>
            <w:r w:rsidRPr="003051E3">
              <w:rPr>
                <w:szCs w:val="20"/>
              </w:rPr>
              <w:t>Year 4</w:t>
            </w:r>
          </w:p>
          <w:p w14:paraId="4B967FA5" w14:textId="77777777" w:rsidR="000E1556" w:rsidRPr="003051E3" w:rsidRDefault="000E1556" w:rsidP="000E1556">
            <w:pPr>
              <w:pStyle w:val="TableText"/>
              <w:jc w:val="center"/>
              <w:cnfStyle w:val="100000000000" w:firstRow="1" w:lastRow="0" w:firstColumn="0" w:lastColumn="0" w:oddVBand="0" w:evenVBand="0" w:oddHBand="0" w:evenHBand="0" w:firstRowFirstColumn="0" w:firstRowLastColumn="0" w:lastRowFirstColumn="0" w:lastRowLastColumn="0"/>
              <w:rPr>
                <w:rFonts w:cs="Arial"/>
                <w:color w:val="000000"/>
                <w:szCs w:val="20"/>
              </w:rPr>
            </w:pPr>
            <w:r w:rsidRPr="003051E3">
              <w:rPr>
                <w:szCs w:val="20"/>
              </w:rPr>
              <w:t>2021</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7ABCD7B" w14:textId="77777777" w:rsidR="000E1556" w:rsidRPr="003051E3" w:rsidRDefault="000E1556" w:rsidP="000E1556">
            <w:pPr>
              <w:pStyle w:val="TableText"/>
              <w:jc w:val="center"/>
              <w:cnfStyle w:val="100000000000" w:firstRow="1" w:lastRow="0" w:firstColumn="0" w:lastColumn="0" w:oddVBand="0" w:evenVBand="0" w:oddHBand="0" w:evenHBand="0" w:firstRowFirstColumn="0" w:firstRowLastColumn="0" w:lastRowFirstColumn="0" w:lastRowLastColumn="0"/>
              <w:rPr>
                <w:szCs w:val="20"/>
              </w:rPr>
            </w:pPr>
            <w:r w:rsidRPr="003051E3">
              <w:rPr>
                <w:szCs w:val="20"/>
              </w:rPr>
              <w:t>Year 5</w:t>
            </w:r>
          </w:p>
          <w:p w14:paraId="44F6E124" w14:textId="77777777" w:rsidR="000E1556" w:rsidRPr="003051E3" w:rsidRDefault="000E1556" w:rsidP="000E1556">
            <w:pPr>
              <w:pStyle w:val="TableText"/>
              <w:jc w:val="center"/>
              <w:cnfStyle w:val="100000000000" w:firstRow="1" w:lastRow="0" w:firstColumn="0" w:lastColumn="0" w:oddVBand="0" w:evenVBand="0" w:oddHBand="0" w:evenHBand="0" w:firstRowFirstColumn="0" w:firstRowLastColumn="0" w:lastRowFirstColumn="0" w:lastRowLastColumn="0"/>
              <w:rPr>
                <w:rFonts w:cs="Arial"/>
                <w:color w:val="000000"/>
                <w:szCs w:val="20"/>
              </w:rPr>
            </w:pPr>
            <w:r w:rsidRPr="003051E3">
              <w:rPr>
                <w:szCs w:val="20"/>
              </w:rPr>
              <w:t>2022</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E280CC7" w14:textId="77777777" w:rsidR="000E1556" w:rsidRPr="003051E3" w:rsidRDefault="000E1556" w:rsidP="000E1556">
            <w:pPr>
              <w:pStyle w:val="TableText"/>
              <w:jc w:val="center"/>
              <w:cnfStyle w:val="100000000000" w:firstRow="1" w:lastRow="0" w:firstColumn="0" w:lastColumn="0" w:oddVBand="0" w:evenVBand="0" w:oddHBand="0" w:evenHBand="0" w:firstRowFirstColumn="0" w:firstRowLastColumn="0" w:lastRowFirstColumn="0" w:lastRowLastColumn="0"/>
              <w:rPr>
                <w:szCs w:val="20"/>
              </w:rPr>
            </w:pPr>
            <w:r w:rsidRPr="003051E3">
              <w:rPr>
                <w:szCs w:val="20"/>
              </w:rPr>
              <w:t>Year 6</w:t>
            </w:r>
          </w:p>
          <w:p w14:paraId="717EFAF1" w14:textId="77777777" w:rsidR="000E1556" w:rsidRPr="003051E3" w:rsidRDefault="000E1556" w:rsidP="000E1556">
            <w:pPr>
              <w:pStyle w:val="TableText"/>
              <w:jc w:val="center"/>
              <w:cnfStyle w:val="100000000000" w:firstRow="1" w:lastRow="0" w:firstColumn="0" w:lastColumn="0" w:oddVBand="0" w:evenVBand="0" w:oddHBand="0" w:evenHBand="0" w:firstRowFirstColumn="0" w:firstRowLastColumn="0" w:lastRowFirstColumn="0" w:lastRowLastColumn="0"/>
              <w:rPr>
                <w:rFonts w:cs="Arial"/>
                <w:color w:val="000000"/>
                <w:szCs w:val="20"/>
              </w:rPr>
            </w:pPr>
            <w:r w:rsidRPr="003051E3">
              <w:rPr>
                <w:szCs w:val="20"/>
              </w:rPr>
              <w:t>2023</w:t>
            </w:r>
          </w:p>
        </w:tc>
      </w:tr>
      <w:tr w:rsidR="000E1556" w:rsidRPr="003051E3" w14:paraId="79F24373" w14:textId="77777777" w:rsidTr="001172D5">
        <w:trPr>
          <w:cantSplit/>
          <w:trHeight w:val="141"/>
        </w:trPr>
        <w:tc>
          <w:tcPr>
            <w:cnfStyle w:val="001000000000" w:firstRow="0" w:lastRow="0" w:firstColumn="1" w:lastColumn="0" w:oddVBand="0" w:evenVBand="0" w:oddHBand="0" w:evenHBand="0" w:firstRowFirstColumn="0" w:firstRowLastColumn="0" w:lastRowFirstColumn="0" w:lastRowLastColumn="0"/>
            <w:tcW w:w="39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6883CF7" w14:textId="77777777" w:rsidR="000E1556" w:rsidRPr="00932FAC" w:rsidRDefault="000E1556" w:rsidP="000E1556">
            <w:pPr>
              <w:pStyle w:val="TableText"/>
              <w:jc w:val="both"/>
              <w:rPr>
                <w:rFonts w:eastAsia="Calibri" w:cs="Arial"/>
                <w:b w:val="0"/>
                <w:szCs w:val="20"/>
              </w:rPr>
            </w:pPr>
            <w:r w:rsidRPr="00932FAC">
              <w:rPr>
                <w:rFonts w:eastAsia="Calibri" w:cs="Arial"/>
                <w:b w:val="0"/>
                <w:szCs w:val="20"/>
              </w:rPr>
              <w:t xml:space="preserve">Patients with advanced or metastatic </w:t>
            </w:r>
            <w:r w:rsidRPr="00420D95">
              <w:rPr>
                <w:rFonts w:eastAsia="Calibri" w:cs="Arial"/>
                <w:b w:val="0"/>
                <w:i/>
                <w:szCs w:val="20"/>
              </w:rPr>
              <w:t>EGFR</w:t>
            </w:r>
            <w:r w:rsidRPr="00932FAC">
              <w:rPr>
                <w:rFonts w:eastAsia="Calibri" w:cs="Arial"/>
                <w:b w:val="0"/>
                <w:szCs w:val="20"/>
              </w:rPr>
              <w:t xml:space="preserve"> and </w:t>
            </w:r>
            <w:r w:rsidRPr="00420D95">
              <w:rPr>
                <w:rFonts w:eastAsia="Calibri" w:cs="Arial"/>
                <w:b w:val="0"/>
                <w:i/>
                <w:szCs w:val="20"/>
              </w:rPr>
              <w:t>ALK</w:t>
            </w:r>
            <w:r w:rsidRPr="00932FAC">
              <w:rPr>
                <w:rFonts w:eastAsia="Calibri" w:cs="Arial"/>
                <w:b w:val="0"/>
                <w:szCs w:val="20"/>
              </w:rPr>
              <w:t>-negative NSCLC</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3979051" w14:textId="648A1162" w:rsidR="000E1556" w:rsidRPr="003051E3"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1172D5">
              <w:rPr>
                <w:rFonts w:cs="Arial"/>
                <w:color w:val="000000"/>
                <w:szCs w:val="20"/>
              </w:rPr>
              <w:t>redacted</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888634A" w14:textId="39EA2B59" w:rsidR="000E1556" w:rsidRPr="003051E3"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1172D5">
              <w:rPr>
                <w:rFonts w:cs="Arial"/>
                <w:color w:val="000000"/>
                <w:szCs w:val="20"/>
              </w:rPr>
              <w:t>redacted</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356155B" w14:textId="44C7CE60" w:rsidR="000E1556" w:rsidRPr="003051E3"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1172D5">
              <w:rPr>
                <w:rFonts w:cs="Arial"/>
                <w:color w:val="000000"/>
                <w:szCs w:val="20"/>
              </w:rPr>
              <w:t>redacted</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87E071F" w14:textId="3339BBAE" w:rsidR="000E1556" w:rsidRPr="003051E3"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1172D5">
              <w:rPr>
                <w:rFonts w:cs="Arial"/>
                <w:color w:val="000000"/>
                <w:szCs w:val="20"/>
              </w:rPr>
              <w:t>redacted</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5E3F98A" w14:textId="1CF7428F" w:rsidR="000E1556" w:rsidRPr="003051E3"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1172D5">
              <w:rPr>
                <w:rFonts w:cs="Arial"/>
                <w:color w:val="000000"/>
                <w:szCs w:val="20"/>
              </w:rPr>
              <w:t>redacted</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5E915B3" w14:textId="121D358E" w:rsidR="000E1556" w:rsidRPr="003051E3"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1172D5">
              <w:rPr>
                <w:rFonts w:cs="Arial"/>
                <w:color w:val="000000"/>
                <w:szCs w:val="20"/>
              </w:rPr>
              <w:t>redacted</w:t>
            </w:r>
          </w:p>
        </w:tc>
      </w:tr>
      <w:tr w:rsidR="000E1556" w:rsidRPr="003051E3" w14:paraId="45F3074D" w14:textId="77777777" w:rsidTr="001172D5">
        <w:trPr>
          <w:cantSplit/>
          <w:trHeight w:val="59"/>
        </w:trPr>
        <w:tc>
          <w:tcPr>
            <w:cnfStyle w:val="001000000000" w:firstRow="0" w:lastRow="0" w:firstColumn="1" w:lastColumn="0" w:oddVBand="0" w:evenVBand="0" w:oddHBand="0" w:evenHBand="0" w:firstRowFirstColumn="0" w:firstRowLastColumn="0" w:lastRowFirstColumn="0" w:lastRowLastColumn="0"/>
            <w:tcW w:w="39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E12814C" w14:textId="77777777" w:rsidR="000E1556" w:rsidRPr="00932FAC" w:rsidRDefault="000E1556" w:rsidP="000E1556">
            <w:pPr>
              <w:pStyle w:val="TableText"/>
              <w:jc w:val="both"/>
              <w:rPr>
                <w:rFonts w:eastAsia="Calibri" w:cs="Arial"/>
                <w:b w:val="0"/>
                <w:szCs w:val="20"/>
              </w:rPr>
            </w:pPr>
            <w:r w:rsidRPr="00932FAC">
              <w:rPr>
                <w:rFonts w:eastAsia="Calibri" w:cs="Arial"/>
                <w:b w:val="0"/>
                <w:szCs w:val="20"/>
              </w:rPr>
              <w:t xml:space="preserve">IHC true positive patients eligible for </w:t>
            </w:r>
            <w:r w:rsidRPr="00420D95">
              <w:rPr>
                <w:rFonts w:eastAsia="Calibri" w:cs="Arial"/>
                <w:b w:val="0"/>
                <w:i/>
                <w:szCs w:val="20"/>
              </w:rPr>
              <w:t>ROS1</w:t>
            </w:r>
            <w:r w:rsidRPr="00932FAC">
              <w:rPr>
                <w:rFonts w:eastAsia="Calibri" w:cs="Arial"/>
                <w:b w:val="0"/>
                <w:szCs w:val="20"/>
              </w:rPr>
              <w:t xml:space="preserve"> FISH testing</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6F71774" w14:textId="54A23007" w:rsidR="000E1556" w:rsidRPr="003051E3"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bCs/>
                <w:szCs w:val="20"/>
              </w:rPr>
            </w:pPr>
            <w:r w:rsidRPr="001172D5">
              <w:rPr>
                <w:rFonts w:cs="Arial"/>
                <w:color w:val="000000"/>
                <w:szCs w:val="20"/>
              </w:rPr>
              <w:t>redacted</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04B849F" w14:textId="026C8440" w:rsidR="000E1556" w:rsidRPr="003051E3"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bCs/>
                <w:szCs w:val="20"/>
              </w:rPr>
            </w:pPr>
            <w:r w:rsidRPr="001172D5">
              <w:rPr>
                <w:rFonts w:cs="Arial"/>
                <w:color w:val="000000"/>
                <w:szCs w:val="20"/>
              </w:rPr>
              <w:t>redacted</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C2BAC89" w14:textId="3F3ED5C4" w:rsidR="000E1556" w:rsidRPr="003051E3"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bCs/>
                <w:szCs w:val="20"/>
              </w:rPr>
            </w:pPr>
            <w:r w:rsidRPr="001172D5">
              <w:rPr>
                <w:rFonts w:cs="Arial"/>
                <w:color w:val="000000"/>
                <w:szCs w:val="20"/>
              </w:rPr>
              <w:t>redacted</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2870FBD" w14:textId="34184DAE" w:rsidR="000E1556" w:rsidRPr="003051E3"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bCs/>
                <w:szCs w:val="20"/>
              </w:rPr>
            </w:pPr>
            <w:r w:rsidRPr="001172D5">
              <w:rPr>
                <w:rFonts w:cs="Arial"/>
                <w:color w:val="000000"/>
                <w:szCs w:val="20"/>
              </w:rPr>
              <w:t>redacted</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27384D4" w14:textId="06631F88" w:rsidR="000E1556" w:rsidRPr="003051E3"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bCs/>
                <w:szCs w:val="20"/>
              </w:rPr>
            </w:pPr>
            <w:r w:rsidRPr="001172D5">
              <w:rPr>
                <w:rFonts w:cs="Arial"/>
                <w:color w:val="000000"/>
                <w:szCs w:val="20"/>
              </w:rPr>
              <w:t>redacted</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4BB7137" w14:textId="34A18B17" w:rsidR="000E1556" w:rsidRPr="003051E3"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bCs/>
                <w:szCs w:val="20"/>
              </w:rPr>
            </w:pPr>
            <w:r w:rsidRPr="001172D5">
              <w:rPr>
                <w:rFonts w:cs="Arial"/>
                <w:color w:val="000000"/>
                <w:szCs w:val="20"/>
              </w:rPr>
              <w:t>redacted</w:t>
            </w:r>
          </w:p>
        </w:tc>
      </w:tr>
      <w:tr w:rsidR="000E1556" w:rsidRPr="003051E3" w14:paraId="52DACF9E" w14:textId="77777777" w:rsidTr="001172D5">
        <w:trPr>
          <w:cantSplit/>
          <w:trHeight w:val="56"/>
        </w:trPr>
        <w:tc>
          <w:tcPr>
            <w:cnfStyle w:val="001000000000" w:firstRow="0" w:lastRow="0" w:firstColumn="1" w:lastColumn="0" w:oddVBand="0" w:evenVBand="0" w:oddHBand="0" w:evenHBand="0" w:firstRowFirstColumn="0" w:firstRowLastColumn="0" w:lastRowFirstColumn="0" w:lastRowLastColumn="0"/>
            <w:tcW w:w="39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76BE7EC" w14:textId="77777777" w:rsidR="000E1556" w:rsidRPr="00932FAC" w:rsidRDefault="000E1556" w:rsidP="000E1556">
            <w:pPr>
              <w:pStyle w:val="TableText"/>
              <w:jc w:val="both"/>
              <w:rPr>
                <w:rFonts w:eastAsia="Calibri" w:cs="Arial"/>
                <w:b w:val="0"/>
                <w:szCs w:val="20"/>
              </w:rPr>
            </w:pPr>
            <w:r w:rsidRPr="00932FAC">
              <w:rPr>
                <w:rFonts w:eastAsia="Calibri" w:cs="Arial"/>
                <w:b w:val="0"/>
                <w:szCs w:val="20"/>
              </w:rPr>
              <w:t xml:space="preserve">IHC false positive patients eligible for </w:t>
            </w:r>
            <w:r w:rsidRPr="00420D95">
              <w:rPr>
                <w:rFonts w:eastAsia="Calibri" w:cs="Arial"/>
                <w:b w:val="0"/>
                <w:i/>
                <w:szCs w:val="20"/>
              </w:rPr>
              <w:t>ROS1</w:t>
            </w:r>
            <w:r w:rsidRPr="00932FAC">
              <w:rPr>
                <w:rFonts w:eastAsia="Calibri" w:cs="Arial"/>
                <w:b w:val="0"/>
                <w:szCs w:val="20"/>
              </w:rPr>
              <w:t xml:space="preserve"> FISH testing</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1ACFF22" w14:textId="24D744B2" w:rsidR="000E1556" w:rsidRPr="003051E3"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rFonts w:cs="Arial"/>
                <w:szCs w:val="20"/>
              </w:rPr>
            </w:pPr>
            <w:r w:rsidRPr="001172D5">
              <w:rPr>
                <w:rFonts w:cs="Arial"/>
                <w:color w:val="000000"/>
                <w:szCs w:val="20"/>
              </w:rPr>
              <w:t>redacted</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4C49040" w14:textId="67AA514F" w:rsidR="000E1556" w:rsidRPr="003051E3"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1172D5">
              <w:rPr>
                <w:rFonts w:cs="Arial"/>
                <w:color w:val="000000"/>
                <w:szCs w:val="20"/>
              </w:rPr>
              <w:t>redacted</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3DE9303" w14:textId="2F9A7EFA" w:rsidR="000E1556" w:rsidRPr="003051E3"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1172D5">
              <w:rPr>
                <w:rFonts w:cs="Arial"/>
                <w:color w:val="000000"/>
                <w:szCs w:val="20"/>
              </w:rPr>
              <w:t>redacted</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CBA9091" w14:textId="649D6EB4" w:rsidR="000E1556" w:rsidRPr="003051E3"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1172D5">
              <w:rPr>
                <w:rFonts w:cs="Arial"/>
                <w:color w:val="000000"/>
                <w:szCs w:val="20"/>
              </w:rPr>
              <w:t>redacted</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C48C02C" w14:textId="317682A7" w:rsidR="000E1556" w:rsidRPr="003051E3"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1172D5">
              <w:rPr>
                <w:rFonts w:cs="Arial"/>
                <w:color w:val="000000"/>
                <w:szCs w:val="20"/>
              </w:rPr>
              <w:t>redacted</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E014C59" w14:textId="688D85E1" w:rsidR="000E1556" w:rsidRPr="003051E3"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1172D5">
              <w:rPr>
                <w:rFonts w:cs="Arial"/>
                <w:color w:val="000000"/>
                <w:szCs w:val="20"/>
              </w:rPr>
              <w:t>redacted</w:t>
            </w:r>
          </w:p>
        </w:tc>
      </w:tr>
      <w:tr w:rsidR="000E1556" w:rsidRPr="003051E3" w14:paraId="63294588" w14:textId="77777777" w:rsidTr="001172D5">
        <w:trPr>
          <w:cantSplit/>
          <w:trHeight w:val="56"/>
        </w:trPr>
        <w:tc>
          <w:tcPr>
            <w:cnfStyle w:val="001000000000" w:firstRow="0" w:lastRow="0" w:firstColumn="1" w:lastColumn="0" w:oddVBand="0" w:evenVBand="0" w:oddHBand="0" w:evenHBand="0" w:firstRowFirstColumn="0" w:firstRowLastColumn="0" w:lastRowFirstColumn="0" w:lastRowLastColumn="0"/>
            <w:tcW w:w="39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F5BBFB5" w14:textId="77777777" w:rsidR="000E1556" w:rsidRPr="00932FAC" w:rsidRDefault="000E1556" w:rsidP="000E1556">
            <w:pPr>
              <w:pStyle w:val="TableText"/>
              <w:jc w:val="both"/>
              <w:rPr>
                <w:rFonts w:eastAsia="Calibri" w:cs="Arial"/>
                <w:b w:val="0"/>
                <w:szCs w:val="20"/>
              </w:rPr>
            </w:pPr>
            <w:r w:rsidRPr="00932FAC">
              <w:rPr>
                <w:rFonts w:eastAsia="Calibri" w:cs="Arial"/>
                <w:b w:val="0"/>
                <w:szCs w:val="20"/>
              </w:rPr>
              <w:t xml:space="preserve">Estimated uptake of </w:t>
            </w:r>
            <w:r w:rsidRPr="00420D95">
              <w:rPr>
                <w:rFonts w:eastAsia="Calibri" w:cs="Arial"/>
                <w:b w:val="0"/>
                <w:i/>
                <w:szCs w:val="20"/>
              </w:rPr>
              <w:t>ROS1</w:t>
            </w:r>
            <w:r w:rsidRPr="00932FAC">
              <w:rPr>
                <w:rFonts w:eastAsia="Calibri" w:cs="Arial"/>
                <w:b w:val="0"/>
                <w:szCs w:val="20"/>
              </w:rPr>
              <w:t xml:space="preserve"> diagnostic testing in eligible patients</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DD65E64" w14:textId="62E7DBC5" w:rsidR="000E1556" w:rsidRPr="003051E3"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color w:val="000000"/>
                <w:szCs w:val="20"/>
              </w:rPr>
              <w:t>redacted</w:t>
            </w:r>
            <w:r w:rsidR="000E1556" w:rsidRPr="003051E3">
              <w:rPr>
                <w:rFonts w:cs="Arial"/>
                <w:szCs w:val="20"/>
              </w:rPr>
              <w:t>%</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3F001C9" w14:textId="0ED82C06" w:rsidR="000E1556" w:rsidRPr="003051E3"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1172D5">
              <w:rPr>
                <w:rFonts w:cs="Arial"/>
                <w:color w:val="000000"/>
                <w:szCs w:val="20"/>
              </w:rPr>
              <w:t>redacted</w:t>
            </w:r>
            <w:r w:rsidR="000E1556" w:rsidRPr="003051E3">
              <w:rPr>
                <w:szCs w:val="20"/>
              </w:rPr>
              <w:t>%</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98165BE" w14:textId="44D08702" w:rsidR="000E1556" w:rsidRPr="003051E3"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1172D5">
              <w:rPr>
                <w:rFonts w:cs="Arial"/>
                <w:color w:val="000000"/>
                <w:szCs w:val="20"/>
              </w:rPr>
              <w:t>redacted</w:t>
            </w:r>
            <w:r w:rsidR="000E1556" w:rsidRPr="003051E3">
              <w:rPr>
                <w:szCs w:val="20"/>
              </w:rPr>
              <w:t>%</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4290F2D" w14:textId="6D65BB85" w:rsidR="000E1556" w:rsidRPr="003051E3"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1172D5">
              <w:rPr>
                <w:rFonts w:cs="Arial"/>
                <w:color w:val="000000"/>
                <w:szCs w:val="20"/>
              </w:rPr>
              <w:t>redacted</w:t>
            </w:r>
            <w:r w:rsidR="000E1556" w:rsidRPr="003051E3">
              <w:rPr>
                <w:szCs w:val="20"/>
              </w:rPr>
              <w:t>%</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638136E" w14:textId="0D8DDFF0" w:rsidR="000E1556" w:rsidRPr="003051E3"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1172D5">
              <w:rPr>
                <w:rFonts w:cs="Arial"/>
                <w:color w:val="000000"/>
                <w:szCs w:val="20"/>
              </w:rPr>
              <w:t>redacted</w:t>
            </w:r>
            <w:r w:rsidR="000E1556" w:rsidRPr="003051E3">
              <w:rPr>
                <w:szCs w:val="20"/>
              </w:rPr>
              <w:t>%</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04E33E2" w14:textId="24164924" w:rsidR="000E1556" w:rsidRPr="003051E3"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1172D5">
              <w:rPr>
                <w:rFonts w:cs="Arial"/>
                <w:color w:val="000000"/>
                <w:szCs w:val="20"/>
              </w:rPr>
              <w:t>redacted</w:t>
            </w:r>
            <w:r w:rsidR="000E1556" w:rsidRPr="003051E3">
              <w:rPr>
                <w:szCs w:val="20"/>
              </w:rPr>
              <w:t>%</w:t>
            </w:r>
          </w:p>
        </w:tc>
      </w:tr>
      <w:tr w:rsidR="000E1556" w:rsidRPr="00932FAC" w14:paraId="08CEB034" w14:textId="77777777" w:rsidTr="001172D5">
        <w:trPr>
          <w:cantSplit/>
          <w:trHeight w:val="56"/>
        </w:trPr>
        <w:tc>
          <w:tcPr>
            <w:cnfStyle w:val="001000000000" w:firstRow="0" w:lastRow="0" w:firstColumn="1" w:lastColumn="0" w:oddVBand="0" w:evenVBand="0" w:oddHBand="0" w:evenHBand="0" w:firstRowFirstColumn="0" w:firstRowLastColumn="0" w:lastRowFirstColumn="0" w:lastRowLastColumn="0"/>
            <w:tcW w:w="39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15D69D8" w14:textId="77777777" w:rsidR="000E1556" w:rsidRPr="003051E3" w:rsidRDefault="000E1556" w:rsidP="000E1556">
            <w:pPr>
              <w:pStyle w:val="TableText"/>
              <w:jc w:val="both"/>
              <w:rPr>
                <w:rFonts w:eastAsia="Calibri" w:cs="Arial"/>
                <w:b w:val="0"/>
                <w:szCs w:val="20"/>
              </w:rPr>
            </w:pPr>
            <w:r w:rsidRPr="003051E3">
              <w:rPr>
                <w:rFonts w:eastAsia="Calibri" w:cs="Arial"/>
                <w:b w:val="0"/>
                <w:szCs w:val="20"/>
              </w:rPr>
              <w:t xml:space="preserve">Patients receiving proposed </w:t>
            </w:r>
            <w:r w:rsidRPr="0036761F">
              <w:rPr>
                <w:rFonts w:eastAsia="Calibri" w:cs="Arial"/>
                <w:b w:val="0"/>
                <w:szCs w:val="20"/>
              </w:rPr>
              <w:t>ROS1</w:t>
            </w:r>
            <w:r w:rsidRPr="003051E3">
              <w:rPr>
                <w:rFonts w:eastAsia="Calibri" w:cs="Arial"/>
                <w:b w:val="0"/>
                <w:szCs w:val="20"/>
              </w:rPr>
              <w:t xml:space="preserve"> IHC testing</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7B24B7A" w14:textId="632465AD" w:rsidR="000E1556" w:rsidRPr="00932FAC"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rFonts w:cs="Arial"/>
                <w:szCs w:val="20"/>
              </w:rPr>
            </w:pPr>
            <w:r w:rsidRPr="001172D5">
              <w:rPr>
                <w:rFonts w:cs="Arial"/>
                <w:color w:val="000000"/>
                <w:szCs w:val="20"/>
              </w:rPr>
              <w:t>redacted</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E065026" w14:textId="4C327C2F" w:rsidR="000E1556" w:rsidRPr="00932FAC"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1172D5">
              <w:rPr>
                <w:rFonts w:cs="Arial"/>
                <w:color w:val="000000"/>
                <w:szCs w:val="20"/>
              </w:rPr>
              <w:t>redacted</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33DB0EC" w14:textId="046DDBCB" w:rsidR="000E1556" w:rsidRPr="00932FAC"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1172D5">
              <w:rPr>
                <w:rFonts w:cs="Arial"/>
                <w:color w:val="000000"/>
                <w:szCs w:val="20"/>
              </w:rPr>
              <w:t>redacted</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0B935E2" w14:textId="5A24340F" w:rsidR="000E1556" w:rsidRPr="00932FAC"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1172D5">
              <w:rPr>
                <w:rFonts w:cs="Arial"/>
                <w:color w:val="000000"/>
                <w:szCs w:val="20"/>
              </w:rPr>
              <w:t>redacted</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C550B5F" w14:textId="7C511813" w:rsidR="000E1556" w:rsidRPr="00932FAC"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1172D5">
              <w:rPr>
                <w:rFonts w:cs="Arial"/>
                <w:color w:val="000000"/>
                <w:szCs w:val="20"/>
              </w:rPr>
              <w:t>redacted</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5A22769" w14:textId="2B6CB5FE" w:rsidR="000E1556" w:rsidRPr="00932FAC"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1172D5">
              <w:rPr>
                <w:rFonts w:cs="Arial"/>
                <w:color w:val="000000"/>
                <w:szCs w:val="20"/>
              </w:rPr>
              <w:t>redacted</w:t>
            </w:r>
          </w:p>
        </w:tc>
      </w:tr>
      <w:tr w:rsidR="000E1556" w:rsidRPr="00932FAC" w14:paraId="6BE65CFD" w14:textId="77777777" w:rsidTr="001172D5">
        <w:trPr>
          <w:cantSplit/>
          <w:trHeight w:val="56"/>
        </w:trPr>
        <w:tc>
          <w:tcPr>
            <w:cnfStyle w:val="001000000000" w:firstRow="0" w:lastRow="0" w:firstColumn="1" w:lastColumn="0" w:oddVBand="0" w:evenVBand="0" w:oddHBand="0" w:evenHBand="0" w:firstRowFirstColumn="0" w:firstRowLastColumn="0" w:lastRowFirstColumn="0" w:lastRowLastColumn="0"/>
            <w:tcW w:w="39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C4A722F" w14:textId="77777777" w:rsidR="000E1556" w:rsidRPr="003051E3" w:rsidRDefault="000E1556" w:rsidP="000E1556">
            <w:pPr>
              <w:pStyle w:val="TableText"/>
              <w:jc w:val="both"/>
              <w:rPr>
                <w:rFonts w:eastAsia="Calibri" w:cs="Arial"/>
                <w:b w:val="0"/>
                <w:szCs w:val="20"/>
              </w:rPr>
            </w:pPr>
            <w:r w:rsidRPr="003051E3">
              <w:rPr>
                <w:rFonts w:eastAsia="Calibri" w:cs="Arial"/>
                <w:b w:val="0"/>
                <w:szCs w:val="20"/>
              </w:rPr>
              <w:t xml:space="preserve">Patients receiving proposed </w:t>
            </w:r>
            <w:r w:rsidRPr="00420D95">
              <w:rPr>
                <w:rFonts w:eastAsia="Calibri" w:cs="Arial"/>
                <w:b w:val="0"/>
                <w:i/>
                <w:szCs w:val="20"/>
              </w:rPr>
              <w:t>ROS1</w:t>
            </w:r>
            <w:r w:rsidRPr="003051E3">
              <w:rPr>
                <w:rFonts w:eastAsia="Calibri" w:cs="Arial"/>
                <w:b w:val="0"/>
                <w:szCs w:val="20"/>
              </w:rPr>
              <w:t xml:space="preserve"> FISH testing</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F0B7739" w14:textId="6DAF4714" w:rsidR="000E1556" w:rsidRPr="00932FAC"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1172D5">
              <w:rPr>
                <w:rFonts w:cs="Arial"/>
                <w:color w:val="000000"/>
                <w:szCs w:val="20"/>
              </w:rPr>
              <w:t>redacted</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5E9B32E" w14:textId="4DAFDC54" w:rsidR="000E1556" w:rsidRPr="00932FAC"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1172D5">
              <w:rPr>
                <w:rFonts w:cs="Arial"/>
                <w:color w:val="000000"/>
                <w:szCs w:val="20"/>
              </w:rPr>
              <w:t>redacted</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18BADA5" w14:textId="318C2B56" w:rsidR="000E1556" w:rsidRPr="00932FAC"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1172D5">
              <w:rPr>
                <w:rFonts w:cs="Arial"/>
                <w:color w:val="000000"/>
                <w:szCs w:val="20"/>
              </w:rPr>
              <w:t>redacted</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6918D27" w14:textId="3C1970C0" w:rsidR="000E1556" w:rsidRPr="00932FAC"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1172D5">
              <w:rPr>
                <w:rFonts w:cs="Arial"/>
                <w:color w:val="000000"/>
                <w:szCs w:val="20"/>
              </w:rPr>
              <w:t>redacted</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8E0CE88" w14:textId="2F70DAED" w:rsidR="000E1556" w:rsidRPr="00932FAC"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1172D5">
              <w:rPr>
                <w:rFonts w:cs="Arial"/>
                <w:color w:val="000000"/>
                <w:szCs w:val="20"/>
              </w:rPr>
              <w:t>redacted</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3602E8C" w14:textId="5B66722D" w:rsidR="000E1556" w:rsidRPr="00932FAC"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1172D5">
              <w:rPr>
                <w:rFonts w:cs="Arial"/>
                <w:color w:val="000000"/>
                <w:szCs w:val="20"/>
              </w:rPr>
              <w:t>redacted</w:t>
            </w:r>
          </w:p>
        </w:tc>
      </w:tr>
      <w:tr w:rsidR="000E1556" w:rsidRPr="00932FAC" w14:paraId="75F59098" w14:textId="77777777" w:rsidTr="001172D5">
        <w:trPr>
          <w:cantSplit/>
          <w:trHeight w:val="56"/>
        </w:trPr>
        <w:tc>
          <w:tcPr>
            <w:cnfStyle w:val="001000000000" w:firstRow="0" w:lastRow="0" w:firstColumn="1" w:lastColumn="0" w:oddVBand="0" w:evenVBand="0" w:oddHBand="0" w:evenHBand="0" w:firstRowFirstColumn="0" w:firstRowLastColumn="0" w:lastRowFirstColumn="0" w:lastRowLastColumn="0"/>
            <w:tcW w:w="39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F8A5596" w14:textId="77777777" w:rsidR="000E1556" w:rsidRPr="003051E3" w:rsidRDefault="000E1556" w:rsidP="000E1556">
            <w:pPr>
              <w:pStyle w:val="TableText"/>
              <w:jc w:val="both"/>
              <w:rPr>
                <w:rFonts w:eastAsia="Calibri" w:cs="Arial"/>
                <w:b w:val="0"/>
                <w:szCs w:val="20"/>
              </w:rPr>
            </w:pPr>
            <w:r w:rsidRPr="00420D95">
              <w:rPr>
                <w:rFonts w:eastAsia="Calibri" w:cs="Arial"/>
                <w:b w:val="0"/>
                <w:i/>
                <w:szCs w:val="20"/>
              </w:rPr>
              <w:t>ROS1</w:t>
            </w:r>
            <w:r w:rsidRPr="003051E3">
              <w:rPr>
                <w:rFonts w:eastAsia="Calibri" w:cs="Arial"/>
                <w:b w:val="0"/>
                <w:szCs w:val="20"/>
              </w:rPr>
              <w:t>-positive patients confirmed by FISH testing</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902491C" w14:textId="4DF6F620" w:rsidR="000E1556" w:rsidRPr="00932FAC"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1172D5">
              <w:rPr>
                <w:rFonts w:cs="Arial"/>
                <w:color w:val="000000"/>
                <w:szCs w:val="20"/>
              </w:rPr>
              <w:t>redacted</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7BBAD7B" w14:textId="249EB17D" w:rsidR="000E1556" w:rsidRPr="00932FAC"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1172D5">
              <w:rPr>
                <w:rFonts w:cs="Arial"/>
                <w:color w:val="000000"/>
                <w:szCs w:val="20"/>
              </w:rPr>
              <w:t>redacted</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5FB40B2" w14:textId="1C165864" w:rsidR="000E1556" w:rsidRPr="00932FAC"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1172D5">
              <w:rPr>
                <w:rFonts w:cs="Arial"/>
                <w:color w:val="000000"/>
                <w:szCs w:val="20"/>
              </w:rPr>
              <w:t>redacted</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2EDAD8E" w14:textId="22FD0004" w:rsidR="000E1556" w:rsidRPr="00932FAC"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1172D5">
              <w:rPr>
                <w:rFonts w:cs="Arial"/>
                <w:color w:val="000000"/>
                <w:szCs w:val="20"/>
              </w:rPr>
              <w:t>redacted</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327DF99" w14:textId="2B426901" w:rsidR="000E1556" w:rsidRPr="00932FAC"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1172D5">
              <w:rPr>
                <w:rFonts w:cs="Arial"/>
                <w:color w:val="000000"/>
                <w:szCs w:val="20"/>
              </w:rPr>
              <w:t>redacted</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BB9E792" w14:textId="2F2153F9" w:rsidR="000E1556" w:rsidRPr="00932FAC"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1172D5">
              <w:rPr>
                <w:rFonts w:cs="Arial"/>
                <w:color w:val="000000"/>
                <w:szCs w:val="20"/>
              </w:rPr>
              <w:t>redacted</w:t>
            </w:r>
          </w:p>
        </w:tc>
      </w:tr>
    </w:tbl>
    <w:p w14:paraId="68B91F23" w14:textId="77777777" w:rsidR="000E1556" w:rsidRPr="003051E3" w:rsidRDefault="000E1556" w:rsidP="000E1556">
      <w:pPr>
        <w:pStyle w:val="TableFooter"/>
      </w:pPr>
      <w:r w:rsidRPr="00420D95">
        <w:rPr>
          <w:i/>
        </w:rPr>
        <w:t>ALK</w:t>
      </w:r>
      <w:r w:rsidRPr="003051E3">
        <w:t xml:space="preserve"> = anaplastic lymphoma kinase; </w:t>
      </w:r>
      <w:r w:rsidRPr="00420D95">
        <w:rPr>
          <w:i/>
        </w:rPr>
        <w:t>EGFR</w:t>
      </w:r>
      <w:r w:rsidRPr="003051E3">
        <w:t xml:space="preserve"> = epidermal growth factor receptor; FISH = fluorescent </w:t>
      </w:r>
      <w:r w:rsidRPr="00CC1ED6">
        <w:rPr>
          <w:i/>
        </w:rPr>
        <w:t>in situ</w:t>
      </w:r>
      <w:r w:rsidRPr="003051E3">
        <w:t xml:space="preserve"> hybridisation; IHC = immunohistochemistry; MBS = Medicare Benefits Schedule; NSCLC = non-small cell lung cancer; </w:t>
      </w:r>
      <w:r w:rsidRPr="00420D95">
        <w:rPr>
          <w:i/>
        </w:rPr>
        <w:t>ROS1</w:t>
      </w:r>
      <w:r w:rsidRPr="003051E3">
        <w:t xml:space="preserve"> = </w:t>
      </w:r>
      <w:r w:rsidRPr="00420D95">
        <w:rPr>
          <w:i/>
        </w:rPr>
        <w:t>c-ROS</w:t>
      </w:r>
      <w:r w:rsidRPr="003051E3">
        <w:t xml:space="preserve"> proto-oncogene 1</w:t>
      </w:r>
    </w:p>
    <w:p w14:paraId="20EC6EBD" w14:textId="5E4B8A8D" w:rsidR="000E1556" w:rsidRPr="003051E3" w:rsidRDefault="000E1556" w:rsidP="000E1556">
      <w:pPr>
        <w:pStyle w:val="TableFooter"/>
      </w:pPr>
      <w:r w:rsidRPr="003051E3">
        <w:t xml:space="preserve">Prevalence of </w:t>
      </w:r>
      <w:r w:rsidRPr="00420D95">
        <w:rPr>
          <w:i/>
        </w:rPr>
        <w:t>ROS1</w:t>
      </w:r>
      <w:r w:rsidRPr="003051E3">
        <w:t xml:space="preserve"> gene rearrangement in </w:t>
      </w:r>
      <w:r w:rsidRPr="00420D95">
        <w:rPr>
          <w:i/>
        </w:rPr>
        <w:t>EGFR</w:t>
      </w:r>
      <w:r w:rsidRPr="003051E3">
        <w:t xml:space="preserve"> and </w:t>
      </w:r>
      <w:r w:rsidRPr="00420D95">
        <w:rPr>
          <w:i/>
        </w:rPr>
        <w:t>ALK</w:t>
      </w:r>
      <w:r w:rsidRPr="003051E3">
        <w:t>-negative advanced NSCLC patients = (1</w:t>
      </w:r>
      <w:proofErr w:type="gramStart"/>
      <w:r w:rsidRPr="003051E3">
        <w:t>/(</w:t>
      </w:r>
      <w:proofErr w:type="gramEnd"/>
      <w:r w:rsidRPr="003051E3">
        <w:t xml:space="preserve">100%-15%-4.9%))x1.6% = 2%, where: 15% = % of patients with an </w:t>
      </w:r>
      <w:r w:rsidRPr="00420D95">
        <w:rPr>
          <w:i/>
        </w:rPr>
        <w:t>EGFR</w:t>
      </w:r>
      <w:r w:rsidRPr="003051E3">
        <w:t xml:space="preserve"> activating mutation; 4.9% = % patients with </w:t>
      </w:r>
      <w:r w:rsidRPr="00420D95">
        <w:rPr>
          <w:i/>
        </w:rPr>
        <w:t>ALK</w:t>
      </w:r>
      <w:r w:rsidRPr="003051E3">
        <w:t xml:space="preserve"> gene rearrangement; and 1.6% = prevalence of </w:t>
      </w:r>
      <w:r w:rsidRPr="00420D95">
        <w:rPr>
          <w:i/>
        </w:rPr>
        <w:t>ROS1</w:t>
      </w:r>
      <w:r w:rsidRPr="003051E3">
        <w:t xml:space="preserve"> gene rearrangement in non-squamous NSCLC patients </w:t>
      </w:r>
    </w:p>
    <w:p w14:paraId="29610727" w14:textId="42BCDA10" w:rsidR="000E1556" w:rsidRPr="003051E3" w:rsidRDefault="000E1556" w:rsidP="000E1556">
      <w:r w:rsidRPr="003051E3">
        <w:t xml:space="preserve">The </w:t>
      </w:r>
      <w:r>
        <w:t>application</w:t>
      </w:r>
      <w:r w:rsidRPr="003051E3">
        <w:t xml:space="preserve"> estimated that </w:t>
      </w:r>
      <w:r w:rsidR="001172D5" w:rsidRPr="001172D5">
        <w:rPr>
          <w:rFonts w:cs="Arial"/>
          <w:b/>
          <w:color w:val="000000"/>
        </w:rPr>
        <w:t>redacted</w:t>
      </w:r>
      <w:r w:rsidR="001172D5" w:rsidRPr="003051E3">
        <w:t xml:space="preserve"> </w:t>
      </w:r>
      <w:r w:rsidRPr="003051E3">
        <w:t xml:space="preserve">patients would receive </w:t>
      </w:r>
      <w:r w:rsidRPr="0036761F">
        <w:t>ROS1</w:t>
      </w:r>
      <w:r w:rsidRPr="003051E3">
        <w:t xml:space="preserve"> IHC testing in Year 1, increasing to </w:t>
      </w:r>
      <w:r w:rsidR="001172D5" w:rsidRPr="001172D5">
        <w:rPr>
          <w:rFonts w:cs="Arial"/>
          <w:b/>
          <w:color w:val="000000"/>
        </w:rPr>
        <w:t>redacted</w:t>
      </w:r>
      <w:r w:rsidR="001172D5" w:rsidRPr="003051E3">
        <w:t xml:space="preserve"> </w:t>
      </w:r>
      <w:r w:rsidRPr="003051E3">
        <w:t>patients in Year 6. Th</w:t>
      </w:r>
      <w:r w:rsidRPr="00515E7E">
        <w:t>e critique considered that th</w:t>
      </w:r>
      <w:r w:rsidRPr="003051E3">
        <w:t xml:space="preserve">is may be underestimated due to the low uptake assumed in the </w:t>
      </w:r>
      <w:r>
        <w:rPr>
          <w:szCs w:val="28"/>
          <w:lang w:bidi="en-US"/>
        </w:rPr>
        <w:t>application</w:t>
      </w:r>
      <w:r w:rsidRPr="003051E3">
        <w:t xml:space="preserve"> and potential underestimation o</w:t>
      </w:r>
      <w:r>
        <w:t>f the incidence of lung cancer.</w:t>
      </w:r>
    </w:p>
    <w:p w14:paraId="0A5C2961" w14:textId="0C5367D4" w:rsidR="000E1556" w:rsidRPr="003051E3" w:rsidRDefault="000E1556" w:rsidP="00100F62">
      <w:pPr>
        <w:spacing w:before="120"/>
      </w:pPr>
      <w:r w:rsidRPr="003051E3">
        <w:t xml:space="preserve">The </w:t>
      </w:r>
      <w:r>
        <w:t>application</w:t>
      </w:r>
      <w:r w:rsidRPr="003051E3">
        <w:t xml:space="preserve"> estimated that </w:t>
      </w:r>
      <w:r w:rsidR="001172D5" w:rsidRPr="001172D5">
        <w:rPr>
          <w:rFonts w:cs="Arial"/>
          <w:b/>
          <w:color w:val="000000"/>
        </w:rPr>
        <w:t>redacted</w:t>
      </w:r>
      <w:r w:rsidRPr="003051E3">
        <w:t xml:space="preserve"> patients would receive </w:t>
      </w:r>
      <w:r w:rsidRPr="00420D95">
        <w:rPr>
          <w:i/>
        </w:rPr>
        <w:t>ROS1</w:t>
      </w:r>
      <w:r w:rsidRPr="003051E3">
        <w:t xml:space="preserve"> FISH testing in Year 1, increasing to </w:t>
      </w:r>
      <w:r w:rsidR="001172D5" w:rsidRPr="001172D5">
        <w:rPr>
          <w:rFonts w:cs="Arial"/>
          <w:b/>
          <w:color w:val="000000"/>
        </w:rPr>
        <w:t>redacted</w:t>
      </w:r>
      <w:r w:rsidRPr="003051E3">
        <w:t xml:space="preserve"> patients in Year 6. Th</w:t>
      </w:r>
      <w:r>
        <w:t xml:space="preserve">e </w:t>
      </w:r>
      <w:r w:rsidRPr="00C138EE">
        <w:t>critique considered that th</w:t>
      </w:r>
      <w:r w:rsidRPr="003051E3">
        <w:t>is wa</w:t>
      </w:r>
      <w:r w:rsidR="00026F80">
        <w:t xml:space="preserve">s substantially underestimated given </w:t>
      </w:r>
      <w:r w:rsidRPr="003051E3">
        <w:t xml:space="preserve">the superior comparative effectiveness of </w:t>
      </w:r>
      <w:proofErr w:type="gramStart"/>
      <w:r w:rsidRPr="003051E3">
        <w:t>crizotinib,</w:t>
      </w:r>
      <w:proofErr w:type="gramEnd"/>
      <w:r w:rsidRPr="003051E3">
        <w:t xml:space="preserve"> clinicians would be very likely to request </w:t>
      </w:r>
      <w:r w:rsidRPr="00420D95">
        <w:rPr>
          <w:i/>
        </w:rPr>
        <w:t>ROS1</w:t>
      </w:r>
      <w:r w:rsidRPr="003051E3">
        <w:t xml:space="preserve"> FISH testing. The size of the population eligible for </w:t>
      </w:r>
      <w:r w:rsidRPr="00420D95">
        <w:rPr>
          <w:i/>
        </w:rPr>
        <w:t>ROS1</w:t>
      </w:r>
      <w:r w:rsidRPr="003051E3">
        <w:t xml:space="preserve"> FISH testing was also dependant on the sensitivity and specificity of </w:t>
      </w:r>
      <w:r w:rsidRPr="0036761F">
        <w:t>ROS1</w:t>
      </w:r>
      <w:r w:rsidRPr="003051E3">
        <w:t xml:space="preserve"> IHC in Australian practice. There was some variation in </w:t>
      </w:r>
      <w:r w:rsidRPr="0036761F">
        <w:t>ROS1</w:t>
      </w:r>
      <w:r w:rsidRPr="003051E3">
        <w:t xml:space="preserve"> IHC sensitivity and specificity in the Australian studies presented in the </w:t>
      </w:r>
      <w:r>
        <w:t>application</w:t>
      </w:r>
      <w:r w:rsidRPr="003051E3">
        <w:t>.</w:t>
      </w:r>
    </w:p>
    <w:p w14:paraId="0CAC2949" w14:textId="77777777" w:rsidR="000E1556" w:rsidRPr="003051E3" w:rsidRDefault="000E1556" w:rsidP="00100F62">
      <w:pPr>
        <w:spacing w:before="120" w:after="120"/>
      </w:pPr>
      <w:r w:rsidRPr="003051E3">
        <w:t xml:space="preserve">The estimated cost implications to the MBS of </w:t>
      </w:r>
      <w:r w:rsidRPr="00420D95">
        <w:rPr>
          <w:i/>
        </w:rPr>
        <w:t>ROS1</w:t>
      </w:r>
      <w:r w:rsidRPr="003051E3">
        <w:t xml:space="preserve"> testing </w:t>
      </w:r>
      <w:r>
        <w:t>are</w:t>
      </w:r>
      <w:r w:rsidRPr="003051E3">
        <w:t xml:space="preserve"> presented in the table below.</w:t>
      </w:r>
    </w:p>
    <w:p w14:paraId="43B88E17" w14:textId="77777777" w:rsidR="000E1556" w:rsidRPr="003051E3" w:rsidRDefault="000E1556" w:rsidP="000E1556">
      <w:pPr>
        <w:pStyle w:val="TableHeading"/>
        <w:jc w:val="both"/>
      </w:pPr>
      <w:r>
        <w:t xml:space="preserve">Table </w:t>
      </w:r>
      <w:r w:rsidR="00026F80">
        <w:t>9</w:t>
      </w:r>
      <w:r w:rsidRPr="003051E3">
        <w:t>: Estimated cost implications to the MBS</w:t>
      </w:r>
    </w:p>
    <w:tbl>
      <w:tblPr>
        <w:tblStyle w:val="GridTable1Light1"/>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he application estimated financial implications to the MBS if the test is listed"/>
      </w:tblPr>
      <w:tblGrid>
        <w:gridCol w:w="3147"/>
        <w:gridCol w:w="992"/>
        <w:gridCol w:w="992"/>
        <w:gridCol w:w="993"/>
        <w:gridCol w:w="992"/>
        <w:gridCol w:w="992"/>
        <w:gridCol w:w="992"/>
      </w:tblGrid>
      <w:tr w:rsidR="000E1556" w:rsidRPr="003051E3" w14:paraId="1A4B1B6F" w14:textId="77777777" w:rsidTr="0003401A">
        <w:trPr>
          <w:cnfStyle w:val="100000000000" w:firstRow="1" w:lastRow="0" w:firstColumn="0" w:lastColumn="0" w:oddVBand="0" w:evenVBand="0" w:oddHBand="0" w:evenHBand="0" w:firstRowFirstColumn="0" w:firstRowLastColumn="0" w:lastRowFirstColumn="0" w:lastRowLastColumn="0"/>
          <w:cantSplit/>
          <w:trHeight w:val="56"/>
          <w:tblHeader/>
        </w:trPr>
        <w:tc>
          <w:tcPr>
            <w:cnfStyle w:val="001000000000" w:firstRow="0" w:lastRow="0" w:firstColumn="1" w:lastColumn="0" w:oddVBand="0" w:evenVBand="0" w:oddHBand="0" w:evenHBand="0" w:firstRowFirstColumn="0" w:firstRowLastColumn="0" w:lastRowFirstColumn="0" w:lastRowLastColumn="0"/>
            <w:tcW w:w="3147" w:type="dxa"/>
            <w:tcBorders>
              <w:top w:val="single" w:sz="4" w:space="0" w:color="auto"/>
              <w:left w:val="single" w:sz="4" w:space="0" w:color="auto"/>
              <w:bottom w:val="single" w:sz="4" w:space="0" w:color="auto"/>
              <w:right w:val="single" w:sz="4" w:space="0" w:color="auto"/>
            </w:tcBorders>
            <w:tcMar>
              <w:top w:w="28" w:type="dxa"/>
              <w:left w:w="28" w:type="dxa"/>
            </w:tcMar>
            <w:vAlign w:val="center"/>
          </w:tcPr>
          <w:p w14:paraId="1A2FE784" w14:textId="77777777" w:rsidR="000E1556" w:rsidRPr="003051E3" w:rsidRDefault="000E1556" w:rsidP="000E1556">
            <w:pPr>
              <w:pStyle w:val="TableText"/>
              <w:jc w:val="both"/>
              <w:rPr>
                <w:rFonts w:eastAsia="Calibri" w:cs="Arial"/>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14:paraId="3AD180A8" w14:textId="77777777" w:rsidR="000E1556" w:rsidRPr="003051E3" w:rsidRDefault="000E1556" w:rsidP="000E1556">
            <w:pPr>
              <w:pStyle w:val="TableText"/>
              <w:jc w:val="center"/>
              <w:cnfStyle w:val="100000000000" w:firstRow="1" w:lastRow="0" w:firstColumn="0" w:lastColumn="0" w:oddVBand="0" w:evenVBand="0" w:oddHBand="0" w:evenHBand="0" w:firstRowFirstColumn="0" w:firstRowLastColumn="0" w:lastRowFirstColumn="0" w:lastRowLastColumn="0"/>
              <w:rPr>
                <w:szCs w:val="20"/>
              </w:rPr>
            </w:pPr>
            <w:r w:rsidRPr="003051E3">
              <w:rPr>
                <w:szCs w:val="20"/>
              </w:rPr>
              <w:t>Year 1</w:t>
            </w:r>
          </w:p>
          <w:p w14:paraId="12416E5F" w14:textId="77777777" w:rsidR="000E1556" w:rsidRPr="003051E3" w:rsidRDefault="000E1556" w:rsidP="000E1556">
            <w:pPr>
              <w:pStyle w:val="TableText"/>
              <w:jc w:val="center"/>
              <w:cnfStyle w:val="100000000000" w:firstRow="1" w:lastRow="0" w:firstColumn="0" w:lastColumn="0" w:oddVBand="0" w:evenVBand="0" w:oddHBand="0" w:evenHBand="0" w:firstRowFirstColumn="0" w:firstRowLastColumn="0" w:lastRowFirstColumn="0" w:lastRowLastColumn="0"/>
              <w:rPr>
                <w:szCs w:val="20"/>
              </w:rPr>
            </w:pPr>
            <w:r w:rsidRPr="003051E3">
              <w:rPr>
                <w:szCs w:val="20"/>
              </w:rPr>
              <w:t>2018</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14:paraId="7333F4F8" w14:textId="77777777" w:rsidR="000E1556" w:rsidRPr="003051E3" w:rsidRDefault="000E1556" w:rsidP="000E1556">
            <w:pPr>
              <w:pStyle w:val="TableText"/>
              <w:jc w:val="center"/>
              <w:cnfStyle w:val="100000000000" w:firstRow="1" w:lastRow="0" w:firstColumn="0" w:lastColumn="0" w:oddVBand="0" w:evenVBand="0" w:oddHBand="0" w:evenHBand="0" w:firstRowFirstColumn="0" w:firstRowLastColumn="0" w:lastRowFirstColumn="0" w:lastRowLastColumn="0"/>
              <w:rPr>
                <w:szCs w:val="20"/>
              </w:rPr>
            </w:pPr>
            <w:r w:rsidRPr="003051E3">
              <w:rPr>
                <w:szCs w:val="20"/>
              </w:rPr>
              <w:t>Year 2</w:t>
            </w:r>
          </w:p>
          <w:p w14:paraId="2B49D2B8" w14:textId="77777777" w:rsidR="000E1556" w:rsidRPr="003051E3" w:rsidRDefault="000E1556" w:rsidP="000E1556">
            <w:pPr>
              <w:pStyle w:val="TableText"/>
              <w:jc w:val="center"/>
              <w:cnfStyle w:val="100000000000" w:firstRow="1" w:lastRow="0" w:firstColumn="0" w:lastColumn="0" w:oddVBand="0" w:evenVBand="0" w:oddHBand="0" w:evenHBand="0" w:firstRowFirstColumn="0" w:firstRowLastColumn="0" w:lastRowFirstColumn="0" w:lastRowLastColumn="0"/>
              <w:rPr>
                <w:szCs w:val="20"/>
              </w:rPr>
            </w:pPr>
            <w:r w:rsidRPr="003051E3">
              <w:rPr>
                <w:szCs w:val="20"/>
              </w:rPr>
              <w:t>2019</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14:paraId="4A25A3CD" w14:textId="77777777" w:rsidR="000E1556" w:rsidRPr="003051E3" w:rsidRDefault="000E1556" w:rsidP="000E1556">
            <w:pPr>
              <w:pStyle w:val="TableText"/>
              <w:jc w:val="center"/>
              <w:cnfStyle w:val="100000000000" w:firstRow="1" w:lastRow="0" w:firstColumn="0" w:lastColumn="0" w:oddVBand="0" w:evenVBand="0" w:oddHBand="0" w:evenHBand="0" w:firstRowFirstColumn="0" w:firstRowLastColumn="0" w:lastRowFirstColumn="0" w:lastRowLastColumn="0"/>
              <w:rPr>
                <w:szCs w:val="20"/>
              </w:rPr>
            </w:pPr>
            <w:r w:rsidRPr="003051E3">
              <w:rPr>
                <w:szCs w:val="20"/>
              </w:rPr>
              <w:t>Year 3</w:t>
            </w:r>
          </w:p>
          <w:p w14:paraId="2109C9D7" w14:textId="77777777" w:rsidR="000E1556" w:rsidRPr="003051E3" w:rsidRDefault="000E1556" w:rsidP="000E1556">
            <w:pPr>
              <w:pStyle w:val="TableText"/>
              <w:jc w:val="center"/>
              <w:cnfStyle w:val="100000000000" w:firstRow="1" w:lastRow="0" w:firstColumn="0" w:lastColumn="0" w:oddVBand="0" w:evenVBand="0" w:oddHBand="0" w:evenHBand="0" w:firstRowFirstColumn="0" w:firstRowLastColumn="0" w:lastRowFirstColumn="0" w:lastRowLastColumn="0"/>
              <w:rPr>
                <w:szCs w:val="20"/>
              </w:rPr>
            </w:pPr>
            <w:r w:rsidRPr="003051E3">
              <w:rPr>
                <w:szCs w:val="20"/>
              </w:rPr>
              <w:t>2020</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14:paraId="0F90F2D5" w14:textId="77777777" w:rsidR="000E1556" w:rsidRPr="003051E3" w:rsidRDefault="000E1556" w:rsidP="000E1556">
            <w:pPr>
              <w:pStyle w:val="TableText"/>
              <w:jc w:val="center"/>
              <w:cnfStyle w:val="100000000000" w:firstRow="1" w:lastRow="0" w:firstColumn="0" w:lastColumn="0" w:oddVBand="0" w:evenVBand="0" w:oddHBand="0" w:evenHBand="0" w:firstRowFirstColumn="0" w:firstRowLastColumn="0" w:lastRowFirstColumn="0" w:lastRowLastColumn="0"/>
              <w:rPr>
                <w:szCs w:val="20"/>
              </w:rPr>
            </w:pPr>
            <w:r w:rsidRPr="003051E3">
              <w:rPr>
                <w:szCs w:val="20"/>
              </w:rPr>
              <w:t>Year 4</w:t>
            </w:r>
          </w:p>
          <w:p w14:paraId="46C091EC" w14:textId="77777777" w:rsidR="000E1556" w:rsidRPr="003051E3" w:rsidRDefault="000E1556" w:rsidP="000E1556">
            <w:pPr>
              <w:pStyle w:val="TableText"/>
              <w:jc w:val="center"/>
              <w:cnfStyle w:val="100000000000" w:firstRow="1" w:lastRow="0" w:firstColumn="0" w:lastColumn="0" w:oddVBand="0" w:evenVBand="0" w:oddHBand="0" w:evenHBand="0" w:firstRowFirstColumn="0" w:firstRowLastColumn="0" w:lastRowFirstColumn="0" w:lastRowLastColumn="0"/>
              <w:rPr>
                <w:szCs w:val="20"/>
              </w:rPr>
            </w:pPr>
            <w:r w:rsidRPr="003051E3">
              <w:rPr>
                <w:szCs w:val="20"/>
              </w:rPr>
              <w:t>2021</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14:paraId="64AADB95" w14:textId="77777777" w:rsidR="000E1556" w:rsidRPr="003051E3" w:rsidRDefault="000E1556" w:rsidP="000E1556">
            <w:pPr>
              <w:pStyle w:val="TableText"/>
              <w:jc w:val="center"/>
              <w:cnfStyle w:val="100000000000" w:firstRow="1" w:lastRow="0" w:firstColumn="0" w:lastColumn="0" w:oddVBand="0" w:evenVBand="0" w:oddHBand="0" w:evenHBand="0" w:firstRowFirstColumn="0" w:firstRowLastColumn="0" w:lastRowFirstColumn="0" w:lastRowLastColumn="0"/>
              <w:rPr>
                <w:szCs w:val="20"/>
              </w:rPr>
            </w:pPr>
            <w:r w:rsidRPr="003051E3">
              <w:rPr>
                <w:szCs w:val="20"/>
              </w:rPr>
              <w:t>Year 5</w:t>
            </w:r>
          </w:p>
          <w:p w14:paraId="09B6BC99" w14:textId="77777777" w:rsidR="000E1556" w:rsidRPr="003051E3" w:rsidRDefault="000E1556" w:rsidP="000E1556">
            <w:pPr>
              <w:pStyle w:val="TableText"/>
              <w:jc w:val="center"/>
              <w:cnfStyle w:val="100000000000" w:firstRow="1" w:lastRow="0" w:firstColumn="0" w:lastColumn="0" w:oddVBand="0" w:evenVBand="0" w:oddHBand="0" w:evenHBand="0" w:firstRowFirstColumn="0" w:firstRowLastColumn="0" w:lastRowFirstColumn="0" w:lastRowLastColumn="0"/>
              <w:rPr>
                <w:szCs w:val="20"/>
              </w:rPr>
            </w:pPr>
            <w:r w:rsidRPr="003051E3">
              <w:rPr>
                <w:szCs w:val="20"/>
              </w:rPr>
              <w:t>2022</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tcPr>
          <w:p w14:paraId="426DE86A" w14:textId="77777777" w:rsidR="000E1556" w:rsidRPr="003051E3" w:rsidRDefault="000E1556" w:rsidP="000E1556">
            <w:pPr>
              <w:pStyle w:val="TableText"/>
              <w:jc w:val="center"/>
              <w:cnfStyle w:val="100000000000" w:firstRow="1" w:lastRow="0" w:firstColumn="0" w:lastColumn="0" w:oddVBand="0" w:evenVBand="0" w:oddHBand="0" w:evenHBand="0" w:firstRowFirstColumn="0" w:firstRowLastColumn="0" w:lastRowFirstColumn="0" w:lastRowLastColumn="0"/>
              <w:rPr>
                <w:szCs w:val="20"/>
              </w:rPr>
            </w:pPr>
            <w:r w:rsidRPr="003051E3">
              <w:rPr>
                <w:szCs w:val="20"/>
              </w:rPr>
              <w:t>Year 6</w:t>
            </w:r>
          </w:p>
          <w:p w14:paraId="0D79F225" w14:textId="77777777" w:rsidR="000E1556" w:rsidRPr="003051E3" w:rsidRDefault="000E1556" w:rsidP="000E1556">
            <w:pPr>
              <w:pStyle w:val="TableText"/>
              <w:jc w:val="center"/>
              <w:cnfStyle w:val="100000000000" w:firstRow="1" w:lastRow="0" w:firstColumn="0" w:lastColumn="0" w:oddVBand="0" w:evenVBand="0" w:oddHBand="0" w:evenHBand="0" w:firstRowFirstColumn="0" w:firstRowLastColumn="0" w:lastRowFirstColumn="0" w:lastRowLastColumn="0"/>
              <w:rPr>
                <w:szCs w:val="20"/>
              </w:rPr>
            </w:pPr>
            <w:r w:rsidRPr="003051E3">
              <w:rPr>
                <w:szCs w:val="20"/>
              </w:rPr>
              <w:t>2023</w:t>
            </w:r>
          </w:p>
        </w:tc>
      </w:tr>
      <w:tr w:rsidR="000E1556" w:rsidRPr="003051E3" w14:paraId="7289448D" w14:textId="77777777" w:rsidTr="000E1556">
        <w:trPr>
          <w:cantSplit/>
          <w:trHeight w:val="56"/>
        </w:trPr>
        <w:tc>
          <w:tcPr>
            <w:cnfStyle w:val="001000000000" w:firstRow="0" w:lastRow="0" w:firstColumn="1" w:lastColumn="0" w:oddVBand="0" w:evenVBand="0" w:oddHBand="0" w:evenHBand="0" w:firstRowFirstColumn="0" w:firstRowLastColumn="0" w:lastRowFirstColumn="0" w:lastRowLastColumn="0"/>
            <w:tcW w:w="3147" w:type="dxa"/>
            <w:tcBorders>
              <w:top w:val="single" w:sz="4" w:space="0" w:color="auto"/>
              <w:left w:val="single" w:sz="4" w:space="0" w:color="auto"/>
              <w:bottom w:val="single" w:sz="4" w:space="0" w:color="auto"/>
              <w:right w:val="single" w:sz="4" w:space="0" w:color="auto"/>
            </w:tcBorders>
            <w:tcMar>
              <w:top w:w="28" w:type="dxa"/>
              <w:left w:w="28" w:type="dxa"/>
            </w:tcMar>
            <w:vAlign w:val="center"/>
          </w:tcPr>
          <w:p w14:paraId="4E682852" w14:textId="77777777" w:rsidR="000E1556" w:rsidRPr="00932FAC" w:rsidRDefault="000E1556" w:rsidP="000E1556">
            <w:pPr>
              <w:pStyle w:val="TableText"/>
              <w:rPr>
                <w:rFonts w:eastAsia="Calibri" w:cs="Arial"/>
                <w:b w:val="0"/>
                <w:szCs w:val="20"/>
              </w:rPr>
            </w:pPr>
            <w:r w:rsidRPr="00932FAC">
              <w:rPr>
                <w:rFonts w:eastAsia="Calibri" w:cs="Arial"/>
                <w:b w:val="0"/>
                <w:szCs w:val="20"/>
              </w:rPr>
              <w:t>Cost of IHC testing (Item 72846)</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vAlign w:val="center"/>
          </w:tcPr>
          <w:p w14:paraId="0CDFB812" w14:textId="74206B78" w:rsidR="000E1556" w:rsidRPr="003051E3" w:rsidRDefault="000E1556" w:rsidP="000E1556">
            <w:pPr>
              <w:pStyle w:val="TableText"/>
              <w:jc w:val="center"/>
              <w:cnfStyle w:val="000000000000" w:firstRow="0" w:lastRow="0" w:firstColumn="0" w:lastColumn="0" w:oddVBand="0" w:evenVBand="0" w:oddHBand="0" w:evenHBand="0" w:firstRowFirstColumn="0" w:firstRowLastColumn="0" w:lastRowFirstColumn="0" w:lastRowLastColumn="0"/>
              <w:rPr>
                <w:rFonts w:cs="Arial"/>
                <w:szCs w:val="20"/>
              </w:rPr>
            </w:pPr>
            <w:r w:rsidRPr="003051E3">
              <w:rPr>
                <w:szCs w:val="20"/>
              </w:rPr>
              <w:t>$</w:t>
            </w:r>
            <w:r w:rsidR="001172D5" w:rsidRPr="001172D5">
              <w:rPr>
                <w:rFonts w:cs="Arial"/>
                <w:color w:val="000000"/>
                <w:szCs w:val="20"/>
              </w:rPr>
              <w:t>redacted</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vAlign w:val="center"/>
          </w:tcPr>
          <w:p w14:paraId="7DA53BB0" w14:textId="1AE7F8C9" w:rsidR="000E1556" w:rsidRPr="003051E3" w:rsidRDefault="000E1556"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3051E3">
              <w:rPr>
                <w:szCs w:val="20"/>
              </w:rPr>
              <w:t>$</w:t>
            </w:r>
            <w:r w:rsidR="001172D5" w:rsidRPr="001172D5">
              <w:rPr>
                <w:rFonts w:cs="Arial"/>
                <w:color w:val="000000"/>
                <w:szCs w:val="20"/>
              </w:rPr>
              <w:t>redacted</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vAlign w:val="center"/>
          </w:tcPr>
          <w:p w14:paraId="46EFD522" w14:textId="7BEC45B8" w:rsidR="000E1556" w:rsidRPr="003051E3" w:rsidRDefault="000E1556" w:rsidP="001172D5">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3051E3">
              <w:rPr>
                <w:szCs w:val="20"/>
              </w:rPr>
              <w:t>$</w:t>
            </w:r>
            <w:r w:rsidR="001172D5" w:rsidRPr="001172D5">
              <w:rPr>
                <w:rFonts w:cs="Arial"/>
                <w:color w:val="000000"/>
                <w:szCs w:val="20"/>
              </w:rPr>
              <w:t>redacted</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vAlign w:val="center"/>
          </w:tcPr>
          <w:p w14:paraId="79D05F7A" w14:textId="4FEF5D56" w:rsidR="000E1556" w:rsidRPr="003051E3" w:rsidRDefault="000E1556"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3051E3">
              <w:rPr>
                <w:szCs w:val="20"/>
              </w:rPr>
              <w:t>$</w:t>
            </w:r>
            <w:r w:rsidR="001172D5" w:rsidRPr="001172D5">
              <w:rPr>
                <w:rFonts w:cs="Arial"/>
                <w:color w:val="000000"/>
                <w:szCs w:val="20"/>
              </w:rPr>
              <w:t>redacted</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vAlign w:val="center"/>
          </w:tcPr>
          <w:p w14:paraId="49EBBB43" w14:textId="40F6854F" w:rsidR="000E1556" w:rsidRPr="003051E3" w:rsidRDefault="000E1556"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3051E3">
              <w:rPr>
                <w:szCs w:val="20"/>
              </w:rPr>
              <w:t>$</w:t>
            </w:r>
            <w:r w:rsidR="001172D5" w:rsidRPr="001172D5">
              <w:rPr>
                <w:rFonts w:cs="Arial"/>
                <w:color w:val="000000"/>
                <w:szCs w:val="20"/>
              </w:rPr>
              <w:t>redacted</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vAlign w:val="center"/>
          </w:tcPr>
          <w:p w14:paraId="737BE190" w14:textId="2B658DAD" w:rsidR="000E1556" w:rsidRPr="003051E3" w:rsidRDefault="000E1556" w:rsidP="001172D5">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3051E3">
              <w:rPr>
                <w:szCs w:val="20"/>
              </w:rPr>
              <w:t>$</w:t>
            </w:r>
            <w:r w:rsidR="001172D5" w:rsidRPr="001172D5">
              <w:rPr>
                <w:rFonts w:cs="Arial"/>
                <w:color w:val="000000"/>
                <w:szCs w:val="20"/>
              </w:rPr>
              <w:t>redacted</w:t>
            </w:r>
          </w:p>
        </w:tc>
      </w:tr>
      <w:tr w:rsidR="000E1556" w:rsidRPr="003051E3" w14:paraId="407F376B" w14:textId="77777777" w:rsidTr="000E1556">
        <w:trPr>
          <w:cantSplit/>
          <w:trHeight w:val="56"/>
        </w:trPr>
        <w:tc>
          <w:tcPr>
            <w:cnfStyle w:val="001000000000" w:firstRow="0" w:lastRow="0" w:firstColumn="1" w:lastColumn="0" w:oddVBand="0" w:evenVBand="0" w:oddHBand="0" w:evenHBand="0" w:firstRowFirstColumn="0" w:firstRowLastColumn="0" w:lastRowFirstColumn="0" w:lastRowLastColumn="0"/>
            <w:tcW w:w="3147" w:type="dxa"/>
            <w:tcBorders>
              <w:top w:val="single" w:sz="4" w:space="0" w:color="auto"/>
              <w:left w:val="single" w:sz="4" w:space="0" w:color="auto"/>
              <w:bottom w:val="single" w:sz="4" w:space="0" w:color="auto"/>
              <w:right w:val="single" w:sz="4" w:space="0" w:color="auto"/>
            </w:tcBorders>
            <w:tcMar>
              <w:top w:w="28" w:type="dxa"/>
              <w:left w:w="28" w:type="dxa"/>
            </w:tcMar>
            <w:vAlign w:val="center"/>
          </w:tcPr>
          <w:p w14:paraId="1717BD27" w14:textId="77777777" w:rsidR="000E1556" w:rsidRPr="00932FAC" w:rsidRDefault="000E1556" w:rsidP="000E1556">
            <w:pPr>
              <w:pStyle w:val="TableText"/>
              <w:rPr>
                <w:rFonts w:eastAsia="Calibri" w:cs="Arial"/>
                <w:b w:val="0"/>
                <w:szCs w:val="20"/>
              </w:rPr>
            </w:pPr>
            <w:r w:rsidRPr="00932FAC">
              <w:rPr>
                <w:rFonts w:eastAsia="Calibri" w:cs="Arial"/>
                <w:b w:val="0"/>
                <w:szCs w:val="20"/>
              </w:rPr>
              <w:t xml:space="preserve">Patients receiving proposed </w:t>
            </w:r>
            <w:r w:rsidRPr="00420D95">
              <w:rPr>
                <w:rFonts w:eastAsia="Calibri" w:cs="Arial"/>
                <w:b w:val="0"/>
                <w:i/>
                <w:szCs w:val="20"/>
              </w:rPr>
              <w:t>ROS1</w:t>
            </w:r>
            <w:r w:rsidRPr="00932FAC">
              <w:rPr>
                <w:rFonts w:eastAsia="Calibri" w:cs="Arial"/>
                <w:b w:val="0"/>
                <w:szCs w:val="20"/>
              </w:rPr>
              <w:t xml:space="preserve"> FISH testing</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vAlign w:val="center"/>
          </w:tcPr>
          <w:p w14:paraId="04C03240" w14:textId="75485935" w:rsidR="000E1556" w:rsidRPr="003051E3"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rFonts w:cs="Arial"/>
                <w:szCs w:val="20"/>
              </w:rPr>
            </w:pPr>
            <w:r w:rsidRPr="001172D5">
              <w:rPr>
                <w:rFonts w:cs="Arial"/>
                <w:color w:val="000000"/>
                <w:szCs w:val="20"/>
              </w:rPr>
              <w:t>redacted</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vAlign w:val="center"/>
          </w:tcPr>
          <w:p w14:paraId="5C5473C0" w14:textId="7081F099" w:rsidR="000E1556" w:rsidRPr="003051E3"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1172D5">
              <w:rPr>
                <w:rFonts w:cs="Arial"/>
                <w:color w:val="000000"/>
                <w:szCs w:val="20"/>
              </w:rPr>
              <w:t>redacted</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vAlign w:val="center"/>
          </w:tcPr>
          <w:p w14:paraId="2EE976ED" w14:textId="1ECF8E76" w:rsidR="000E1556" w:rsidRPr="003051E3"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1172D5">
              <w:rPr>
                <w:rFonts w:cs="Arial"/>
                <w:color w:val="000000"/>
                <w:szCs w:val="20"/>
              </w:rPr>
              <w:t>redacted</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vAlign w:val="center"/>
          </w:tcPr>
          <w:p w14:paraId="4D842455" w14:textId="588A21F9" w:rsidR="000E1556" w:rsidRPr="003051E3"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1172D5">
              <w:rPr>
                <w:rFonts w:cs="Arial"/>
                <w:color w:val="000000"/>
                <w:szCs w:val="20"/>
              </w:rPr>
              <w:t>redacted</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vAlign w:val="center"/>
          </w:tcPr>
          <w:p w14:paraId="6172C098" w14:textId="0E442A6E" w:rsidR="000E1556" w:rsidRPr="003051E3"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1172D5">
              <w:rPr>
                <w:rFonts w:cs="Arial"/>
                <w:color w:val="000000"/>
                <w:szCs w:val="20"/>
              </w:rPr>
              <w:t>redacted</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vAlign w:val="center"/>
          </w:tcPr>
          <w:p w14:paraId="0A5380C2" w14:textId="2544525B" w:rsidR="000E1556" w:rsidRPr="003051E3" w:rsidRDefault="001172D5"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1172D5">
              <w:rPr>
                <w:rFonts w:cs="Arial"/>
                <w:color w:val="000000"/>
                <w:szCs w:val="20"/>
              </w:rPr>
              <w:t>redacted</w:t>
            </w:r>
          </w:p>
        </w:tc>
      </w:tr>
      <w:tr w:rsidR="000E1556" w:rsidRPr="003051E3" w14:paraId="10EFC102" w14:textId="77777777" w:rsidTr="000E1556">
        <w:trPr>
          <w:cantSplit/>
          <w:trHeight w:val="56"/>
        </w:trPr>
        <w:tc>
          <w:tcPr>
            <w:cnfStyle w:val="001000000000" w:firstRow="0" w:lastRow="0" w:firstColumn="1" w:lastColumn="0" w:oddVBand="0" w:evenVBand="0" w:oddHBand="0" w:evenHBand="0" w:firstRowFirstColumn="0" w:firstRowLastColumn="0" w:lastRowFirstColumn="0" w:lastRowLastColumn="0"/>
            <w:tcW w:w="3147" w:type="dxa"/>
            <w:tcBorders>
              <w:top w:val="single" w:sz="4" w:space="0" w:color="auto"/>
              <w:left w:val="single" w:sz="4" w:space="0" w:color="auto"/>
              <w:bottom w:val="single" w:sz="4" w:space="0" w:color="auto"/>
              <w:right w:val="single" w:sz="4" w:space="0" w:color="auto"/>
            </w:tcBorders>
            <w:tcMar>
              <w:top w:w="28" w:type="dxa"/>
              <w:left w:w="28" w:type="dxa"/>
            </w:tcMar>
            <w:vAlign w:val="center"/>
          </w:tcPr>
          <w:p w14:paraId="6B7DCC66" w14:textId="77777777" w:rsidR="000E1556" w:rsidRPr="00932FAC" w:rsidRDefault="000E1556" w:rsidP="000E1556">
            <w:pPr>
              <w:pStyle w:val="TableText"/>
              <w:rPr>
                <w:rFonts w:eastAsia="Calibri" w:cs="Arial"/>
                <w:b w:val="0"/>
                <w:szCs w:val="20"/>
              </w:rPr>
            </w:pPr>
            <w:r w:rsidRPr="00932FAC">
              <w:rPr>
                <w:rFonts w:eastAsia="Calibri" w:cs="Arial"/>
                <w:b w:val="0"/>
                <w:szCs w:val="20"/>
              </w:rPr>
              <w:t xml:space="preserve">Cost of </w:t>
            </w:r>
            <w:r w:rsidRPr="00420D95">
              <w:rPr>
                <w:rFonts w:eastAsia="Calibri" w:cs="Arial"/>
                <w:b w:val="0"/>
                <w:i/>
                <w:szCs w:val="20"/>
              </w:rPr>
              <w:t>ROS1</w:t>
            </w:r>
            <w:r w:rsidRPr="00932FAC">
              <w:rPr>
                <w:rFonts w:eastAsia="Calibri" w:cs="Arial"/>
                <w:b w:val="0"/>
                <w:szCs w:val="20"/>
              </w:rPr>
              <w:t xml:space="preserve"> FISH testing</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vAlign w:val="center"/>
          </w:tcPr>
          <w:p w14:paraId="54175EAA" w14:textId="232B02A6" w:rsidR="000E1556" w:rsidRPr="003051E3" w:rsidRDefault="000E1556" w:rsidP="000E1556">
            <w:pPr>
              <w:pStyle w:val="TableText"/>
              <w:jc w:val="center"/>
              <w:cnfStyle w:val="000000000000" w:firstRow="0" w:lastRow="0" w:firstColumn="0" w:lastColumn="0" w:oddVBand="0" w:evenVBand="0" w:oddHBand="0" w:evenHBand="0" w:firstRowFirstColumn="0" w:firstRowLastColumn="0" w:lastRowFirstColumn="0" w:lastRowLastColumn="0"/>
              <w:rPr>
                <w:rFonts w:cs="Arial"/>
                <w:szCs w:val="20"/>
              </w:rPr>
            </w:pPr>
            <w:r w:rsidRPr="003051E3">
              <w:rPr>
                <w:szCs w:val="20"/>
              </w:rPr>
              <w:t>$</w:t>
            </w:r>
            <w:r w:rsidR="001172D5" w:rsidRPr="001172D5">
              <w:rPr>
                <w:rFonts w:cs="Arial"/>
                <w:color w:val="000000"/>
                <w:szCs w:val="20"/>
              </w:rPr>
              <w:t>redacted</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vAlign w:val="center"/>
          </w:tcPr>
          <w:p w14:paraId="1F97721B" w14:textId="633153F4" w:rsidR="000E1556" w:rsidRPr="003051E3" w:rsidRDefault="000E1556" w:rsidP="001172D5">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3051E3">
              <w:rPr>
                <w:szCs w:val="20"/>
              </w:rPr>
              <w:t>$</w:t>
            </w:r>
            <w:r w:rsidR="001172D5" w:rsidRPr="001172D5">
              <w:rPr>
                <w:rFonts w:cs="Arial"/>
                <w:color w:val="000000"/>
                <w:szCs w:val="20"/>
              </w:rPr>
              <w:t>redacted</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vAlign w:val="center"/>
          </w:tcPr>
          <w:p w14:paraId="10014131" w14:textId="2E69A260" w:rsidR="000E1556" w:rsidRPr="003051E3" w:rsidRDefault="000E1556"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3051E3">
              <w:rPr>
                <w:szCs w:val="20"/>
              </w:rPr>
              <w:t>$</w:t>
            </w:r>
            <w:r w:rsidR="001172D5" w:rsidRPr="001172D5">
              <w:rPr>
                <w:rFonts w:cs="Arial"/>
                <w:color w:val="000000"/>
                <w:szCs w:val="20"/>
              </w:rPr>
              <w:t>redacted</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vAlign w:val="center"/>
          </w:tcPr>
          <w:p w14:paraId="1B2E9DF0" w14:textId="4211528F" w:rsidR="000E1556" w:rsidRPr="003051E3" w:rsidRDefault="000E1556"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3051E3">
              <w:rPr>
                <w:szCs w:val="20"/>
              </w:rPr>
              <w:t>$</w:t>
            </w:r>
            <w:r w:rsidR="001172D5" w:rsidRPr="001172D5">
              <w:rPr>
                <w:rFonts w:cs="Arial"/>
                <w:color w:val="000000"/>
                <w:szCs w:val="20"/>
              </w:rPr>
              <w:t>redacted</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vAlign w:val="center"/>
          </w:tcPr>
          <w:p w14:paraId="666DCF4F" w14:textId="22921858" w:rsidR="000E1556" w:rsidRPr="003051E3" w:rsidRDefault="000E1556"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3051E3">
              <w:rPr>
                <w:szCs w:val="20"/>
              </w:rPr>
              <w:t>$</w:t>
            </w:r>
            <w:r w:rsidR="001172D5" w:rsidRPr="001172D5">
              <w:rPr>
                <w:rFonts w:cs="Arial"/>
                <w:color w:val="000000"/>
                <w:szCs w:val="20"/>
              </w:rPr>
              <w:t>redacted</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vAlign w:val="center"/>
          </w:tcPr>
          <w:p w14:paraId="1DB702B6" w14:textId="27A2B7BE" w:rsidR="000E1556" w:rsidRPr="003051E3" w:rsidRDefault="000E1556"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3051E3">
              <w:rPr>
                <w:szCs w:val="20"/>
              </w:rPr>
              <w:t>$</w:t>
            </w:r>
            <w:r w:rsidR="001172D5" w:rsidRPr="001172D5">
              <w:rPr>
                <w:rFonts w:cs="Arial"/>
                <w:color w:val="000000"/>
                <w:szCs w:val="20"/>
              </w:rPr>
              <w:t>redacted</w:t>
            </w:r>
          </w:p>
        </w:tc>
      </w:tr>
      <w:tr w:rsidR="000E1556" w:rsidRPr="003051E3" w14:paraId="351FA4D5" w14:textId="77777777" w:rsidTr="000E1556">
        <w:trPr>
          <w:cantSplit/>
          <w:trHeight w:val="56"/>
        </w:trPr>
        <w:tc>
          <w:tcPr>
            <w:cnfStyle w:val="001000000000" w:firstRow="0" w:lastRow="0" w:firstColumn="1" w:lastColumn="0" w:oddVBand="0" w:evenVBand="0" w:oddHBand="0" w:evenHBand="0" w:firstRowFirstColumn="0" w:firstRowLastColumn="0" w:lastRowFirstColumn="0" w:lastRowLastColumn="0"/>
            <w:tcW w:w="3147" w:type="dxa"/>
            <w:tcBorders>
              <w:top w:val="single" w:sz="4" w:space="0" w:color="auto"/>
              <w:left w:val="single" w:sz="4" w:space="0" w:color="auto"/>
              <w:bottom w:val="single" w:sz="4" w:space="0" w:color="auto"/>
              <w:right w:val="single" w:sz="4" w:space="0" w:color="auto"/>
            </w:tcBorders>
            <w:tcMar>
              <w:top w:w="28" w:type="dxa"/>
              <w:left w:w="28" w:type="dxa"/>
            </w:tcMar>
            <w:vAlign w:val="center"/>
          </w:tcPr>
          <w:p w14:paraId="58CC28BD" w14:textId="77777777" w:rsidR="000E1556" w:rsidRPr="003051E3" w:rsidRDefault="000E1556" w:rsidP="000E1556">
            <w:pPr>
              <w:pStyle w:val="TableText"/>
              <w:rPr>
                <w:rFonts w:eastAsia="Calibri" w:cs="Arial"/>
                <w:szCs w:val="20"/>
              </w:rPr>
            </w:pPr>
            <w:r w:rsidRPr="003051E3">
              <w:rPr>
                <w:rFonts w:eastAsia="Calibri" w:cs="Arial"/>
                <w:szCs w:val="20"/>
              </w:rPr>
              <w:t xml:space="preserve">Total cost of </w:t>
            </w:r>
            <w:r w:rsidRPr="00420D95">
              <w:rPr>
                <w:rFonts w:eastAsia="Calibri" w:cs="Arial"/>
                <w:i/>
                <w:szCs w:val="20"/>
              </w:rPr>
              <w:t>ROS1</w:t>
            </w:r>
            <w:r w:rsidRPr="003051E3">
              <w:rPr>
                <w:rFonts w:eastAsia="Calibri" w:cs="Arial"/>
                <w:szCs w:val="20"/>
              </w:rPr>
              <w:t xml:space="preserve"> testing</w:t>
            </w:r>
          </w:p>
        </w:tc>
        <w:tc>
          <w:tcPr>
            <w:tcW w:w="992" w:type="dxa"/>
            <w:tcBorders>
              <w:top w:val="single" w:sz="4" w:space="0" w:color="auto"/>
              <w:left w:val="nil"/>
              <w:bottom w:val="single" w:sz="4" w:space="0" w:color="auto"/>
              <w:right w:val="single" w:sz="4" w:space="0" w:color="auto"/>
            </w:tcBorders>
            <w:shd w:val="clear" w:color="000000" w:fill="FFFFFF"/>
            <w:tcMar>
              <w:top w:w="28" w:type="dxa"/>
              <w:left w:w="28" w:type="dxa"/>
              <w:bottom w:w="0" w:type="dxa"/>
              <w:right w:w="28" w:type="dxa"/>
            </w:tcMar>
            <w:vAlign w:val="center"/>
          </w:tcPr>
          <w:p w14:paraId="2B43D1A6" w14:textId="58775A7E" w:rsidR="000E1556" w:rsidRPr="003051E3" w:rsidRDefault="000E1556" w:rsidP="000E1556">
            <w:pPr>
              <w:pStyle w:val="TableText"/>
              <w:jc w:val="center"/>
              <w:cnfStyle w:val="000000000000" w:firstRow="0" w:lastRow="0" w:firstColumn="0" w:lastColumn="0" w:oddVBand="0" w:evenVBand="0" w:oddHBand="0" w:evenHBand="0" w:firstRowFirstColumn="0" w:firstRowLastColumn="0" w:lastRowFirstColumn="0" w:lastRowLastColumn="0"/>
              <w:rPr>
                <w:b/>
              </w:rPr>
            </w:pPr>
            <w:r w:rsidRPr="003051E3">
              <w:rPr>
                <w:b/>
              </w:rPr>
              <w:t>$</w:t>
            </w:r>
            <w:r w:rsidR="001172D5" w:rsidRPr="001172D5">
              <w:rPr>
                <w:rFonts w:cs="Arial"/>
                <w:b/>
                <w:color w:val="000000"/>
                <w:szCs w:val="20"/>
              </w:rPr>
              <w:t>redacted</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28" w:type="dxa"/>
              <w:left w:w="28" w:type="dxa"/>
              <w:bottom w:w="0" w:type="dxa"/>
              <w:right w:w="28" w:type="dxa"/>
            </w:tcMar>
            <w:vAlign w:val="center"/>
          </w:tcPr>
          <w:p w14:paraId="63CE91DD" w14:textId="593D418C" w:rsidR="000E1556" w:rsidRPr="003051E3" w:rsidRDefault="000E1556" w:rsidP="000E1556">
            <w:pPr>
              <w:pStyle w:val="TableText"/>
              <w:jc w:val="center"/>
              <w:cnfStyle w:val="000000000000" w:firstRow="0" w:lastRow="0" w:firstColumn="0" w:lastColumn="0" w:oddVBand="0" w:evenVBand="0" w:oddHBand="0" w:evenHBand="0" w:firstRowFirstColumn="0" w:firstRowLastColumn="0" w:lastRowFirstColumn="0" w:lastRowLastColumn="0"/>
              <w:rPr>
                <w:b/>
              </w:rPr>
            </w:pPr>
            <w:r w:rsidRPr="003051E3">
              <w:rPr>
                <w:b/>
              </w:rPr>
              <w:t>$</w:t>
            </w:r>
            <w:r w:rsidR="001172D5" w:rsidRPr="001172D5">
              <w:rPr>
                <w:rFonts w:cs="Arial"/>
                <w:b/>
                <w:color w:val="000000"/>
                <w:szCs w:val="20"/>
              </w:rPr>
              <w:t>redacted</w:t>
            </w:r>
          </w:p>
        </w:tc>
        <w:tc>
          <w:tcPr>
            <w:tcW w:w="993" w:type="dxa"/>
            <w:tcBorders>
              <w:top w:val="single" w:sz="4" w:space="0" w:color="auto"/>
              <w:left w:val="single" w:sz="4" w:space="0" w:color="auto"/>
              <w:bottom w:val="single" w:sz="4" w:space="0" w:color="auto"/>
              <w:right w:val="single" w:sz="4" w:space="0" w:color="auto"/>
            </w:tcBorders>
            <w:shd w:val="clear" w:color="000000" w:fill="FFFFFF"/>
            <w:tcMar>
              <w:top w:w="28" w:type="dxa"/>
              <w:left w:w="28" w:type="dxa"/>
              <w:bottom w:w="0" w:type="dxa"/>
              <w:right w:w="28" w:type="dxa"/>
            </w:tcMar>
            <w:vAlign w:val="center"/>
          </w:tcPr>
          <w:p w14:paraId="06BEACD8" w14:textId="40AF6E20" w:rsidR="000E1556" w:rsidRPr="003051E3" w:rsidRDefault="000E1556" w:rsidP="000E1556">
            <w:pPr>
              <w:pStyle w:val="TableText"/>
              <w:jc w:val="center"/>
              <w:cnfStyle w:val="000000000000" w:firstRow="0" w:lastRow="0" w:firstColumn="0" w:lastColumn="0" w:oddVBand="0" w:evenVBand="0" w:oddHBand="0" w:evenHBand="0" w:firstRowFirstColumn="0" w:firstRowLastColumn="0" w:lastRowFirstColumn="0" w:lastRowLastColumn="0"/>
              <w:rPr>
                <w:b/>
              </w:rPr>
            </w:pPr>
            <w:r w:rsidRPr="003051E3">
              <w:rPr>
                <w:b/>
              </w:rPr>
              <w:t>$</w:t>
            </w:r>
            <w:r w:rsidR="001172D5" w:rsidRPr="001172D5">
              <w:rPr>
                <w:rFonts w:cs="Arial"/>
                <w:b/>
                <w:color w:val="000000"/>
                <w:szCs w:val="20"/>
              </w:rPr>
              <w:t>redacted</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28" w:type="dxa"/>
              <w:left w:w="28" w:type="dxa"/>
              <w:bottom w:w="0" w:type="dxa"/>
              <w:right w:w="28" w:type="dxa"/>
            </w:tcMar>
            <w:vAlign w:val="center"/>
          </w:tcPr>
          <w:p w14:paraId="5BF9A0FA" w14:textId="5ED47F65" w:rsidR="000E1556" w:rsidRPr="003051E3" w:rsidRDefault="000E1556" w:rsidP="000E1556">
            <w:pPr>
              <w:pStyle w:val="TableText"/>
              <w:jc w:val="center"/>
              <w:cnfStyle w:val="000000000000" w:firstRow="0" w:lastRow="0" w:firstColumn="0" w:lastColumn="0" w:oddVBand="0" w:evenVBand="0" w:oddHBand="0" w:evenHBand="0" w:firstRowFirstColumn="0" w:firstRowLastColumn="0" w:lastRowFirstColumn="0" w:lastRowLastColumn="0"/>
              <w:rPr>
                <w:b/>
              </w:rPr>
            </w:pPr>
            <w:r w:rsidRPr="003051E3">
              <w:rPr>
                <w:b/>
              </w:rPr>
              <w:t>$</w:t>
            </w:r>
            <w:r w:rsidR="001172D5" w:rsidRPr="001172D5">
              <w:rPr>
                <w:rFonts w:cs="Arial"/>
                <w:b/>
                <w:color w:val="000000"/>
                <w:szCs w:val="20"/>
              </w:rPr>
              <w:t>redacted</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28" w:type="dxa"/>
              <w:left w:w="28" w:type="dxa"/>
              <w:bottom w:w="0" w:type="dxa"/>
              <w:right w:w="28" w:type="dxa"/>
            </w:tcMar>
            <w:vAlign w:val="center"/>
          </w:tcPr>
          <w:p w14:paraId="12A16DBD" w14:textId="7B132FF7" w:rsidR="000E1556" w:rsidRPr="003051E3" w:rsidRDefault="000E1556" w:rsidP="000E1556">
            <w:pPr>
              <w:pStyle w:val="TableText"/>
              <w:jc w:val="center"/>
              <w:cnfStyle w:val="000000000000" w:firstRow="0" w:lastRow="0" w:firstColumn="0" w:lastColumn="0" w:oddVBand="0" w:evenVBand="0" w:oddHBand="0" w:evenHBand="0" w:firstRowFirstColumn="0" w:firstRowLastColumn="0" w:lastRowFirstColumn="0" w:lastRowLastColumn="0"/>
              <w:rPr>
                <w:b/>
              </w:rPr>
            </w:pPr>
            <w:r w:rsidRPr="003051E3">
              <w:rPr>
                <w:b/>
              </w:rPr>
              <w:t>$</w:t>
            </w:r>
            <w:r w:rsidR="001172D5" w:rsidRPr="001172D5">
              <w:rPr>
                <w:rFonts w:cs="Arial"/>
                <w:b/>
                <w:color w:val="000000"/>
                <w:szCs w:val="20"/>
              </w:rPr>
              <w:t>redacted</w:t>
            </w:r>
          </w:p>
        </w:tc>
        <w:tc>
          <w:tcPr>
            <w:tcW w:w="992" w:type="dxa"/>
            <w:tcBorders>
              <w:top w:val="single" w:sz="4" w:space="0" w:color="auto"/>
              <w:left w:val="single" w:sz="4" w:space="0" w:color="auto"/>
              <w:bottom w:val="single" w:sz="4" w:space="0" w:color="auto"/>
              <w:right w:val="single" w:sz="4" w:space="0" w:color="auto"/>
            </w:tcBorders>
            <w:shd w:val="clear" w:color="000000" w:fill="FFFFFF"/>
            <w:tcMar>
              <w:top w:w="28" w:type="dxa"/>
              <w:left w:w="28" w:type="dxa"/>
              <w:bottom w:w="0" w:type="dxa"/>
              <w:right w:w="28" w:type="dxa"/>
            </w:tcMar>
            <w:vAlign w:val="center"/>
          </w:tcPr>
          <w:p w14:paraId="55FBBA1C" w14:textId="1D17CCD8" w:rsidR="000E1556" w:rsidRPr="003051E3" w:rsidRDefault="000E1556" w:rsidP="000E1556">
            <w:pPr>
              <w:pStyle w:val="TableText"/>
              <w:jc w:val="center"/>
              <w:cnfStyle w:val="000000000000" w:firstRow="0" w:lastRow="0" w:firstColumn="0" w:lastColumn="0" w:oddVBand="0" w:evenVBand="0" w:oddHBand="0" w:evenHBand="0" w:firstRowFirstColumn="0" w:firstRowLastColumn="0" w:lastRowFirstColumn="0" w:lastRowLastColumn="0"/>
              <w:rPr>
                <w:b/>
              </w:rPr>
            </w:pPr>
            <w:r w:rsidRPr="003051E3">
              <w:rPr>
                <w:b/>
              </w:rPr>
              <w:t>$</w:t>
            </w:r>
            <w:r w:rsidR="001172D5" w:rsidRPr="001172D5">
              <w:rPr>
                <w:rFonts w:cs="Arial"/>
                <w:b/>
                <w:color w:val="000000"/>
                <w:szCs w:val="20"/>
              </w:rPr>
              <w:t>redacted</w:t>
            </w:r>
          </w:p>
        </w:tc>
      </w:tr>
      <w:tr w:rsidR="000E1556" w:rsidRPr="003051E3" w14:paraId="79505BE9" w14:textId="77777777" w:rsidTr="000E1556">
        <w:trPr>
          <w:cantSplit/>
          <w:trHeight w:val="56"/>
        </w:trPr>
        <w:tc>
          <w:tcPr>
            <w:cnfStyle w:val="001000000000" w:firstRow="0" w:lastRow="0" w:firstColumn="1" w:lastColumn="0" w:oddVBand="0" w:evenVBand="0" w:oddHBand="0" w:evenHBand="0" w:firstRowFirstColumn="0" w:firstRowLastColumn="0" w:lastRowFirstColumn="0" w:lastRowLastColumn="0"/>
            <w:tcW w:w="3147" w:type="dxa"/>
            <w:tcBorders>
              <w:top w:val="single" w:sz="4" w:space="0" w:color="auto"/>
              <w:left w:val="single" w:sz="4" w:space="0" w:color="auto"/>
              <w:bottom w:val="single" w:sz="4" w:space="0" w:color="auto"/>
              <w:right w:val="single" w:sz="4" w:space="0" w:color="auto"/>
            </w:tcBorders>
            <w:tcMar>
              <w:top w:w="28" w:type="dxa"/>
              <w:left w:w="28" w:type="dxa"/>
            </w:tcMar>
            <w:vAlign w:val="center"/>
          </w:tcPr>
          <w:p w14:paraId="1A033EFF" w14:textId="77777777" w:rsidR="000E1556" w:rsidRPr="00932FAC" w:rsidRDefault="000E1556" w:rsidP="000E1556">
            <w:pPr>
              <w:pStyle w:val="TableText"/>
              <w:rPr>
                <w:rFonts w:eastAsia="Calibri" w:cs="Arial"/>
                <w:b w:val="0"/>
                <w:szCs w:val="20"/>
              </w:rPr>
            </w:pPr>
            <w:r w:rsidRPr="00932FAC">
              <w:rPr>
                <w:rFonts w:eastAsia="Calibri" w:cs="Arial"/>
                <w:b w:val="0"/>
                <w:szCs w:val="20"/>
              </w:rPr>
              <w:t>Cost of ophthalmological examinations (Items 10910, 10913)</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vAlign w:val="center"/>
          </w:tcPr>
          <w:p w14:paraId="09947849" w14:textId="0CB53222" w:rsidR="000E1556" w:rsidRPr="003051E3" w:rsidRDefault="001172D5" w:rsidP="001172D5">
            <w:pPr>
              <w:pStyle w:val="TableText"/>
              <w:jc w:val="center"/>
              <w:cnfStyle w:val="000000000000" w:firstRow="0" w:lastRow="0" w:firstColumn="0" w:lastColumn="0" w:oddVBand="0" w:evenVBand="0" w:oddHBand="0" w:evenHBand="0" w:firstRowFirstColumn="0" w:firstRowLastColumn="0" w:lastRowFirstColumn="0" w:lastRowLastColumn="0"/>
              <w:rPr>
                <w:rFonts w:cs="Arial"/>
                <w:szCs w:val="20"/>
              </w:rPr>
            </w:pPr>
            <w:r>
              <w:rPr>
                <w:szCs w:val="20"/>
              </w:rPr>
              <w:t>$</w:t>
            </w:r>
            <w:r w:rsidRPr="001172D5">
              <w:rPr>
                <w:rFonts w:cs="Arial"/>
                <w:color w:val="000000"/>
                <w:szCs w:val="20"/>
              </w:rPr>
              <w:t>redacted</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vAlign w:val="center"/>
          </w:tcPr>
          <w:p w14:paraId="1FD72C1D" w14:textId="2E7216EE" w:rsidR="000E1556" w:rsidRPr="003051E3" w:rsidRDefault="000E1556" w:rsidP="001172D5">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3051E3">
              <w:rPr>
                <w:szCs w:val="20"/>
              </w:rPr>
              <w:t>$</w:t>
            </w:r>
            <w:r w:rsidR="001172D5" w:rsidRPr="001172D5">
              <w:rPr>
                <w:rFonts w:cs="Arial"/>
                <w:color w:val="000000"/>
                <w:szCs w:val="20"/>
              </w:rPr>
              <w:t>redacted</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vAlign w:val="center"/>
          </w:tcPr>
          <w:p w14:paraId="1CC412BA" w14:textId="29873B29" w:rsidR="000E1556" w:rsidRPr="003051E3" w:rsidRDefault="000E1556" w:rsidP="001172D5">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3051E3">
              <w:rPr>
                <w:szCs w:val="20"/>
              </w:rPr>
              <w:t>$</w:t>
            </w:r>
            <w:r w:rsidR="001172D5" w:rsidRPr="001172D5">
              <w:rPr>
                <w:rFonts w:cs="Arial"/>
                <w:color w:val="000000"/>
                <w:szCs w:val="20"/>
              </w:rPr>
              <w:t>redacted</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vAlign w:val="center"/>
          </w:tcPr>
          <w:p w14:paraId="290F3A45" w14:textId="4434FA8F" w:rsidR="000E1556" w:rsidRPr="003051E3" w:rsidRDefault="000E1556"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3051E3">
              <w:rPr>
                <w:szCs w:val="20"/>
              </w:rPr>
              <w:t>$</w:t>
            </w:r>
            <w:r w:rsidR="001172D5" w:rsidRPr="001172D5">
              <w:rPr>
                <w:rFonts w:cs="Arial"/>
                <w:color w:val="000000"/>
                <w:szCs w:val="20"/>
              </w:rPr>
              <w:t>redacted</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vAlign w:val="center"/>
          </w:tcPr>
          <w:p w14:paraId="483B3498" w14:textId="1A8B8E22" w:rsidR="000E1556" w:rsidRPr="003051E3" w:rsidRDefault="000E1556" w:rsidP="000E1556">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3051E3">
              <w:rPr>
                <w:szCs w:val="20"/>
              </w:rPr>
              <w:t>$</w:t>
            </w:r>
            <w:r w:rsidR="001172D5" w:rsidRPr="001172D5">
              <w:rPr>
                <w:rFonts w:cs="Arial"/>
                <w:color w:val="000000"/>
                <w:szCs w:val="20"/>
              </w:rPr>
              <w:t>redacted</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vAlign w:val="center"/>
          </w:tcPr>
          <w:p w14:paraId="225D88A8" w14:textId="6DF94E82" w:rsidR="000E1556" w:rsidRPr="003051E3" w:rsidRDefault="000E1556" w:rsidP="001172D5">
            <w:pPr>
              <w:pStyle w:val="TableText"/>
              <w:jc w:val="center"/>
              <w:cnfStyle w:val="000000000000" w:firstRow="0" w:lastRow="0" w:firstColumn="0" w:lastColumn="0" w:oddVBand="0" w:evenVBand="0" w:oddHBand="0" w:evenHBand="0" w:firstRowFirstColumn="0" w:firstRowLastColumn="0" w:lastRowFirstColumn="0" w:lastRowLastColumn="0"/>
              <w:rPr>
                <w:szCs w:val="20"/>
              </w:rPr>
            </w:pPr>
            <w:r w:rsidRPr="003051E3">
              <w:rPr>
                <w:szCs w:val="20"/>
              </w:rPr>
              <w:t>$</w:t>
            </w:r>
            <w:r w:rsidR="001172D5" w:rsidRPr="001172D5">
              <w:rPr>
                <w:rFonts w:cs="Arial"/>
                <w:color w:val="000000"/>
                <w:szCs w:val="20"/>
              </w:rPr>
              <w:t>redacted</w:t>
            </w:r>
          </w:p>
        </w:tc>
      </w:tr>
      <w:tr w:rsidR="000E1556" w:rsidRPr="003051E3" w14:paraId="0AF94BFA" w14:textId="77777777" w:rsidTr="000E1556">
        <w:trPr>
          <w:cantSplit/>
          <w:trHeight w:val="56"/>
        </w:trPr>
        <w:tc>
          <w:tcPr>
            <w:cnfStyle w:val="001000000000" w:firstRow="0" w:lastRow="0" w:firstColumn="1" w:lastColumn="0" w:oddVBand="0" w:evenVBand="0" w:oddHBand="0" w:evenHBand="0" w:firstRowFirstColumn="0" w:firstRowLastColumn="0" w:lastRowFirstColumn="0" w:lastRowLastColumn="0"/>
            <w:tcW w:w="3147" w:type="dxa"/>
            <w:tcBorders>
              <w:top w:val="single" w:sz="4" w:space="0" w:color="auto"/>
              <w:left w:val="single" w:sz="4" w:space="0" w:color="auto"/>
              <w:bottom w:val="single" w:sz="4" w:space="0" w:color="auto"/>
              <w:right w:val="single" w:sz="4" w:space="0" w:color="auto"/>
            </w:tcBorders>
            <w:tcMar>
              <w:top w:w="28" w:type="dxa"/>
              <w:left w:w="28" w:type="dxa"/>
            </w:tcMar>
            <w:vAlign w:val="center"/>
          </w:tcPr>
          <w:p w14:paraId="1AE2F368" w14:textId="77777777" w:rsidR="000E1556" w:rsidRPr="00932FAC" w:rsidRDefault="000E1556" w:rsidP="000E1556">
            <w:pPr>
              <w:pStyle w:val="TableText"/>
              <w:rPr>
                <w:rFonts w:eastAsia="Calibri" w:cs="Arial"/>
                <w:szCs w:val="20"/>
              </w:rPr>
            </w:pPr>
            <w:r w:rsidRPr="00932FAC">
              <w:rPr>
                <w:rFonts w:eastAsia="Calibri" w:cs="Arial"/>
                <w:szCs w:val="20"/>
              </w:rPr>
              <w:t>Total cost to MBS</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vAlign w:val="center"/>
          </w:tcPr>
          <w:p w14:paraId="0FA096B4" w14:textId="533A4DB2" w:rsidR="000E1556" w:rsidRPr="003051E3" w:rsidRDefault="000E1556" w:rsidP="000E1556">
            <w:pPr>
              <w:pStyle w:val="TableText"/>
              <w:jc w:val="center"/>
              <w:cnfStyle w:val="000000000000" w:firstRow="0" w:lastRow="0" w:firstColumn="0" w:lastColumn="0" w:oddVBand="0" w:evenVBand="0" w:oddHBand="0" w:evenHBand="0" w:firstRowFirstColumn="0" w:firstRowLastColumn="0" w:lastRowFirstColumn="0" w:lastRowLastColumn="0"/>
              <w:rPr>
                <w:b/>
                <w:szCs w:val="20"/>
              </w:rPr>
            </w:pPr>
            <w:r w:rsidRPr="003051E3">
              <w:rPr>
                <w:b/>
                <w:szCs w:val="20"/>
              </w:rPr>
              <w:t>$</w:t>
            </w:r>
            <w:r w:rsidR="001172D5" w:rsidRPr="001172D5">
              <w:rPr>
                <w:rFonts w:cs="Arial"/>
                <w:b/>
                <w:color w:val="000000"/>
                <w:szCs w:val="20"/>
              </w:rPr>
              <w:t>redacted</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vAlign w:val="center"/>
          </w:tcPr>
          <w:p w14:paraId="1EC23A87" w14:textId="6702B46F" w:rsidR="000E1556" w:rsidRPr="003051E3" w:rsidRDefault="000E1556" w:rsidP="000E1556">
            <w:pPr>
              <w:pStyle w:val="TableText"/>
              <w:jc w:val="center"/>
              <w:cnfStyle w:val="000000000000" w:firstRow="0" w:lastRow="0" w:firstColumn="0" w:lastColumn="0" w:oddVBand="0" w:evenVBand="0" w:oddHBand="0" w:evenHBand="0" w:firstRowFirstColumn="0" w:firstRowLastColumn="0" w:lastRowFirstColumn="0" w:lastRowLastColumn="0"/>
              <w:rPr>
                <w:b/>
                <w:szCs w:val="20"/>
              </w:rPr>
            </w:pPr>
            <w:r w:rsidRPr="003051E3">
              <w:rPr>
                <w:b/>
                <w:szCs w:val="20"/>
              </w:rPr>
              <w:t>$</w:t>
            </w:r>
            <w:r w:rsidR="001172D5" w:rsidRPr="001172D5">
              <w:rPr>
                <w:rFonts w:cs="Arial"/>
                <w:b/>
                <w:color w:val="000000"/>
                <w:szCs w:val="20"/>
              </w:rPr>
              <w:t>redacted</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vAlign w:val="center"/>
          </w:tcPr>
          <w:p w14:paraId="1C4C1D4B" w14:textId="42433096" w:rsidR="000E1556" w:rsidRPr="003051E3" w:rsidRDefault="000E1556" w:rsidP="001172D5">
            <w:pPr>
              <w:pStyle w:val="TableText"/>
              <w:jc w:val="center"/>
              <w:cnfStyle w:val="000000000000" w:firstRow="0" w:lastRow="0" w:firstColumn="0" w:lastColumn="0" w:oddVBand="0" w:evenVBand="0" w:oddHBand="0" w:evenHBand="0" w:firstRowFirstColumn="0" w:firstRowLastColumn="0" w:lastRowFirstColumn="0" w:lastRowLastColumn="0"/>
              <w:rPr>
                <w:b/>
                <w:szCs w:val="20"/>
              </w:rPr>
            </w:pPr>
            <w:r w:rsidRPr="003051E3">
              <w:rPr>
                <w:b/>
                <w:szCs w:val="20"/>
              </w:rPr>
              <w:t>$</w:t>
            </w:r>
            <w:r w:rsidR="001172D5" w:rsidRPr="001172D5">
              <w:rPr>
                <w:rFonts w:cs="Arial"/>
                <w:b/>
                <w:color w:val="000000"/>
                <w:szCs w:val="20"/>
              </w:rPr>
              <w:t>redacted</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vAlign w:val="center"/>
          </w:tcPr>
          <w:p w14:paraId="2F0C8E54" w14:textId="787F36DC" w:rsidR="000E1556" w:rsidRPr="003051E3" w:rsidRDefault="000E1556" w:rsidP="000E1556">
            <w:pPr>
              <w:pStyle w:val="TableText"/>
              <w:jc w:val="center"/>
              <w:cnfStyle w:val="000000000000" w:firstRow="0" w:lastRow="0" w:firstColumn="0" w:lastColumn="0" w:oddVBand="0" w:evenVBand="0" w:oddHBand="0" w:evenHBand="0" w:firstRowFirstColumn="0" w:firstRowLastColumn="0" w:lastRowFirstColumn="0" w:lastRowLastColumn="0"/>
              <w:rPr>
                <w:b/>
                <w:szCs w:val="20"/>
              </w:rPr>
            </w:pPr>
            <w:r w:rsidRPr="003051E3">
              <w:rPr>
                <w:b/>
                <w:szCs w:val="20"/>
              </w:rPr>
              <w:t>$</w:t>
            </w:r>
            <w:r w:rsidR="001172D5" w:rsidRPr="001172D5">
              <w:rPr>
                <w:rFonts w:cs="Arial"/>
                <w:b/>
                <w:color w:val="000000"/>
                <w:szCs w:val="20"/>
              </w:rPr>
              <w:t>redacted</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vAlign w:val="center"/>
          </w:tcPr>
          <w:p w14:paraId="0FBCFC51" w14:textId="0C548C0C" w:rsidR="000E1556" w:rsidRPr="003051E3" w:rsidRDefault="000E1556" w:rsidP="000E1556">
            <w:pPr>
              <w:pStyle w:val="TableText"/>
              <w:jc w:val="center"/>
              <w:cnfStyle w:val="000000000000" w:firstRow="0" w:lastRow="0" w:firstColumn="0" w:lastColumn="0" w:oddVBand="0" w:evenVBand="0" w:oddHBand="0" w:evenHBand="0" w:firstRowFirstColumn="0" w:firstRowLastColumn="0" w:lastRowFirstColumn="0" w:lastRowLastColumn="0"/>
              <w:rPr>
                <w:b/>
                <w:szCs w:val="20"/>
              </w:rPr>
            </w:pPr>
            <w:r w:rsidRPr="003051E3">
              <w:rPr>
                <w:b/>
                <w:szCs w:val="20"/>
              </w:rPr>
              <w:t>$</w:t>
            </w:r>
            <w:r w:rsidR="001172D5" w:rsidRPr="001172D5">
              <w:rPr>
                <w:rFonts w:cs="Arial"/>
                <w:b/>
                <w:color w:val="000000"/>
                <w:szCs w:val="20"/>
              </w:rPr>
              <w:t>redacted</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0" w:type="dxa"/>
              <w:right w:w="28" w:type="dxa"/>
            </w:tcMar>
            <w:vAlign w:val="center"/>
          </w:tcPr>
          <w:p w14:paraId="6028740F" w14:textId="6F732350" w:rsidR="000E1556" w:rsidRPr="003051E3" w:rsidRDefault="000E1556" w:rsidP="000E1556">
            <w:pPr>
              <w:pStyle w:val="TableText"/>
              <w:jc w:val="center"/>
              <w:cnfStyle w:val="000000000000" w:firstRow="0" w:lastRow="0" w:firstColumn="0" w:lastColumn="0" w:oddVBand="0" w:evenVBand="0" w:oddHBand="0" w:evenHBand="0" w:firstRowFirstColumn="0" w:firstRowLastColumn="0" w:lastRowFirstColumn="0" w:lastRowLastColumn="0"/>
              <w:rPr>
                <w:b/>
                <w:szCs w:val="20"/>
              </w:rPr>
            </w:pPr>
            <w:r w:rsidRPr="003051E3">
              <w:rPr>
                <w:b/>
                <w:szCs w:val="20"/>
              </w:rPr>
              <w:t>$</w:t>
            </w:r>
            <w:r w:rsidR="001172D5" w:rsidRPr="001172D5">
              <w:rPr>
                <w:rFonts w:cs="Arial"/>
                <w:b/>
                <w:color w:val="000000"/>
                <w:szCs w:val="20"/>
              </w:rPr>
              <w:t>redacted</w:t>
            </w:r>
          </w:p>
        </w:tc>
      </w:tr>
    </w:tbl>
    <w:p w14:paraId="18E47836" w14:textId="77777777" w:rsidR="000E1556" w:rsidRPr="003051E3" w:rsidRDefault="000E1556" w:rsidP="000E1556">
      <w:pPr>
        <w:pStyle w:val="TableFooter"/>
      </w:pPr>
      <w:r w:rsidRPr="003051E3">
        <w:t xml:space="preserve">FISH = fluorescent </w:t>
      </w:r>
      <w:r w:rsidRPr="00CC1ED6">
        <w:rPr>
          <w:i/>
        </w:rPr>
        <w:t>in situ</w:t>
      </w:r>
      <w:r w:rsidRPr="003051E3">
        <w:t xml:space="preserve"> hybridisation; IHC = immunohistochemistry; MBS = Medicare Benefits Schedule; </w:t>
      </w:r>
      <w:r w:rsidRPr="00420D95">
        <w:rPr>
          <w:i/>
        </w:rPr>
        <w:t>ROS1</w:t>
      </w:r>
      <w:r w:rsidRPr="003051E3">
        <w:t xml:space="preserve"> = </w:t>
      </w:r>
      <w:r w:rsidRPr="00420D95">
        <w:rPr>
          <w:i/>
        </w:rPr>
        <w:t>c-ROS</w:t>
      </w:r>
      <w:r w:rsidRPr="003051E3">
        <w:t xml:space="preserve"> proto-oncogene 1</w:t>
      </w:r>
    </w:p>
    <w:p w14:paraId="0FE4608C" w14:textId="2F36D72C" w:rsidR="000E1556" w:rsidRPr="003051E3" w:rsidRDefault="00927420" w:rsidP="000E1556">
      <w:pPr>
        <w:pStyle w:val="TableFooter"/>
      </w:pPr>
      <w:r>
        <w:rPr>
          <w:vertAlign w:val="superscript"/>
        </w:rPr>
        <w:t xml:space="preserve">- </w:t>
      </w:r>
      <w:r w:rsidR="000E1556" w:rsidRPr="003051E3">
        <w:t>Crizotinib patients have 2 eye tests per year</w:t>
      </w:r>
    </w:p>
    <w:p w14:paraId="4758A5CA" w14:textId="076770F2" w:rsidR="000E1556" w:rsidRPr="00100F62" w:rsidRDefault="000E1556" w:rsidP="000E1556">
      <w:r w:rsidRPr="003051E3">
        <w:t xml:space="preserve">The </w:t>
      </w:r>
      <w:r>
        <w:t>application</w:t>
      </w:r>
      <w:r w:rsidRPr="003051E3">
        <w:t xml:space="preserve"> estimated the total cost to the MBS of </w:t>
      </w:r>
      <w:r w:rsidRPr="00420D95">
        <w:rPr>
          <w:i/>
        </w:rPr>
        <w:t>ROS1</w:t>
      </w:r>
      <w:r w:rsidRPr="003051E3">
        <w:t xml:space="preserve"> gene rearrangement testing and </w:t>
      </w:r>
      <w:r>
        <w:t xml:space="preserve">ophthalmological examination </w:t>
      </w:r>
      <w:r w:rsidRPr="003051E3">
        <w:t>treatment to cost $</w:t>
      </w:r>
      <w:r w:rsidR="001172D5" w:rsidRPr="001172D5">
        <w:rPr>
          <w:rFonts w:cs="Arial"/>
          <w:b/>
          <w:color w:val="000000"/>
        </w:rPr>
        <w:t>redacted</w:t>
      </w:r>
      <w:r w:rsidR="001172D5" w:rsidRPr="003051E3">
        <w:t xml:space="preserve"> </w:t>
      </w:r>
      <w:r w:rsidRPr="003051E3">
        <w:t>in Year 1, increasing to $</w:t>
      </w:r>
      <w:r w:rsidR="001172D5" w:rsidRPr="001172D5">
        <w:rPr>
          <w:rFonts w:cs="Arial"/>
          <w:b/>
          <w:color w:val="000000"/>
        </w:rPr>
        <w:t>redacted</w:t>
      </w:r>
      <w:r w:rsidR="001172D5" w:rsidRPr="003051E3">
        <w:t xml:space="preserve"> </w:t>
      </w:r>
      <w:r w:rsidRPr="003051E3">
        <w:t>in Year 6, resulting in a net cost of $</w:t>
      </w:r>
      <w:r w:rsidR="001172D5" w:rsidRPr="001172D5">
        <w:rPr>
          <w:rFonts w:cs="Arial"/>
          <w:b/>
          <w:color w:val="000000"/>
        </w:rPr>
        <w:t>redacted</w:t>
      </w:r>
      <w:r w:rsidR="001172D5" w:rsidRPr="003051E3">
        <w:t xml:space="preserve"> </w:t>
      </w:r>
      <w:r w:rsidRPr="003051E3">
        <w:t xml:space="preserve">million over six years. The </w:t>
      </w:r>
      <w:r w:rsidRPr="00C138EE">
        <w:t xml:space="preserve">critique considered that the </w:t>
      </w:r>
      <w:r w:rsidRPr="003051E3">
        <w:t xml:space="preserve">cost to the MBS may have been underestimated based on the low uptake </w:t>
      </w:r>
      <w:r w:rsidRPr="003051E3">
        <w:lastRenderedPageBreak/>
        <w:t xml:space="preserve">of </w:t>
      </w:r>
      <w:r w:rsidRPr="00420D95">
        <w:rPr>
          <w:i/>
        </w:rPr>
        <w:t>ROS1</w:t>
      </w:r>
      <w:r w:rsidRPr="003051E3">
        <w:t xml:space="preserve"> FISH testing assumed in the </w:t>
      </w:r>
      <w:r>
        <w:rPr>
          <w:szCs w:val="28"/>
          <w:lang w:bidi="en-US"/>
        </w:rPr>
        <w:t>application</w:t>
      </w:r>
      <w:r w:rsidRPr="003051E3">
        <w:t xml:space="preserve">. </w:t>
      </w:r>
      <w:r w:rsidRPr="00100F62">
        <w:t xml:space="preserve">The ESCs noted that the Pre-Sub-Committee Response increased the assumed uptake of </w:t>
      </w:r>
      <w:r w:rsidRPr="00C06002">
        <w:rPr>
          <w:i/>
        </w:rPr>
        <w:t>ROS1</w:t>
      </w:r>
      <w:r w:rsidRPr="00100F62">
        <w:t xml:space="preserve"> gene rearrangement testing, but that this did not materially change the estimated net cost to the MBS.</w:t>
      </w:r>
    </w:p>
    <w:p w14:paraId="2EDD0270" w14:textId="3CEE6162" w:rsidR="000E1556" w:rsidRPr="003051E3" w:rsidRDefault="000E1556" w:rsidP="00100F62">
      <w:pPr>
        <w:spacing w:before="240"/>
      </w:pPr>
      <w:r w:rsidRPr="003051E3">
        <w:t xml:space="preserve">The </w:t>
      </w:r>
      <w:r>
        <w:t>application</w:t>
      </w:r>
      <w:r w:rsidRPr="003051E3">
        <w:t xml:space="preserve"> did not consider the additional re-biopsy costs due to additional testing resulting in a larger group of patients having inadequate biopsy tissue. A sensitivity analysis was conducted </w:t>
      </w:r>
      <w:r>
        <w:t>during the evaluation estimating that an</w:t>
      </w:r>
      <w:r w:rsidRPr="003051E3">
        <w:t xml:space="preserve"> additional 15% of patients who undergo IHC testing w</w:t>
      </w:r>
      <w:r>
        <w:t>ould</w:t>
      </w:r>
      <w:r w:rsidRPr="003051E3">
        <w:t xml:space="preserve"> require a re-biopsy. This was estimated to cost $</w:t>
      </w:r>
      <w:r w:rsidR="001172D5" w:rsidRPr="001172D5">
        <w:rPr>
          <w:rFonts w:cs="Arial"/>
          <w:b/>
          <w:color w:val="000000"/>
        </w:rPr>
        <w:t>redacted</w:t>
      </w:r>
      <w:r w:rsidR="001172D5" w:rsidRPr="003051E3">
        <w:t xml:space="preserve"> </w:t>
      </w:r>
      <w:r w:rsidRPr="003051E3">
        <w:t xml:space="preserve">(85% fee) based on the utilisation of lung biopsy items 30696, 30710, </w:t>
      </w:r>
      <w:proofErr w:type="gramStart"/>
      <w:r w:rsidRPr="003051E3">
        <w:t>38812</w:t>
      </w:r>
      <w:proofErr w:type="gramEnd"/>
      <w:r w:rsidRPr="003051E3">
        <w:t xml:space="preserve"> in the 12 months to June 2017. This did not have a very large impact on net financial implications</w:t>
      </w:r>
      <w:r>
        <w:t xml:space="preserve"> for government health budgets.</w:t>
      </w:r>
    </w:p>
    <w:bookmarkEnd w:id="5"/>
    <w:bookmarkEnd w:id="6"/>
    <w:p w14:paraId="6FB3442C" w14:textId="77777777" w:rsidR="006A0D97" w:rsidRPr="00F715D1" w:rsidRDefault="006A0D97" w:rsidP="00F715D1">
      <w:pPr>
        <w:pStyle w:val="Heading1"/>
      </w:pPr>
      <w:r w:rsidRPr="00F715D1">
        <w:t>Key issues from ESC for MSAC</w:t>
      </w:r>
    </w:p>
    <w:p w14:paraId="4B4B42BF" w14:textId="77777777" w:rsidR="004416F3" w:rsidRPr="00D01479" w:rsidRDefault="004416F3" w:rsidP="004416F3">
      <w:pPr>
        <w:spacing w:after="180"/>
        <w:rPr>
          <w:b/>
          <w:szCs w:val="24"/>
        </w:rPr>
      </w:pPr>
      <w:r w:rsidRPr="00D01479">
        <w:rPr>
          <w:szCs w:val="24"/>
        </w:rPr>
        <w:t>The proposed item descriptor specifies that</w:t>
      </w:r>
      <w:r>
        <w:rPr>
          <w:szCs w:val="24"/>
        </w:rPr>
        <w:t>,</w:t>
      </w:r>
      <w:r w:rsidRPr="00D01479">
        <w:rPr>
          <w:szCs w:val="24"/>
        </w:rPr>
        <w:t xml:space="preserve"> prior to confirmatory fluorescent </w:t>
      </w:r>
      <w:r w:rsidRPr="00D01479">
        <w:rPr>
          <w:i/>
          <w:szCs w:val="24"/>
        </w:rPr>
        <w:t>in situ</w:t>
      </w:r>
      <w:r w:rsidRPr="00D01479">
        <w:rPr>
          <w:szCs w:val="24"/>
        </w:rPr>
        <w:t xml:space="preserve"> hybridisation (FISH) testing for </w:t>
      </w:r>
      <w:r w:rsidRPr="00D01479">
        <w:rPr>
          <w:i/>
          <w:szCs w:val="24"/>
        </w:rPr>
        <w:t>ROS1</w:t>
      </w:r>
      <w:r w:rsidRPr="00D01479">
        <w:rPr>
          <w:szCs w:val="24"/>
        </w:rPr>
        <w:t xml:space="preserve"> gene rearrangement </w:t>
      </w:r>
      <w:proofErr w:type="gramStart"/>
      <w:r w:rsidRPr="00D01479">
        <w:rPr>
          <w:szCs w:val="24"/>
        </w:rPr>
        <w:t>status,</w:t>
      </w:r>
      <w:proofErr w:type="gramEnd"/>
      <w:r w:rsidRPr="00D01479">
        <w:rPr>
          <w:szCs w:val="24"/>
        </w:rPr>
        <w:t xml:space="preserve"> patients should have </w:t>
      </w:r>
      <w:proofErr w:type="spellStart"/>
      <w:r w:rsidRPr="00D01479">
        <w:rPr>
          <w:szCs w:val="24"/>
        </w:rPr>
        <w:t>immunohistochemical</w:t>
      </w:r>
      <w:proofErr w:type="spellEnd"/>
      <w:r w:rsidRPr="00D01479">
        <w:rPr>
          <w:szCs w:val="24"/>
        </w:rPr>
        <w:t xml:space="preserve"> (IHC) examination of tumour tissue for evidence of </w:t>
      </w:r>
      <w:r w:rsidRPr="00D01479">
        <w:rPr>
          <w:i/>
          <w:szCs w:val="24"/>
        </w:rPr>
        <w:t>ROS1</w:t>
      </w:r>
      <w:r w:rsidRPr="00D01479">
        <w:rPr>
          <w:szCs w:val="24"/>
        </w:rPr>
        <w:t xml:space="preserve"> immunoreactivity with a staining intensity of 2+ or greater. </w:t>
      </w:r>
      <w:r>
        <w:rPr>
          <w:szCs w:val="24"/>
        </w:rPr>
        <w:t xml:space="preserve">The </w:t>
      </w:r>
      <w:r w:rsidRPr="00D01479">
        <w:rPr>
          <w:szCs w:val="24"/>
        </w:rPr>
        <w:t>ESC</w:t>
      </w:r>
      <w:r>
        <w:rPr>
          <w:szCs w:val="24"/>
        </w:rPr>
        <w:t>s</w:t>
      </w:r>
      <w:r w:rsidRPr="00D01479">
        <w:rPr>
          <w:szCs w:val="24"/>
        </w:rPr>
        <w:t xml:space="preserve"> noted that the clinical evidence presented for the sensitivity of IHC broadly supports IHC as an adequate </w:t>
      </w:r>
      <w:r>
        <w:rPr>
          <w:szCs w:val="24"/>
        </w:rPr>
        <w:t>pre-</w:t>
      </w:r>
      <w:r w:rsidRPr="00D01479">
        <w:rPr>
          <w:szCs w:val="24"/>
        </w:rPr>
        <w:t xml:space="preserve">test to identify patients whose tumours have </w:t>
      </w:r>
      <w:r w:rsidRPr="00D01479">
        <w:rPr>
          <w:i/>
          <w:szCs w:val="24"/>
        </w:rPr>
        <w:t>ROS1</w:t>
      </w:r>
      <w:r w:rsidRPr="00D01479">
        <w:rPr>
          <w:szCs w:val="24"/>
        </w:rPr>
        <w:t xml:space="preserve"> gene rearrangements. </w:t>
      </w:r>
      <w:r>
        <w:rPr>
          <w:szCs w:val="24"/>
        </w:rPr>
        <w:t xml:space="preserve">The </w:t>
      </w:r>
      <w:r w:rsidRPr="00D01479">
        <w:rPr>
          <w:szCs w:val="24"/>
        </w:rPr>
        <w:t>ESC</w:t>
      </w:r>
      <w:r>
        <w:rPr>
          <w:szCs w:val="24"/>
        </w:rPr>
        <w:t>s</w:t>
      </w:r>
      <w:r w:rsidRPr="00D01479">
        <w:rPr>
          <w:szCs w:val="24"/>
        </w:rPr>
        <w:t xml:space="preserve"> noted that there was one Australian study (Rogers TM et al 2015) that reported a substantially lower sensitivity for </w:t>
      </w:r>
      <w:r w:rsidRPr="0036761F">
        <w:rPr>
          <w:szCs w:val="24"/>
        </w:rPr>
        <w:t>ROS1</w:t>
      </w:r>
      <w:r w:rsidRPr="00D01479">
        <w:rPr>
          <w:szCs w:val="24"/>
        </w:rPr>
        <w:t xml:space="preserve"> IHC testing. However</w:t>
      </w:r>
      <w:r>
        <w:rPr>
          <w:szCs w:val="24"/>
        </w:rPr>
        <w:t>,</w:t>
      </w:r>
      <w:r w:rsidRPr="00D01479">
        <w:rPr>
          <w:szCs w:val="24"/>
        </w:rPr>
        <w:t xml:space="preserve"> this study was considered to be an outlier and meta-analyses undertaken during the evaluation suggested that inclusion or exclusion of this study had minimal impact on the overall estimated sensitivity and specificity. </w:t>
      </w:r>
      <w:r>
        <w:rPr>
          <w:szCs w:val="24"/>
        </w:rPr>
        <w:t xml:space="preserve">The </w:t>
      </w:r>
      <w:r w:rsidRPr="00D01479">
        <w:rPr>
          <w:szCs w:val="24"/>
        </w:rPr>
        <w:t>ESC</w:t>
      </w:r>
      <w:r>
        <w:rPr>
          <w:szCs w:val="24"/>
        </w:rPr>
        <w:t>s</w:t>
      </w:r>
      <w:r w:rsidRPr="00D01479">
        <w:rPr>
          <w:szCs w:val="24"/>
        </w:rPr>
        <w:t xml:space="preserve"> </w:t>
      </w:r>
      <w:r>
        <w:rPr>
          <w:szCs w:val="24"/>
        </w:rPr>
        <w:t>advised</w:t>
      </w:r>
      <w:r w:rsidRPr="00D01479">
        <w:rPr>
          <w:szCs w:val="24"/>
        </w:rPr>
        <w:t xml:space="preserve"> that IHC testing in Australian practice is likely to be sufficiently sensitive for use as a </w:t>
      </w:r>
      <w:r>
        <w:rPr>
          <w:szCs w:val="24"/>
        </w:rPr>
        <w:t>pre-</w:t>
      </w:r>
      <w:r w:rsidRPr="00D01479">
        <w:rPr>
          <w:szCs w:val="24"/>
        </w:rPr>
        <w:t xml:space="preserve">test for </w:t>
      </w:r>
      <w:r w:rsidRPr="00D01479">
        <w:rPr>
          <w:i/>
          <w:szCs w:val="24"/>
        </w:rPr>
        <w:t>ROS1</w:t>
      </w:r>
      <w:r w:rsidRPr="00D01479">
        <w:rPr>
          <w:szCs w:val="24"/>
        </w:rPr>
        <w:t xml:space="preserve"> gene rearrangement.</w:t>
      </w:r>
    </w:p>
    <w:p w14:paraId="214C6F7B" w14:textId="77777777" w:rsidR="004416F3" w:rsidRDefault="004416F3" w:rsidP="004416F3">
      <w:pPr>
        <w:spacing w:after="180"/>
        <w:rPr>
          <w:b/>
          <w:szCs w:val="24"/>
        </w:rPr>
      </w:pPr>
      <w:r>
        <w:rPr>
          <w:szCs w:val="24"/>
        </w:rPr>
        <w:t xml:space="preserve">The </w:t>
      </w:r>
      <w:r w:rsidRPr="00D01479">
        <w:rPr>
          <w:szCs w:val="24"/>
        </w:rPr>
        <w:t>ESC</w:t>
      </w:r>
      <w:r>
        <w:rPr>
          <w:szCs w:val="24"/>
        </w:rPr>
        <w:t>s</w:t>
      </w:r>
      <w:r w:rsidRPr="00D01479">
        <w:rPr>
          <w:szCs w:val="24"/>
        </w:rPr>
        <w:t xml:space="preserve"> considered whether </w:t>
      </w:r>
      <w:r w:rsidRPr="00D01479">
        <w:rPr>
          <w:i/>
          <w:szCs w:val="24"/>
        </w:rPr>
        <w:t>ROS1</w:t>
      </w:r>
      <w:r w:rsidRPr="00D01479">
        <w:rPr>
          <w:szCs w:val="24"/>
        </w:rPr>
        <w:t xml:space="preserve"> gene rearrangement should be limited to FISH testing, and considered the cost and relevance of next generation sequencing (NGS) for the proposed service. </w:t>
      </w:r>
      <w:r>
        <w:rPr>
          <w:szCs w:val="24"/>
        </w:rPr>
        <w:t xml:space="preserve">The </w:t>
      </w:r>
      <w:r w:rsidRPr="00D01479">
        <w:rPr>
          <w:szCs w:val="24"/>
        </w:rPr>
        <w:t>ESC</w:t>
      </w:r>
      <w:r>
        <w:rPr>
          <w:szCs w:val="24"/>
        </w:rPr>
        <w:t>s</w:t>
      </w:r>
      <w:r w:rsidRPr="00D01479">
        <w:rPr>
          <w:szCs w:val="24"/>
        </w:rPr>
        <w:t xml:space="preserve"> noted </w:t>
      </w:r>
      <w:r>
        <w:rPr>
          <w:szCs w:val="24"/>
        </w:rPr>
        <w:t xml:space="preserve">the </w:t>
      </w:r>
      <w:r w:rsidRPr="00D01479">
        <w:rPr>
          <w:szCs w:val="24"/>
        </w:rPr>
        <w:t xml:space="preserve">position </w:t>
      </w:r>
      <w:r>
        <w:rPr>
          <w:szCs w:val="24"/>
        </w:rPr>
        <w:t xml:space="preserve">of </w:t>
      </w:r>
      <w:r w:rsidRPr="00D01479">
        <w:rPr>
          <w:szCs w:val="24"/>
        </w:rPr>
        <w:t>the Royal College of Pathologists of Australasia (RCPA)</w:t>
      </w:r>
      <w:r>
        <w:rPr>
          <w:szCs w:val="24"/>
        </w:rPr>
        <w:t>,</w:t>
      </w:r>
      <w:r w:rsidRPr="00D01479">
        <w:rPr>
          <w:szCs w:val="24"/>
        </w:rPr>
        <w:t xml:space="preserve"> that testing for </w:t>
      </w:r>
      <w:r w:rsidRPr="00D01479">
        <w:rPr>
          <w:i/>
          <w:szCs w:val="24"/>
        </w:rPr>
        <w:t>ROS1</w:t>
      </w:r>
      <w:r w:rsidRPr="00D01479">
        <w:rPr>
          <w:szCs w:val="24"/>
        </w:rPr>
        <w:t xml:space="preserve"> should not be restricted to a specific technology (i.e. FISH). This is consistent with PASC advice that</w:t>
      </w:r>
      <w:r>
        <w:rPr>
          <w:szCs w:val="24"/>
        </w:rPr>
        <w:t>,</w:t>
      </w:r>
      <w:r w:rsidRPr="00D01479">
        <w:rPr>
          <w:szCs w:val="24"/>
        </w:rPr>
        <w:t xml:space="preserve"> if alternative testing methods are shown to have equivalent analytical performance characteristics and incur similar costs, </w:t>
      </w:r>
      <w:r>
        <w:rPr>
          <w:szCs w:val="24"/>
        </w:rPr>
        <w:t xml:space="preserve">then </w:t>
      </w:r>
      <w:r w:rsidRPr="00D01479">
        <w:rPr>
          <w:szCs w:val="24"/>
        </w:rPr>
        <w:t xml:space="preserve">MSAC may consider broadening MBS funded options beyond FISH. The evaluator’s commentary proposed that NGS, if conducted with robust methodology, would likely be a highly sensitive and specific test. </w:t>
      </w:r>
      <w:r>
        <w:rPr>
          <w:szCs w:val="24"/>
        </w:rPr>
        <w:t xml:space="preserve">The </w:t>
      </w:r>
      <w:r w:rsidRPr="00D01479">
        <w:rPr>
          <w:szCs w:val="24"/>
        </w:rPr>
        <w:t>ESC</w:t>
      </w:r>
      <w:r>
        <w:rPr>
          <w:szCs w:val="24"/>
        </w:rPr>
        <w:t>s</w:t>
      </w:r>
      <w:r w:rsidRPr="00D01479">
        <w:rPr>
          <w:szCs w:val="24"/>
        </w:rPr>
        <w:t xml:space="preserve"> noted that NGS appears to be less costly to perform, with pathology providers currently testing for several genetic aberrations in NSCLC, colorectal cancer and melanoma for the cost of a single MBS item. However no costing information for NGS is provided in the </w:t>
      </w:r>
      <w:proofErr w:type="gramStart"/>
      <w:r>
        <w:rPr>
          <w:szCs w:val="24"/>
        </w:rPr>
        <w:t>application,</w:t>
      </w:r>
      <w:proofErr w:type="gramEnd"/>
      <w:r w:rsidRPr="00D01479">
        <w:rPr>
          <w:szCs w:val="24"/>
        </w:rPr>
        <w:t xml:space="preserve"> and it has not been considered as part of the economi</w:t>
      </w:r>
      <w:r>
        <w:rPr>
          <w:szCs w:val="24"/>
        </w:rPr>
        <w:t>c model or financial estimates.</w:t>
      </w:r>
    </w:p>
    <w:p w14:paraId="0C5D9036" w14:textId="77777777" w:rsidR="004416F3" w:rsidRPr="00D01479" w:rsidRDefault="004416F3" w:rsidP="004416F3">
      <w:pPr>
        <w:spacing w:after="180"/>
        <w:rPr>
          <w:b/>
          <w:szCs w:val="24"/>
        </w:rPr>
      </w:pPr>
      <w:r>
        <w:rPr>
          <w:szCs w:val="24"/>
        </w:rPr>
        <w:t xml:space="preserve">The </w:t>
      </w:r>
      <w:r w:rsidRPr="00D01479">
        <w:rPr>
          <w:szCs w:val="24"/>
        </w:rPr>
        <w:t>ESC</w:t>
      </w:r>
      <w:r>
        <w:rPr>
          <w:szCs w:val="24"/>
        </w:rPr>
        <w:t>s</w:t>
      </w:r>
      <w:r w:rsidRPr="00D01479">
        <w:rPr>
          <w:szCs w:val="24"/>
        </w:rPr>
        <w:t xml:space="preserve"> </w:t>
      </w:r>
      <w:r>
        <w:rPr>
          <w:szCs w:val="24"/>
        </w:rPr>
        <w:t>therefore advised</w:t>
      </w:r>
      <w:r w:rsidRPr="00D01479">
        <w:rPr>
          <w:szCs w:val="24"/>
        </w:rPr>
        <w:t xml:space="preserve"> that</w:t>
      </w:r>
      <w:r>
        <w:rPr>
          <w:szCs w:val="24"/>
        </w:rPr>
        <w:t>,</w:t>
      </w:r>
      <w:r w:rsidRPr="00D01479">
        <w:rPr>
          <w:szCs w:val="24"/>
        </w:rPr>
        <w:t xml:space="preserve"> if MSAC is confident that NGS has at least equivalent sensitivity to IHC + FISH for </w:t>
      </w:r>
      <w:r w:rsidRPr="00D01479">
        <w:rPr>
          <w:i/>
          <w:szCs w:val="24"/>
        </w:rPr>
        <w:t>ROS1</w:t>
      </w:r>
      <w:r w:rsidRPr="00D01479">
        <w:rPr>
          <w:szCs w:val="24"/>
        </w:rPr>
        <w:t xml:space="preserve"> testing at an equivalent or lower cost, then an item that allows </w:t>
      </w:r>
      <w:r>
        <w:rPr>
          <w:szCs w:val="24"/>
        </w:rPr>
        <w:t>for more than one</w:t>
      </w:r>
      <w:r w:rsidRPr="00D01479">
        <w:rPr>
          <w:szCs w:val="24"/>
        </w:rPr>
        <w:t xml:space="preserve"> test me</w:t>
      </w:r>
      <w:r>
        <w:rPr>
          <w:szCs w:val="24"/>
        </w:rPr>
        <w:t xml:space="preserve">thodology might be appropriate. </w:t>
      </w:r>
      <w:r w:rsidRPr="00D01479">
        <w:rPr>
          <w:szCs w:val="24"/>
        </w:rPr>
        <w:t>However, as this has not been assessed for clinical and cost effectiveness, an item for one or more NGS gene panels (</w:t>
      </w:r>
      <w:proofErr w:type="spellStart"/>
      <w:r w:rsidRPr="00D01479">
        <w:rPr>
          <w:szCs w:val="24"/>
        </w:rPr>
        <w:t>eg</w:t>
      </w:r>
      <w:proofErr w:type="spellEnd"/>
      <w:r w:rsidRPr="00D01479">
        <w:rPr>
          <w:szCs w:val="24"/>
        </w:rPr>
        <w:t>, RNA and DNA panels) in NSCLC may ne</w:t>
      </w:r>
      <w:r>
        <w:rPr>
          <w:szCs w:val="24"/>
        </w:rPr>
        <w:t xml:space="preserve">ed separate MSAC consideration. The </w:t>
      </w:r>
      <w:r w:rsidRPr="00D01479">
        <w:rPr>
          <w:szCs w:val="24"/>
        </w:rPr>
        <w:t>ESC</w:t>
      </w:r>
      <w:r>
        <w:rPr>
          <w:szCs w:val="24"/>
        </w:rPr>
        <w:t>s</w:t>
      </w:r>
      <w:r w:rsidRPr="00D01479">
        <w:rPr>
          <w:szCs w:val="24"/>
        </w:rPr>
        <w:t xml:space="preserve"> </w:t>
      </w:r>
      <w:r>
        <w:rPr>
          <w:szCs w:val="24"/>
        </w:rPr>
        <w:t xml:space="preserve">also considered </w:t>
      </w:r>
      <w:r w:rsidRPr="00D01479">
        <w:rPr>
          <w:szCs w:val="24"/>
        </w:rPr>
        <w:t xml:space="preserve">that listing of an item for one or more NGS gene panels in NSCLC would have implications for the current MBS items for testing for </w:t>
      </w:r>
      <w:r w:rsidRPr="00D01479">
        <w:rPr>
          <w:i/>
          <w:szCs w:val="24"/>
        </w:rPr>
        <w:t>EGFR</w:t>
      </w:r>
      <w:r w:rsidRPr="00D01479">
        <w:rPr>
          <w:szCs w:val="24"/>
        </w:rPr>
        <w:t xml:space="preserve"> and </w:t>
      </w:r>
      <w:r w:rsidRPr="00D01479">
        <w:rPr>
          <w:i/>
          <w:szCs w:val="24"/>
        </w:rPr>
        <w:t>ALK</w:t>
      </w:r>
      <w:r w:rsidRPr="00D01479">
        <w:rPr>
          <w:szCs w:val="24"/>
        </w:rPr>
        <w:t xml:space="preserve"> gene rearrangement which </w:t>
      </w:r>
      <w:r>
        <w:rPr>
          <w:szCs w:val="24"/>
        </w:rPr>
        <w:t xml:space="preserve">also </w:t>
      </w:r>
      <w:r w:rsidRPr="00D01479">
        <w:rPr>
          <w:szCs w:val="24"/>
        </w:rPr>
        <w:t>depend on prior IHC</w:t>
      </w:r>
      <w:r>
        <w:rPr>
          <w:szCs w:val="24"/>
        </w:rPr>
        <w:t>-based testing</w:t>
      </w:r>
      <w:r w:rsidRPr="00D01479">
        <w:rPr>
          <w:szCs w:val="24"/>
        </w:rPr>
        <w:t xml:space="preserve">. It would also have implications for the sequence of tests in the proposed clinical algorithm as it is likely that all testing would be completed at the time of the initial diagnostic biopsy. </w:t>
      </w:r>
      <w:r>
        <w:rPr>
          <w:szCs w:val="24"/>
        </w:rPr>
        <w:t xml:space="preserve">The </w:t>
      </w:r>
      <w:r w:rsidRPr="00D01479">
        <w:rPr>
          <w:szCs w:val="24"/>
        </w:rPr>
        <w:t>ESC</w:t>
      </w:r>
      <w:r>
        <w:rPr>
          <w:szCs w:val="24"/>
        </w:rPr>
        <w:t>s</w:t>
      </w:r>
      <w:r w:rsidRPr="00D01479">
        <w:rPr>
          <w:szCs w:val="24"/>
        </w:rPr>
        <w:t xml:space="preserve"> </w:t>
      </w:r>
      <w:r>
        <w:rPr>
          <w:szCs w:val="24"/>
        </w:rPr>
        <w:t>advised</w:t>
      </w:r>
      <w:r w:rsidRPr="00D01479">
        <w:rPr>
          <w:szCs w:val="24"/>
        </w:rPr>
        <w:t xml:space="preserve"> that MSAC may wish to consider listing the FISH test as proposed </w:t>
      </w:r>
      <w:r>
        <w:rPr>
          <w:szCs w:val="24"/>
        </w:rPr>
        <w:t xml:space="preserve">until </w:t>
      </w:r>
      <w:r w:rsidRPr="00D01479">
        <w:rPr>
          <w:szCs w:val="24"/>
        </w:rPr>
        <w:t>further analysis of the cost-</w:t>
      </w:r>
      <w:r w:rsidRPr="00D01479">
        <w:rPr>
          <w:szCs w:val="24"/>
        </w:rPr>
        <w:lastRenderedPageBreak/>
        <w:t xml:space="preserve">effectiveness and budget impact of one or more potential gene panel items for NSCLC </w:t>
      </w:r>
      <w:r>
        <w:rPr>
          <w:szCs w:val="24"/>
        </w:rPr>
        <w:t>can be provided</w:t>
      </w:r>
      <w:r w:rsidRPr="00D01479">
        <w:rPr>
          <w:szCs w:val="24"/>
        </w:rPr>
        <w:t>.</w:t>
      </w:r>
    </w:p>
    <w:p w14:paraId="7C7228E0" w14:textId="77777777" w:rsidR="004416F3" w:rsidRPr="00D01479" w:rsidRDefault="004416F3" w:rsidP="004416F3">
      <w:pPr>
        <w:spacing w:after="180"/>
        <w:rPr>
          <w:b/>
          <w:szCs w:val="24"/>
        </w:rPr>
      </w:pPr>
      <w:r>
        <w:rPr>
          <w:szCs w:val="24"/>
        </w:rPr>
        <w:t xml:space="preserve">The </w:t>
      </w:r>
      <w:r w:rsidRPr="00D01479">
        <w:rPr>
          <w:szCs w:val="24"/>
        </w:rPr>
        <w:t>ESC</w:t>
      </w:r>
      <w:r>
        <w:rPr>
          <w:szCs w:val="24"/>
        </w:rPr>
        <w:t>s</w:t>
      </w:r>
      <w:r w:rsidRPr="00D01479">
        <w:rPr>
          <w:szCs w:val="24"/>
        </w:rPr>
        <w:t xml:space="preserve"> also noted that some lung cancer gene aberrations are acquired somatic mutations tested in genomic DNA</w:t>
      </w:r>
      <w:r>
        <w:rPr>
          <w:szCs w:val="24"/>
        </w:rPr>
        <w:t>,</w:t>
      </w:r>
      <w:r w:rsidRPr="00D01479">
        <w:rPr>
          <w:szCs w:val="24"/>
        </w:rPr>
        <w:t xml:space="preserve"> and some are gene fusions </w:t>
      </w:r>
      <w:r>
        <w:rPr>
          <w:szCs w:val="24"/>
        </w:rPr>
        <w:t>(</w:t>
      </w:r>
      <w:proofErr w:type="spellStart"/>
      <w:r>
        <w:rPr>
          <w:szCs w:val="24"/>
        </w:rPr>
        <w:t>e</w:t>
      </w:r>
      <w:r w:rsidRPr="00D01479">
        <w:rPr>
          <w:szCs w:val="24"/>
        </w:rPr>
        <w:t>g</w:t>
      </w:r>
      <w:proofErr w:type="spellEnd"/>
      <w:r w:rsidRPr="00D01479">
        <w:rPr>
          <w:szCs w:val="24"/>
        </w:rPr>
        <w:t xml:space="preserve"> </w:t>
      </w:r>
      <w:r w:rsidRPr="00D01479">
        <w:rPr>
          <w:i/>
          <w:szCs w:val="24"/>
        </w:rPr>
        <w:t>ROS1</w:t>
      </w:r>
      <w:r>
        <w:rPr>
          <w:szCs w:val="24"/>
        </w:rPr>
        <w:t xml:space="preserve">) </w:t>
      </w:r>
      <w:r w:rsidRPr="00D01479">
        <w:rPr>
          <w:szCs w:val="24"/>
        </w:rPr>
        <w:t>usually tested in cDNA prepared from RNA, which would require two distinct platforms for testing.</w:t>
      </w:r>
    </w:p>
    <w:p w14:paraId="42972198" w14:textId="77777777" w:rsidR="004416F3" w:rsidRPr="00D01479" w:rsidRDefault="004416F3" w:rsidP="004416F3">
      <w:pPr>
        <w:spacing w:after="180"/>
        <w:rPr>
          <w:b/>
          <w:szCs w:val="24"/>
        </w:rPr>
      </w:pPr>
      <w:r>
        <w:rPr>
          <w:szCs w:val="24"/>
        </w:rPr>
        <w:t xml:space="preserve">The </w:t>
      </w:r>
      <w:r w:rsidRPr="00D01479">
        <w:rPr>
          <w:szCs w:val="24"/>
        </w:rPr>
        <w:t>ESC</w:t>
      </w:r>
      <w:r>
        <w:rPr>
          <w:szCs w:val="24"/>
        </w:rPr>
        <w:t>s</w:t>
      </w:r>
      <w:r w:rsidRPr="00D01479">
        <w:rPr>
          <w:szCs w:val="24"/>
        </w:rPr>
        <w:t xml:space="preserve"> considered whether the stability of </w:t>
      </w:r>
      <w:r w:rsidRPr="00D01479">
        <w:rPr>
          <w:i/>
          <w:szCs w:val="24"/>
        </w:rPr>
        <w:t>ROS1</w:t>
      </w:r>
      <w:r w:rsidRPr="00D01479">
        <w:rPr>
          <w:szCs w:val="24"/>
        </w:rPr>
        <w:t xml:space="preserve"> gene rearrangements over time </w:t>
      </w:r>
      <w:r>
        <w:rPr>
          <w:szCs w:val="24"/>
        </w:rPr>
        <w:t>would be</w:t>
      </w:r>
      <w:r w:rsidRPr="00D01479">
        <w:rPr>
          <w:szCs w:val="24"/>
        </w:rPr>
        <w:t xml:space="preserve"> sufficient to allow </w:t>
      </w:r>
      <w:r w:rsidRPr="00D01479">
        <w:rPr>
          <w:i/>
          <w:szCs w:val="24"/>
        </w:rPr>
        <w:t>ROS1</w:t>
      </w:r>
      <w:r w:rsidRPr="00D01479">
        <w:rPr>
          <w:szCs w:val="24"/>
        </w:rPr>
        <w:t xml:space="preserve"> testing without re-biopsy. </w:t>
      </w:r>
      <w:r>
        <w:rPr>
          <w:szCs w:val="24"/>
        </w:rPr>
        <w:t xml:space="preserve">The </w:t>
      </w:r>
      <w:r w:rsidRPr="00D01479">
        <w:rPr>
          <w:szCs w:val="24"/>
        </w:rPr>
        <w:t>ESC</w:t>
      </w:r>
      <w:r>
        <w:rPr>
          <w:szCs w:val="24"/>
        </w:rPr>
        <w:t>s</w:t>
      </w:r>
      <w:r w:rsidRPr="00D01479">
        <w:rPr>
          <w:szCs w:val="24"/>
        </w:rPr>
        <w:t xml:space="preserve"> noted the sponsor’s comment that the assumption of stability is based on the biological understanding of </w:t>
      </w:r>
      <w:r w:rsidRPr="00D01479">
        <w:rPr>
          <w:i/>
          <w:szCs w:val="24"/>
        </w:rPr>
        <w:t>ROS1</w:t>
      </w:r>
      <w:r w:rsidRPr="00D01479">
        <w:rPr>
          <w:szCs w:val="24"/>
        </w:rPr>
        <w:t xml:space="preserve"> as an oncogenic driver mutation (similar to </w:t>
      </w:r>
      <w:r w:rsidRPr="00D01479">
        <w:rPr>
          <w:i/>
          <w:szCs w:val="24"/>
        </w:rPr>
        <w:t>ALK</w:t>
      </w:r>
      <w:r w:rsidRPr="00D01479">
        <w:rPr>
          <w:szCs w:val="24"/>
        </w:rPr>
        <w:t xml:space="preserve"> rearrangement stability over time). </w:t>
      </w:r>
      <w:r>
        <w:rPr>
          <w:szCs w:val="24"/>
        </w:rPr>
        <w:t xml:space="preserve">The </w:t>
      </w:r>
      <w:r w:rsidRPr="00D01479">
        <w:rPr>
          <w:szCs w:val="24"/>
        </w:rPr>
        <w:t>ESC</w:t>
      </w:r>
      <w:r>
        <w:rPr>
          <w:szCs w:val="24"/>
        </w:rPr>
        <w:t>s</w:t>
      </w:r>
      <w:r w:rsidRPr="00D01479">
        <w:rPr>
          <w:szCs w:val="24"/>
        </w:rPr>
        <w:t xml:space="preserve"> noted that</w:t>
      </w:r>
      <w:r>
        <w:rPr>
          <w:szCs w:val="24"/>
        </w:rPr>
        <w:t>,</w:t>
      </w:r>
      <w:r w:rsidRPr="00D01479">
        <w:rPr>
          <w:szCs w:val="24"/>
        </w:rPr>
        <w:t xml:space="preserve"> due to the paucity of </w:t>
      </w:r>
      <w:r>
        <w:rPr>
          <w:szCs w:val="24"/>
        </w:rPr>
        <w:t xml:space="preserve">available </w:t>
      </w:r>
      <w:r w:rsidRPr="00D01479">
        <w:rPr>
          <w:szCs w:val="24"/>
        </w:rPr>
        <w:t>evidence</w:t>
      </w:r>
      <w:r>
        <w:rPr>
          <w:szCs w:val="24"/>
        </w:rPr>
        <w:t>,</w:t>
      </w:r>
      <w:r w:rsidRPr="00D01479">
        <w:rPr>
          <w:szCs w:val="24"/>
        </w:rPr>
        <w:t xml:space="preserve"> it is not known </w:t>
      </w:r>
      <w:r>
        <w:rPr>
          <w:szCs w:val="24"/>
        </w:rPr>
        <w:t>whether</w:t>
      </w:r>
      <w:r w:rsidRPr="00D01479">
        <w:rPr>
          <w:szCs w:val="24"/>
        </w:rPr>
        <w:t xml:space="preserve"> </w:t>
      </w:r>
      <w:r w:rsidRPr="00D01479">
        <w:rPr>
          <w:i/>
          <w:szCs w:val="24"/>
        </w:rPr>
        <w:t>ROS1</w:t>
      </w:r>
      <w:r w:rsidRPr="00D01479">
        <w:rPr>
          <w:szCs w:val="24"/>
        </w:rPr>
        <w:t xml:space="preserve"> gene rearrangements are stable or unstable over time or following treatment. Two studies included in the </w:t>
      </w:r>
      <w:r>
        <w:rPr>
          <w:szCs w:val="24"/>
        </w:rPr>
        <w:t>application</w:t>
      </w:r>
      <w:r w:rsidRPr="00D01479">
        <w:rPr>
          <w:szCs w:val="24"/>
        </w:rPr>
        <w:t xml:space="preserve"> that examined re-biopsies in patients with NSCLC suggested that </w:t>
      </w:r>
      <w:r w:rsidRPr="00D01479">
        <w:rPr>
          <w:i/>
          <w:szCs w:val="24"/>
        </w:rPr>
        <w:t>ROS1</w:t>
      </w:r>
      <w:r w:rsidRPr="00D01479">
        <w:rPr>
          <w:szCs w:val="24"/>
        </w:rPr>
        <w:t xml:space="preserve"> gene rearrangements occurred more frequently in recurrent tumours. </w:t>
      </w:r>
      <w:r>
        <w:rPr>
          <w:szCs w:val="24"/>
        </w:rPr>
        <w:t xml:space="preserve">The </w:t>
      </w:r>
      <w:r w:rsidRPr="00D01479">
        <w:rPr>
          <w:szCs w:val="24"/>
        </w:rPr>
        <w:t>ESC</w:t>
      </w:r>
      <w:r>
        <w:rPr>
          <w:szCs w:val="24"/>
        </w:rPr>
        <w:t>s</w:t>
      </w:r>
      <w:r w:rsidRPr="00D01479">
        <w:rPr>
          <w:szCs w:val="24"/>
        </w:rPr>
        <w:t xml:space="preserve"> </w:t>
      </w:r>
      <w:r>
        <w:rPr>
          <w:szCs w:val="24"/>
        </w:rPr>
        <w:t>considered</w:t>
      </w:r>
      <w:r w:rsidRPr="00D01479">
        <w:rPr>
          <w:szCs w:val="24"/>
        </w:rPr>
        <w:t xml:space="preserve"> that the evidence suggesting higher prevalence in recurrent NSCLC was not strong, due to small numbers in one study and the lack of </w:t>
      </w:r>
      <w:r w:rsidRPr="00D01479">
        <w:rPr>
          <w:i/>
          <w:szCs w:val="24"/>
        </w:rPr>
        <w:t>ROS1</w:t>
      </w:r>
      <w:r w:rsidRPr="00D01479">
        <w:rPr>
          <w:szCs w:val="24"/>
        </w:rPr>
        <w:t xml:space="preserve"> status confirmation by FISH in the other. </w:t>
      </w:r>
      <w:r>
        <w:rPr>
          <w:szCs w:val="24"/>
        </w:rPr>
        <w:t xml:space="preserve">The </w:t>
      </w:r>
      <w:r w:rsidRPr="00D01479">
        <w:rPr>
          <w:szCs w:val="24"/>
        </w:rPr>
        <w:t>ESC</w:t>
      </w:r>
      <w:r>
        <w:rPr>
          <w:szCs w:val="24"/>
        </w:rPr>
        <w:t>s</w:t>
      </w:r>
      <w:r w:rsidRPr="00D01479">
        <w:rPr>
          <w:szCs w:val="24"/>
        </w:rPr>
        <w:t xml:space="preserve"> considered that</w:t>
      </w:r>
      <w:r>
        <w:rPr>
          <w:szCs w:val="24"/>
        </w:rPr>
        <w:t>,</w:t>
      </w:r>
      <w:r w:rsidRPr="00D01479">
        <w:rPr>
          <w:szCs w:val="24"/>
        </w:rPr>
        <w:t xml:space="preserve"> if there is no evidence that </w:t>
      </w:r>
      <w:r w:rsidRPr="00D01479">
        <w:rPr>
          <w:i/>
          <w:szCs w:val="24"/>
        </w:rPr>
        <w:t>ROS1</w:t>
      </w:r>
      <w:r w:rsidRPr="00D01479">
        <w:rPr>
          <w:szCs w:val="24"/>
        </w:rPr>
        <w:t xml:space="preserve"> rearrangements are unstable over time, it may not be in the patients’ best interest to undergo potentially unnecessary biopsy, but if evidence emerges that </w:t>
      </w:r>
      <w:r w:rsidRPr="00D01479">
        <w:rPr>
          <w:i/>
          <w:szCs w:val="24"/>
        </w:rPr>
        <w:t>ROS1</w:t>
      </w:r>
      <w:r w:rsidRPr="00D01479">
        <w:rPr>
          <w:szCs w:val="24"/>
        </w:rPr>
        <w:t xml:space="preserve"> rearrangements are unstable, then a requirement for re-biopsy would need </w:t>
      </w:r>
      <w:r>
        <w:rPr>
          <w:szCs w:val="24"/>
        </w:rPr>
        <w:t>to be considered at that time.</w:t>
      </w:r>
    </w:p>
    <w:p w14:paraId="3AF0A6C0" w14:textId="77777777" w:rsidR="004416F3" w:rsidRPr="00D01479" w:rsidRDefault="004416F3" w:rsidP="004416F3">
      <w:pPr>
        <w:spacing w:after="180"/>
        <w:rPr>
          <w:b/>
          <w:szCs w:val="24"/>
        </w:rPr>
      </w:pPr>
      <w:r>
        <w:rPr>
          <w:szCs w:val="24"/>
        </w:rPr>
        <w:t xml:space="preserve">The </w:t>
      </w:r>
      <w:r w:rsidRPr="00D01479">
        <w:rPr>
          <w:szCs w:val="24"/>
        </w:rPr>
        <w:t>ESC</w:t>
      </w:r>
      <w:r>
        <w:rPr>
          <w:szCs w:val="24"/>
        </w:rPr>
        <w:t>s</w:t>
      </w:r>
      <w:r w:rsidRPr="00D01479">
        <w:rPr>
          <w:szCs w:val="24"/>
        </w:rPr>
        <w:t xml:space="preserve"> considered whether the </w:t>
      </w:r>
      <w:r w:rsidRPr="00D01479">
        <w:rPr>
          <w:i/>
          <w:szCs w:val="24"/>
        </w:rPr>
        <w:t>ROS1</w:t>
      </w:r>
      <w:r w:rsidRPr="00D01479">
        <w:rPr>
          <w:szCs w:val="24"/>
        </w:rPr>
        <w:t xml:space="preserve"> FISH item should be pathologist determinable. </w:t>
      </w:r>
      <w:r>
        <w:rPr>
          <w:szCs w:val="24"/>
        </w:rPr>
        <w:t xml:space="preserve">The </w:t>
      </w:r>
      <w:r w:rsidRPr="00D01479">
        <w:rPr>
          <w:szCs w:val="24"/>
        </w:rPr>
        <w:t>ESC</w:t>
      </w:r>
      <w:r>
        <w:rPr>
          <w:szCs w:val="24"/>
        </w:rPr>
        <w:t>s</w:t>
      </w:r>
      <w:r w:rsidRPr="00D01479">
        <w:rPr>
          <w:szCs w:val="24"/>
        </w:rPr>
        <w:t xml:space="preserve"> noted that </w:t>
      </w:r>
      <w:r w:rsidRPr="00CC1ED6">
        <w:rPr>
          <w:i/>
          <w:szCs w:val="24"/>
        </w:rPr>
        <w:t>EGFR</w:t>
      </w:r>
      <w:r w:rsidRPr="00D01479">
        <w:rPr>
          <w:szCs w:val="24"/>
        </w:rPr>
        <w:t xml:space="preserve"> and </w:t>
      </w:r>
      <w:r w:rsidRPr="00CC1ED6">
        <w:rPr>
          <w:szCs w:val="24"/>
        </w:rPr>
        <w:t>ALK</w:t>
      </w:r>
      <w:r w:rsidRPr="00D01479">
        <w:rPr>
          <w:szCs w:val="24"/>
        </w:rPr>
        <w:t xml:space="preserve"> IHC testing </w:t>
      </w:r>
      <w:proofErr w:type="gramStart"/>
      <w:r w:rsidRPr="00D01479">
        <w:rPr>
          <w:szCs w:val="24"/>
        </w:rPr>
        <w:t>are</w:t>
      </w:r>
      <w:proofErr w:type="gramEnd"/>
      <w:r w:rsidRPr="00D01479">
        <w:rPr>
          <w:szCs w:val="24"/>
        </w:rPr>
        <w:t xml:space="preserve"> pathologist determinable, while </w:t>
      </w:r>
      <w:r w:rsidRPr="00D01479">
        <w:rPr>
          <w:i/>
          <w:szCs w:val="24"/>
        </w:rPr>
        <w:t>ALK</w:t>
      </w:r>
      <w:r w:rsidRPr="00D01479">
        <w:rPr>
          <w:szCs w:val="24"/>
        </w:rPr>
        <w:t xml:space="preserve"> FISH testing is not. </w:t>
      </w:r>
      <w:r>
        <w:rPr>
          <w:szCs w:val="24"/>
        </w:rPr>
        <w:t xml:space="preserve">The </w:t>
      </w:r>
      <w:r w:rsidRPr="00D01479">
        <w:rPr>
          <w:szCs w:val="24"/>
        </w:rPr>
        <w:t>ESC</w:t>
      </w:r>
      <w:r>
        <w:rPr>
          <w:szCs w:val="24"/>
        </w:rPr>
        <w:t>s</w:t>
      </w:r>
      <w:r w:rsidRPr="00D01479">
        <w:rPr>
          <w:szCs w:val="24"/>
        </w:rPr>
        <w:t xml:space="preserve"> noted that there are concerns about multiple, sequential tests on a limited specimen</w:t>
      </w:r>
      <w:r>
        <w:rPr>
          <w:szCs w:val="24"/>
        </w:rPr>
        <w:t>,</w:t>
      </w:r>
      <w:r w:rsidRPr="00D01479">
        <w:rPr>
          <w:szCs w:val="24"/>
        </w:rPr>
        <w:t xml:space="preserve"> but considered that the requirement for IHC </w:t>
      </w:r>
      <w:r>
        <w:rPr>
          <w:szCs w:val="24"/>
        </w:rPr>
        <w:t>pre-test</w:t>
      </w:r>
      <w:r w:rsidRPr="00D01479">
        <w:rPr>
          <w:szCs w:val="24"/>
        </w:rPr>
        <w:t xml:space="preserve">ing should minimise the number of additional biopsies performed. </w:t>
      </w:r>
      <w:r>
        <w:rPr>
          <w:szCs w:val="24"/>
        </w:rPr>
        <w:t xml:space="preserve">The </w:t>
      </w:r>
      <w:r w:rsidRPr="00D01479">
        <w:rPr>
          <w:szCs w:val="24"/>
        </w:rPr>
        <w:t>ESC</w:t>
      </w:r>
      <w:r>
        <w:rPr>
          <w:szCs w:val="24"/>
        </w:rPr>
        <w:t>s</w:t>
      </w:r>
      <w:r w:rsidRPr="00D01479">
        <w:rPr>
          <w:szCs w:val="24"/>
        </w:rPr>
        <w:t xml:space="preserve"> </w:t>
      </w:r>
      <w:r>
        <w:rPr>
          <w:szCs w:val="24"/>
        </w:rPr>
        <w:t>advised</w:t>
      </w:r>
      <w:r w:rsidRPr="00D01479">
        <w:rPr>
          <w:szCs w:val="24"/>
        </w:rPr>
        <w:t xml:space="preserve"> that</w:t>
      </w:r>
      <w:r>
        <w:rPr>
          <w:szCs w:val="24"/>
        </w:rPr>
        <w:t>,</w:t>
      </w:r>
      <w:r w:rsidRPr="00D01479">
        <w:rPr>
          <w:szCs w:val="24"/>
        </w:rPr>
        <w:t xml:space="preserve"> if the proposed testing sequence is adopted</w:t>
      </w:r>
      <w:r>
        <w:rPr>
          <w:szCs w:val="24"/>
        </w:rPr>
        <w:t>,</w:t>
      </w:r>
      <w:r w:rsidRPr="00D01479">
        <w:rPr>
          <w:szCs w:val="24"/>
        </w:rPr>
        <w:t xml:space="preserve"> the </w:t>
      </w:r>
      <w:r w:rsidRPr="0036761F">
        <w:rPr>
          <w:szCs w:val="24"/>
        </w:rPr>
        <w:t>ROS1</w:t>
      </w:r>
      <w:r w:rsidRPr="00D01479">
        <w:rPr>
          <w:szCs w:val="24"/>
        </w:rPr>
        <w:t xml:space="preserve"> IHC test should be pathologist determinable in </w:t>
      </w:r>
      <w:r w:rsidRPr="00D01479">
        <w:rPr>
          <w:i/>
          <w:szCs w:val="24"/>
        </w:rPr>
        <w:t>EGFR</w:t>
      </w:r>
      <w:r w:rsidRPr="00D01479">
        <w:rPr>
          <w:szCs w:val="24"/>
        </w:rPr>
        <w:t xml:space="preserve">-negative, </w:t>
      </w:r>
      <w:r w:rsidRPr="00D01479">
        <w:rPr>
          <w:i/>
          <w:szCs w:val="24"/>
        </w:rPr>
        <w:t>ALK</w:t>
      </w:r>
      <w:r w:rsidRPr="00D01479">
        <w:rPr>
          <w:szCs w:val="24"/>
        </w:rPr>
        <w:t xml:space="preserve">-negative samples at the time of diagnosis, but </w:t>
      </w:r>
      <w:r w:rsidRPr="00D01479">
        <w:rPr>
          <w:i/>
          <w:szCs w:val="24"/>
        </w:rPr>
        <w:t>ROS1</w:t>
      </w:r>
      <w:r w:rsidRPr="00D01479">
        <w:rPr>
          <w:szCs w:val="24"/>
        </w:rPr>
        <w:t xml:space="preserve"> FISH testing should no</w:t>
      </w:r>
      <w:r>
        <w:rPr>
          <w:szCs w:val="24"/>
        </w:rPr>
        <w:t>t be pathologist determinable.</w:t>
      </w:r>
    </w:p>
    <w:p w14:paraId="3D39E81F" w14:textId="77777777" w:rsidR="004416F3" w:rsidRPr="00D01479" w:rsidRDefault="004416F3" w:rsidP="004416F3">
      <w:pPr>
        <w:spacing w:after="180"/>
        <w:rPr>
          <w:b/>
          <w:szCs w:val="24"/>
        </w:rPr>
      </w:pPr>
      <w:r>
        <w:rPr>
          <w:szCs w:val="24"/>
        </w:rPr>
        <w:t xml:space="preserve">The </w:t>
      </w:r>
      <w:r w:rsidRPr="00D01479">
        <w:rPr>
          <w:szCs w:val="24"/>
        </w:rPr>
        <w:t>ESC</w:t>
      </w:r>
      <w:r>
        <w:rPr>
          <w:szCs w:val="24"/>
        </w:rPr>
        <w:t>s</w:t>
      </w:r>
      <w:r w:rsidRPr="00D01479">
        <w:rPr>
          <w:szCs w:val="24"/>
        </w:rPr>
        <w:t xml:space="preserve"> noted the limited clinical evidence for </w:t>
      </w:r>
      <w:r w:rsidRPr="00D01479">
        <w:rPr>
          <w:i/>
          <w:szCs w:val="24"/>
        </w:rPr>
        <w:t>ROS1</w:t>
      </w:r>
      <w:r w:rsidRPr="00D01479">
        <w:rPr>
          <w:szCs w:val="24"/>
        </w:rPr>
        <w:t xml:space="preserve"> testing and crizotinib treatment makes it difficult to assess the magnitude of benefit for patients, but acknowledged </w:t>
      </w:r>
      <w:r>
        <w:rPr>
          <w:szCs w:val="24"/>
        </w:rPr>
        <w:t xml:space="preserve">that </w:t>
      </w:r>
      <w:r w:rsidRPr="00D01479">
        <w:rPr>
          <w:szCs w:val="24"/>
        </w:rPr>
        <w:t xml:space="preserve">this is the best available evidence in this small patient population. </w:t>
      </w:r>
      <w:r>
        <w:rPr>
          <w:szCs w:val="24"/>
        </w:rPr>
        <w:t xml:space="preserve">The </w:t>
      </w:r>
      <w:r w:rsidRPr="00D01479">
        <w:rPr>
          <w:szCs w:val="24"/>
        </w:rPr>
        <w:t>ESC</w:t>
      </w:r>
      <w:r>
        <w:rPr>
          <w:szCs w:val="24"/>
        </w:rPr>
        <w:t>s</w:t>
      </w:r>
      <w:r w:rsidRPr="00D01479">
        <w:rPr>
          <w:szCs w:val="24"/>
        </w:rPr>
        <w:t xml:space="preserve"> also noted the observation of increased fatal events for patients treated with crizotinib compared with standard treatment based on the naïve comparison presented.</w:t>
      </w:r>
    </w:p>
    <w:p w14:paraId="718AB4F7" w14:textId="77777777" w:rsidR="004416F3" w:rsidRPr="00D01479" w:rsidRDefault="004416F3" w:rsidP="004416F3">
      <w:pPr>
        <w:spacing w:after="180"/>
        <w:rPr>
          <w:b/>
          <w:szCs w:val="24"/>
        </w:rPr>
      </w:pPr>
      <w:r>
        <w:rPr>
          <w:szCs w:val="24"/>
        </w:rPr>
        <w:t xml:space="preserve">The </w:t>
      </w:r>
      <w:r w:rsidRPr="00D01479">
        <w:rPr>
          <w:szCs w:val="24"/>
        </w:rPr>
        <w:t>ESC</w:t>
      </w:r>
      <w:r>
        <w:rPr>
          <w:szCs w:val="24"/>
        </w:rPr>
        <w:t>s</w:t>
      </w:r>
      <w:r w:rsidRPr="00D01479">
        <w:rPr>
          <w:szCs w:val="24"/>
        </w:rPr>
        <w:t xml:space="preserve"> </w:t>
      </w:r>
      <w:r>
        <w:rPr>
          <w:szCs w:val="24"/>
        </w:rPr>
        <w:t>considered</w:t>
      </w:r>
      <w:r w:rsidRPr="00D01479">
        <w:rPr>
          <w:szCs w:val="24"/>
        </w:rPr>
        <w:t xml:space="preserve"> that</w:t>
      </w:r>
      <w:r>
        <w:rPr>
          <w:szCs w:val="24"/>
        </w:rPr>
        <w:t>,</w:t>
      </w:r>
      <w:r w:rsidRPr="00D01479">
        <w:rPr>
          <w:szCs w:val="24"/>
        </w:rPr>
        <w:t xml:space="preserve"> overall</w:t>
      </w:r>
      <w:r>
        <w:rPr>
          <w:szCs w:val="24"/>
        </w:rPr>
        <w:t>,</w:t>
      </w:r>
      <w:r w:rsidRPr="00D01479">
        <w:rPr>
          <w:szCs w:val="24"/>
        </w:rPr>
        <w:t xml:space="preserve"> the modelling approach was appropriate while acknowledging it was based on the limited available clinical evidence. </w:t>
      </w:r>
      <w:r>
        <w:rPr>
          <w:szCs w:val="24"/>
        </w:rPr>
        <w:t xml:space="preserve">The </w:t>
      </w:r>
      <w:r w:rsidRPr="00D01479">
        <w:rPr>
          <w:szCs w:val="24"/>
        </w:rPr>
        <w:t>ESC</w:t>
      </w:r>
      <w:r>
        <w:rPr>
          <w:szCs w:val="24"/>
        </w:rPr>
        <w:t>s</w:t>
      </w:r>
      <w:r w:rsidRPr="00D01479">
        <w:rPr>
          <w:szCs w:val="24"/>
        </w:rPr>
        <w:t xml:space="preserve"> noted that the ICER was sensitive t</w:t>
      </w:r>
      <w:r>
        <w:rPr>
          <w:szCs w:val="24"/>
        </w:rPr>
        <w:t>o the time horizon and that a 5-</w:t>
      </w:r>
      <w:r w:rsidRPr="00D01479">
        <w:rPr>
          <w:szCs w:val="24"/>
        </w:rPr>
        <w:t xml:space="preserve">year time horizon may be more appropriate for the base case. Horizons of 2 or 5 years could be considered in </w:t>
      </w:r>
      <w:r>
        <w:rPr>
          <w:szCs w:val="24"/>
        </w:rPr>
        <w:t>sensitivity</w:t>
      </w:r>
      <w:r w:rsidRPr="00D01479">
        <w:rPr>
          <w:szCs w:val="24"/>
        </w:rPr>
        <w:t xml:space="preserve"> analyses. </w:t>
      </w:r>
      <w:r>
        <w:rPr>
          <w:szCs w:val="24"/>
        </w:rPr>
        <w:t xml:space="preserve">The </w:t>
      </w:r>
      <w:r w:rsidRPr="00D01479">
        <w:rPr>
          <w:szCs w:val="24"/>
        </w:rPr>
        <w:t>ESC</w:t>
      </w:r>
      <w:r>
        <w:rPr>
          <w:szCs w:val="24"/>
        </w:rPr>
        <w:t>s</w:t>
      </w:r>
      <w:r w:rsidRPr="00D01479">
        <w:rPr>
          <w:szCs w:val="24"/>
        </w:rPr>
        <w:t xml:space="preserve"> noted that quality of life outcomes were mapped to EQ</w:t>
      </w:r>
      <w:r>
        <w:rPr>
          <w:szCs w:val="24"/>
        </w:rPr>
        <w:t>-</w:t>
      </w:r>
      <w:r w:rsidRPr="00D01479">
        <w:rPr>
          <w:szCs w:val="24"/>
        </w:rPr>
        <w:t xml:space="preserve">5D-5L values, which introduces some uncertainty, though it is a reasonable approach given the available evidence. </w:t>
      </w:r>
      <w:r>
        <w:rPr>
          <w:szCs w:val="24"/>
        </w:rPr>
        <w:t xml:space="preserve">The </w:t>
      </w:r>
      <w:r w:rsidRPr="00D01479">
        <w:rPr>
          <w:szCs w:val="24"/>
        </w:rPr>
        <w:t>ESC</w:t>
      </w:r>
      <w:r>
        <w:rPr>
          <w:szCs w:val="24"/>
        </w:rPr>
        <w:t>s</w:t>
      </w:r>
      <w:r w:rsidRPr="00D01479">
        <w:rPr>
          <w:szCs w:val="24"/>
        </w:rPr>
        <w:t xml:space="preserve"> questioned the reliability of the resource use applied in the model which was based on a survey with a 6% response rate (22 oncologists with a mean of 15 patients each). </w:t>
      </w:r>
      <w:r>
        <w:rPr>
          <w:szCs w:val="24"/>
        </w:rPr>
        <w:t xml:space="preserve">The </w:t>
      </w:r>
      <w:r w:rsidRPr="00D01479">
        <w:rPr>
          <w:szCs w:val="24"/>
        </w:rPr>
        <w:t>ESC</w:t>
      </w:r>
      <w:r>
        <w:rPr>
          <w:szCs w:val="24"/>
        </w:rPr>
        <w:t>s</w:t>
      </w:r>
      <w:r w:rsidRPr="00D01479">
        <w:rPr>
          <w:szCs w:val="24"/>
        </w:rPr>
        <w:t xml:space="preserve"> suggested it may b</w:t>
      </w:r>
      <w:r>
        <w:rPr>
          <w:szCs w:val="24"/>
        </w:rPr>
        <w:t xml:space="preserve">e </w:t>
      </w:r>
      <w:r w:rsidRPr="00D01479">
        <w:rPr>
          <w:szCs w:val="24"/>
        </w:rPr>
        <w:t>informative to include patients with squamous histology in a sensitivity analysis as only a small proportion would need treatment but testing all pati</w:t>
      </w:r>
      <w:r>
        <w:rPr>
          <w:szCs w:val="24"/>
        </w:rPr>
        <w:t>ents may be resource intensive.</w:t>
      </w:r>
    </w:p>
    <w:p w14:paraId="714D6169" w14:textId="77777777" w:rsidR="004416F3" w:rsidRPr="00D01479" w:rsidRDefault="004416F3" w:rsidP="004416F3">
      <w:pPr>
        <w:spacing w:after="180"/>
        <w:rPr>
          <w:b/>
          <w:szCs w:val="24"/>
        </w:rPr>
      </w:pPr>
      <w:r>
        <w:rPr>
          <w:szCs w:val="24"/>
        </w:rPr>
        <w:t xml:space="preserve">The </w:t>
      </w:r>
      <w:r w:rsidRPr="00D01479">
        <w:rPr>
          <w:szCs w:val="24"/>
        </w:rPr>
        <w:t>ESC</w:t>
      </w:r>
      <w:r>
        <w:rPr>
          <w:szCs w:val="24"/>
        </w:rPr>
        <w:t>s advised</w:t>
      </w:r>
      <w:r w:rsidRPr="00D01479">
        <w:rPr>
          <w:szCs w:val="24"/>
        </w:rPr>
        <w:t xml:space="preserve"> that</w:t>
      </w:r>
      <w:r>
        <w:rPr>
          <w:szCs w:val="24"/>
        </w:rPr>
        <w:t>,</w:t>
      </w:r>
      <w:r w:rsidRPr="00D01479">
        <w:rPr>
          <w:szCs w:val="24"/>
        </w:rPr>
        <w:t xml:space="preserve"> overall</w:t>
      </w:r>
      <w:r>
        <w:rPr>
          <w:szCs w:val="24"/>
        </w:rPr>
        <w:t>,</w:t>
      </w:r>
      <w:r w:rsidRPr="00D01479">
        <w:rPr>
          <w:szCs w:val="24"/>
        </w:rPr>
        <w:t xml:space="preserve"> the base case ICER may be underestimated as the uptake of the test may be underestimated and time horizon long.</w:t>
      </w:r>
    </w:p>
    <w:p w14:paraId="409EF8BF" w14:textId="77777777" w:rsidR="004416F3" w:rsidRPr="00D01479" w:rsidRDefault="004416F3" w:rsidP="004416F3">
      <w:pPr>
        <w:spacing w:after="180"/>
        <w:rPr>
          <w:b/>
          <w:szCs w:val="24"/>
        </w:rPr>
      </w:pPr>
      <w:r>
        <w:rPr>
          <w:szCs w:val="24"/>
        </w:rPr>
        <w:t xml:space="preserve">The </w:t>
      </w:r>
      <w:r w:rsidRPr="00D01479">
        <w:rPr>
          <w:szCs w:val="24"/>
        </w:rPr>
        <w:t>ESC</w:t>
      </w:r>
      <w:r>
        <w:rPr>
          <w:szCs w:val="24"/>
        </w:rPr>
        <w:t>s</w:t>
      </w:r>
      <w:r w:rsidRPr="00D01479">
        <w:rPr>
          <w:szCs w:val="24"/>
        </w:rPr>
        <w:t xml:space="preserve"> considered whether </w:t>
      </w:r>
      <w:r w:rsidRPr="00D01479">
        <w:rPr>
          <w:i/>
          <w:szCs w:val="24"/>
        </w:rPr>
        <w:t>ROS1</w:t>
      </w:r>
      <w:r w:rsidRPr="00D01479">
        <w:rPr>
          <w:szCs w:val="24"/>
        </w:rPr>
        <w:t xml:space="preserve"> testing and crizotinib treatment should be allowed for patients with squamous NSCLC. </w:t>
      </w:r>
      <w:r>
        <w:rPr>
          <w:szCs w:val="24"/>
        </w:rPr>
        <w:t xml:space="preserve">The </w:t>
      </w:r>
      <w:r w:rsidRPr="00D01479">
        <w:rPr>
          <w:szCs w:val="24"/>
        </w:rPr>
        <w:t>ESC</w:t>
      </w:r>
      <w:r>
        <w:rPr>
          <w:szCs w:val="24"/>
        </w:rPr>
        <w:t>s</w:t>
      </w:r>
      <w:r w:rsidRPr="00D01479">
        <w:rPr>
          <w:szCs w:val="24"/>
        </w:rPr>
        <w:t xml:space="preserve"> noted that </w:t>
      </w:r>
      <w:r w:rsidRPr="00D01479">
        <w:rPr>
          <w:i/>
          <w:szCs w:val="24"/>
        </w:rPr>
        <w:t>ROS1</w:t>
      </w:r>
      <w:r w:rsidRPr="00D01479">
        <w:rPr>
          <w:szCs w:val="24"/>
        </w:rPr>
        <w:t xml:space="preserve"> gene rearrangements are rare in </w:t>
      </w:r>
      <w:r w:rsidRPr="00D01479">
        <w:rPr>
          <w:szCs w:val="24"/>
        </w:rPr>
        <w:lastRenderedPageBreak/>
        <w:t xml:space="preserve">squamous NSCLC (1% of patients in the crizotinib studies). Allowing access to </w:t>
      </w:r>
      <w:r w:rsidRPr="00D01479">
        <w:rPr>
          <w:i/>
          <w:szCs w:val="24"/>
        </w:rPr>
        <w:t>ROS1</w:t>
      </w:r>
      <w:r w:rsidRPr="00D01479">
        <w:rPr>
          <w:szCs w:val="24"/>
        </w:rPr>
        <w:t xml:space="preserve"> testing for squamous NSCLC would require separate items for </w:t>
      </w:r>
      <w:r w:rsidRPr="00D01479">
        <w:rPr>
          <w:i/>
          <w:szCs w:val="24"/>
        </w:rPr>
        <w:t>EGFR</w:t>
      </w:r>
      <w:r w:rsidRPr="00D01479">
        <w:rPr>
          <w:szCs w:val="24"/>
        </w:rPr>
        <w:t xml:space="preserve"> and </w:t>
      </w:r>
      <w:r w:rsidRPr="00D01479">
        <w:rPr>
          <w:i/>
          <w:szCs w:val="24"/>
        </w:rPr>
        <w:t>ALK</w:t>
      </w:r>
      <w:r w:rsidRPr="00D01479">
        <w:rPr>
          <w:szCs w:val="24"/>
        </w:rPr>
        <w:t xml:space="preserve"> tests in squamous patients as the currently listed MBS items for </w:t>
      </w:r>
      <w:r w:rsidRPr="00D01479">
        <w:rPr>
          <w:i/>
          <w:szCs w:val="24"/>
        </w:rPr>
        <w:t>EGFR</w:t>
      </w:r>
      <w:r w:rsidRPr="00D01479">
        <w:rPr>
          <w:szCs w:val="24"/>
        </w:rPr>
        <w:t xml:space="preserve"> and </w:t>
      </w:r>
      <w:r w:rsidRPr="00D01479">
        <w:rPr>
          <w:i/>
          <w:szCs w:val="24"/>
        </w:rPr>
        <w:t>ALK</w:t>
      </w:r>
      <w:r w:rsidRPr="00D01479">
        <w:rPr>
          <w:szCs w:val="24"/>
        </w:rPr>
        <w:t xml:space="preserve"> are limited to non-squamous and “not otherwise specified” (NOS) histology. </w:t>
      </w:r>
      <w:r>
        <w:rPr>
          <w:szCs w:val="24"/>
        </w:rPr>
        <w:t xml:space="preserve">The </w:t>
      </w:r>
      <w:r w:rsidRPr="00D01479">
        <w:rPr>
          <w:szCs w:val="24"/>
        </w:rPr>
        <w:t>ESC</w:t>
      </w:r>
      <w:r>
        <w:rPr>
          <w:szCs w:val="24"/>
        </w:rPr>
        <w:t>s</w:t>
      </w:r>
      <w:r w:rsidRPr="00D01479">
        <w:rPr>
          <w:szCs w:val="24"/>
        </w:rPr>
        <w:t xml:space="preserve"> noted that this testing scenario h</w:t>
      </w:r>
      <w:r>
        <w:rPr>
          <w:szCs w:val="24"/>
        </w:rPr>
        <w:t>as not been costed or modelled.</w:t>
      </w:r>
    </w:p>
    <w:p w14:paraId="2DB99E1D" w14:textId="072783DA" w:rsidR="004416F3" w:rsidRPr="00D01479" w:rsidRDefault="004416F3" w:rsidP="004F4D1F">
      <w:pPr>
        <w:rPr>
          <w:b/>
          <w:szCs w:val="24"/>
        </w:rPr>
      </w:pPr>
      <w:r>
        <w:rPr>
          <w:szCs w:val="24"/>
        </w:rPr>
        <w:t xml:space="preserve">The </w:t>
      </w:r>
      <w:r w:rsidRPr="00D01479">
        <w:rPr>
          <w:szCs w:val="24"/>
        </w:rPr>
        <w:t>ESC</w:t>
      </w:r>
      <w:r>
        <w:rPr>
          <w:szCs w:val="24"/>
        </w:rPr>
        <w:t>s</w:t>
      </w:r>
      <w:r w:rsidRPr="00D01479">
        <w:rPr>
          <w:szCs w:val="24"/>
        </w:rPr>
        <w:t xml:space="preserve"> noted that the sensitivity analyses indicated that there </w:t>
      </w:r>
      <w:r>
        <w:rPr>
          <w:szCs w:val="24"/>
        </w:rPr>
        <w:t>i</w:t>
      </w:r>
      <w:r w:rsidRPr="00D01479">
        <w:rPr>
          <w:szCs w:val="24"/>
        </w:rPr>
        <w:t xml:space="preserve">s little difference to the total financial impact resulting from MBS items. </w:t>
      </w:r>
      <w:r>
        <w:rPr>
          <w:szCs w:val="24"/>
        </w:rPr>
        <w:t xml:space="preserve">The </w:t>
      </w:r>
      <w:r w:rsidRPr="00D01479">
        <w:rPr>
          <w:szCs w:val="24"/>
        </w:rPr>
        <w:t>ESC</w:t>
      </w:r>
      <w:r>
        <w:rPr>
          <w:szCs w:val="24"/>
        </w:rPr>
        <w:t>s</w:t>
      </w:r>
      <w:r w:rsidRPr="00D01479">
        <w:rPr>
          <w:szCs w:val="24"/>
        </w:rPr>
        <w:t xml:space="preserve"> noted that the overall approach appears reasonable, although the uptake of testing is potentially underestimated due to conservative estimates of the prevalence of lung cancer and the prevalence of </w:t>
      </w:r>
      <w:r w:rsidRPr="00D01479">
        <w:rPr>
          <w:i/>
          <w:szCs w:val="24"/>
        </w:rPr>
        <w:t>ROS1</w:t>
      </w:r>
      <w:r w:rsidRPr="00D01479">
        <w:rPr>
          <w:szCs w:val="24"/>
        </w:rPr>
        <w:t xml:space="preserve"> gene rearrangements. </w:t>
      </w:r>
      <w:r>
        <w:rPr>
          <w:szCs w:val="24"/>
        </w:rPr>
        <w:t xml:space="preserve">The </w:t>
      </w:r>
      <w:r w:rsidRPr="00D01479">
        <w:rPr>
          <w:szCs w:val="24"/>
        </w:rPr>
        <w:t>ESC</w:t>
      </w:r>
      <w:r>
        <w:rPr>
          <w:szCs w:val="24"/>
        </w:rPr>
        <w:t>s</w:t>
      </w:r>
      <w:r w:rsidRPr="00D01479">
        <w:rPr>
          <w:szCs w:val="24"/>
        </w:rPr>
        <w:t xml:space="preserve"> noted that some patients may currently be paying privately for the test</w:t>
      </w:r>
      <w:r>
        <w:rPr>
          <w:szCs w:val="24"/>
        </w:rPr>
        <w:t>,</w:t>
      </w:r>
      <w:r w:rsidRPr="00D01479">
        <w:rPr>
          <w:szCs w:val="24"/>
        </w:rPr>
        <w:t xml:space="preserve"> and questioned whether this had been considered in the financial estimates. </w:t>
      </w:r>
      <w:r>
        <w:rPr>
          <w:szCs w:val="24"/>
        </w:rPr>
        <w:t xml:space="preserve">The </w:t>
      </w:r>
      <w:r w:rsidRPr="00D01479">
        <w:rPr>
          <w:szCs w:val="24"/>
        </w:rPr>
        <w:t>ESC</w:t>
      </w:r>
      <w:r>
        <w:rPr>
          <w:szCs w:val="24"/>
        </w:rPr>
        <w:t>s</w:t>
      </w:r>
      <w:r w:rsidRPr="00D01479">
        <w:rPr>
          <w:szCs w:val="24"/>
        </w:rPr>
        <w:t xml:space="preserve"> </w:t>
      </w:r>
      <w:r>
        <w:rPr>
          <w:szCs w:val="24"/>
        </w:rPr>
        <w:t>considered</w:t>
      </w:r>
      <w:r w:rsidRPr="00D01479">
        <w:rPr>
          <w:szCs w:val="24"/>
        </w:rPr>
        <w:t xml:space="preserve"> that the following additional cost analyses may be informative:</w:t>
      </w:r>
    </w:p>
    <w:p w14:paraId="44F39980" w14:textId="77777777" w:rsidR="004416F3" w:rsidRPr="00D01479" w:rsidRDefault="004416F3" w:rsidP="004416F3">
      <w:pPr>
        <w:numPr>
          <w:ilvl w:val="0"/>
          <w:numId w:val="26"/>
        </w:numPr>
        <w:spacing w:after="180" w:line="259" w:lineRule="auto"/>
        <w:contextualSpacing/>
        <w:rPr>
          <w:b/>
          <w:szCs w:val="24"/>
        </w:rPr>
      </w:pPr>
      <w:r>
        <w:rPr>
          <w:szCs w:val="24"/>
        </w:rPr>
        <w:t>T</w:t>
      </w:r>
      <w:r w:rsidRPr="00D01479">
        <w:rPr>
          <w:szCs w:val="24"/>
        </w:rPr>
        <w:t xml:space="preserve">he cost for a next-generation sequencing (NGS) panel replacing the current IHC and FISH testing for </w:t>
      </w:r>
      <w:r w:rsidRPr="00D01479">
        <w:rPr>
          <w:i/>
          <w:szCs w:val="24"/>
        </w:rPr>
        <w:t>EGFR</w:t>
      </w:r>
      <w:r w:rsidRPr="00D01479">
        <w:rPr>
          <w:szCs w:val="24"/>
        </w:rPr>
        <w:t xml:space="preserve">, </w:t>
      </w:r>
      <w:r w:rsidRPr="00D01479">
        <w:rPr>
          <w:i/>
          <w:szCs w:val="24"/>
        </w:rPr>
        <w:t>ALK</w:t>
      </w:r>
      <w:r w:rsidRPr="00D01479">
        <w:rPr>
          <w:szCs w:val="24"/>
        </w:rPr>
        <w:t xml:space="preserve"> and </w:t>
      </w:r>
      <w:r w:rsidRPr="00D01479">
        <w:rPr>
          <w:i/>
          <w:szCs w:val="24"/>
        </w:rPr>
        <w:t>ROS1</w:t>
      </w:r>
      <w:r w:rsidRPr="00D01479">
        <w:rPr>
          <w:szCs w:val="24"/>
        </w:rPr>
        <w:t xml:space="preserve"> status under a single MBS item. </w:t>
      </w:r>
    </w:p>
    <w:p w14:paraId="50548A9B" w14:textId="77777777" w:rsidR="004416F3" w:rsidRPr="00D01479" w:rsidRDefault="004416F3" w:rsidP="004416F3">
      <w:pPr>
        <w:numPr>
          <w:ilvl w:val="0"/>
          <w:numId w:val="26"/>
        </w:numPr>
        <w:spacing w:after="180" w:line="259" w:lineRule="auto"/>
        <w:contextualSpacing/>
        <w:rPr>
          <w:b/>
          <w:szCs w:val="24"/>
        </w:rPr>
      </w:pPr>
      <w:r w:rsidRPr="00D01479">
        <w:rPr>
          <w:szCs w:val="24"/>
        </w:rPr>
        <w:t xml:space="preserve">An estimate of the cost of testing for </w:t>
      </w:r>
      <w:r w:rsidRPr="00D01479">
        <w:rPr>
          <w:i/>
          <w:szCs w:val="24"/>
        </w:rPr>
        <w:t>ROS1</w:t>
      </w:r>
      <w:r>
        <w:rPr>
          <w:szCs w:val="24"/>
        </w:rPr>
        <w:t xml:space="preserve"> gene status at initial diagnosis.</w:t>
      </w:r>
    </w:p>
    <w:p w14:paraId="5656449C" w14:textId="77777777" w:rsidR="004416F3" w:rsidRPr="00D01479" w:rsidRDefault="004416F3" w:rsidP="004F4D1F">
      <w:pPr>
        <w:numPr>
          <w:ilvl w:val="0"/>
          <w:numId w:val="26"/>
        </w:numPr>
        <w:spacing w:after="180" w:line="259" w:lineRule="auto"/>
        <w:ind w:left="714" w:hanging="357"/>
        <w:rPr>
          <w:b/>
          <w:szCs w:val="24"/>
        </w:rPr>
      </w:pPr>
      <w:r w:rsidRPr="00D01479">
        <w:rPr>
          <w:szCs w:val="24"/>
        </w:rPr>
        <w:t xml:space="preserve">An estimate of the cost of expanding the testing to include </w:t>
      </w:r>
      <w:r w:rsidRPr="00D01479">
        <w:rPr>
          <w:i/>
          <w:szCs w:val="24"/>
        </w:rPr>
        <w:t>EGFR</w:t>
      </w:r>
      <w:r w:rsidRPr="00D01479">
        <w:rPr>
          <w:szCs w:val="24"/>
        </w:rPr>
        <w:t xml:space="preserve"> or </w:t>
      </w:r>
      <w:r w:rsidRPr="00D01479">
        <w:rPr>
          <w:i/>
          <w:szCs w:val="24"/>
        </w:rPr>
        <w:t>ALK</w:t>
      </w:r>
      <w:r w:rsidRPr="00D01479">
        <w:rPr>
          <w:szCs w:val="24"/>
        </w:rPr>
        <w:t xml:space="preserve"> positive patients</w:t>
      </w:r>
      <w:r>
        <w:rPr>
          <w:szCs w:val="24"/>
        </w:rPr>
        <w:t xml:space="preserve"> (which was c</w:t>
      </w:r>
      <w:r w:rsidRPr="00D01479">
        <w:rPr>
          <w:szCs w:val="24"/>
        </w:rPr>
        <w:t>onsidered to occur</w:t>
      </w:r>
      <w:r>
        <w:rPr>
          <w:szCs w:val="24"/>
        </w:rPr>
        <w:t xml:space="preserve"> rarely).</w:t>
      </w:r>
    </w:p>
    <w:p w14:paraId="4692E884" w14:textId="77777777" w:rsidR="006A0D97" w:rsidRPr="005A4362" w:rsidRDefault="004416F3" w:rsidP="004416F3">
      <w:pPr>
        <w:spacing w:after="240"/>
        <w:rPr>
          <w:i/>
        </w:rPr>
      </w:pPr>
      <w:r w:rsidRPr="00D01479">
        <w:rPr>
          <w:szCs w:val="24"/>
        </w:rPr>
        <w:t xml:space="preserve">While there was perceived consumer support for access to an effective new treatment in this patient population, </w:t>
      </w:r>
      <w:r>
        <w:rPr>
          <w:szCs w:val="24"/>
        </w:rPr>
        <w:t xml:space="preserve">the </w:t>
      </w:r>
      <w:r w:rsidRPr="00D01479">
        <w:rPr>
          <w:szCs w:val="24"/>
        </w:rPr>
        <w:t>ESC</w:t>
      </w:r>
      <w:r>
        <w:rPr>
          <w:szCs w:val="24"/>
        </w:rPr>
        <w:t>s also</w:t>
      </w:r>
      <w:r w:rsidRPr="00D01479">
        <w:rPr>
          <w:szCs w:val="24"/>
        </w:rPr>
        <w:t xml:space="preserve"> noted consumer concern to minimise the potential requirement for additional biopsies.</w:t>
      </w:r>
    </w:p>
    <w:p w14:paraId="0CEEF39C" w14:textId="77777777" w:rsidR="00D90A38" w:rsidRPr="00F715D1" w:rsidRDefault="00BC1364" w:rsidP="00F715D1">
      <w:pPr>
        <w:pStyle w:val="Heading1"/>
      </w:pPr>
      <w:r w:rsidRPr="00F715D1">
        <w:t>Other significant factors</w:t>
      </w:r>
    </w:p>
    <w:p w14:paraId="4604717A" w14:textId="77777777" w:rsidR="00BC1364" w:rsidRPr="006D7694" w:rsidRDefault="00BC1364" w:rsidP="00F715D1">
      <w:pPr>
        <w:spacing w:after="240"/>
        <w:rPr>
          <w:szCs w:val="24"/>
        </w:rPr>
      </w:pPr>
      <w:r w:rsidRPr="006D7694">
        <w:rPr>
          <w:szCs w:val="24"/>
        </w:rPr>
        <w:t>Nil</w:t>
      </w:r>
    </w:p>
    <w:p w14:paraId="33822BF0" w14:textId="77777777" w:rsidR="00BC1364" w:rsidRPr="00F715D1" w:rsidRDefault="00BC1364" w:rsidP="00F715D1">
      <w:pPr>
        <w:pStyle w:val="Heading1"/>
      </w:pPr>
      <w:r w:rsidRPr="00F715D1">
        <w:t xml:space="preserve">Applicant’s comments on MSAC’s </w:t>
      </w:r>
      <w:r w:rsidR="00DA56AA" w:rsidRPr="00F715D1">
        <w:t>Public Summary Document</w:t>
      </w:r>
    </w:p>
    <w:p w14:paraId="08CDA401" w14:textId="5109762A" w:rsidR="00F62844" w:rsidRPr="00F62844" w:rsidRDefault="00F62844" w:rsidP="001172D5">
      <w:pPr>
        <w:pStyle w:val="Default"/>
        <w:rPr>
          <w:color w:val="FF0000"/>
          <w:szCs w:val="20"/>
        </w:rPr>
      </w:pPr>
      <w:r w:rsidRPr="00F62844">
        <w:rPr>
          <w:iCs/>
        </w:rPr>
        <w:t>Pfizer welcomes the MSAC and the PBAC’s recommendations to make diagnostic testing for ROS1 rearrangements and crizotinib available for the treatment of advanced ROS1-positive non-small cell lung cancer; a rare disease with high unmet clinical need</w:t>
      </w:r>
      <w:r w:rsidR="00BF7355">
        <w:rPr>
          <w:iCs/>
        </w:rPr>
        <w:t>.</w:t>
      </w:r>
    </w:p>
    <w:p w14:paraId="5AA00FC4" w14:textId="77777777" w:rsidR="00BC1364" w:rsidRPr="00F715D1" w:rsidRDefault="00271F18" w:rsidP="00F715D1">
      <w:pPr>
        <w:pStyle w:val="Heading1"/>
      </w:pPr>
      <w:r w:rsidRPr="00F715D1">
        <w:t>Further information on MSAC</w:t>
      </w:r>
    </w:p>
    <w:p w14:paraId="4989B6AF"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1"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12"/>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4536A4" w15:done="0"/>
  <w15:commentEx w15:paraId="76177363" w15:done="0"/>
  <w15:commentEx w15:paraId="0779FB19" w15:paraIdParent="76177363" w15:done="0"/>
  <w15:commentEx w15:paraId="00E8C477" w15:done="0"/>
  <w15:commentEx w15:paraId="6C0782A1" w15:paraIdParent="00E8C477" w15:done="0"/>
  <w15:commentEx w15:paraId="4EE88EB4" w15:done="0"/>
  <w15:commentEx w15:paraId="66D3B992" w15:done="0"/>
  <w15:commentEx w15:paraId="0F90BE9C" w15:paraIdParent="66D3B9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4C6E2" w14:textId="77777777" w:rsidR="00F62844" w:rsidRDefault="00F62844" w:rsidP="00065623">
      <w:r>
        <w:separator/>
      </w:r>
    </w:p>
  </w:endnote>
  <w:endnote w:type="continuationSeparator" w:id="0">
    <w:p w14:paraId="43FA3687" w14:textId="77777777" w:rsidR="00F62844" w:rsidRDefault="00F62844"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6DCA78F0" w14:textId="2760ACB4" w:rsidR="00F62844" w:rsidRDefault="00F62844">
        <w:pPr>
          <w:pStyle w:val="Footer"/>
          <w:jc w:val="right"/>
        </w:pPr>
        <w:r>
          <w:fldChar w:fldCharType="begin"/>
        </w:r>
        <w:r>
          <w:instrText xml:space="preserve"> PAGE   \* MERGEFORMAT </w:instrText>
        </w:r>
        <w:r>
          <w:fldChar w:fldCharType="separate"/>
        </w:r>
        <w:r w:rsidR="001163BD">
          <w:rPr>
            <w:noProof/>
          </w:rPr>
          <w:t>1</w:t>
        </w:r>
        <w:r>
          <w:rPr>
            <w:noProof/>
          </w:rPr>
          <w:fldChar w:fldCharType="end"/>
        </w:r>
      </w:p>
    </w:sdtContent>
  </w:sdt>
  <w:p w14:paraId="0B8E81D5" w14:textId="77777777" w:rsidR="00F62844" w:rsidRDefault="00F628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E48B2" w14:textId="77777777" w:rsidR="00F62844" w:rsidRDefault="00F62844" w:rsidP="00065623">
      <w:r>
        <w:separator/>
      </w:r>
    </w:p>
  </w:footnote>
  <w:footnote w:type="continuationSeparator" w:id="0">
    <w:p w14:paraId="01B9CB78" w14:textId="77777777" w:rsidR="00F62844" w:rsidRDefault="00F62844"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E5F7F9A"/>
    <w:multiLevelType w:val="hybridMultilevel"/>
    <w:tmpl w:val="02782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4FF1CA8"/>
    <w:multiLevelType w:val="hybridMultilevel"/>
    <w:tmpl w:val="B37C41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F86521"/>
    <w:multiLevelType w:val="hybridMultilevel"/>
    <w:tmpl w:val="A57CF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34086415"/>
    <w:multiLevelType w:val="hybridMultilevel"/>
    <w:tmpl w:val="961088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46A7203"/>
    <w:multiLevelType w:val="hybridMultilevel"/>
    <w:tmpl w:val="3D204C7C"/>
    <w:lvl w:ilvl="0" w:tplc="15EE8F8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6F9A3A57"/>
    <w:multiLevelType w:val="hybridMultilevel"/>
    <w:tmpl w:val="AF500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CA81E93"/>
    <w:multiLevelType w:val="hybridMultilevel"/>
    <w:tmpl w:val="5C00C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7"/>
  </w:num>
  <w:num w:numId="3">
    <w:abstractNumId w:val="1"/>
  </w:num>
  <w:num w:numId="4">
    <w:abstractNumId w:val="19"/>
  </w:num>
  <w:num w:numId="5">
    <w:abstractNumId w:val="13"/>
  </w:num>
  <w:num w:numId="6">
    <w:abstractNumId w:val="18"/>
  </w:num>
  <w:num w:numId="7">
    <w:abstractNumId w:val="22"/>
  </w:num>
  <w:num w:numId="8">
    <w:abstractNumId w:val="14"/>
  </w:num>
  <w:num w:numId="9">
    <w:abstractNumId w:val="31"/>
  </w:num>
  <w:num w:numId="10">
    <w:abstractNumId w:val="0"/>
  </w:num>
  <w:num w:numId="11">
    <w:abstractNumId w:val="21"/>
  </w:num>
  <w:num w:numId="12">
    <w:abstractNumId w:val="23"/>
  </w:num>
  <w:num w:numId="13">
    <w:abstractNumId w:val="6"/>
  </w:num>
  <w:num w:numId="14">
    <w:abstractNumId w:val="28"/>
  </w:num>
  <w:num w:numId="15">
    <w:abstractNumId w:val="20"/>
  </w:num>
  <w:num w:numId="16">
    <w:abstractNumId w:val="25"/>
  </w:num>
  <w:num w:numId="17">
    <w:abstractNumId w:val="15"/>
  </w:num>
  <w:num w:numId="18">
    <w:abstractNumId w:val="16"/>
  </w:num>
  <w:num w:numId="19">
    <w:abstractNumId w:val="27"/>
  </w:num>
  <w:num w:numId="20">
    <w:abstractNumId w:val="26"/>
  </w:num>
  <w:num w:numId="21">
    <w:abstractNumId w:val="4"/>
  </w:num>
  <w:num w:numId="22">
    <w:abstractNumId w:val="12"/>
  </w:num>
  <w:num w:numId="23">
    <w:abstractNumId w:val="3"/>
  </w:num>
  <w:num w:numId="24">
    <w:abstractNumId w:val="10"/>
  </w:num>
  <w:num w:numId="25">
    <w:abstractNumId w:val="7"/>
  </w:num>
  <w:num w:numId="26">
    <w:abstractNumId w:val="5"/>
  </w:num>
  <w:num w:numId="27">
    <w:abstractNumId w:val="8"/>
  </w:num>
  <w:num w:numId="28">
    <w:abstractNumId w:val="24"/>
  </w:num>
  <w:num w:numId="29">
    <w:abstractNumId w:val="30"/>
  </w:num>
  <w:num w:numId="30">
    <w:abstractNumId w:val="29"/>
  </w:num>
  <w:num w:numId="31">
    <w:abstractNumId w:val="2"/>
  </w:num>
  <w:num w:numId="3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yn Ward">
    <w15:presenceInfo w15:providerId="Windows Live" w15:userId="2f8c0452c87ad331"/>
  </w15:person>
  <w15:person w15:author="Graeme Suthers">
    <w15:presenceInfo w15:providerId="AD" w15:userId="S-1-5-21-602162358-884357618-682003330-1049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312"/>
    <w:rsid w:val="00011A36"/>
    <w:rsid w:val="00026F80"/>
    <w:rsid w:val="0003401A"/>
    <w:rsid w:val="00045722"/>
    <w:rsid w:val="000463A4"/>
    <w:rsid w:val="00047606"/>
    <w:rsid w:val="0006034F"/>
    <w:rsid w:val="00064A77"/>
    <w:rsid w:val="00065623"/>
    <w:rsid w:val="000756B9"/>
    <w:rsid w:val="00096B67"/>
    <w:rsid w:val="00096DAF"/>
    <w:rsid w:val="000C2F47"/>
    <w:rsid w:val="000C3598"/>
    <w:rsid w:val="000D2B9A"/>
    <w:rsid w:val="000D6C00"/>
    <w:rsid w:val="000E1556"/>
    <w:rsid w:val="000E4E04"/>
    <w:rsid w:val="000F14B4"/>
    <w:rsid w:val="000F75DF"/>
    <w:rsid w:val="000F7814"/>
    <w:rsid w:val="00100F62"/>
    <w:rsid w:val="001023DC"/>
    <w:rsid w:val="001056C0"/>
    <w:rsid w:val="001163BD"/>
    <w:rsid w:val="001172D5"/>
    <w:rsid w:val="0013051A"/>
    <w:rsid w:val="001328FA"/>
    <w:rsid w:val="00136BCE"/>
    <w:rsid w:val="00147AAF"/>
    <w:rsid w:val="001552C0"/>
    <w:rsid w:val="001640B1"/>
    <w:rsid w:val="00176EBF"/>
    <w:rsid w:val="0018435E"/>
    <w:rsid w:val="0018754E"/>
    <w:rsid w:val="001D6D59"/>
    <w:rsid w:val="001E7AC8"/>
    <w:rsid w:val="001F7CA5"/>
    <w:rsid w:val="002041A1"/>
    <w:rsid w:val="00205284"/>
    <w:rsid w:val="002054F0"/>
    <w:rsid w:val="00230D6B"/>
    <w:rsid w:val="00232068"/>
    <w:rsid w:val="002330F2"/>
    <w:rsid w:val="00234C76"/>
    <w:rsid w:val="00240BC0"/>
    <w:rsid w:val="00243D9E"/>
    <w:rsid w:val="00247099"/>
    <w:rsid w:val="00253B66"/>
    <w:rsid w:val="002546AB"/>
    <w:rsid w:val="00261DF1"/>
    <w:rsid w:val="00271F18"/>
    <w:rsid w:val="00282779"/>
    <w:rsid w:val="0028334D"/>
    <w:rsid w:val="00292A71"/>
    <w:rsid w:val="00293A5B"/>
    <w:rsid w:val="002A6F99"/>
    <w:rsid w:val="002B7FFA"/>
    <w:rsid w:val="002C2BCF"/>
    <w:rsid w:val="002C5048"/>
    <w:rsid w:val="002C5493"/>
    <w:rsid w:val="002C7155"/>
    <w:rsid w:val="002F279D"/>
    <w:rsid w:val="002F43B8"/>
    <w:rsid w:val="00336856"/>
    <w:rsid w:val="0034554D"/>
    <w:rsid w:val="00352224"/>
    <w:rsid w:val="003671E6"/>
    <w:rsid w:val="0036761F"/>
    <w:rsid w:val="00384272"/>
    <w:rsid w:val="00386D67"/>
    <w:rsid w:val="003905FF"/>
    <w:rsid w:val="003945B8"/>
    <w:rsid w:val="003B0A51"/>
    <w:rsid w:val="003C04F4"/>
    <w:rsid w:val="003C202B"/>
    <w:rsid w:val="003D7F29"/>
    <w:rsid w:val="00405A6B"/>
    <w:rsid w:val="00407B1F"/>
    <w:rsid w:val="0041184F"/>
    <w:rsid w:val="00414C57"/>
    <w:rsid w:val="0041758C"/>
    <w:rsid w:val="00436AA9"/>
    <w:rsid w:val="004416F3"/>
    <w:rsid w:val="004539DE"/>
    <w:rsid w:val="00471019"/>
    <w:rsid w:val="00483531"/>
    <w:rsid w:val="004A2CF1"/>
    <w:rsid w:val="004B581F"/>
    <w:rsid w:val="004C3035"/>
    <w:rsid w:val="004C307F"/>
    <w:rsid w:val="004C6121"/>
    <w:rsid w:val="004D25FF"/>
    <w:rsid w:val="004E4BA8"/>
    <w:rsid w:val="004F340F"/>
    <w:rsid w:val="004F4D1F"/>
    <w:rsid w:val="004F7B7C"/>
    <w:rsid w:val="00503130"/>
    <w:rsid w:val="005039B5"/>
    <w:rsid w:val="0052243D"/>
    <w:rsid w:val="00532435"/>
    <w:rsid w:val="0053757E"/>
    <w:rsid w:val="00550354"/>
    <w:rsid w:val="00571236"/>
    <w:rsid w:val="005766DD"/>
    <w:rsid w:val="005953A1"/>
    <w:rsid w:val="005A1F58"/>
    <w:rsid w:val="005A4362"/>
    <w:rsid w:val="005B4B59"/>
    <w:rsid w:val="005B5434"/>
    <w:rsid w:val="005D0332"/>
    <w:rsid w:val="005D0D8C"/>
    <w:rsid w:val="005E1F58"/>
    <w:rsid w:val="005E249A"/>
    <w:rsid w:val="005E5BE2"/>
    <w:rsid w:val="00616809"/>
    <w:rsid w:val="00626F41"/>
    <w:rsid w:val="00643557"/>
    <w:rsid w:val="006542EF"/>
    <w:rsid w:val="006776AE"/>
    <w:rsid w:val="006909CF"/>
    <w:rsid w:val="006A0D97"/>
    <w:rsid w:val="006B1F86"/>
    <w:rsid w:val="006C0A91"/>
    <w:rsid w:val="006D7694"/>
    <w:rsid w:val="006E42A5"/>
    <w:rsid w:val="006F05B0"/>
    <w:rsid w:val="006F1271"/>
    <w:rsid w:val="007054BB"/>
    <w:rsid w:val="00705D06"/>
    <w:rsid w:val="00707064"/>
    <w:rsid w:val="007209B2"/>
    <w:rsid w:val="00730683"/>
    <w:rsid w:val="0075261F"/>
    <w:rsid w:val="0075468E"/>
    <w:rsid w:val="007665D8"/>
    <w:rsid w:val="00766E36"/>
    <w:rsid w:val="007765F4"/>
    <w:rsid w:val="00776633"/>
    <w:rsid w:val="00784D53"/>
    <w:rsid w:val="00797797"/>
    <w:rsid w:val="007A63C9"/>
    <w:rsid w:val="007B32D1"/>
    <w:rsid w:val="007B7095"/>
    <w:rsid w:val="007D24E1"/>
    <w:rsid w:val="007D6288"/>
    <w:rsid w:val="007F4CE9"/>
    <w:rsid w:val="007F4E20"/>
    <w:rsid w:val="00806316"/>
    <w:rsid w:val="00822C7E"/>
    <w:rsid w:val="00840597"/>
    <w:rsid w:val="00847060"/>
    <w:rsid w:val="00847A36"/>
    <w:rsid w:val="00856A33"/>
    <w:rsid w:val="00870942"/>
    <w:rsid w:val="00871EB7"/>
    <w:rsid w:val="00890DA0"/>
    <w:rsid w:val="00892620"/>
    <w:rsid w:val="008A7E7D"/>
    <w:rsid w:val="008B100F"/>
    <w:rsid w:val="008C7D37"/>
    <w:rsid w:val="008D4B3D"/>
    <w:rsid w:val="008D5885"/>
    <w:rsid w:val="00923FA2"/>
    <w:rsid w:val="00927420"/>
    <w:rsid w:val="0096060D"/>
    <w:rsid w:val="00974A50"/>
    <w:rsid w:val="0097585A"/>
    <w:rsid w:val="009924B0"/>
    <w:rsid w:val="00992EEC"/>
    <w:rsid w:val="009942C9"/>
    <w:rsid w:val="00996360"/>
    <w:rsid w:val="009B35C4"/>
    <w:rsid w:val="009C087E"/>
    <w:rsid w:val="009C21F2"/>
    <w:rsid w:val="009C630A"/>
    <w:rsid w:val="009E0D98"/>
    <w:rsid w:val="00A068A1"/>
    <w:rsid w:val="00A1207D"/>
    <w:rsid w:val="00A12FD8"/>
    <w:rsid w:val="00A22806"/>
    <w:rsid w:val="00A346FC"/>
    <w:rsid w:val="00A440A7"/>
    <w:rsid w:val="00A66A11"/>
    <w:rsid w:val="00A82AC0"/>
    <w:rsid w:val="00A846F2"/>
    <w:rsid w:val="00A84F93"/>
    <w:rsid w:val="00A91007"/>
    <w:rsid w:val="00AA2FCF"/>
    <w:rsid w:val="00AB1AC5"/>
    <w:rsid w:val="00AB3BFC"/>
    <w:rsid w:val="00AC4C75"/>
    <w:rsid w:val="00AC4F2E"/>
    <w:rsid w:val="00AD0C37"/>
    <w:rsid w:val="00AD385F"/>
    <w:rsid w:val="00AE6E2A"/>
    <w:rsid w:val="00B03EAB"/>
    <w:rsid w:val="00B31E9C"/>
    <w:rsid w:val="00B35595"/>
    <w:rsid w:val="00B51C6D"/>
    <w:rsid w:val="00B83DD2"/>
    <w:rsid w:val="00B84882"/>
    <w:rsid w:val="00B86D64"/>
    <w:rsid w:val="00BA4AC5"/>
    <w:rsid w:val="00BC1364"/>
    <w:rsid w:val="00BC2667"/>
    <w:rsid w:val="00BC7DE9"/>
    <w:rsid w:val="00BF479B"/>
    <w:rsid w:val="00BF4D25"/>
    <w:rsid w:val="00BF7355"/>
    <w:rsid w:val="00C02577"/>
    <w:rsid w:val="00C06002"/>
    <w:rsid w:val="00C204FB"/>
    <w:rsid w:val="00C20BEE"/>
    <w:rsid w:val="00C2158D"/>
    <w:rsid w:val="00C36F11"/>
    <w:rsid w:val="00C47C59"/>
    <w:rsid w:val="00C67DD2"/>
    <w:rsid w:val="00C725CB"/>
    <w:rsid w:val="00C76F5C"/>
    <w:rsid w:val="00C77DBE"/>
    <w:rsid w:val="00C96BAD"/>
    <w:rsid w:val="00CA6944"/>
    <w:rsid w:val="00CB0F8E"/>
    <w:rsid w:val="00CB7E7D"/>
    <w:rsid w:val="00CC1ED6"/>
    <w:rsid w:val="00CC20AE"/>
    <w:rsid w:val="00CC2911"/>
    <w:rsid w:val="00CD3A78"/>
    <w:rsid w:val="00CE53CC"/>
    <w:rsid w:val="00CF0C6D"/>
    <w:rsid w:val="00CF7307"/>
    <w:rsid w:val="00CF7C68"/>
    <w:rsid w:val="00D124FA"/>
    <w:rsid w:val="00D1286B"/>
    <w:rsid w:val="00D22D22"/>
    <w:rsid w:val="00D26843"/>
    <w:rsid w:val="00D340DE"/>
    <w:rsid w:val="00D4010C"/>
    <w:rsid w:val="00D55723"/>
    <w:rsid w:val="00D62FAD"/>
    <w:rsid w:val="00D64355"/>
    <w:rsid w:val="00D70450"/>
    <w:rsid w:val="00D83BFD"/>
    <w:rsid w:val="00D90A38"/>
    <w:rsid w:val="00D93483"/>
    <w:rsid w:val="00DA0515"/>
    <w:rsid w:val="00DA171E"/>
    <w:rsid w:val="00DA56AA"/>
    <w:rsid w:val="00DB5833"/>
    <w:rsid w:val="00DD2858"/>
    <w:rsid w:val="00DE0FBC"/>
    <w:rsid w:val="00DE2B76"/>
    <w:rsid w:val="00DE3688"/>
    <w:rsid w:val="00E03E33"/>
    <w:rsid w:val="00E059E0"/>
    <w:rsid w:val="00E2007C"/>
    <w:rsid w:val="00E3642A"/>
    <w:rsid w:val="00E415C4"/>
    <w:rsid w:val="00E50016"/>
    <w:rsid w:val="00E50EAA"/>
    <w:rsid w:val="00E656D6"/>
    <w:rsid w:val="00E977EE"/>
    <w:rsid w:val="00EA2F24"/>
    <w:rsid w:val="00EA67A2"/>
    <w:rsid w:val="00EB630F"/>
    <w:rsid w:val="00EB6B6F"/>
    <w:rsid w:val="00EC4F98"/>
    <w:rsid w:val="00ED69DB"/>
    <w:rsid w:val="00F12F02"/>
    <w:rsid w:val="00F32E0D"/>
    <w:rsid w:val="00F35134"/>
    <w:rsid w:val="00F37B9C"/>
    <w:rsid w:val="00F41812"/>
    <w:rsid w:val="00F62844"/>
    <w:rsid w:val="00F64FB0"/>
    <w:rsid w:val="00F715D1"/>
    <w:rsid w:val="00F72715"/>
    <w:rsid w:val="00F73333"/>
    <w:rsid w:val="00F9177A"/>
    <w:rsid w:val="00F95D8F"/>
    <w:rsid w:val="00FB350A"/>
    <w:rsid w:val="00FB4C5D"/>
    <w:rsid w:val="00FC1729"/>
    <w:rsid w:val="00FC62B0"/>
    <w:rsid w:val="00FD7961"/>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40CE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aliases w:val="BulletPoints,ES Paragraph,PBAC ES Paragraph"/>
    <w:basedOn w:val="Normal"/>
    <w:link w:val="ListParagraphChar"/>
    <w:uiPriority w:val="72"/>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character" w:customStyle="1" w:styleId="ListParagraphChar">
    <w:name w:val="List Paragraph Char"/>
    <w:aliases w:val="BulletPoints Char,ES Paragraph Char,PBAC ES Paragraph Char"/>
    <w:basedOn w:val="DefaultParagraphFont"/>
    <w:link w:val="ListParagraph"/>
    <w:uiPriority w:val="72"/>
    <w:locked/>
    <w:rsid w:val="00A91007"/>
    <w:rPr>
      <w:rFonts w:eastAsia="Times New Roman"/>
      <w:sz w:val="24"/>
      <w:szCs w:val="20"/>
    </w:rPr>
  </w:style>
  <w:style w:type="table" w:customStyle="1" w:styleId="Summarybox11">
    <w:name w:val="Summary box11"/>
    <w:basedOn w:val="TableNormal"/>
    <w:next w:val="TableGrid"/>
    <w:uiPriority w:val="59"/>
    <w:rsid w:val="00A91007"/>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Summary box,Table Gridbeth"/>
    <w:basedOn w:val="TableNormal"/>
    <w:uiPriority w:val="59"/>
    <w:locked/>
    <w:rsid w:val="00A91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ACESParagraph">
    <w:name w:val="MSAC ES Paragraph"/>
    <w:link w:val="MSACESParagraphChar"/>
    <w:qFormat/>
    <w:rsid w:val="00F64FB0"/>
    <w:pPr>
      <w:spacing w:after="240"/>
    </w:pPr>
    <w:rPr>
      <w:rFonts w:eastAsiaTheme="minorHAnsi" w:cstheme="minorBidi"/>
      <w:sz w:val="24"/>
      <w:lang w:eastAsia="en-US"/>
    </w:rPr>
  </w:style>
  <w:style w:type="character" w:customStyle="1" w:styleId="MSACESParagraphChar">
    <w:name w:val="MSAC ES Paragraph Char"/>
    <w:basedOn w:val="DefaultParagraphFont"/>
    <w:link w:val="MSACESParagraph"/>
    <w:rsid w:val="00F64FB0"/>
    <w:rPr>
      <w:rFonts w:eastAsiaTheme="minorHAnsi" w:cstheme="minorBidi"/>
      <w:sz w:val="24"/>
      <w:lang w:eastAsia="en-US"/>
    </w:rPr>
  </w:style>
  <w:style w:type="paragraph" w:customStyle="1" w:styleId="TableText">
    <w:name w:val="Table Text"/>
    <w:basedOn w:val="Normal"/>
    <w:link w:val="TableTextChar"/>
    <w:qFormat/>
    <w:rsid w:val="006F05B0"/>
    <w:pPr>
      <w:keepNext/>
      <w:spacing w:before="40" w:after="40"/>
    </w:pPr>
    <w:rPr>
      <w:rFonts w:ascii="Arial Narrow" w:eastAsiaTheme="minorHAnsi" w:hAnsi="Arial Narrow" w:cstheme="minorBidi"/>
      <w:sz w:val="20"/>
      <w:szCs w:val="22"/>
      <w:lang w:eastAsia="en-US"/>
    </w:rPr>
  </w:style>
  <w:style w:type="paragraph" w:customStyle="1" w:styleId="TableHeading">
    <w:name w:val="Table Heading"/>
    <w:basedOn w:val="Normal"/>
    <w:qFormat/>
    <w:rsid w:val="006F05B0"/>
    <w:pPr>
      <w:keepNext/>
      <w:spacing w:after="60"/>
    </w:pPr>
    <w:rPr>
      <w:rFonts w:ascii="Arial Narrow" w:eastAsiaTheme="minorHAnsi" w:hAnsi="Arial Narrow" w:cstheme="minorBidi"/>
      <w:b/>
      <w:sz w:val="20"/>
      <w:szCs w:val="22"/>
      <w:lang w:eastAsia="en-US"/>
    </w:rPr>
  </w:style>
  <w:style w:type="paragraph" w:customStyle="1" w:styleId="TableFooter">
    <w:name w:val="Table Footer"/>
    <w:basedOn w:val="Normal"/>
    <w:link w:val="TableFooterChar"/>
    <w:qFormat/>
    <w:rsid w:val="006F05B0"/>
    <w:pPr>
      <w:widowControl w:val="0"/>
      <w:spacing w:after="120"/>
      <w:contextualSpacing/>
      <w:jc w:val="both"/>
    </w:pPr>
    <w:rPr>
      <w:rFonts w:ascii="Arial Narrow" w:hAnsi="Arial Narrow" w:cs="Arial"/>
      <w:snapToGrid w:val="0"/>
      <w:sz w:val="18"/>
      <w:lang w:eastAsia="en-US"/>
    </w:rPr>
  </w:style>
  <w:style w:type="character" w:customStyle="1" w:styleId="TableFooterChar">
    <w:name w:val="Table Footer Char"/>
    <w:link w:val="TableFooter"/>
    <w:rsid w:val="006F05B0"/>
    <w:rPr>
      <w:rFonts w:ascii="Arial Narrow" w:eastAsia="Times New Roman" w:hAnsi="Arial Narrow" w:cs="Arial"/>
      <w:snapToGrid w:val="0"/>
      <w:sz w:val="18"/>
      <w:szCs w:val="20"/>
      <w:lang w:eastAsia="en-US"/>
    </w:rPr>
  </w:style>
  <w:style w:type="character" w:customStyle="1" w:styleId="TableTextChar">
    <w:name w:val="Table Text Char"/>
    <w:link w:val="TableText"/>
    <w:rsid w:val="006F05B0"/>
    <w:rPr>
      <w:rFonts w:ascii="Arial Narrow" w:eastAsiaTheme="minorHAnsi" w:hAnsi="Arial Narrow" w:cstheme="minorBidi"/>
      <w:sz w:val="20"/>
      <w:lang w:eastAsia="en-US"/>
    </w:rPr>
  </w:style>
  <w:style w:type="paragraph" w:customStyle="1" w:styleId="MSACESHeading2">
    <w:name w:val="MSAC ES Heading 2"/>
    <w:basedOn w:val="Heading2"/>
    <w:next w:val="Normal"/>
    <w:link w:val="MSACESHeading2Char"/>
    <w:qFormat/>
    <w:rsid w:val="006F05B0"/>
    <w:pPr>
      <w:spacing w:before="360" w:after="120"/>
    </w:pPr>
    <w:rPr>
      <w:rFonts w:ascii="Cambria" w:hAnsi="Cambria"/>
      <w:bCs w:val="0"/>
      <w:snapToGrid w:val="0"/>
      <w:color w:val="auto"/>
      <w:sz w:val="24"/>
      <w:szCs w:val="28"/>
      <w:lang w:eastAsia="en-US"/>
    </w:rPr>
  </w:style>
  <w:style w:type="character" w:customStyle="1" w:styleId="MSACESHeading2Char">
    <w:name w:val="MSAC ES Heading 2 Char"/>
    <w:basedOn w:val="DefaultParagraphFont"/>
    <w:link w:val="MSACESHeading2"/>
    <w:rsid w:val="006F05B0"/>
    <w:rPr>
      <w:rFonts w:ascii="Cambria" w:eastAsiaTheme="majorEastAsia" w:hAnsi="Cambria" w:cstheme="majorBidi"/>
      <w:b/>
      <w:snapToGrid w:val="0"/>
      <w:sz w:val="24"/>
      <w:szCs w:val="28"/>
      <w:lang w:eastAsia="en-US"/>
    </w:rPr>
  </w:style>
  <w:style w:type="table" w:customStyle="1" w:styleId="GridTable1Light1">
    <w:name w:val="Grid Table 1 Light1"/>
    <w:basedOn w:val="TableNormal"/>
    <w:uiPriority w:val="46"/>
    <w:rsid w:val="000E1556"/>
    <w:rPr>
      <w:rFonts w:asciiTheme="minorHAnsi" w:eastAsiaTheme="minorHAnsi" w:hAnsiTheme="minorHAnsi" w:cstheme="minorBidi"/>
      <w:sz w:val="20"/>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aliases w:val="BulletPoints,ES Paragraph,PBAC ES Paragraph"/>
    <w:basedOn w:val="Normal"/>
    <w:link w:val="ListParagraphChar"/>
    <w:uiPriority w:val="72"/>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character" w:customStyle="1" w:styleId="ListParagraphChar">
    <w:name w:val="List Paragraph Char"/>
    <w:aliases w:val="BulletPoints Char,ES Paragraph Char,PBAC ES Paragraph Char"/>
    <w:basedOn w:val="DefaultParagraphFont"/>
    <w:link w:val="ListParagraph"/>
    <w:uiPriority w:val="72"/>
    <w:locked/>
    <w:rsid w:val="00A91007"/>
    <w:rPr>
      <w:rFonts w:eastAsia="Times New Roman"/>
      <w:sz w:val="24"/>
      <w:szCs w:val="20"/>
    </w:rPr>
  </w:style>
  <w:style w:type="table" w:customStyle="1" w:styleId="Summarybox11">
    <w:name w:val="Summary box11"/>
    <w:basedOn w:val="TableNormal"/>
    <w:next w:val="TableGrid"/>
    <w:uiPriority w:val="59"/>
    <w:rsid w:val="00A91007"/>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Summary box,Table Gridbeth"/>
    <w:basedOn w:val="TableNormal"/>
    <w:uiPriority w:val="59"/>
    <w:locked/>
    <w:rsid w:val="00A91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ACESParagraph">
    <w:name w:val="MSAC ES Paragraph"/>
    <w:link w:val="MSACESParagraphChar"/>
    <w:qFormat/>
    <w:rsid w:val="00F64FB0"/>
    <w:pPr>
      <w:spacing w:after="240"/>
    </w:pPr>
    <w:rPr>
      <w:rFonts w:eastAsiaTheme="minorHAnsi" w:cstheme="minorBidi"/>
      <w:sz w:val="24"/>
      <w:lang w:eastAsia="en-US"/>
    </w:rPr>
  </w:style>
  <w:style w:type="character" w:customStyle="1" w:styleId="MSACESParagraphChar">
    <w:name w:val="MSAC ES Paragraph Char"/>
    <w:basedOn w:val="DefaultParagraphFont"/>
    <w:link w:val="MSACESParagraph"/>
    <w:rsid w:val="00F64FB0"/>
    <w:rPr>
      <w:rFonts w:eastAsiaTheme="minorHAnsi" w:cstheme="minorBidi"/>
      <w:sz w:val="24"/>
      <w:lang w:eastAsia="en-US"/>
    </w:rPr>
  </w:style>
  <w:style w:type="paragraph" w:customStyle="1" w:styleId="TableText">
    <w:name w:val="Table Text"/>
    <w:basedOn w:val="Normal"/>
    <w:link w:val="TableTextChar"/>
    <w:qFormat/>
    <w:rsid w:val="006F05B0"/>
    <w:pPr>
      <w:keepNext/>
      <w:spacing w:before="40" w:after="40"/>
    </w:pPr>
    <w:rPr>
      <w:rFonts w:ascii="Arial Narrow" w:eastAsiaTheme="minorHAnsi" w:hAnsi="Arial Narrow" w:cstheme="minorBidi"/>
      <w:sz w:val="20"/>
      <w:szCs w:val="22"/>
      <w:lang w:eastAsia="en-US"/>
    </w:rPr>
  </w:style>
  <w:style w:type="paragraph" w:customStyle="1" w:styleId="TableHeading">
    <w:name w:val="Table Heading"/>
    <w:basedOn w:val="Normal"/>
    <w:qFormat/>
    <w:rsid w:val="006F05B0"/>
    <w:pPr>
      <w:keepNext/>
      <w:spacing w:after="60"/>
    </w:pPr>
    <w:rPr>
      <w:rFonts w:ascii="Arial Narrow" w:eastAsiaTheme="minorHAnsi" w:hAnsi="Arial Narrow" w:cstheme="minorBidi"/>
      <w:b/>
      <w:sz w:val="20"/>
      <w:szCs w:val="22"/>
      <w:lang w:eastAsia="en-US"/>
    </w:rPr>
  </w:style>
  <w:style w:type="paragraph" w:customStyle="1" w:styleId="TableFooter">
    <w:name w:val="Table Footer"/>
    <w:basedOn w:val="Normal"/>
    <w:link w:val="TableFooterChar"/>
    <w:qFormat/>
    <w:rsid w:val="006F05B0"/>
    <w:pPr>
      <w:widowControl w:val="0"/>
      <w:spacing w:after="120"/>
      <w:contextualSpacing/>
      <w:jc w:val="both"/>
    </w:pPr>
    <w:rPr>
      <w:rFonts w:ascii="Arial Narrow" w:hAnsi="Arial Narrow" w:cs="Arial"/>
      <w:snapToGrid w:val="0"/>
      <w:sz w:val="18"/>
      <w:lang w:eastAsia="en-US"/>
    </w:rPr>
  </w:style>
  <w:style w:type="character" w:customStyle="1" w:styleId="TableFooterChar">
    <w:name w:val="Table Footer Char"/>
    <w:link w:val="TableFooter"/>
    <w:rsid w:val="006F05B0"/>
    <w:rPr>
      <w:rFonts w:ascii="Arial Narrow" w:eastAsia="Times New Roman" w:hAnsi="Arial Narrow" w:cs="Arial"/>
      <w:snapToGrid w:val="0"/>
      <w:sz w:val="18"/>
      <w:szCs w:val="20"/>
      <w:lang w:eastAsia="en-US"/>
    </w:rPr>
  </w:style>
  <w:style w:type="character" w:customStyle="1" w:styleId="TableTextChar">
    <w:name w:val="Table Text Char"/>
    <w:link w:val="TableText"/>
    <w:rsid w:val="006F05B0"/>
    <w:rPr>
      <w:rFonts w:ascii="Arial Narrow" w:eastAsiaTheme="minorHAnsi" w:hAnsi="Arial Narrow" w:cstheme="minorBidi"/>
      <w:sz w:val="20"/>
      <w:lang w:eastAsia="en-US"/>
    </w:rPr>
  </w:style>
  <w:style w:type="paragraph" w:customStyle="1" w:styleId="MSACESHeading2">
    <w:name w:val="MSAC ES Heading 2"/>
    <w:basedOn w:val="Heading2"/>
    <w:next w:val="Normal"/>
    <w:link w:val="MSACESHeading2Char"/>
    <w:qFormat/>
    <w:rsid w:val="006F05B0"/>
    <w:pPr>
      <w:spacing w:before="360" w:after="120"/>
    </w:pPr>
    <w:rPr>
      <w:rFonts w:ascii="Cambria" w:hAnsi="Cambria"/>
      <w:bCs w:val="0"/>
      <w:snapToGrid w:val="0"/>
      <w:color w:val="auto"/>
      <w:sz w:val="24"/>
      <w:szCs w:val="28"/>
      <w:lang w:eastAsia="en-US"/>
    </w:rPr>
  </w:style>
  <w:style w:type="character" w:customStyle="1" w:styleId="MSACESHeading2Char">
    <w:name w:val="MSAC ES Heading 2 Char"/>
    <w:basedOn w:val="DefaultParagraphFont"/>
    <w:link w:val="MSACESHeading2"/>
    <w:rsid w:val="006F05B0"/>
    <w:rPr>
      <w:rFonts w:ascii="Cambria" w:eastAsiaTheme="majorEastAsia" w:hAnsi="Cambria" w:cstheme="majorBidi"/>
      <w:b/>
      <w:snapToGrid w:val="0"/>
      <w:sz w:val="24"/>
      <w:szCs w:val="28"/>
      <w:lang w:eastAsia="en-US"/>
    </w:rPr>
  </w:style>
  <w:style w:type="table" w:customStyle="1" w:styleId="GridTable1Light1">
    <w:name w:val="Grid Table 1 Light1"/>
    <w:basedOn w:val="TableNormal"/>
    <w:uiPriority w:val="46"/>
    <w:rsid w:val="000E1556"/>
    <w:rPr>
      <w:rFonts w:asciiTheme="minorHAnsi" w:eastAsiaTheme="minorHAnsi" w:hAnsiTheme="minorHAnsi" w:cstheme="minorBidi"/>
      <w:sz w:val="20"/>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sac.gov.au/" TargetMode="External"/><Relationship Id="rId5" Type="http://schemas.openxmlformats.org/officeDocument/2006/relationships/webSettings" Target="webSettings.xml"/><Relationship Id="rId10" Type="http://schemas.openxmlformats.org/officeDocument/2006/relationships/hyperlink" Target="http://www.msac.gov.au/"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7665</Words>
  <Characters>42870</Characters>
  <Application>Microsoft Office Word</Application>
  <DocSecurity>0</DocSecurity>
  <Lines>357</Lines>
  <Paragraphs>100</Paragraphs>
  <ScaleCrop>false</ScaleCrop>
  <Company/>
  <LinksUpToDate>false</LinksUpToDate>
  <CharactersWithSpaces>50435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1454-FinalPSD-updatedJul2018</dc:title>
  <dc:creator/>
  <cp:lastModifiedBy/>
  <cp:revision>1</cp:revision>
  <dcterms:created xsi:type="dcterms:W3CDTF">2018-11-07T04:01:00Z</dcterms:created>
  <dcterms:modified xsi:type="dcterms:W3CDTF">2018-11-07T04:02:00Z</dcterms:modified>
</cp:coreProperties>
</file>