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A26C78">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1D77ED" w:rsidRPr="003F7CB9" w:rsidRDefault="00D73646" w:rsidP="006751A9">
      <w:bookmarkStart w:id="0" w:name="_Toc443555803"/>
      <w:r>
        <w:rPr>
          <w:rStyle w:val="IntenseReference"/>
        </w:rPr>
        <w:br w:type="page"/>
      </w:r>
      <w:bookmarkEnd w:id="0"/>
    </w:p>
    <w:p w:rsidR="00E04FB3" w:rsidRPr="00C776B1" w:rsidRDefault="00494011" w:rsidP="00A8732C">
      <w:pPr>
        <w:pStyle w:val="Heading1"/>
      </w:pPr>
      <w:r>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fldChar w:fldCharType="begin">
          <w:ffData>
            <w:name w:val=""/>
            <w:enabled/>
            <w:calcOnExit w:val="0"/>
            <w:textInput>
              <w:default w:val="Insert corporation/partnership details here if relevant"/>
            </w:textInput>
          </w:ffData>
        </w:fldChar>
      </w:r>
      <w:r>
        <w:instrText xml:space="preserve"> FORMTEXT </w:instrText>
      </w:r>
      <w:r>
        <w:fldChar w:fldCharType="separate"/>
      </w:r>
      <w:r>
        <w:rPr>
          <w:noProof/>
        </w:rPr>
        <w:t>Insert corporation/partnership details here if relevant</w:t>
      </w:r>
      <w:r>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26C78">
        <w:t>Pfizer Australia Pty Ltd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A26C78" w:rsidRPr="00A26C78">
        <w:rPr>
          <w:b/>
        </w:rPr>
        <w:t>redacted</w:t>
      </w:r>
    </w:p>
    <w:p w:rsidR="00C171FB" w:rsidRPr="00C171FB" w:rsidRDefault="00C171FB" w:rsidP="00A26C78">
      <w:pPr>
        <w:pBdr>
          <w:top w:val="single" w:sz="4" w:space="1" w:color="auto"/>
          <w:left w:val="single" w:sz="4" w:space="4" w:color="auto"/>
          <w:bottom w:val="single" w:sz="4" w:space="1" w:color="auto"/>
          <w:right w:val="single" w:sz="4" w:space="4" w:color="auto"/>
        </w:pBdr>
      </w:pPr>
      <w:r>
        <w:t xml:space="preserve">Business trading name: </w:t>
      </w:r>
      <w:r w:rsidR="00A26C78">
        <w:t>Pfizer Australia Pty Ltd</w:t>
      </w:r>
    </w:p>
    <w:p w:rsidR="00C171FB" w:rsidRPr="00C171FB" w:rsidRDefault="00C171FB" w:rsidP="00C171FB">
      <w:pPr>
        <w:rPr>
          <w:b/>
        </w:rPr>
      </w:pPr>
      <w:r>
        <w:rPr>
          <w:b/>
        </w:rPr>
        <w:t xml:space="preserve">Primary contact name: </w:t>
      </w:r>
      <w:r w:rsidR="00A26C78" w:rsidRPr="00A26C78">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26C78" w:rsidRPr="00A26C78">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A26C78" w:rsidRPr="00A26C78">
        <w:rPr>
          <w:b/>
        </w:rPr>
        <w:t>redacted</w:t>
      </w:r>
    </w:p>
    <w:p w:rsidR="00C171FB" w:rsidRPr="00A26C78" w:rsidRDefault="00C171FB" w:rsidP="00A26C78">
      <w:pPr>
        <w:pBdr>
          <w:top w:val="single" w:sz="4" w:space="1" w:color="auto"/>
          <w:left w:val="single" w:sz="4" w:space="4" w:color="auto"/>
          <w:bottom w:val="single" w:sz="4" w:space="1" w:color="auto"/>
          <w:right w:val="single" w:sz="4" w:space="4" w:color="auto"/>
        </w:pBdr>
      </w:pPr>
      <w:r>
        <w:t xml:space="preserve">Email: </w:t>
      </w:r>
      <w:r w:rsidR="00A26C78" w:rsidRPr="00A26C78">
        <w:rPr>
          <w:b/>
        </w:rPr>
        <w:t>redacted</w:t>
      </w:r>
    </w:p>
    <w:p w:rsidR="00C171FB" w:rsidRPr="00C171FB" w:rsidRDefault="00C171FB" w:rsidP="00C171FB">
      <w:pPr>
        <w:rPr>
          <w:b/>
        </w:rPr>
      </w:pPr>
      <w:r>
        <w:rPr>
          <w:b/>
        </w:rPr>
        <w:t xml:space="preserve">Alternative contact name: </w:t>
      </w:r>
      <w:r w:rsidR="00A26C78" w:rsidRPr="00A26C78">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26C78" w:rsidRPr="00A26C78">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A26C78" w:rsidRPr="00A26C78">
        <w:rPr>
          <w:b/>
        </w:rPr>
        <w:t>redacted</w:t>
      </w:r>
    </w:p>
    <w:p w:rsidR="00C171FB" w:rsidRDefault="00C171FB" w:rsidP="00A26C78">
      <w:pPr>
        <w:pBdr>
          <w:top w:val="single" w:sz="4" w:space="1" w:color="auto"/>
          <w:left w:val="single" w:sz="4" w:space="4" w:color="auto"/>
          <w:bottom w:val="single" w:sz="4" w:space="1" w:color="auto"/>
          <w:right w:val="single" w:sz="4" w:space="4" w:color="auto"/>
        </w:pBdr>
      </w:pPr>
      <w:r>
        <w:t xml:space="preserve">Email: </w:t>
      </w:r>
      <w:r w:rsidR="00A26C78" w:rsidRPr="00A26C78">
        <w:rPr>
          <w:b/>
        </w:rPr>
        <w:t>redacted</w:t>
      </w:r>
    </w:p>
    <w:p w:rsidR="00F34AEC" w:rsidRPr="00154B00" w:rsidRDefault="00F34AEC" w:rsidP="00F34AEC">
      <w:pPr>
        <w:pStyle w:val="Heading2"/>
      </w:pPr>
      <w:r>
        <w:t>(a) Are you a consultant acting on behalf of an Applicant?</w:t>
      </w:r>
    </w:p>
    <w:p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Yes</w:t>
      </w:r>
    </w:p>
    <w:p w:rsidR="00F34AEC" w:rsidRPr="00A26C78" w:rsidRDefault="00A26C78" w:rsidP="00A26C78">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8402C0">
        <w:rPr>
          <w:szCs w:val="20"/>
        </w:rPr>
      </w:r>
      <w:r w:rsidR="008402C0">
        <w:rPr>
          <w:szCs w:val="20"/>
        </w:rPr>
        <w:fldChar w:fldCharType="separate"/>
      </w:r>
      <w:r>
        <w:rPr>
          <w:szCs w:val="20"/>
        </w:rPr>
        <w:fldChar w:fldCharType="end"/>
      </w:r>
      <w:bookmarkEnd w:id="1"/>
      <w:r w:rsidR="00F34AEC">
        <w:rPr>
          <w:szCs w:val="20"/>
        </w:rPr>
        <w:t xml:space="preserve"> No</w:t>
      </w:r>
      <w:r w:rsidR="00352047">
        <w:rPr>
          <w:szCs w:val="20"/>
        </w:rPr>
        <w:t xml:space="preserve"> </w:t>
      </w:r>
    </w:p>
    <w:p w:rsidR="00F34AEC" w:rsidRPr="002F55EF" w:rsidRDefault="00F34AEC" w:rsidP="002F55EF">
      <w:pPr>
        <w:ind w:firstLine="360"/>
        <w:rPr>
          <w:b/>
        </w:rPr>
      </w:pPr>
      <w:r w:rsidRPr="002F55EF">
        <w:rPr>
          <w:b/>
        </w:rPr>
        <w:t>(b) If yes, what is the Applicant(s) name that you are acting on behalf of?</w:t>
      </w:r>
    </w:p>
    <w:p w:rsidR="00F34AEC" w:rsidRPr="00C171FB" w:rsidRDefault="00F34AEC" w:rsidP="00A26C78">
      <w:pPr>
        <w:ind w:left="284"/>
        <w:rPr>
          <w:noProof/>
        </w:rPr>
      </w:pPr>
      <w:r>
        <w:rPr>
          <w:noProof/>
        </w:rPr>
        <w:t>Insert relevant Applicant(s) name here.</w:t>
      </w:r>
    </w:p>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Yes</w:t>
      </w:r>
    </w:p>
    <w:p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No</w:t>
      </w:r>
      <w:r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Yes</w:t>
      </w:r>
    </w:p>
    <w:p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9056C5" w:rsidRDefault="00A26C78" w:rsidP="00A6491A">
      <w:pPr>
        <w:ind w:left="284"/>
      </w:pPr>
      <w:proofErr w:type="gramStart"/>
      <w:r>
        <w:rPr>
          <w:szCs w:val="20"/>
        </w:rPr>
        <w:t>Diagnostic testing for ROS proto-oncogene 1 (ROS</w:t>
      </w:r>
      <w:r w:rsidRPr="00361FF6">
        <w:rPr>
          <w:szCs w:val="20"/>
        </w:rPr>
        <w:t>1</w:t>
      </w:r>
      <w:r>
        <w:rPr>
          <w:szCs w:val="20"/>
        </w:rPr>
        <w:t>) rearrangements</w:t>
      </w:r>
      <w:r w:rsidRPr="00361FF6">
        <w:rPr>
          <w:szCs w:val="20"/>
        </w:rPr>
        <w:t xml:space="preserve"> in non-small cell lung cancer (NSCLC) to determine eligibility for </w:t>
      </w:r>
      <w:proofErr w:type="spellStart"/>
      <w:r w:rsidRPr="00361FF6">
        <w:rPr>
          <w:szCs w:val="20"/>
        </w:rPr>
        <w:t>crizotinib</w:t>
      </w:r>
      <w:proofErr w:type="spellEnd"/>
      <w:r w:rsidRPr="00361FF6">
        <w:rPr>
          <w:szCs w:val="20"/>
        </w:rPr>
        <w:t xml:space="preserve"> treatment.</w:t>
      </w:r>
      <w:proofErr w:type="gramEnd"/>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2C3345" w:rsidRPr="009056C5" w:rsidRDefault="00A26C78" w:rsidP="00A6491A">
      <w:pPr>
        <w:ind w:left="284"/>
      </w:pPr>
      <w:r w:rsidRPr="00084895">
        <w:rPr>
          <w:szCs w:val="20"/>
        </w:rPr>
        <w:t xml:space="preserve">Patients with non-squamous </w:t>
      </w:r>
      <w:r>
        <w:rPr>
          <w:szCs w:val="20"/>
        </w:rPr>
        <w:t>non-small cell lung cancer (</w:t>
      </w:r>
      <w:r w:rsidRPr="00084895">
        <w:rPr>
          <w:szCs w:val="20"/>
        </w:rPr>
        <w:t>NSCLC</w:t>
      </w:r>
      <w:r>
        <w:rPr>
          <w:szCs w:val="20"/>
        </w:rPr>
        <w:t>).</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437F9" w:rsidRDefault="00C437F9" w:rsidP="00C437F9">
      <w:pPr>
        <w:ind w:left="284"/>
      </w:pPr>
      <w:proofErr w:type="gramStart"/>
      <w:r>
        <w:t xml:space="preserve">Testing of tumour material in patients with non-small cell lung cancer (NSCLC) to detect chromosomal rearrangements in the ROS1 gene to determine eligibility for treatment with </w:t>
      </w:r>
      <w:proofErr w:type="spellStart"/>
      <w:r>
        <w:t>Xalkori</w:t>
      </w:r>
      <w:proofErr w:type="spellEnd"/>
      <w:r>
        <w:t xml:space="preserve"> (</w:t>
      </w:r>
      <w:proofErr w:type="spellStart"/>
      <w:r>
        <w:t>crizotinib</w:t>
      </w:r>
      <w:proofErr w:type="spellEnd"/>
      <w:r>
        <w:t>) through the PBS.</w:t>
      </w:r>
      <w:proofErr w:type="gramEnd"/>
    </w:p>
    <w:p w:rsidR="00CB12EC" w:rsidRPr="00CB12EC" w:rsidRDefault="00C437F9" w:rsidP="00C437F9">
      <w:pPr>
        <w:ind w:left="284"/>
      </w:pPr>
      <w:r>
        <w:t xml:space="preserve">PBS subsidy will also be sought for </w:t>
      </w:r>
      <w:proofErr w:type="spellStart"/>
      <w:r>
        <w:t>Xalkori</w:t>
      </w:r>
      <w:proofErr w:type="spellEnd"/>
      <w:r>
        <w:t xml:space="preserve"> (</w:t>
      </w:r>
      <w:proofErr w:type="spellStart"/>
      <w:r>
        <w:t>crizotinib</w:t>
      </w:r>
      <w:proofErr w:type="spellEnd"/>
      <w:r>
        <w:t>) for the treatment of patients with ROS1-rearranged NSCLC.</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4A6AEB"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8402C0">
        <w:rPr>
          <w:szCs w:val="20"/>
        </w:rPr>
      </w:r>
      <w:r w:rsidR="008402C0">
        <w:rPr>
          <w:szCs w:val="20"/>
        </w:rPr>
        <w:fldChar w:fldCharType="separate"/>
      </w:r>
      <w:r>
        <w:rPr>
          <w:szCs w:val="20"/>
        </w:rPr>
        <w:fldChar w:fldCharType="end"/>
      </w:r>
      <w:bookmarkEnd w:id="2"/>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4A6AEB" w:rsidP="00A6491A">
      <w:pPr>
        <w:spacing w:before="0" w:after="0"/>
        <w:ind w:left="284"/>
        <w:rPr>
          <w:szCs w:val="20"/>
        </w:rPr>
      </w:pPr>
      <w:r>
        <w:rPr>
          <w:szCs w:val="20"/>
        </w:rPr>
        <w:fldChar w:fldCharType="begin">
          <w:ffData>
            <w:name w:val="Check1"/>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3D795C" w:rsidP="00A6491A">
      <w:pPr>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402C0">
        <w:rPr>
          <w:b/>
          <w:szCs w:val="20"/>
        </w:rPr>
      </w:r>
      <w:r w:rsidR="008402C0">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402C0">
        <w:rPr>
          <w:b/>
          <w:szCs w:val="20"/>
        </w:rPr>
      </w:r>
      <w:r w:rsidR="008402C0">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4A6AEB" w:rsidP="00AA2CFE">
      <w:pPr>
        <w:pStyle w:val="ListParagraph"/>
        <w:numPr>
          <w:ilvl w:val="0"/>
          <w:numId w:val="35"/>
        </w:numPr>
        <w:spacing w:before="0" w:after="0"/>
        <w:ind w:left="851" w:hanging="425"/>
        <w:rPr>
          <w:rStyle w:val="Strong"/>
          <w:b w:val="0"/>
        </w:rPr>
      </w:pPr>
      <w:r>
        <w:rPr>
          <w:szCs w:val="20"/>
        </w:rPr>
        <w:fldChar w:fldCharType="begin">
          <w:ffData>
            <w:name w:val="Check1"/>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402C0">
        <w:rPr>
          <w:b/>
          <w:szCs w:val="20"/>
        </w:rPr>
      </w:r>
      <w:r w:rsidR="008402C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402C0">
        <w:rPr>
          <w:b/>
          <w:szCs w:val="20"/>
        </w:rPr>
      </w:r>
      <w:r w:rsidR="008402C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4A6AEB" w:rsidRDefault="004A6AEB">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rsidR="000A5B32" w:rsidRDefault="004A6AE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0A5B32" w:rsidRPr="000A5B32">
        <w:rPr>
          <w:szCs w:val="20"/>
        </w:rPr>
        <w:t xml:space="preserve"> Yes</w:t>
      </w:r>
    </w:p>
    <w:p w:rsidR="00626365" w:rsidRDefault="000A5B32" w:rsidP="0062636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No</w:t>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4A6AEB" w:rsidP="00A6491A">
      <w:pPr>
        <w:ind w:left="284"/>
        <w:rPr>
          <w:rStyle w:val="Strong"/>
        </w:rPr>
      </w:pPr>
      <w:r>
        <w:rPr>
          <w:szCs w:val="20"/>
        </w:rPr>
        <w:t xml:space="preserve">The proposed test will </w:t>
      </w:r>
      <w:r w:rsidRPr="007E3E92">
        <w:rPr>
          <w:szCs w:val="20"/>
        </w:rPr>
        <w:t xml:space="preserve">determine eligibility for treatment with </w:t>
      </w:r>
      <w:proofErr w:type="spellStart"/>
      <w:r>
        <w:rPr>
          <w:szCs w:val="20"/>
        </w:rPr>
        <w:t>Xalkori</w:t>
      </w:r>
      <w:proofErr w:type="spellEnd"/>
      <w:r>
        <w:rPr>
          <w:szCs w:val="20"/>
        </w:rPr>
        <w:t xml:space="preserve"> (</w:t>
      </w:r>
      <w:proofErr w:type="spellStart"/>
      <w:r w:rsidRPr="007E3E92">
        <w:rPr>
          <w:szCs w:val="20"/>
        </w:rPr>
        <w:t>crizotinib</w:t>
      </w:r>
      <w:proofErr w:type="spellEnd"/>
      <w:r>
        <w:rPr>
          <w:szCs w:val="20"/>
        </w:rPr>
        <w:t>)</w:t>
      </w:r>
      <w:r w:rsidRPr="007E3E92">
        <w:rPr>
          <w:szCs w:val="20"/>
        </w:rPr>
        <w:t xml:space="preserve"> through the PBS.</w:t>
      </w:r>
    </w:p>
    <w:p w:rsidR="000B3CD0" w:rsidRDefault="000B3CD0" w:rsidP="00730C04">
      <w:pPr>
        <w:pStyle w:val="Heading2"/>
      </w:pPr>
      <w:r w:rsidRPr="00154B00">
        <w:t xml:space="preserve">What is the type of </w:t>
      </w:r>
      <w:proofErr w:type="gramStart"/>
      <w:r w:rsidRPr="00154B00">
        <w:t>service:</w:t>
      </w:r>
      <w:proofErr w:type="gramEnd"/>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4A6AEB" w:rsidP="00A6491A">
      <w:pPr>
        <w:spacing w:before="0" w:after="0"/>
        <w:ind w:left="284"/>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Allied health service</w:t>
      </w:r>
    </w:p>
    <w:p w:rsidR="00A6594E" w:rsidRDefault="004A6AEB" w:rsidP="00A6491A">
      <w:pPr>
        <w:spacing w:before="0" w:after="0"/>
        <w:ind w:left="284"/>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A6594E" w:rsidRPr="0027105F">
        <w:rPr>
          <w:b/>
          <w:szCs w:val="20"/>
        </w:rPr>
        <w:t xml:space="preserve"> </w:t>
      </w:r>
      <w:r w:rsidR="00A6594E">
        <w:t>Co-dependent technology</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Hybrid health technology</w:t>
      </w:r>
    </w:p>
    <w:p w:rsidR="00124B00" w:rsidRPr="00A6594E" w:rsidRDefault="00124B00" w:rsidP="00A6491A">
      <w:pPr>
        <w:spacing w:before="0" w:after="0"/>
        <w:ind w:left="284"/>
      </w:pP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402C0">
        <w:rPr>
          <w:b/>
          <w:szCs w:val="20"/>
        </w:rPr>
      </w:r>
      <w:r w:rsidR="008402C0">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402C0">
        <w:rPr>
          <w:b/>
          <w:szCs w:val="20"/>
        </w:rPr>
      </w:r>
      <w:r w:rsidR="008402C0">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402C0">
        <w:rPr>
          <w:b/>
          <w:szCs w:val="20"/>
        </w:rPr>
      </w:r>
      <w:r w:rsidR="008402C0">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4A6AEB" w:rsidP="00AF4466">
      <w:pPr>
        <w:pStyle w:val="ListParagraph"/>
        <w:numPr>
          <w:ilvl w:val="0"/>
          <w:numId w:val="36"/>
        </w:numPr>
        <w:spacing w:before="0" w:after="0"/>
        <w:ind w:left="851" w:hanging="425"/>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402C0">
        <w:rPr>
          <w:b/>
          <w:szCs w:val="20"/>
        </w:rPr>
      </w:r>
      <w:r w:rsidR="008402C0">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2A40AE" w:rsidRDefault="00F63A62" w:rsidP="002F55EF">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402C0">
        <w:rPr>
          <w:b/>
          <w:szCs w:val="20"/>
        </w:rPr>
      </w:r>
      <w:r w:rsidR="008402C0">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4A6AEB" w:rsidP="00A6491A">
      <w:pPr>
        <w:spacing w:before="0" w:after="0"/>
        <w:ind w:left="284"/>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FE16C1" w:rsidRPr="0027105F">
        <w:rPr>
          <w:b/>
          <w:szCs w:val="20"/>
        </w:rPr>
        <w:t xml:space="preserve"> </w:t>
      </w:r>
      <w:r w:rsidR="00FE16C1">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402C0">
        <w:rPr>
          <w:b/>
          <w:szCs w:val="20"/>
        </w:rPr>
      </w:r>
      <w:r w:rsidR="008402C0">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4A6AE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FE16C1" w:rsidRPr="000A5B32">
        <w:rPr>
          <w:szCs w:val="20"/>
        </w:rPr>
        <w:t xml:space="preserve"> Yes</w:t>
      </w:r>
    </w:p>
    <w:p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Default="002E2F3B" w:rsidP="00A6491A">
      <w:pPr>
        <w:ind w:left="284"/>
      </w:pPr>
      <w:proofErr w:type="spellStart"/>
      <w:r w:rsidRPr="002E2F3B">
        <w:t>Crizotinib</w:t>
      </w:r>
      <w:proofErr w:type="spellEnd"/>
      <w:r w:rsidRPr="002E2F3B">
        <w:t xml:space="preserve"> is currently PBS-listed for the treatment of anaplastic lymphoma kinase (ALK)-positive Stage IIIB (locally advanced) or Stage IV (metastatic) non-small cell lung cancer (NSCLC). The PBS Item numbers for this indication are 10322G and 10323H.</w:t>
      </w:r>
    </w:p>
    <w:p w:rsidR="00923EDA" w:rsidRPr="007E39E4" w:rsidRDefault="00923EDA" w:rsidP="00A6491A">
      <w:pPr>
        <w:ind w:left="284"/>
        <w:rPr>
          <w:b/>
          <w:szCs w:val="20"/>
        </w:rPr>
      </w:pPr>
      <w:r>
        <w:rPr>
          <w:szCs w:val="20"/>
        </w:rPr>
        <w:t xml:space="preserve">A further application to the PBAC is planned for </w:t>
      </w:r>
      <w:proofErr w:type="spellStart"/>
      <w:r>
        <w:rPr>
          <w:szCs w:val="20"/>
        </w:rPr>
        <w:t>crizotinib</w:t>
      </w:r>
      <w:proofErr w:type="spellEnd"/>
      <w:r>
        <w:rPr>
          <w:szCs w:val="20"/>
        </w:rPr>
        <w:t xml:space="preserve"> for the treatment of ROS1-positive advanced NSCLC. &lt;</w:t>
      </w:r>
      <w:r w:rsidRPr="00923EDA">
        <w:rPr>
          <w:b/>
          <w:szCs w:val="20"/>
        </w:rPr>
        <w:t>REDACTED</w:t>
      </w:r>
      <w:r>
        <w:rPr>
          <w:szCs w:val="20"/>
        </w:rPr>
        <w:t>&gt;</w:t>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001E6919">
        <w:rPr>
          <w:szCs w:val="20"/>
        </w:rPr>
        <w:t xml:space="preserve"> No</w:t>
      </w:r>
    </w:p>
    <w:p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F30219" w:rsidRDefault="00F30219">
      <w:pPr>
        <w:spacing w:before="0" w:after="200" w:line="276" w:lineRule="auto"/>
        <w:rPr>
          <w:b/>
          <w:szCs w:val="20"/>
        </w:rPr>
      </w:pPr>
      <w:r>
        <w:br w:type="page"/>
      </w:r>
    </w:p>
    <w:p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rsidR="001E6958" w:rsidRDefault="001E6958" w:rsidP="00A6491A">
      <w:pPr>
        <w:spacing w:before="0" w:after="0"/>
        <w:ind w:left="284"/>
      </w:pPr>
      <w:r>
        <w:t xml:space="preserve">Trade name: </w:t>
      </w:r>
      <w:proofErr w:type="spellStart"/>
      <w:r w:rsidR="002E2F3B">
        <w:t>Xalkori</w:t>
      </w:r>
      <w:proofErr w:type="spellEnd"/>
    </w:p>
    <w:p w:rsidR="001E6958" w:rsidRPr="001E6958" w:rsidRDefault="001E6958" w:rsidP="00A6491A">
      <w:pPr>
        <w:spacing w:before="0" w:after="0"/>
        <w:ind w:left="284"/>
      </w:pPr>
      <w:r>
        <w:t xml:space="preserve">Generic name: </w:t>
      </w:r>
      <w:proofErr w:type="spellStart"/>
      <w:r w:rsidR="002E2F3B">
        <w:t>Crizotinib</w:t>
      </w:r>
      <w:proofErr w:type="spellEnd"/>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Yes</w:t>
      </w:r>
    </w:p>
    <w:p w:rsidR="001E6919" w:rsidRDefault="001E6958" w:rsidP="00275D1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  </w:t>
      </w: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9939DC"/>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Yes</w:t>
      </w:r>
    </w:p>
    <w:p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23EDA" w:rsidRDefault="009939DC" w:rsidP="00923EDA">
      <w:pPr>
        <w:spacing w:before="0" w:after="0"/>
        <w:ind w:left="284"/>
      </w:pPr>
      <w:r>
        <w:t xml:space="preserve">Single use consumables: </w:t>
      </w:r>
      <w:r w:rsidR="00923EDA">
        <w:t>The Sponsor believes that the single use consumables required to conduct a ROS1 FISH test are the same as those required for the existing ALK FISH testing.</w:t>
      </w:r>
    </w:p>
    <w:p w:rsidR="009939DC" w:rsidRDefault="00923EDA" w:rsidP="00923EDA">
      <w:pPr>
        <w:spacing w:before="0" w:after="0"/>
        <w:ind w:left="284"/>
      </w:pPr>
      <w:r>
        <w:t>Details of these consumables will be confirmed by seeking feedback from the identified pathology laboratories and presented in the full submission dossier.</w:t>
      </w:r>
    </w:p>
    <w:p w:rsidR="00F301F1" w:rsidRPr="00855944" w:rsidRDefault="009939DC" w:rsidP="00A6491A">
      <w:pPr>
        <w:spacing w:before="0" w:after="0"/>
        <w:ind w:left="284"/>
      </w:pPr>
      <w:r>
        <w:t>Multi-use consumables:</w:t>
      </w:r>
      <w:r w:rsidRPr="009939DC">
        <w:t xml:space="preserve"> </w:t>
      </w:r>
      <w:r w:rsidR="00923EDA">
        <w:t>None</w:t>
      </w:r>
      <w:r w:rsidR="00F301F1"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923EDA">
        <w:t>Pharmaceutical</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923EDA">
        <w:t>Pfizer Australia Pty Ltd</w:t>
      </w:r>
    </w:p>
    <w:p w:rsidR="00A26343" w:rsidRPr="00A26343" w:rsidRDefault="00A26343" w:rsidP="00A6491A">
      <w:pPr>
        <w:spacing w:before="0" w:after="0"/>
        <w:ind w:left="284"/>
        <w:rPr>
          <w:szCs w:val="20"/>
        </w:rPr>
      </w:pPr>
      <w:r w:rsidRPr="00A26343">
        <w:rPr>
          <w:szCs w:val="20"/>
        </w:rPr>
        <w:t>Sponsor’s name</w:t>
      </w:r>
      <w:r>
        <w:rPr>
          <w:szCs w:val="20"/>
        </w:rPr>
        <w:t xml:space="preserve">: </w:t>
      </w:r>
      <w:r w:rsidR="00923EDA">
        <w:t>Pfizer Australia Pty Ltd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923ED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923EDA"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923EDA"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923EDA" w:rsidRPr="008E17FE">
        <w:rPr>
          <w:szCs w:val="20"/>
        </w:rPr>
        <w:t>190963, 190964</w:t>
      </w:r>
      <w:r w:rsidR="00923EDA">
        <w:rPr>
          <w:szCs w:val="20"/>
        </w:rPr>
        <w:t xml:space="preserve">, </w:t>
      </w:r>
      <w:r w:rsidR="00923EDA" w:rsidRPr="008E17FE">
        <w:rPr>
          <w:szCs w:val="20"/>
        </w:rPr>
        <w:t>190965, 19</w:t>
      </w:r>
      <w:r w:rsidR="00923EDA">
        <w:rPr>
          <w:szCs w:val="20"/>
        </w:rPr>
        <w:t>0966</w:t>
      </w:r>
    </w:p>
    <w:p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roofErr w:type="spellStart"/>
      <w:r w:rsidR="00923EDA" w:rsidRPr="008E17FE">
        <w:rPr>
          <w:szCs w:val="20"/>
        </w:rPr>
        <w:t>Xalkori</w:t>
      </w:r>
      <w:proofErr w:type="spellEnd"/>
      <w:r w:rsidR="00923EDA" w:rsidRPr="008E17FE">
        <w:rPr>
          <w:szCs w:val="20"/>
        </w:rPr>
        <w:t xml:space="preserve"> is indicated for the treatment of patients with anaplastic lymphoma kinase (ALK)-positive</w:t>
      </w:r>
      <w:r w:rsidR="00923EDA">
        <w:rPr>
          <w:szCs w:val="20"/>
        </w:rPr>
        <w:t xml:space="preserve"> advanced</w:t>
      </w:r>
      <w:r w:rsidR="00923EDA" w:rsidRPr="008E17FE">
        <w:rPr>
          <w:szCs w:val="20"/>
        </w:rPr>
        <w:t xml:space="preserve"> non-small cell lung cancer (NSCLC).</w:t>
      </w:r>
    </w:p>
    <w:p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923EDA"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47581D">
        <w:rPr>
          <w:szCs w:val="20"/>
        </w:rPr>
        <w:t xml:space="preserve"> Yes (please provide details below)</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881D15"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0A110D">
        <w:rPr>
          <w:szCs w:val="20"/>
        </w:rPr>
        <w:t xml:space="preserve"> Yes (please provide details below)</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rsidR="00881D15" w:rsidRPr="00881D15">
        <w:rPr>
          <w:b/>
        </w:rPr>
        <w:t>redacted</w:t>
      </w:r>
    </w:p>
    <w:p w:rsidR="00881D15" w:rsidRDefault="00971EDB" w:rsidP="00971EDB">
      <w:pPr>
        <w:spacing w:before="0" w:after="0"/>
        <w:rPr>
          <w:szCs w:val="20"/>
        </w:rPr>
      </w:pPr>
      <w:r w:rsidRPr="00971EDB">
        <w:rPr>
          <w:szCs w:val="20"/>
        </w:rPr>
        <w:t>Proposed indication(s), if applicable</w:t>
      </w:r>
      <w:r>
        <w:rPr>
          <w:szCs w:val="20"/>
        </w:rPr>
        <w:t xml:space="preserve">:  </w:t>
      </w:r>
      <w:r w:rsidR="00881D15" w:rsidRPr="00881D15">
        <w:rPr>
          <w:b/>
        </w:rPr>
        <w:t>redacted</w:t>
      </w:r>
      <w:r w:rsidR="00881D15" w:rsidRPr="00971EDB">
        <w:rPr>
          <w:szCs w:val="20"/>
        </w:rPr>
        <w:t xml:space="preserve"> </w:t>
      </w:r>
    </w:p>
    <w:p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F83A9D">
      <w:pPr>
        <w:rPr>
          <w:szCs w:val="20"/>
        </w:rPr>
      </w:pPr>
    </w:p>
    <w:p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Description w:val="Summary of Evidence - Published"/>
      </w:tblPr>
      <w:tblGrid>
        <w:gridCol w:w="474"/>
        <w:gridCol w:w="1481"/>
        <w:gridCol w:w="2890"/>
        <w:gridCol w:w="4618"/>
        <w:gridCol w:w="3118"/>
        <w:gridCol w:w="1593"/>
      </w:tblGrid>
      <w:tr w:rsidR="00881D15" w:rsidTr="00881D15">
        <w:trPr>
          <w:cantSplit/>
          <w:tblHeader/>
        </w:trPr>
        <w:tc>
          <w:tcPr>
            <w:tcW w:w="167" w:type="pct"/>
          </w:tcPr>
          <w:p w:rsidR="00881D15" w:rsidRDefault="00881D15" w:rsidP="001D3BDF">
            <w:pPr>
              <w:rPr>
                <w:b/>
                <w:szCs w:val="20"/>
              </w:rPr>
            </w:pPr>
          </w:p>
        </w:tc>
        <w:tc>
          <w:tcPr>
            <w:tcW w:w="522" w:type="pct"/>
          </w:tcPr>
          <w:p w:rsidR="00881D15" w:rsidRDefault="00881D15" w:rsidP="001D3BDF">
            <w:pPr>
              <w:rPr>
                <w:b/>
                <w:szCs w:val="20"/>
              </w:rPr>
            </w:pPr>
            <w:r>
              <w:rPr>
                <w:b/>
                <w:szCs w:val="20"/>
              </w:rPr>
              <w:t>Type of study design*</w:t>
            </w:r>
          </w:p>
        </w:tc>
        <w:tc>
          <w:tcPr>
            <w:tcW w:w="1019" w:type="pct"/>
          </w:tcPr>
          <w:p w:rsidR="00881D15" w:rsidRDefault="00881D15" w:rsidP="001D3BDF">
            <w:pPr>
              <w:rPr>
                <w:b/>
                <w:szCs w:val="20"/>
              </w:rPr>
            </w:pPr>
            <w:r>
              <w:rPr>
                <w:b/>
                <w:szCs w:val="20"/>
              </w:rPr>
              <w:t>Title of journal article  or research project (including any trial identifier or study lead if relevant)</w:t>
            </w:r>
          </w:p>
        </w:tc>
        <w:tc>
          <w:tcPr>
            <w:tcW w:w="1629" w:type="pct"/>
          </w:tcPr>
          <w:p w:rsidR="00881D15" w:rsidRDefault="00881D15" w:rsidP="001D3BDF">
            <w:pPr>
              <w:rPr>
                <w:b/>
                <w:szCs w:val="20"/>
              </w:rPr>
            </w:pPr>
            <w:r>
              <w:rPr>
                <w:b/>
                <w:szCs w:val="20"/>
              </w:rPr>
              <w:t>Short description of research  (max 50 words)**</w:t>
            </w:r>
          </w:p>
        </w:tc>
        <w:tc>
          <w:tcPr>
            <w:tcW w:w="1100" w:type="pct"/>
          </w:tcPr>
          <w:p w:rsidR="00881D15" w:rsidRDefault="00881D15" w:rsidP="001D3BDF">
            <w:pPr>
              <w:rPr>
                <w:b/>
                <w:szCs w:val="20"/>
              </w:rPr>
            </w:pPr>
            <w:r w:rsidRPr="00E82F54">
              <w:rPr>
                <w:b/>
                <w:szCs w:val="20"/>
              </w:rPr>
              <w:t xml:space="preserve">Website link to </w:t>
            </w:r>
            <w:r>
              <w:rPr>
                <w:b/>
                <w:szCs w:val="20"/>
              </w:rPr>
              <w:t>journal article or research (if available)</w:t>
            </w:r>
          </w:p>
        </w:tc>
        <w:tc>
          <w:tcPr>
            <w:tcW w:w="562" w:type="pct"/>
          </w:tcPr>
          <w:p w:rsidR="00881D15" w:rsidRDefault="00881D15" w:rsidP="001D3BDF">
            <w:pPr>
              <w:rPr>
                <w:b/>
                <w:szCs w:val="20"/>
              </w:rPr>
            </w:pPr>
            <w:r w:rsidRPr="00E82F54">
              <w:rPr>
                <w:b/>
                <w:szCs w:val="20"/>
              </w:rPr>
              <w:t>Date</w:t>
            </w:r>
            <w:r>
              <w:rPr>
                <w:b/>
                <w:szCs w:val="20"/>
              </w:rPr>
              <w:t xml:space="preserve"> of publication</w:t>
            </w:r>
            <w:r w:rsidRPr="00E82F54">
              <w:rPr>
                <w:b/>
                <w:szCs w:val="20"/>
              </w:rPr>
              <w:t>*</w:t>
            </w:r>
            <w:r>
              <w:rPr>
                <w:b/>
                <w:szCs w:val="20"/>
              </w:rPr>
              <w:t>**</w:t>
            </w:r>
          </w:p>
        </w:tc>
      </w:tr>
      <w:tr w:rsidR="00881D15" w:rsidTr="00881D15">
        <w:trPr>
          <w:cantSplit/>
        </w:trPr>
        <w:tc>
          <w:tcPr>
            <w:tcW w:w="167" w:type="pct"/>
          </w:tcPr>
          <w:p w:rsidR="00881D15" w:rsidRPr="00E41034" w:rsidRDefault="00881D15" w:rsidP="001D3BDF">
            <w:pPr>
              <w:rPr>
                <w:sz w:val="18"/>
                <w:szCs w:val="20"/>
              </w:rPr>
            </w:pPr>
            <w:r w:rsidRPr="00E41034">
              <w:rPr>
                <w:sz w:val="18"/>
                <w:szCs w:val="20"/>
              </w:rPr>
              <w:t>1.</w:t>
            </w:r>
          </w:p>
        </w:tc>
        <w:tc>
          <w:tcPr>
            <w:tcW w:w="522" w:type="pct"/>
          </w:tcPr>
          <w:p w:rsidR="00881D15" w:rsidRPr="00E41034" w:rsidRDefault="00881D15" w:rsidP="001D3BDF">
            <w:pPr>
              <w:rPr>
                <w:sz w:val="18"/>
                <w:szCs w:val="20"/>
              </w:rPr>
            </w:pPr>
            <w:r w:rsidRPr="00E41034">
              <w:rPr>
                <w:sz w:val="18"/>
                <w:szCs w:val="20"/>
              </w:rPr>
              <w:t>Expansion cohort of a phase I (non-randomised) study</w:t>
            </w:r>
          </w:p>
        </w:tc>
        <w:tc>
          <w:tcPr>
            <w:tcW w:w="1019" w:type="pct"/>
          </w:tcPr>
          <w:p w:rsidR="00881D15" w:rsidRDefault="00881D15" w:rsidP="001D3BDF">
            <w:pPr>
              <w:rPr>
                <w:sz w:val="18"/>
                <w:szCs w:val="20"/>
              </w:rPr>
            </w:pPr>
            <w:r>
              <w:rPr>
                <w:sz w:val="18"/>
                <w:szCs w:val="20"/>
              </w:rPr>
              <w:t>Shaw et al, 2014.</w:t>
            </w:r>
            <w:r w:rsidRPr="00E41034">
              <w:rPr>
                <w:sz w:val="18"/>
                <w:szCs w:val="20"/>
              </w:rPr>
              <w:t xml:space="preserve"> </w:t>
            </w:r>
            <w:proofErr w:type="spellStart"/>
            <w:r w:rsidRPr="00E41034">
              <w:rPr>
                <w:sz w:val="18"/>
                <w:szCs w:val="20"/>
              </w:rPr>
              <w:t>Crizotinib</w:t>
            </w:r>
            <w:proofErr w:type="spellEnd"/>
            <w:r w:rsidRPr="00E41034">
              <w:rPr>
                <w:sz w:val="18"/>
                <w:szCs w:val="20"/>
              </w:rPr>
              <w:t xml:space="preserve"> in ROS1-Rearranged Non-Small-Cell Lung Cancer</w:t>
            </w:r>
            <w:r>
              <w:rPr>
                <w:sz w:val="18"/>
                <w:szCs w:val="20"/>
              </w:rPr>
              <w:t>.</w:t>
            </w:r>
          </w:p>
          <w:p w:rsidR="00881D15" w:rsidRPr="00E41034" w:rsidRDefault="00881D15" w:rsidP="001D3BDF">
            <w:pPr>
              <w:rPr>
                <w:b/>
                <w:sz w:val="18"/>
                <w:szCs w:val="20"/>
              </w:rPr>
            </w:pPr>
            <w:r>
              <w:rPr>
                <w:sz w:val="18"/>
                <w:szCs w:val="20"/>
              </w:rPr>
              <w:t>NCT00585195.</w:t>
            </w:r>
          </w:p>
        </w:tc>
        <w:tc>
          <w:tcPr>
            <w:tcW w:w="1629" w:type="pct"/>
          </w:tcPr>
          <w:p w:rsidR="00881D15" w:rsidRDefault="00881D15" w:rsidP="001D3BDF">
            <w:pPr>
              <w:rPr>
                <w:sz w:val="18"/>
                <w:szCs w:val="20"/>
              </w:rPr>
            </w:pPr>
            <w:r w:rsidRPr="00E41034">
              <w:rPr>
                <w:sz w:val="18"/>
                <w:szCs w:val="20"/>
              </w:rPr>
              <w:t xml:space="preserve">A </w:t>
            </w:r>
            <w:r w:rsidRPr="00DF15EA">
              <w:rPr>
                <w:sz w:val="18"/>
                <w:szCs w:val="20"/>
              </w:rPr>
              <w:t xml:space="preserve">study of 50 patients with advanced </w:t>
            </w:r>
            <w:r>
              <w:rPr>
                <w:sz w:val="18"/>
                <w:szCs w:val="20"/>
              </w:rPr>
              <w:t xml:space="preserve">ROS1-positive </w:t>
            </w:r>
            <w:r w:rsidRPr="00DF15EA">
              <w:rPr>
                <w:sz w:val="18"/>
                <w:szCs w:val="20"/>
              </w:rPr>
              <w:t>NSCLC</w:t>
            </w:r>
            <w:r>
              <w:rPr>
                <w:sz w:val="18"/>
                <w:szCs w:val="20"/>
              </w:rPr>
              <w:t xml:space="preserve">. Patients were </w:t>
            </w:r>
            <w:r w:rsidRPr="00DF15EA">
              <w:rPr>
                <w:sz w:val="18"/>
                <w:szCs w:val="20"/>
              </w:rPr>
              <w:t xml:space="preserve">treated with </w:t>
            </w:r>
            <w:proofErr w:type="spellStart"/>
            <w:r w:rsidRPr="00DF15EA">
              <w:rPr>
                <w:sz w:val="18"/>
                <w:szCs w:val="20"/>
              </w:rPr>
              <w:t>crizotinib</w:t>
            </w:r>
            <w:proofErr w:type="spellEnd"/>
            <w:r w:rsidRPr="00DF15EA">
              <w:rPr>
                <w:sz w:val="18"/>
                <w:szCs w:val="20"/>
              </w:rPr>
              <w:t xml:space="preserve"> 250mg twice daily</w:t>
            </w:r>
            <w:r>
              <w:rPr>
                <w:sz w:val="18"/>
                <w:szCs w:val="20"/>
              </w:rPr>
              <w:t xml:space="preserve"> </w:t>
            </w:r>
            <w:r w:rsidRPr="00DF15EA">
              <w:rPr>
                <w:sz w:val="18"/>
                <w:szCs w:val="20"/>
              </w:rPr>
              <w:t>and assessed for safety, pharmacokinetics, and response to therapy.</w:t>
            </w:r>
            <w:r w:rsidRPr="00E41034">
              <w:rPr>
                <w:sz w:val="18"/>
                <w:szCs w:val="20"/>
              </w:rPr>
              <w:t xml:space="preserve"> </w:t>
            </w:r>
            <w:proofErr w:type="spellStart"/>
            <w:r w:rsidRPr="00DF15EA">
              <w:rPr>
                <w:sz w:val="18"/>
                <w:szCs w:val="20"/>
              </w:rPr>
              <w:t>Crizotinib</w:t>
            </w:r>
            <w:proofErr w:type="spellEnd"/>
            <w:r w:rsidRPr="00DF15EA">
              <w:rPr>
                <w:sz w:val="18"/>
                <w:szCs w:val="20"/>
              </w:rPr>
              <w:t xml:space="preserve"> showed marked antitumor activity in patients with advanced </w:t>
            </w:r>
            <w:r w:rsidRPr="00DF15EA">
              <w:rPr>
                <w:i/>
                <w:iCs/>
                <w:sz w:val="18"/>
                <w:szCs w:val="20"/>
              </w:rPr>
              <w:t>ROS1</w:t>
            </w:r>
            <w:r w:rsidRPr="00DF15EA">
              <w:rPr>
                <w:sz w:val="18"/>
                <w:szCs w:val="20"/>
              </w:rPr>
              <w:t>-rearranged NSCLC.</w:t>
            </w:r>
          </w:p>
          <w:p w:rsidR="00881D15" w:rsidRPr="00E41034" w:rsidRDefault="008402C0" w:rsidP="001D3BDF">
            <w:pPr>
              <w:rPr>
                <w:b/>
                <w:sz w:val="18"/>
                <w:szCs w:val="20"/>
              </w:rPr>
            </w:pPr>
            <w:hyperlink r:id="rId18" w:tooltip="See in ClincalTrials.gov" w:history="1">
              <w:r w:rsidR="00881D15" w:rsidRPr="0017595F">
                <w:rPr>
                  <w:sz w:val="18"/>
                  <w:szCs w:val="20"/>
                </w:rPr>
                <w:t>NCT00585195</w:t>
              </w:r>
            </w:hyperlink>
            <w:r w:rsidR="00881D15">
              <w:rPr>
                <w:sz w:val="18"/>
                <w:szCs w:val="20"/>
              </w:rPr>
              <w:t>.</w:t>
            </w:r>
          </w:p>
        </w:tc>
        <w:tc>
          <w:tcPr>
            <w:tcW w:w="1100" w:type="pct"/>
          </w:tcPr>
          <w:p w:rsidR="00881D15" w:rsidRDefault="00881D15" w:rsidP="001D3BDF">
            <w:pPr>
              <w:rPr>
                <w:sz w:val="18"/>
                <w:szCs w:val="20"/>
              </w:rPr>
            </w:pPr>
            <w:r w:rsidRPr="00E41034">
              <w:rPr>
                <w:sz w:val="18"/>
                <w:szCs w:val="20"/>
              </w:rPr>
              <w:t xml:space="preserve">N </w:t>
            </w:r>
            <w:proofErr w:type="spellStart"/>
            <w:r w:rsidRPr="00E41034">
              <w:rPr>
                <w:sz w:val="18"/>
                <w:szCs w:val="20"/>
              </w:rPr>
              <w:t>Engl</w:t>
            </w:r>
            <w:proofErr w:type="spellEnd"/>
            <w:r w:rsidRPr="00E41034">
              <w:rPr>
                <w:sz w:val="18"/>
                <w:szCs w:val="20"/>
              </w:rPr>
              <w:t xml:space="preserve"> J Med 2014; 371:1963-1971</w:t>
            </w:r>
          </w:p>
          <w:p w:rsidR="00881D15" w:rsidRDefault="008402C0" w:rsidP="001D3BDF">
            <w:pPr>
              <w:rPr>
                <w:sz w:val="18"/>
                <w:szCs w:val="20"/>
              </w:rPr>
            </w:pPr>
            <w:hyperlink r:id="rId19" w:history="1">
              <w:r w:rsidR="00F30219">
                <w:rPr>
                  <w:rStyle w:val="Hyperlink"/>
                  <w:sz w:val="18"/>
                  <w:szCs w:val="20"/>
                </w:rPr>
                <w:t>link</w:t>
              </w:r>
            </w:hyperlink>
            <w:r w:rsidR="00F30219">
              <w:rPr>
                <w:rStyle w:val="Hyperlink"/>
                <w:sz w:val="18"/>
                <w:szCs w:val="20"/>
              </w:rPr>
              <w:t xml:space="preserve"> to journal article</w:t>
            </w:r>
          </w:p>
          <w:p w:rsidR="00881D15" w:rsidRPr="00E41034" w:rsidRDefault="00881D15" w:rsidP="001D3BDF">
            <w:pPr>
              <w:rPr>
                <w:b/>
                <w:sz w:val="18"/>
                <w:szCs w:val="20"/>
              </w:rPr>
            </w:pPr>
          </w:p>
        </w:tc>
        <w:tc>
          <w:tcPr>
            <w:tcW w:w="562" w:type="pct"/>
          </w:tcPr>
          <w:p w:rsidR="00881D15" w:rsidRPr="00E41034" w:rsidRDefault="00881D15" w:rsidP="001D3BDF">
            <w:pPr>
              <w:rPr>
                <w:sz w:val="18"/>
                <w:szCs w:val="20"/>
              </w:rPr>
            </w:pPr>
            <w:r w:rsidRPr="00E41034">
              <w:rPr>
                <w:sz w:val="18"/>
                <w:szCs w:val="20"/>
              </w:rPr>
              <w:t>November 2014</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2.</w:t>
            </w:r>
          </w:p>
        </w:tc>
        <w:tc>
          <w:tcPr>
            <w:tcW w:w="522" w:type="pct"/>
          </w:tcPr>
          <w:p w:rsidR="00881D15" w:rsidRPr="002846E7" w:rsidRDefault="00881D15" w:rsidP="001D3BDF">
            <w:pPr>
              <w:rPr>
                <w:sz w:val="18"/>
                <w:szCs w:val="20"/>
              </w:rPr>
            </w:pPr>
            <w:r w:rsidRPr="002846E7">
              <w:rPr>
                <w:sz w:val="18"/>
                <w:szCs w:val="20"/>
              </w:rPr>
              <w:t>Observational study</w:t>
            </w:r>
          </w:p>
        </w:tc>
        <w:tc>
          <w:tcPr>
            <w:tcW w:w="1019" w:type="pct"/>
          </w:tcPr>
          <w:p w:rsidR="00881D15" w:rsidRDefault="00881D15" w:rsidP="001D3BDF">
            <w:pPr>
              <w:rPr>
                <w:sz w:val="18"/>
                <w:szCs w:val="20"/>
              </w:rPr>
            </w:pPr>
            <w:proofErr w:type="spellStart"/>
            <w:r>
              <w:rPr>
                <w:sz w:val="18"/>
                <w:szCs w:val="20"/>
              </w:rPr>
              <w:t>Bergethon</w:t>
            </w:r>
            <w:proofErr w:type="spellEnd"/>
            <w:r>
              <w:rPr>
                <w:sz w:val="18"/>
                <w:szCs w:val="20"/>
              </w:rPr>
              <w:t xml:space="preserve"> K. et al, 2012.</w:t>
            </w:r>
            <w:r w:rsidRPr="002846E7">
              <w:rPr>
                <w:sz w:val="18"/>
                <w:szCs w:val="20"/>
              </w:rPr>
              <w:t xml:space="preserve">  </w:t>
            </w:r>
          </w:p>
          <w:p w:rsidR="00881D15" w:rsidRPr="002846E7" w:rsidRDefault="00881D15" w:rsidP="001D3BDF">
            <w:pPr>
              <w:rPr>
                <w:sz w:val="18"/>
                <w:szCs w:val="20"/>
              </w:rPr>
            </w:pPr>
            <w:r w:rsidRPr="002846E7">
              <w:rPr>
                <w:sz w:val="18"/>
                <w:szCs w:val="20"/>
              </w:rPr>
              <w:t xml:space="preserve">ROS1 rearrangements define a unique molecular class of lung cancers. </w:t>
            </w:r>
          </w:p>
        </w:tc>
        <w:tc>
          <w:tcPr>
            <w:tcW w:w="1629" w:type="pct"/>
          </w:tcPr>
          <w:p w:rsidR="00881D15" w:rsidRPr="002846E7" w:rsidRDefault="00881D15" w:rsidP="001D3BDF">
            <w:pPr>
              <w:rPr>
                <w:sz w:val="18"/>
                <w:szCs w:val="20"/>
              </w:rPr>
            </w:pPr>
            <w:r>
              <w:rPr>
                <w:sz w:val="18"/>
                <w:szCs w:val="20"/>
              </w:rPr>
              <w:t>Screening of</w:t>
            </w:r>
            <w:r w:rsidRPr="002846E7">
              <w:rPr>
                <w:sz w:val="18"/>
                <w:szCs w:val="20"/>
              </w:rPr>
              <w:t xml:space="preserve"> </w:t>
            </w:r>
            <w:r>
              <w:rPr>
                <w:sz w:val="18"/>
                <w:szCs w:val="20"/>
              </w:rPr>
              <w:t xml:space="preserve">1,073 </w:t>
            </w:r>
            <w:r w:rsidRPr="002846E7">
              <w:rPr>
                <w:sz w:val="18"/>
                <w:szCs w:val="20"/>
              </w:rPr>
              <w:t xml:space="preserve">NSCLC tumour samples using </w:t>
            </w:r>
            <w:r>
              <w:rPr>
                <w:sz w:val="18"/>
                <w:szCs w:val="20"/>
              </w:rPr>
              <w:t xml:space="preserve">a ROS1 </w:t>
            </w:r>
            <w:r w:rsidRPr="002846E7">
              <w:rPr>
                <w:sz w:val="18"/>
                <w:szCs w:val="20"/>
              </w:rPr>
              <w:t xml:space="preserve">FISH </w:t>
            </w:r>
            <w:r>
              <w:rPr>
                <w:sz w:val="18"/>
                <w:szCs w:val="20"/>
              </w:rPr>
              <w:t>assay</w:t>
            </w:r>
            <w:r w:rsidRPr="002846E7">
              <w:rPr>
                <w:sz w:val="18"/>
                <w:szCs w:val="20"/>
              </w:rPr>
              <w:t xml:space="preserve"> and correlation of clinical characteristics and overall survival with ROS1 status</w:t>
            </w:r>
            <w:r w:rsidRPr="00CE7289">
              <w:rPr>
                <w:sz w:val="18"/>
                <w:szCs w:val="20"/>
              </w:rPr>
              <w:t xml:space="preserve">, and when available, </w:t>
            </w:r>
            <w:r w:rsidRPr="00CE7289">
              <w:rPr>
                <w:i/>
                <w:iCs/>
                <w:sz w:val="18"/>
                <w:szCs w:val="20"/>
              </w:rPr>
              <w:t>ALK</w:t>
            </w:r>
            <w:r w:rsidRPr="00CE7289">
              <w:rPr>
                <w:sz w:val="18"/>
                <w:szCs w:val="20"/>
              </w:rPr>
              <w:t xml:space="preserve"> rearrangement status.</w:t>
            </w:r>
            <w:r w:rsidRPr="002846E7">
              <w:rPr>
                <w:sz w:val="18"/>
                <w:szCs w:val="20"/>
              </w:rPr>
              <w:t xml:space="preserve"> </w:t>
            </w:r>
            <w:r w:rsidRPr="00CE7289">
              <w:rPr>
                <w:sz w:val="18"/>
                <w:szCs w:val="20"/>
              </w:rPr>
              <w:t xml:space="preserve">In vitro studies assessed the responsiveness of cells with ROS1 rearrangement to the tyrosine kinase inhibitor </w:t>
            </w:r>
            <w:proofErr w:type="spellStart"/>
            <w:r w:rsidRPr="00CE7289">
              <w:rPr>
                <w:sz w:val="18"/>
                <w:szCs w:val="20"/>
              </w:rPr>
              <w:t>crizotinib</w:t>
            </w:r>
            <w:proofErr w:type="spellEnd"/>
            <w:r w:rsidRPr="00CE7289">
              <w:rPr>
                <w:sz w:val="18"/>
                <w:szCs w:val="20"/>
              </w:rPr>
              <w:t>.</w:t>
            </w:r>
          </w:p>
        </w:tc>
        <w:tc>
          <w:tcPr>
            <w:tcW w:w="1100" w:type="pct"/>
          </w:tcPr>
          <w:p w:rsidR="00881D15" w:rsidRDefault="00881D15" w:rsidP="001D3BDF">
            <w:pPr>
              <w:rPr>
                <w:sz w:val="18"/>
                <w:szCs w:val="20"/>
              </w:rPr>
            </w:pPr>
            <w:r w:rsidRPr="002846E7">
              <w:rPr>
                <w:sz w:val="18"/>
                <w:szCs w:val="20"/>
              </w:rPr>
              <w:t xml:space="preserve">J </w:t>
            </w:r>
            <w:proofErr w:type="spellStart"/>
            <w:r w:rsidRPr="002846E7">
              <w:rPr>
                <w:sz w:val="18"/>
                <w:szCs w:val="20"/>
              </w:rPr>
              <w:t>Clin</w:t>
            </w:r>
            <w:proofErr w:type="spellEnd"/>
            <w:r w:rsidRPr="002846E7">
              <w:rPr>
                <w:sz w:val="18"/>
                <w:szCs w:val="20"/>
              </w:rPr>
              <w:t xml:space="preserve"> </w:t>
            </w:r>
            <w:proofErr w:type="spellStart"/>
            <w:r w:rsidRPr="002846E7">
              <w:rPr>
                <w:sz w:val="18"/>
                <w:szCs w:val="20"/>
              </w:rPr>
              <w:t>Oncol</w:t>
            </w:r>
            <w:proofErr w:type="spellEnd"/>
            <w:r w:rsidRPr="002846E7">
              <w:rPr>
                <w:sz w:val="18"/>
                <w:szCs w:val="20"/>
              </w:rPr>
              <w:t xml:space="preserve"> 2012</w:t>
            </w:r>
            <w:proofErr w:type="gramStart"/>
            <w:r w:rsidRPr="002846E7">
              <w:rPr>
                <w:sz w:val="18"/>
                <w:szCs w:val="20"/>
              </w:rPr>
              <w:t>;30</w:t>
            </w:r>
            <w:proofErr w:type="gramEnd"/>
            <w:r w:rsidRPr="002846E7">
              <w:rPr>
                <w:sz w:val="18"/>
                <w:szCs w:val="20"/>
              </w:rPr>
              <w:t>(8):863-70.</w:t>
            </w:r>
          </w:p>
          <w:p w:rsidR="00881D15" w:rsidRPr="00AF5F9F" w:rsidRDefault="008402C0" w:rsidP="001D3BDF">
            <w:pPr>
              <w:rPr>
                <w:rStyle w:val="Hyperlink"/>
                <w:sz w:val="18"/>
              </w:rPr>
            </w:pPr>
            <w:hyperlink r:id="rId20" w:history="1">
              <w:r w:rsidR="00F30219">
                <w:rPr>
                  <w:rStyle w:val="Hyperlink"/>
                  <w:sz w:val="18"/>
                  <w:szCs w:val="20"/>
                </w:rPr>
                <w:t>link</w:t>
              </w:r>
            </w:hyperlink>
            <w:r w:rsidR="00F30219">
              <w:rPr>
                <w:rStyle w:val="Hyperlink"/>
                <w:sz w:val="18"/>
                <w:szCs w:val="20"/>
              </w:rPr>
              <w:t xml:space="preserve"> to journal article</w:t>
            </w: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2012</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3.</w:t>
            </w:r>
          </w:p>
        </w:tc>
        <w:tc>
          <w:tcPr>
            <w:tcW w:w="522" w:type="pct"/>
          </w:tcPr>
          <w:p w:rsidR="00881D15" w:rsidRPr="002846E7" w:rsidRDefault="00881D15" w:rsidP="001D3BDF">
            <w:pPr>
              <w:rPr>
                <w:sz w:val="18"/>
                <w:szCs w:val="20"/>
              </w:rPr>
            </w:pPr>
            <w:r>
              <w:rPr>
                <w:sz w:val="18"/>
                <w:szCs w:val="20"/>
              </w:rPr>
              <w:t>Observational study</w:t>
            </w:r>
            <w:r w:rsidRPr="002846E7">
              <w:rPr>
                <w:sz w:val="18"/>
                <w:szCs w:val="20"/>
              </w:rPr>
              <w:t xml:space="preserve"> </w:t>
            </w:r>
          </w:p>
        </w:tc>
        <w:tc>
          <w:tcPr>
            <w:tcW w:w="1019" w:type="pct"/>
          </w:tcPr>
          <w:p w:rsidR="00881D15" w:rsidRDefault="00881D15" w:rsidP="001D3BDF">
            <w:pPr>
              <w:pStyle w:val="Paragraph"/>
              <w:rPr>
                <w:rFonts w:asciiTheme="minorHAnsi" w:eastAsiaTheme="minorHAnsi" w:hAnsiTheme="minorHAnsi" w:cstheme="minorBidi"/>
                <w:sz w:val="18"/>
                <w:szCs w:val="20"/>
                <w:lang w:val="en-AU"/>
              </w:rPr>
            </w:pPr>
            <w:r>
              <w:rPr>
                <w:rFonts w:asciiTheme="minorHAnsi" w:eastAsiaTheme="minorHAnsi" w:hAnsiTheme="minorHAnsi" w:cstheme="minorBidi"/>
                <w:sz w:val="18"/>
                <w:szCs w:val="20"/>
                <w:lang w:val="en-AU"/>
              </w:rPr>
              <w:t>Yoshida A. et al, 2013.</w:t>
            </w:r>
            <w:r w:rsidRPr="002846E7">
              <w:rPr>
                <w:rFonts w:asciiTheme="minorHAnsi" w:eastAsiaTheme="minorHAnsi" w:hAnsiTheme="minorHAnsi" w:cstheme="minorBidi"/>
                <w:sz w:val="18"/>
                <w:szCs w:val="20"/>
                <w:lang w:val="en-AU"/>
              </w:rPr>
              <w:t xml:space="preserve"> </w:t>
            </w:r>
          </w:p>
          <w:p w:rsidR="00881D15" w:rsidRPr="002846E7" w:rsidRDefault="00881D15" w:rsidP="001D3BDF">
            <w:pPr>
              <w:pStyle w:val="Paragraph"/>
              <w:rPr>
                <w:rFonts w:asciiTheme="minorHAnsi" w:eastAsiaTheme="minorHAnsi" w:hAnsiTheme="minorHAnsi" w:cstheme="minorBidi"/>
                <w:sz w:val="18"/>
                <w:szCs w:val="20"/>
                <w:lang w:val="en-AU"/>
              </w:rPr>
            </w:pPr>
            <w:r w:rsidRPr="002846E7">
              <w:rPr>
                <w:rFonts w:asciiTheme="minorHAnsi" w:eastAsiaTheme="minorHAnsi" w:hAnsiTheme="minorHAnsi" w:cstheme="minorBidi"/>
                <w:sz w:val="18"/>
                <w:szCs w:val="20"/>
                <w:lang w:val="en-AU"/>
              </w:rPr>
              <w:t xml:space="preserve">ROS1-rearranged lung cancer: a </w:t>
            </w:r>
            <w:proofErr w:type="spellStart"/>
            <w:r w:rsidRPr="002846E7">
              <w:rPr>
                <w:rFonts w:asciiTheme="minorHAnsi" w:eastAsiaTheme="minorHAnsi" w:hAnsiTheme="minorHAnsi" w:cstheme="minorBidi"/>
                <w:sz w:val="18"/>
                <w:szCs w:val="20"/>
                <w:lang w:val="en-AU"/>
              </w:rPr>
              <w:t>clinicopathologic</w:t>
            </w:r>
            <w:proofErr w:type="spellEnd"/>
            <w:r w:rsidRPr="002846E7">
              <w:rPr>
                <w:rFonts w:asciiTheme="minorHAnsi" w:eastAsiaTheme="minorHAnsi" w:hAnsiTheme="minorHAnsi" w:cstheme="minorBidi"/>
                <w:sz w:val="18"/>
                <w:szCs w:val="20"/>
                <w:lang w:val="en-AU"/>
              </w:rPr>
              <w:t xml:space="preserve"> and molecular study of 15 surgical cases.</w:t>
            </w:r>
          </w:p>
        </w:tc>
        <w:tc>
          <w:tcPr>
            <w:tcW w:w="1629" w:type="pct"/>
          </w:tcPr>
          <w:p w:rsidR="00881D15" w:rsidRPr="002846E7" w:rsidRDefault="00881D15" w:rsidP="001D3BDF">
            <w:pPr>
              <w:rPr>
                <w:sz w:val="18"/>
                <w:szCs w:val="20"/>
              </w:rPr>
            </w:pPr>
            <w:r w:rsidRPr="002846E7">
              <w:rPr>
                <w:sz w:val="18"/>
                <w:szCs w:val="20"/>
              </w:rPr>
              <w:t xml:space="preserve">Study of 799 surgically resected NSCLCs by RT-PCR and FISH. </w:t>
            </w:r>
            <w:r>
              <w:rPr>
                <w:sz w:val="18"/>
                <w:szCs w:val="20"/>
              </w:rPr>
              <w:t>Fifteen</w:t>
            </w:r>
            <w:r w:rsidRPr="009B45AA">
              <w:rPr>
                <w:sz w:val="18"/>
                <w:szCs w:val="20"/>
              </w:rPr>
              <w:t xml:space="preserve"> tumo</w:t>
            </w:r>
            <w:r>
              <w:rPr>
                <w:sz w:val="18"/>
                <w:szCs w:val="20"/>
              </w:rPr>
              <w:t>u</w:t>
            </w:r>
            <w:r w:rsidRPr="009B45AA">
              <w:rPr>
                <w:sz w:val="18"/>
                <w:szCs w:val="20"/>
              </w:rPr>
              <w:t>rs harbo</w:t>
            </w:r>
            <w:r>
              <w:rPr>
                <w:sz w:val="18"/>
                <w:szCs w:val="20"/>
              </w:rPr>
              <w:t>u</w:t>
            </w:r>
            <w:r w:rsidRPr="009B45AA">
              <w:rPr>
                <w:sz w:val="18"/>
                <w:szCs w:val="20"/>
              </w:rPr>
              <w:t xml:space="preserve">ring ROS1 fusion transcripts (1.9% of </w:t>
            </w:r>
            <w:r>
              <w:rPr>
                <w:sz w:val="18"/>
                <w:szCs w:val="20"/>
              </w:rPr>
              <w:t>tumours</w:t>
            </w:r>
            <w:r w:rsidRPr="009B45AA">
              <w:rPr>
                <w:sz w:val="18"/>
                <w:szCs w:val="20"/>
              </w:rPr>
              <w:t xml:space="preserve"> tested, 2.5% of adenocarcinomas)</w:t>
            </w:r>
            <w:r>
              <w:rPr>
                <w:sz w:val="18"/>
                <w:szCs w:val="20"/>
              </w:rPr>
              <w:t xml:space="preserve"> were identified</w:t>
            </w:r>
            <w:r w:rsidRPr="002846E7">
              <w:rPr>
                <w:sz w:val="18"/>
                <w:szCs w:val="20"/>
              </w:rPr>
              <w:t xml:space="preserve">. </w:t>
            </w:r>
            <w:r>
              <w:rPr>
                <w:sz w:val="18"/>
                <w:szCs w:val="20"/>
              </w:rPr>
              <w:t>Affected patients were often younger non-smoking female individuals and they had overall survival rates similar to those of the ROS1-negative cancer patients.</w:t>
            </w:r>
          </w:p>
        </w:tc>
        <w:tc>
          <w:tcPr>
            <w:tcW w:w="1100" w:type="pct"/>
          </w:tcPr>
          <w:p w:rsidR="00881D15" w:rsidRDefault="00881D15" w:rsidP="001D3BDF">
            <w:pPr>
              <w:rPr>
                <w:sz w:val="18"/>
                <w:szCs w:val="20"/>
              </w:rPr>
            </w:pPr>
            <w:r w:rsidRPr="002846E7">
              <w:rPr>
                <w:sz w:val="18"/>
                <w:szCs w:val="20"/>
              </w:rPr>
              <w:t xml:space="preserve">Am J </w:t>
            </w:r>
            <w:proofErr w:type="spellStart"/>
            <w:r w:rsidRPr="002846E7">
              <w:rPr>
                <w:sz w:val="18"/>
                <w:szCs w:val="20"/>
              </w:rPr>
              <w:t>Surg</w:t>
            </w:r>
            <w:proofErr w:type="spellEnd"/>
            <w:r w:rsidRPr="002846E7">
              <w:rPr>
                <w:sz w:val="18"/>
                <w:szCs w:val="20"/>
              </w:rPr>
              <w:t xml:space="preserve"> </w:t>
            </w:r>
            <w:proofErr w:type="spellStart"/>
            <w:r w:rsidRPr="002846E7">
              <w:rPr>
                <w:sz w:val="18"/>
                <w:szCs w:val="20"/>
              </w:rPr>
              <w:t>Pathol</w:t>
            </w:r>
            <w:proofErr w:type="spellEnd"/>
            <w:r w:rsidRPr="002846E7">
              <w:rPr>
                <w:sz w:val="18"/>
                <w:szCs w:val="20"/>
              </w:rPr>
              <w:t xml:space="preserve"> 2013</w:t>
            </w:r>
            <w:proofErr w:type="gramStart"/>
            <w:r w:rsidRPr="002846E7">
              <w:rPr>
                <w:sz w:val="18"/>
                <w:szCs w:val="20"/>
              </w:rPr>
              <w:t>;37</w:t>
            </w:r>
            <w:proofErr w:type="gramEnd"/>
            <w:r w:rsidRPr="002846E7">
              <w:rPr>
                <w:sz w:val="18"/>
                <w:szCs w:val="20"/>
              </w:rPr>
              <w:t>(4):554-62.</w:t>
            </w:r>
          </w:p>
          <w:p w:rsidR="00881D15" w:rsidRPr="00AF5F9F" w:rsidRDefault="008402C0" w:rsidP="001D3BDF">
            <w:pPr>
              <w:rPr>
                <w:rStyle w:val="Hyperlink"/>
                <w:sz w:val="18"/>
                <w:szCs w:val="20"/>
              </w:rPr>
            </w:pPr>
            <w:hyperlink r:id="rId21" w:history="1">
              <w:r w:rsidR="00F30219">
                <w:rPr>
                  <w:rStyle w:val="Hyperlink"/>
                  <w:sz w:val="18"/>
                  <w:szCs w:val="20"/>
                </w:rPr>
                <w:t>link</w:t>
              </w:r>
            </w:hyperlink>
            <w:r w:rsidR="00F30219">
              <w:rPr>
                <w:rStyle w:val="Hyperlink"/>
                <w:sz w:val="18"/>
                <w:szCs w:val="20"/>
              </w:rPr>
              <w:t xml:space="preserve"> to journal article</w:t>
            </w:r>
          </w:p>
          <w:p w:rsidR="00881D15" w:rsidRDefault="00881D15" w:rsidP="001D3BDF">
            <w:pPr>
              <w:rPr>
                <w:sz w:val="18"/>
                <w:szCs w:val="20"/>
              </w:rPr>
            </w:pPr>
          </w:p>
          <w:p w:rsidR="00881D15" w:rsidRPr="00AF5F9F" w:rsidRDefault="00881D15" w:rsidP="001D3BDF">
            <w:pPr>
              <w:rPr>
                <w:sz w:val="18"/>
                <w:szCs w:val="20"/>
              </w:rPr>
            </w:pP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2013</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lastRenderedPageBreak/>
              <w:t>4.</w:t>
            </w:r>
          </w:p>
        </w:tc>
        <w:tc>
          <w:tcPr>
            <w:tcW w:w="522" w:type="pct"/>
          </w:tcPr>
          <w:p w:rsidR="00881D15" w:rsidRPr="002846E7" w:rsidRDefault="00881D15" w:rsidP="001D3BDF">
            <w:pPr>
              <w:rPr>
                <w:sz w:val="18"/>
                <w:szCs w:val="20"/>
              </w:rPr>
            </w:pPr>
            <w:r w:rsidRPr="002846E7">
              <w:rPr>
                <w:sz w:val="18"/>
                <w:szCs w:val="20"/>
              </w:rPr>
              <w:t>Observational study</w:t>
            </w:r>
          </w:p>
        </w:tc>
        <w:tc>
          <w:tcPr>
            <w:tcW w:w="1019" w:type="pct"/>
          </w:tcPr>
          <w:p w:rsidR="00881D15" w:rsidRDefault="00881D15" w:rsidP="001D3BDF">
            <w:pPr>
              <w:rPr>
                <w:sz w:val="18"/>
                <w:szCs w:val="20"/>
              </w:rPr>
            </w:pPr>
            <w:proofErr w:type="spellStart"/>
            <w:r>
              <w:rPr>
                <w:sz w:val="18"/>
                <w:szCs w:val="20"/>
              </w:rPr>
              <w:t>Cai</w:t>
            </w:r>
            <w:proofErr w:type="spellEnd"/>
            <w:r>
              <w:rPr>
                <w:sz w:val="18"/>
                <w:szCs w:val="20"/>
              </w:rPr>
              <w:t xml:space="preserve"> et al, 2013.</w:t>
            </w:r>
          </w:p>
          <w:p w:rsidR="00881D15" w:rsidRPr="002846E7" w:rsidRDefault="00881D15" w:rsidP="001D3BDF">
            <w:pPr>
              <w:rPr>
                <w:sz w:val="18"/>
                <w:szCs w:val="20"/>
              </w:rPr>
            </w:pPr>
            <w:r w:rsidRPr="002846E7">
              <w:rPr>
                <w:sz w:val="18"/>
                <w:szCs w:val="20"/>
              </w:rPr>
              <w:t>ROS1 fusions in Chinese patients with non-small-cell lung cancer.</w:t>
            </w:r>
          </w:p>
        </w:tc>
        <w:tc>
          <w:tcPr>
            <w:tcW w:w="1629" w:type="pct"/>
          </w:tcPr>
          <w:p w:rsidR="00881D15" w:rsidRPr="002846E7" w:rsidRDefault="00881D15" w:rsidP="001D3BDF">
            <w:pPr>
              <w:rPr>
                <w:sz w:val="18"/>
                <w:szCs w:val="20"/>
              </w:rPr>
            </w:pPr>
            <w:r>
              <w:rPr>
                <w:sz w:val="18"/>
                <w:szCs w:val="20"/>
              </w:rPr>
              <w:t>Evaluation of the</w:t>
            </w:r>
            <w:r w:rsidRPr="004049F2">
              <w:rPr>
                <w:sz w:val="18"/>
                <w:szCs w:val="20"/>
              </w:rPr>
              <w:t xml:space="preserve"> prevalence and </w:t>
            </w:r>
            <w:proofErr w:type="spellStart"/>
            <w:r w:rsidRPr="004049F2">
              <w:rPr>
                <w:sz w:val="18"/>
                <w:szCs w:val="20"/>
              </w:rPr>
              <w:t>clinicopathological</w:t>
            </w:r>
            <w:proofErr w:type="spellEnd"/>
            <w:r w:rsidRPr="004049F2">
              <w:rPr>
                <w:sz w:val="18"/>
                <w:szCs w:val="20"/>
              </w:rPr>
              <w:t xml:space="preserve"> features of </w:t>
            </w:r>
            <w:r w:rsidRPr="004049F2">
              <w:rPr>
                <w:i/>
                <w:iCs/>
                <w:sz w:val="18"/>
                <w:szCs w:val="20"/>
              </w:rPr>
              <w:t>ROS1</w:t>
            </w:r>
            <w:r w:rsidRPr="004049F2">
              <w:rPr>
                <w:sz w:val="18"/>
                <w:szCs w:val="20"/>
              </w:rPr>
              <w:t xml:space="preserve"> fusions </w:t>
            </w:r>
            <w:r>
              <w:rPr>
                <w:sz w:val="18"/>
                <w:szCs w:val="20"/>
              </w:rPr>
              <w:t xml:space="preserve">in patients with NSCLC. Screening was conducted on 392 samples </w:t>
            </w:r>
            <w:r w:rsidRPr="002846E7">
              <w:rPr>
                <w:sz w:val="18"/>
                <w:szCs w:val="20"/>
              </w:rPr>
              <w:t xml:space="preserve">using RT-PCR </w:t>
            </w:r>
            <w:r>
              <w:rPr>
                <w:sz w:val="18"/>
                <w:szCs w:val="20"/>
              </w:rPr>
              <w:t>and validated</w:t>
            </w:r>
            <w:r w:rsidRPr="001D6337">
              <w:rPr>
                <w:sz w:val="18"/>
                <w:szCs w:val="20"/>
              </w:rPr>
              <w:t xml:space="preserve"> by direct sequencing.</w:t>
            </w:r>
            <w:r w:rsidRPr="002846E7">
              <w:rPr>
                <w:sz w:val="18"/>
                <w:szCs w:val="20"/>
              </w:rPr>
              <w:t xml:space="preserve"> </w:t>
            </w:r>
            <w:r w:rsidRPr="004049F2">
              <w:rPr>
                <w:i/>
                <w:iCs/>
                <w:sz w:val="18"/>
                <w:szCs w:val="20"/>
              </w:rPr>
              <w:t>ROS1</w:t>
            </w:r>
            <w:r>
              <w:rPr>
                <w:sz w:val="18"/>
                <w:szCs w:val="20"/>
              </w:rPr>
              <w:t xml:space="preserve"> fusions occurred in 8 (</w:t>
            </w:r>
            <w:r w:rsidRPr="004049F2">
              <w:rPr>
                <w:sz w:val="18"/>
                <w:szCs w:val="20"/>
              </w:rPr>
              <w:t>2.0%</w:t>
            </w:r>
            <w:r>
              <w:rPr>
                <w:sz w:val="18"/>
                <w:szCs w:val="20"/>
              </w:rPr>
              <w:t xml:space="preserve">) patients </w:t>
            </w:r>
            <w:r w:rsidRPr="004049F2">
              <w:rPr>
                <w:sz w:val="18"/>
                <w:szCs w:val="20"/>
              </w:rPr>
              <w:t xml:space="preserve">and had no specific </w:t>
            </w:r>
            <w:proofErr w:type="spellStart"/>
            <w:r w:rsidRPr="004049F2">
              <w:rPr>
                <w:sz w:val="18"/>
                <w:szCs w:val="20"/>
              </w:rPr>
              <w:t>clinicopathological</w:t>
            </w:r>
            <w:proofErr w:type="spellEnd"/>
            <w:r w:rsidRPr="004049F2">
              <w:rPr>
                <w:sz w:val="18"/>
                <w:szCs w:val="20"/>
              </w:rPr>
              <w:t xml:space="preserve"> feature. </w:t>
            </w:r>
            <w:r>
              <w:rPr>
                <w:sz w:val="18"/>
                <w:szCs w:val="20"/>
              </w:rPr>
              <w:t xml:space="preserve">ROS1-negative patients may have better survival than ROS1-positive patients. </w:t>
            </w:r>
          </w:p>
        </w:tc>
        <w:tc>
          <w:tcPr>
            <w:tcW w:w="1100" w:type="pct"/>
          </w:tcPr>
          <w:p w:rsidR="00881D15" w:rsidRDefault="00881D15" w:rsidP="001D3BDF">
            <w:pPr>
              <w:rPr>
                <w:sz w:val="18"/>
                <w:szCs w:val="20"/>
              </w:rPr>
            </w:pPr>
            <w:r w:rsidRPr="002846E7">
              <w:rPr>
                <w:sz w:val="18"/>
                <w:szCs w:val="20"/>
              </w:rPr>
              <w:t xml:space="preserve">Ann </w:t>
            </w:r>
            <w:proofErr w:type="spellStart"/>
            <w:r w:rsidRPr="002846E7">
              <w:rPr>
                <w:sz w:val="18"/>
                <w:szCs w:val="20"/>
              </w:rPr>
              <w:t>Oncol</w:t>
            </w:r>
            <w:proofErr w:type="spellEnd"/>
            <w:r w:rsidRPr="002846E7">
              <w:rPr>
                <w:sz w:val="18"/>
                <w:szCs w:val="20"/>
              </w:rPr>
              <w:t xml:space="preserve"> 2013; 24(7):1822-7.</w:t>
            </w:r>
          </w:p>
          <w:p w:rsidR="00881D15" w:rsidRPr="00D31EA7" w:rsidRDefault="008402C0" w:rsidP="001D3BDF">
            <w:pPr>
              <w:rPr>
                <w:rStyle w:val="Hyperlink"/>
                <w:sz w:val="18"/>
              </w:rPr>
            </w:pPr>
            <w:hyperlink r:id="rId22" w:history="1">
              <w:r w:rsidR="00F30219">
                <w:rPr>
                  <w:rStyle w:val="Hyperlink"/>
                  <w:sz w:val="18"/>
                  <w:szCs w:val="20"/>
                </w:rPr>
                <w:t>link</w:t>
              </w:r>
            </w:hyperlink>
            <w:r w:rsidR="00F30219">
              <w:rPr>
                <w:rStyle w:val="Hyperlink"/>
                <w:sz w:val="18"/>
                <w:szCs w:val="20"/>
              </w:rPr>
              <w:t xml:space="preserve"> to journal article</w:t>
            </w: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2013</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5.</w:t>
            </w:r>
          </w:p>
        </w:tc>
        <w:tc>
          <w:tcPr>
            <w:tcW w:w="522" w:type="pct"/>
          </w:tcPr>
          <w:p w:rsidR="00881D15" w:rsidRPr="002846E7" w:rsidRDefault="00881D15" w:rsidP="001D3BDF">
            <w:pPr>
              <w:rPr>
                <w:sz w:val="18"/>
                <w:szCs w:val="20"/>
              </w:rPr>
            </w:pPr>
            <w:r w:rsidRPr="002846E7">
              <w:rPr>
                <w:sz w:val="18"/>
                <w:szCs w:val="20"/>
              </w:rPr>
              <w:t>Observational study</w:t>
            </w:r>
          </w:p>
        </w:tc>
        <w:tc>
          <w:tcPr>
            <w:tcW w:w="1019" w:type="pct"/>
          </w:tcPr>
          <w:p w:rsidR="00881D15" w:rsidRDefault="00881D15" w:rsidP="001D3BDF">
            <w:pPr>
              <w:rPr>
                <w:sz w:val="18"/>
                <w:szCs w:val="20"/>
              </w:rPr>
            </w:pPr>
            <w:r>
              <w:rPr>
                <w:sz w:val="18"/>
                <w:szCs w:val="20"/>
              </w:rPr>
              <w:t>Lee et al, 2013.</w:t>
            </w:r>
          </w:p>
          <w:p w:rsidR="00881D15" w:rsidRPr="002846E7" w:rsidRDefault="00881D15" w:rsidP="001D3BDF">
            <w:pPr>
              <w:rPr>
                <w:sz w:val="18"/>
                <w:szCs w:val="20"/>
              </w:rPr>
            </w:pPr>
            <w:r w:rsidRPr="002846E7">
              <w:rPr>
                <w:sz w:val="18"/>
                <w:szCs w:val="20"/>
              </w:rPr>
              <w:t xml:space="preserve">ROS1 Receptor Tyrosine Kinase, a </w:t>
            </w:r>
            <w:proofErr w:type="spellStart"/>
            <w:r w:rsidRPr="002846E7">
              <w:rPr>
                <w:sz w:val="18"/>
                <w:szCs w:val="20"/>
              </w:rPr>
              <w:t>Druggable</w:t>
            </w:r>
            <w:proofErr w:type="spellEnd"/>
            <w:r w:rsidRPr="002846E7">
              <w:rPr>
                <w:sz w:val="18"/>
                <w:szCs w:val="20"/>
              </w:rPr>
              <w:t xml:space="preserve"> Target, is Frequently Overexpressed in Non-Small Cell Lung Carcinomas Via Genetic and Epigenetic Mechanisms.</w:t>
            </w:r>
          </w:p>
        </w:tc>
        <w:tc>
          <w:tcPr>
            <w:tcW w:w="1629" w:type="pct"/>
          </w:tcPr>
          <w:p w:rsidR="00881D15" w:rsidRPr="002846E7" w:rsidRDefault="00881D15" w:rsidP="001D3BDF">
            <w:pPr>
              <w:rPr>
                <w:sz w:val="18"/>
                <w:szCs w:val="20"/>
              </w:rPr>
            </w:pPr>
            <w:r w:rsidRPr="002846E7">
              <w:rPr>
                <w:sz w:val="18"/>
                <w:szCs w:val="20"/>
              </w:rPr>
              <w:t>IHC evaluation of expression of ROS1 kinase and its downstream molecules in 399 NSCLC cases</w:t>
            </w:r>
            <w:r>
              <w:rPr>
                <w:sz w:val="18"/>
                <w:szCs w:val="20"/>
              </w:rPr>
              <w:t>,</w:t>
            </w:r>
            <w:r w:rsidRPr="002846E7">
              <w:rPr>
                <w:sz w:val="18"/>
                <w:szCs w:val="20"/>
              </w:rPr>
              <w:t xml:space="preserve"> plus 92 recurrent cases. Overall expression rate </w:t>
            </w:r>
            <w:r>
              <w:rPr>
                <w:sz w:val="18"/>
                <w:szCs w:val="20"/>
              </w:rPr>
              <w:t xml:space="preserve">of ROS1 </w:t>
            </w:r>
            <w:r w:rsidRPr="002846E7">
              <w:rPr>
                <w:sz w:val="18"/>
                <w:szCs w:val="20"/>
              </w:rPr>
              <w:t>was 22%</w:t>
            </w:r>
            <w:r>
              <w:rPr>
                <w:sz w:val="18"/>
                <w:szCs w:val="20"/>
              </w:rPr>
              <w:t xml:space="preserve"> in NSCLC</w:t>
            </w:r>
            <w:r w:rsidRPr="002846E7">
              <w:rPr>
                <w:sz w:val="18"/>
                <w:szCs w:val="20"/>
              </w:rPr>
              <w:t xml:space="preserve">. </w:t>
            </w:r>
            <w:r>
              <w:rPr>
                <w:sz w:val="18"/>
                <w:szCs w:val="20"/>
              </w:rPr>
              <w:t>ROS1 expression was a worse</w:t>
            </w:r>
            <w:r w:rsidRPr="006C4D12">
              <w:rPr>
                <w:sz w:val="18"/>
                <w:szCs w:val="20"/>
              </w:rPr>
              <w:t xml:space="preserve"> prognostic factor for overall survival in a</w:t>
            </w:r>
            <w:r>
              <w:rPr>
                <w:sz w:val="18"/>
                <w:szCs w:val="20"/>
              </w:rPr>
              <w:t>denocarcinomas of stage I NSCLC.</w:t>
            </w:r>
            <w:r>
              <w:rPr>
                <w:rFonts w:ascii="Georgia" w:hAnsi="Georgia" w:cs="Arial"/>
                <w:color w:val="333333"/>
                <w:lang w:val="en-GB"/>
              </w:rPr>
              <w:t xml:space="preserve"> </w:t>
            </w:r>
            <w:r w:rsidRPr="002846E7">
              <w:rPr>
                <w:sz w:val="18"/>
                <w:szCs w:val="20"/>
              </w:rPr>
              <w:t xml:space="preserve"> </w:t>
            </w:r>
          </w:p>
        </w:tc>
        <w:tc>
          <w:tcPr>
            <w:tcW w:w="1100" w:type="pct"/>
          </w:tcPr>
          <w:p w:rsidR="00881D15" w:rsidRPr="002846E7" w:rsidRDefault="00881D15" w:rsidP="001D3BDF">
            <w:pPr>
              <w:rPr>
                <w:sz w:val="18"/>
                <w:szCs w:val="20"/>
              </w:rPr>
            </w:pPr>
            <w:r w:rsidRPr="002846E7">
              <w:rPr>
                <w:sz w:val="18"/>
                <w:szCs w:val="20"/>
              </w:rPr>
              <w:t xml:space="preserve">Ann </w:t>
            </w:r>
            <w:proofErr w:type="spellStart"/>
            <w:r w:rsidRPr="002846E7">
              <w:rPr>
                <w:sz w:val="18"/>
                <w:szCs w:val="20"/>
              </w:rPr>
              <w:t>Surg</w:t>
            </w:r>
            <w:proofErr w:type="spellEnd"/>
            <w:r w:rsidRPr="002846E7">
              <w:rPr>
                <w:sz w:val="18"/>
                <w:szCs w:val="20"/>
              </w:rPr>
              <w:t xml:space="preserve"> </w:t>
            </w:r>
            <w:proofErr w:type="spellStart"/>
            <w:r w:rsidRPr="002846E7">
              <w:rPr>
                <w:sz w:val="18"/>
                <w:szCs w:val="20"/>
              </w:rPr>
              <w:t>Oncol</w:t>
            </w:r>
            <w:proofErr w:type="spellEnd"/>
            <w:r w:rsidRPr="002846E7">
              <w:rPr>
                <w:sz w:val="18"/>
                <w:szCs w:val="20"/>
              </w:rPr>
              <w:t xml:space="preserve"> (2013) 20:200-208.</w:t>
            </w:r>
          </w:p>
          <w:p w:rsidR="00881D15" w:rsidRDefault="008402C0" w:rsidP="001D3BDF">
            <w:pPr>
              <w:rPr>
                <w:sz w:val="18"/>
                <w:szCs w:val="20"/>
              </w:rPr>
            </w:pPr>
            <w:hyperlink r:id="rId23" w:history="1">
              <w:r w:rsidR="00F30219">
                <w:rPr>
                  <w:rStyle w:val="Hyperlink"/>
                  <w:sz w:val="18"/>
                  <w:szCs w:val="20"/>
                </w:rPr>
                <w:t>link</w:t>
              </w:r>
            </w:hyperlink>
            <w:r w:rsidR="00F30219">
              <w:rPr>
                <w:rStyle w:val="Hyperlink"/>
                <w:sz w:val="18"/>
                <w:szCs w:val="20"/>
              </w:rPr>
              <w:t xml:space="preserve"> to journal article</w:t>
            </w: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2013</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6.</w:t>
            </w:r>
          </w:p>
        </w:tc>
        <w:tc>
          <w:tcPr>
            <w:tcW w:w="522" w:type="pct"/>
          </w:tcPr>
          <w:p w:rsidR="00881D15" w:rsidRPr="002846E7" w:rsidRDefault="00881D15" w:rsidP="001D3BDF">
            <w:pPr>
              <w:rPr>
                <w:sz w:val="18"/>
                <w:szCs w:val="20"/>
              </w:rPr>
            </w:pPr>
            <w:r w:rsidRPr="002846E7">
              <w:rPr>
                <w:sz w:val="18"/>
                <w:szCs w:val="20"/>
              </w:rPr>
              <w:t>Retrospective analysis</w:t>
            </w:r>
          </w:p>
        </w:tc>
        <w:tc>
          <w:tcPr>
            <w:tcW w:w="1019" w:type="pct"/>
          </w:tcPr>
          <w:p w:rsidR="00881D15" w:rsidRDefault="00881D15" w:rsidP="001D3BDF">
            <w:pPr>
              <w:rPr>
                <w:sz w:val="18"/>
                <w:szCs w:val="20"/>
              </w:rPr>
            </w:pPr>
            <w:r w:rsidRPr="002846E7">
              <w:rPr>
                <w:sz w:val="18"/>
                <w:szCs w:val="20"/>
              </w:rPr>
              <w:t xml:space="preserve">Fu </w:t>
            </w:r>
            <w:r>
              <w:rPr>
                <w:sz w:val="18"/>
                <w:szCs w:val="20"/>
              </w:rPr>
              <w:t>et al, 2015.</w:t>
            </w:r>
            <w:r w:rsidRPr="002846E7">
              <w:rPr>
                <w:sz w:val="18"/>
                <w:szCs w:val="20"/>
              </w:rPr>
              <w:t xml:space="preserve"> </w:t>
            </w:r>
          </w:p>
          <w:p w:rsidR="00881D15" w:rsidRPr="002846E7" w:rsidRDefault="00881D15" w:rsidP="001D3BDF">
            <w:pPr>
              <w:rPr>
                <w:sz w:val="18"/>
                <w:szCs w:val="20"/>
              </w:rPr>
            </w:pPr>
            <w:r w:rsidRPr="002846E7">
              <w:rPr>
                <w:sz w:val="18"/>
                <w:szCs w:val="20"/>
              </w:rPr>
              <w:t xml:space="preserve">The frequency and clinical implication of ROS1 and RET rearrangements in resected stage IIIA-N2 non-small cell lung cancer patients. </w:t>
            </w:r>
          </w:p>
        </w:tc>
        <w:tc>
          <w:tcPr>
            <w:tcW w:w="1629" w:type="pct"/>
          </w:tcPr>
          <w:p w:rsidR="00881D15" w:rsidRPr="002846E7" w:rsidRDefault="00881D15" w:rsidP="001D3BDF">
            <w:pPr>
              <w:rPr>
                <w:sz w:val="18"/>
                <w:szCs w:val="20"/>
              </w:rPr>
            </w:pPr>
            <w:r w:rsidRPr="002846E7">
              <w:rPr>
                <w:sz w:val="18"/>
                <w:szCs w:val="20"/>
              </w:rPr>
              <w:t xml:space="preserve">Retrospective screening </w:t>
            </w:r>
            <w:r>
              <w:rPr>
                <w:sz w:val="18"/>
                <w:szCs w:val="20"/>
              </w:rPr>
              <w:t xml:space="preserve">of a tissue microarray </w:t>
            </w:r>
            <w:r w:rsidRPr="002846E7">
              <w:rPr>
                <w:sz w:val="18"/>
                <w:szCs w:val="20"/>
              </w:rPr>
              <w:t xml:space="preserve">panel by FISH and confirmed by direct sequencing and IHC. </w:t>
            </w:r>
            <w:r>
              <w:rPr>
                <w:sz w:val="18"/>
                <w:szCs w:val="20"/>
              </w:rPr>
              <w:t xml:space="preserve">The relationship between ROS1 or RET rearrangements, </w:t>
            </w:r>
            <w:proofErr w:type="spellStart"/>
            <w:r>
              <w:rPr>
                <w:sz w:val="18"/>
                <w:szCs w:val="20"/>
              </w:rPr>
              <w:t>clinicopathologic</w:t>
            </w:r>
            <w:proofErr w:type="spellEnd"/>
            <w:r>
              <w:rPr>
                <w:sz w:val="18"/>
                <w:szCs w:val="20"/>
              </w:rPr>
              <w:t xml:space="preserve"> features and prognostic factors were analysed. </w:t>
            </w:r>
            <w:r w:rsidRPr="002846E7">
              <w:rPr>
                <w:sz w:val="18"/>
                <w:szCs w:val="20"/>
              </w:rPr>
              <w:t xml:space="preserve">Of 204 cases, 4 were confirmed with ROS1 rearrangement. There was no significant association between ROS1 rearrangement and </w:t>
            </w:r>
            <w:proofErr w:type="spellStart"/>
            <w:r w:rsidRPr="002846E7">
              <w:rPr>
                <w:sz w:val="18"/>
                <w:szCs w:val="20"/>
              </w:rPr>
              <w:t>clinicopathological</w:t>
            </w:r>
            <w:proofErr w:type="spellEnd"/>
            <w:r w:rsidRPr="002846E7">
              <w:rPr>
                <w:sz w:val="18"/>
                <w:szCs w:val="20"/>
              </w:rPr>
              <w:t xml:space="preserve"> characteristics. </w:t>
            </w:r>
          </w:p>
        </w:tc>
        <w:tc>
          <w:tcPr>
            <w:tcW w:w="1100" w:type="pct"/>
          </w:tcPr>
          <w:p w:rsidR="00881D15" w:rsidRPr="002846E7" w:rsidRDefault="00881D15" w:rsidP="001D3BDF">
            <w:pPr>
              <w:rPr>
                <w:sz w:val="18"/>
                <w:szCs w:val="20"/>
              </w:rPr>
            </w:pPr>
            <w:proofErr w:type="spellStart"/>
            <w:r w:rsidRPr="002846E7">
              <w:rPr>
                <w:sz w:val="18"/>
                <w:szCs w:val="20"/>
              </w:rPr>
              <w:t>PloS</w:t>
            </w:r>
            <w:proofErr w:type="spellEnd"/>
            <w:r w:rsidRPr="002846E7">
              <w:rPr>
                <w:sz w:val="18"/>
                <w:szCs w:val="20"/>
              </w:rPr>
              <w:t xml:space="preserve"> ONE 10(4):e0124354. </w:t>
            </w:r>
          </w:p>
          <w:p w:rsidR="00881D15" w:rsidRDefault="008402C0" w:rsidP="001D3BDF">
            <w:pPr>
              <w:rPr>
                <w:sz w:val="18"/>
                <w:szCs w:val="20"/>
              </w:rPr>
            </w:pPr>
            <w:hyperlink r:id="rId24" w:history="1">
              <w:r w:rsidR="00F30219">
                <w:rPr>
                  <w:rStyle w:val="Hyperlink"/>
                  <w:sz w:val="18"/>
                  <w:szCs w:val="20"/>
                </w:rPr>
                <w:t>link</w:t>
              </w:r>
            </w:hyperlink>
            <w:r w:rsidR="00F30219">
              <w:rPr>
                <w:rStyle w:val="Hyperlink"/>
                <w:sz w:val="18"/>
                <w:szCs w:val="20"/>
              </w:rPr>
              <w:t xml:space="preserve"> to journal article</w:t>
            </w:r>
          </w:p>
          <w:p w:rsidR="00881D15" w:rsidRDefault="00881D15" w:rsidP="001D3BDF">
            <w:pPr>
              <w:rPr>
                <w:sz w:val="18"/>
                <w:szCs w:val="20"/>
              </w:rPr>
            </w:pPr>
          </w:p>
          <w:p w:rsidR="00881D15" w:rsidRPr="002846E7" w:rsidRDefault="00881D15" w:rsidP="001D3BDF">
            <w:pPr>
              <w:rPr>
                <w:sz w:val="18"/>
                <w:szCs w:val="20"/>
              </w:rPr>
            </w:pP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2015</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7.</w:t>
            </w:r>
          </w:p>
        </w:tc>
        <w:tc>
          <w:tcPr>
            <w:tcW w:w="522" w:type="pct"/>
          </w:tcPr>
          <w:p w:rsidR="00881D15" w:rsidRPr="002846E7" w:rsidRDefault="00881D15" w:rsidP="001D3BDF">
            <w:pPr>
              <w:rPr>
                <w:sz w:val="18"/>
                <w:szCs w:val="20"/>
              </w:rPr>
            </w:pPr>
            <w:r w:rsidRPr="002846E7">
              <w:rPr>
                <w:sz w:val="18"/>
                <w:szCs w:val="20"/>
              </w:rPr>
              <w:t xml:space="preserve">Part of a prospective phase II </w:t>
            </w:r>
            <w:proofErr w:type="spellStart"/>
            <w:r w:rsidRPr="002846E7">
              <w:rPr>
                <w:sz w:val="18"/>
                <w:szCs w:val="20"/>
              </w:rPr>
              <w:t>oligocentric</w:t>
            </w:r>
            <w:proofErr w:type="spellEnd"/>
            <w:r w:rsidRPr="002846E7">
              <w:rPr>
                <w:sz w:val="18"/>
                <w:szCs w:val="20"/>
              </w:rPr>
              <w:t xml:space="preserve"> trial.</w:t>
            </w:r>
          </w:p>
        </w:tc>
        <w:tc>
          <w:tcPr>
            <w:tcW w:w="1019" w:type="pct"/>
          </w:tcPr>
          <w:p w:rsidR="00881D15" w:rsidRDefault="00881D15" w:rsidP="001D3BDF">
            <w:pPr>
              <w:rPr>
                <w:sz w:val="18"/>
                <w:szCs w:val="20"/>
              </w:rPr>
            </w:pPr>
            <w:proofErr w:type="spellStart"/>
            <w:r w:rsidRPr="002846E7">
              <w:rPr>
                <w:sz w:val="18"/>
                <w:szCs w:val="20"/>
              </w:rPr>
              <w:t>Scheffler</w:t>
            </w:r>
            <w:proofErr w:type="spellEnd"/>
            <w:r w:rsidRPr="002846E7">
              <w:rPr>
                <w:sz w:val="18"/>
                <w:szCs w:val="20"/>
              </w:rPr>
              <w:t xml:space="preserve"> e</w:t>
            </w:r>
            <w:r>
              <w:rPr>
                <w:sz w:val="18"/>
                <w:szCs w:val="20"/>
              </w:rPr>
              <w:t>t al, 2015.</w:t>
            </w:r>
          </w:p>
          <w:p w:rsidR="00881D15" w:rsidRPr="002846E7" w:rsidRDefault="00881D15" w:rsidP="001D3BDF">
            <w:pPr>
              <w:rPr>
                <w:sz w:val="18"/>
                <w:szCs w:val="20"/>
              </w:rPr>
            </w:pPr>
            <w:r w:rsidRPr="002846E7">
              <w:rPr>
                <w:sz w:val="18"/>
                <w:szCs w:val="20"/>
              </w:rPr>
              <w:t>ROS1 rearrang</w:t>
            </w:r>
            <w:r>
              <w:rPr>
                <w:sz w:val="18"/>
                <w:szCs w:val="20"/>
              </w:rPr>
              <w:t>ements in lung adenocarcinoma: p</w:t>
            </w:r>
            <w:r w:rsidRPr="002846E7">
              <w:rPr>
                <w:sz w:val="18"/>
                <w:szCs w:val="20"/>
              </w:rPr>
              <w:t>rognostic impact, therapeutic options and genetic variability.</w:t>
            </w:r>
          </w:p>
          <w:p w:rsidR="00881D15" w:rsidRPr="002846E7" w:rsidRDefault="00881D15" w:rsidP="001D3BDF">
            <w:pPr>
              <w:rPr>
                <w:sz w:val="18"/>
                <w:szCs w:val="20"/>
              </w:rPr>
            </w:pPr>
            <w:r w:rsidRPr="002846E7">
              <w:rPr>
                <w:sz w:val="18"/>
                <w:szCs w:val="20"/>
              </w:rPr>
              <w:t>NCT0218370</w:t>
            </w:r>
          </w:p>
        </w:tc>
        <w:tc>
          <w:tcPr>
            <w:tcW w:w="1629" w:type="pct"/>
          </w:tcPr>
          <w:p w:rsidR="00881D15" w:rsidRPr="002846E7" w:rsidRDefault="00881D15" w:rsidP="001D3BDF">
            <w:pPr>
              <w:rPr>
                <w:sz w:val="18"/>
                <w:szCs w:val="20"/>
              </w:rPr>
            </w:pPr>
            <w:r w:rsidRPr="002846E7">
              <w:rPr>
                <w:sz w:val="18"/>
                <w:szCs w:val="20"/>
              </w:rPr>
              <w:t xml:space="preserve">Study to genetically and phenotypically identify patients with ROS1-rearrangements within a molecular screening network. </w:t>
            </w:r>
            <w:r>
              <w:rPr>
                <w:sz w:val="18"/>
                <w:szCs w:val="20"/>
              </w:rPr>
              <w:t>1137</w:t>
            </w:r>
            <w:r w:rsidRPr="002846E7">
              <w:rPr>
                <w:sz w:val="18"/>
                <w:szCs w:val="20"/>
              </w:rPr>
              <w:t xml:space="preserve"> </w:t>
            </w:r>
            <w:r>
              <w:rPr>
                <w:sz w:val="18"/>
                <w:szCs w:val="20"/>
              </w:rPr>
              <w:t xml:space="preserve">patients with </w:t>
            </w:r>
            <w:r w:rsidRPr="002846E7">
              <w:rPr>
                <w:sz w:val="18"/>
                <w:szCs w:val="20"/>
              </w:rPr>
              <w:t>adenocarcinoma of the lung were analysed for ROS1 status using FI</w:t>
            </w:r>
            <w:r>
              <w:rPr>
                <w:sz w:val="18"/>
                <w:szCs w:val="20"/>
              </w:rPr>
              <w:t xml:space="preserve">SH and NGS performed in positive cases. Clinical characteristics, treatments and outcome were assessed. Of the evaluable cases </w:t>
            </w:r>
            <w:r w:rsidRPr="002846E7">
              <w:rPr>
                <w:sz w:val="18"/>
                <w:szCs w:val="20"/>
              </w:rPr>
              <w:t xml:space="preserve">19 </w:t>
            </w:r>
            <w:r>
              <w:rPr>
                <w:sz w:val="18"/>
                <w:szCs w:val="20"/>
              </w:rPr>
              <w:t xml:space="preserve">(1.8%) were </w:t>
            </w:r>
            <w:r w:rsidRPr="002846E7">
              <w:rPr>
                <w:sz w:val="18"/>
                <w:szCs w:val="20"/>
              </w:rPr>
              <w:t>ROS1-</w:t>
            </w:r>
            <w:r>
              <w:rPr>
                <w:sz w:val="18"/>
                <w:szCs w:val="20"/>
              </w:rPr>
              <w:t xml:space="preserve">positive. </w:t>
            </w:r>
          </w:p>
        </w:tc>
        <w:tc>
          <w:tcPr>
            <w:tcW w:w="1100" w:type="pct"/>
          </w:tcPr>
          <w:p w:rsidR="00881D15" w:rsidRDefault="008402C0" w:rsidP="001D3BDF">
            <w:pPr>
              <w:rPr>
                <w:sz w:val="18"/>
                <w:szCs w:val="20"/>
              </w:rPr>
            </w:pPr>
            <w:hyperlink r:id="rId25" w:tooltip="Oncotarget." w:history="1">
              <w:proofErr w:type="spellStart"/>
              <w:r w:rsidR="00881D15" w:rsidRPr="00D31EA7">
                <w:rPr>
                  <w:sz w:val="18"/>
                  <w:szCs w:val="20"/>
                </w:rPr>
                <w:t>Oncotarget</w:t>
              </w:r>
              <w:proofErr w:type="spellEnd"/>
              <w:r w:rsidR="00881D15" w:rsidRPr="00D31EA7">
                <w:rPr>
                  <w:sz w:val="18"/>
                  <w:szCs w:val="20"/>
                </w:rPr>
                <w:t>.</w:t>
              </w:r>
            </w:hyperlink>
            <w:r w:rsidR="00881D15" w:rsidRPr="00D31EA7">
              <w:rPr>
                <w:sz w:val="18"/>
                <w:szCs w:val="20"/>
              </w:rPr>
              <w:t xml:space="preserve"> 2015 Apr 30</w:t>
            </w:r>
            <w:proofErr w:type="gramStart"/>
            <w:r w:rsidR="00881D15" w:rsidRPr="00D31EA7">
              <w:rPr>
                <w:sz w:val="18"/>
                <w:szCs w:val="20"/>
              </w:rPr>
              <w:t>;6</w:t>
            </w:r>
            <w:proofErr w:type="gramEnd"/>
            <w:r w:rsidR="00881D15" w:rsidRPr="00D31EA7">
              <w:rPr>
                <w:sz w:val="18"/>
                <w:szCs w:val="20"/>
              </w:rPr>
              <w:t>(12):10577-85.</w:t>
            </w:r>
          </w:p>
          <w:p w:rsidR="00881D15" w:rsidRDefault="00881D15" w:rsidP="001D3BDF">
            <w:pPr>
              <w:rPr>
                <w:sz w:val="18"/>
                <w:szCs w:val="20"/>
              </w:rPr>
            </w:pP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2015</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lastRenderedPageBreak/>
              <w:t>8.</w:t>
            </w:r>
          </w:p>
        </w:tc>
        <w:tc>
          <w:tcPr>
            <w:tcW w:w="522" w:type="pct"/>
          </w:tcPr>
          <w:p w:rsidR="00881D15" w:rsidRPr="002846E7" w:rsidRDefault="00881D15" w:rsidP="001D3BDF">
            <w:pPr>
              <w:rPr>
                <w:sz w:val="18"/>
                <w:szCs w:val="20"/>
              </w:rPr>
            </w:pPr>
            <w:r>
              <w:rPr>
                <w:sz w:val="18"/>
                <w:szCs w:val="20"/>
              </w:rPr>
              <w:t>Study of diagnostic accuracy</w:t>
            </w:r>
          </w:p>
        </w:tc>
        <w:tc>
          <w:tcPr>
            <w:tcW w:w="1019" w:type="pct"/>
          </w:tcPr>
          <w:p w:rsidR="00881D15" w:rsidRDefault="00881D15" w:rsidP="001D3BDF">
            <w:pPr>
              <w:rPr>
                <w:sz w:val="18"/>
                <w:szCs w:val="20"/>
              </w:rPr>
            </w:pPr>
            <w:r w:rsidRPr="002846E7">
              <w:rPr>
                <w:sz w:val="18"/>
                <w:szCs w:val="20"/>
              </w:rPr>
              <w:t xml:space="preserve">Jin </w:t>
            </w:r>
            <w:r>
              <w:rPr>
                <w:sz w:val="18"/>
                <w:szCs w:val="20"/>
              </w:rPr>
              <w:t>et al, 2015.</w:t>
            </w:r>
          </w:p>
          <w:p w:rsidR="00881D15" w:rsidRPr="002846E7" w:rsidRDefault="00881D15" w:rsidP="001D3BDF">
            <w:pPr>
              <w:rPr>
                <w:sz w:val="18"/>
                <w:szCs w:val="20"/>
              </w:rPr>
            </w:pPr>
            <w:r w:rsidRPr="002846E7">
              <w:rPr>
                <w:sz w:val="18"/>
                <w:szCs w:val="20"/>
              </w:rPr>
              <w:t xml:space="preserve">Frequent </w:t>
            </w:r>
            <w:proofErr w:type="spellStart"/>
            <w:r w:rsidRPr="002846E7">
              <w:rPr>
                <w:sz w:val="18"/>
                <w:szCs w:val="20"/>
              </w:rPr>
              <w:t>aerogenous</w:t>
            </w:r>
            <w:proofErr w:type="spellEnd"/>
            <w:r w:rsidRPr="002846E7">
              <w:rPr>
                <w:sz w:val="18"/>
                <w:szCs w:val="20"/>
              </w:rPr>
              <w:t xml:space="preserve"> spread with decreased E-cadherin expression of ROS1-rearranged lung cancer predicts poor disease-free survival.</w:t>
            </w:r>
          </w:p>
        </w:tc>
        <w:tc>
          <w:tcPr>
            <w:tcW w:w="1629" w:type="pct"/>
          </w:tcPr>
          <w:p w:rsidR="00881D15" w:rsidRPr="002846E7" w:rsidRDefault="00881D15" w:rsidP="001D3BDF">
            <w:pPr>
              <w:rPr>
                <w:sz w:val="18"/>
                <w:szCs w:val="20"/>
              </w:rPr>
            </w:pPr>
            <w:r>
              <w:rPr>
                <w:sz w:val="18"/>
                <w:szCs w:val="20"/>
              </w:rPr>
              <w:t xml:space="preserve">Study to evaluate the </w:t>
            </w:r>
            <w:proofErr w:type="spellStart"/>
            <w:r>
              <w:rPr>
                <w:sz w:val="18"/>
                <w:szCs w:val="20"/>
              </w:rPr>
              <w:t>clinicopathological</w:t>
            </w:r>
            <w:proofErr w:type="spellEnd"/>
            <w:r>
              <w:rPr>
                <w:sz w:val="18"/>
                <w:szCs w:val="20"/>
              </w:rPr>
              <w:t xml:space="preserve"> implications and </w:t>
            </w:r>
            <w:proofErr w:type="spellStart"/>
            <w:r>
              <w:rPr>
                <w:sz w:val="18"/>
                <w:szCs w:val="20"/>
              </w:rPr>
              <w:t>histomorphological</w:t>
            </w:r>
            <w:proofErr w:type="spellEnd"/>
            <w:r>
              <w:rPr>
                <w:sz w:val="18"/>
                <w:szCs w:val="20"/>
              </w:rPr>
              <w:t xml:space="preserve"> characteristics of ROS1-</w:t>
            </w:r>
            <w:r w:rsidRPr="002846E7">
              <w:rPr>
                <w:sz w:val="18"/>
                <w:szCs w:val="20"/>
              </w:rPr>
              <w:t>rear</w:t>
            </w:r>
            <w:r>
              <w:rPr>
                <w:sz w:val="18"/>
                <w:szCs w:val="20"/>
              </w:rPr>
              <w:t xml:space="preserve">ranged tumours and to investigate the diagnostic accuracy of ROS1 IHC. </w:t>
            </w:r>
            <w:r w:rsidRPr="002846E7">
              <w:rPr>
                <w:sz w:val="18"/>
                <w:szCs w:val="20"/>
              </w:rPr>
              <w:t xml:space="preserve"> </w:t>
            </w:r>
            <w:r>
              <w:rPr>
                <w:sz w:val="18"/>
                <w:szCs w:val="20"/>
              </w:rPr>
              <w:t xml:space="preserve">ROS1 </w:t>
            </w:r>
            <w:r w:rsidRPr="002846E7">
              <w:rPr>
                <w:sz w:val="18"/>
                <w:szCs w:val="20"/>
              </w:rPr>
              <w:t xml:space="preserve">characterisations </w:t>
            </w:r>
            <w:r>
              <w:rPr>
                <w:sz w:val="18"/>
                <w:szCs w:val="20"/>
              </w:rPr>
              <w:t xml:space="preserve">were performed </w:t>
            </w:r>
            <w:r w:rsidRPr="002846E7">
              <w:rPr>
                <w:sz w:val="18"/>
                <w:szCs w:val="20"/>
              </w:rPr>
              <w:t xml:space="preserve">by FISH and ROS1 protein and E-cadherin expression by IHC using 754 NSCLC surgical specimens. </w:t>
            </w:r>
            <w:r>
              <w:rPr>
                <w:sz w:val="18"/>
                <w:szCs w:val="20"/>
              </w:rPr>
              <w:t>ROS1 IHC correlated well with ROS1 gene rearrangement.</w:t>
            </w:r>
          </w:p>
        </w:tc>
        <w:tc>
          <w:tcPr>
            <w:tcW w:w="1100" w:type="pct"/>
          </w:tcPr>
          <w:p w:rsidR="00881D15" w:rsidRPr="002846E7" w:rsidRDefault="00881D15" w:rsidP="001D3BDF">
            <w:pPr>
              <w:rPr>
                <w:sz w:val="18"/>
                <w:szCs w:val="20"/>
              </w:rPr>
            </w:pPr>
            <w:r w:rsidRPr="002846E7">
              <w:rPr>
                <w:sz w:val="18"/>
                <w:szCs w:val="20"/>
              </w:rPr>
              <w:t>Lung Cancer 89 (2015) 343-349.</w:t>
            </w:r>
          </w:p>
          <w:p w:rsidR="00881D15" w:rsidRDefault="008402C0" w:rsidP="001D3BDF">
            <w:pPr>
              <w:rPr>
                <w:sz w:val="18"/>
                <w:szCs w:val="20"/>
              </w:rPr>
            </w:pPr>
            <w:hyperlink r:id="rId26" w:history="1">
              <w:r w:rsidR="00F30219">
                <w:rPr>
                  <w:rStyle w:val="Hyperlink"/>
                  <w:sz w:val="18"/>
                  <w:szCs w:val="20"/>
                </w:rPr>
                <w:t>l</w:t>
              </w:r>
            </w:hyperlink>
            <w:r w:rsidR="00F30219">
              <w:rPr>
                <w:rStyle w:val="Hyperlink"/>
                <w:sz w:val="18"/>
                <w:szCs w:val="20"/>
              </w:rPr>
              <w:t>ink to journal article</w:t>
            </w:r>
          </w:p>
          <w:p w:rsidR="00881D15" w:rsidRPr="002846E7" w:rsidRDefault="00881D15" w:rsidP="001D3BDF">
            <w:pPr>
              <w:rPr>
                <w:sz w:val="18"/>
                <w:szCs w:val="20"/>
              </w:rPr>
            </w:pPr>
          </w:p>
        </w:tc>
        <w:tc>
          <w:tcPr>
            <w:tcW w:w="562" w:type="pct"/>
          </w:tcPr>
          <w:p w:rsidR="00881D15" w:rsidRPr="002846E7" w:rsidRDefault="00881D15" w:rsidP="001D3BDF">
            <w:pPr>
              <w:rPr>
                <w:sz w:val="18"/>
                <w:szCs w:val="20"/>
              </w:rPr>
            </w:pPr>
            <w:r w:rsidRPr="002846E7">
              <w:rPr>
                <w:sz w:val="18"/>
                <w:szCs w:val="20"/>
              </w:rPr>
              <w:t>2015</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 xml:space="preserve">9. </w:t>
            </w:r>
          </w:p>
        </w:tc>
        <w:tc>
          <w:tcPr>
            <w:tcW w:w="522" w:type="pct"/>
          </w:tcPr>
          <w:p w:rsidR="00881D15" w:rsidRPr="002846E7" w:rsidRDefault="00881D15" w:rsidP="001D3BDF">
            <w:pPr>
              <w:rPr>
                <w:sz w:val="18"/>
                <w:szCs w:val="20"/>
              </w:rPr>
            </w:pPr>
            <w:r w:rsidRPr="002846E7">
              <w:rPr>
                <w:sz w:val="18"/>
                <w:szCs w:val="20"/>
              </w:rPr>
              <w:t>Prospective non-interventional study</w:t>
            </w:r>
          </w:p>
        </w:tc>
        <w:tc>
          <w:tcPr>
            <w:tcW w:w="1019" w:type="pct"/>
          </w:tcPr>
          <w:p w:rsidR="00881D15" w:rsidRDefault="00881D15" w:rsidP="001D3BDF">
            <w:pPr>
              <w:rPr>
                <w:sz w:val="18"/>
                <w:szCs w:val="20"/>
              </w:rPr>
            </w:pPr>
            <w:r w:rsidRPr="002846E7">
              <w:rPr>
                <w:sz w:val="18"/>
                <w:szCs w:val="20"/>
              </w:rPr>
              <w:t xml:space="preserve">Chen </w:t>
            </w:r>
            <w:r>
              <w:rPr>
                <w:sz w:val="18"/>
                <w:szCs w:val="20"/>
              </w:rPr>
              <w:t>et al, 2014.</w:t>
            </w:r>
          </w:p>
          <w:p w:rsidR="00881D15" w:rsidRPr="002846E7" w:rsidRDefault="00881D15" w:rsidP="001D3BDF">
            <w:pPr>
              <w:rPr>
                <w:sz w:val="18"/>
                <w:szCs w:val="20"/>
              </w:rPr>
            </w:pPr>
            <w:r w:rsidRPr="002846E7">
              <w:rPr>
                <w:sz w:val="18"/>
                <w:szCs w:val="20"/>
              </w:rPr>
              <w:t>Clinical and the Prognostic Characteristics of Lung Adenocarcinoma Patients with ROS1 Fusion in Comparison with other Driver Mutations in East Asian Patients.</w:t>
            </w:r>
          </w:p>
        </w:tc>
        <w:tc>
          <w:tcPr>
            <w:tcW w:w="1629" w:type="pct"/>
          </w:tcPr>
          <w:p w:rsidR="00881D15" w:rsidRPr="002846E7" w:rsidRDefault="00881D15" w:rsidP="001D3BDF">
            <w:pPr>
              <w:rPr>
                <w:sz w:val="18"/>
                <w:szCs w:val="20"/>
              </w:rPr>
            </w:pPr>
            <w:r w:rsidRPr="002846E7">
              <w:rPr>
                <w:sz w:val="18"/>
                <w:szCs w:val="20"/>
              </w:rPr>
              <w:t xml:space="preserve">Multiplex RT-PCR was used to detect the ROS1 fusion gene and IHC was used to confirm expression of ROS1 in </w:t>
            </w:r>
            <w:r>
              <w:rPr>
                <w:sz w:val="18"/>
                <w:szCs w:val="20"/>
              </w:rPr>
              <w:t xml:space="preserve">492 </w:t>
            </w:r>
            <w:r w:rsidRPr="002846E7">
              <w:rPr>
                <w:sz w:val="18"/>
                <w:szCs w:val="20"/>
              </w:rPr>
              <w:t xml:space="preserve">lung adenocarcinoma cases. </w:t>
            </w:r>
            <w:r>
              <w:rPr>
                <w:sz w:val="18"/>
                <w:szCs w:val="20"/>
              </w:rPr>
              <w:t>The demographic data and clinical outcomes of patients with the ROS1 fusion gene were compared with those of patients without the ROS1 fusion gene, including those with other driver mutations.</w:t>
            </w:r>
          </w:p>
        </w:tc>
        <w:tc>
          <w:tcPr>
            <w:tcW w:w="1100" w:type="pct"/>
          </w:tcPr>
          <w:p w:rsidR="00881D15" w:rsidRDefault="00881D15" w:rsidP="001D3BDF">
            <w:pPr>
              <w:rPr>
                <w:sz w:val="18"/>
                <w:szCs w:val="20"/>
              </w:rPr>
            </w:pPr>
            <w:r w:rsidRPr="002846E7">
              <w:rPr>
                <w:sz w:val="18"/>
                <w:szCs w:val="20"/>
              </w:rPr>
              <w:t xml:space="preserve">J </w:t>
            </w:r>
            <w:proofErr w:type="spellStart"/>
            <w:r w:rsidRPr="002846E7">
              <w:rPr>
                <w:sz w:val="18"/>
                <w:szCs w:val="20"/>
              </w:rPr>
              <w:t>Thorac</w:t>
            </w:r>
            <w:proofErr w:type="spellEnd"/>
            <w:r w:rsidRPr="002846E7">
              <w:rPr>
                <w:sz w:val="18"/>
                <w:szCs w:val="20"/>
              </w:rPr>
              <w:t xml:space="preserve"> </w:t>
            </w:r>
            <w:proofErr w:type="spellStart"/>
            <w:r w:rsidRPr="002846E7">
              <w:rPr>
                <w:sz w:val="18"/>
                <w:szCs w:val="20"/>
              </w:rPr>
              <w:t>Oncol</w:t>
            </w:r>
            <w:proofErr w:type="spellEnd"/>
            <w:r w:rsidRPr="002846E7">
              <w:rPr>
                <w:sz w:val="18"/>
                <w:szCs w:val="20"/>
              </w:rPr>
              <w:t>. 2014; 9: 1171-1179.</w:t>
            </w:r>
          </w:p>
          <w:p w:rsidR="00881D15" w:rsidRPr="00D31EA7" w:rsidRDefault="00F30219" w:rsidP="001D3BDF">
            <w:pPr>
              <w:rPr>
                <w:rStyle w:val="Hyperlink"/>
                <w:sz w:val="18"/>
                <w:szCs w:val="20"/>
              </w:rPr>
            </w:pPr>
            <w:r>
              <w:rPr>
                <w:rStyle w:val="Hyperlink"/>
                <w:sz w:val="18"/>
                <w:szCs w:val="20"/>
              </w:rPr>
              <w:t>Link to journal article</w:t>
            </w:r>
          </w:p>
          <w:p w:rsidR="00881D15" w:rsidRPr="002846E7" w:rsidRDefault="00881D15" w:rsidP="001D3BDF">
            <w:pPr>
              <w:rPr>
                <w:sz w:val="18"/>
                <w:szCs w:val="20"/>
              </w:rPr>
            </w:pPr>
            <w:r w:rsidRPr="002846E7">
              <w:rPr>
                <w:sz w:val="18"/>
                <w:szCs w:val="20"/>
              </w:rPr>
              <w:t xml:space="preserve"> </w:t>
            </w:r>
          </w:p>
        </w:tc>
        <w:tc>
          <w:tcPr>
            <w:tcW w:w="562" w:type="pct"/>
          </w:tcPr>
          <w:p w:rsidR="00881D15" w:rsidRPr="002846E7" w:rsidRDefault="00881D15" w:rsidP="001D3BDF">
            <w:pPr>
              <w:rPr>
                <w:sz w:val="18"/>
                <w:szCs w:val="20"/>
              </w:rPr>
            </w:pPr>
            <w:r w:rsidRPr="002846E7">
              <w:rPr>
                <w:sz w:val="18"/>
                <w:szCs w:val="20"/>
              </w:rPr>
              <w:t>2014</w:t>
            </w:r>
          </w:p>
        </w:tc>
      </w:tr>
      <w:tr w:rsidR="00881D15" w:rsidTr="00881D15">
        <w:trPr>
          <w:cantSplit/>
        </w:trPr>
        <w:tc>
          <w:tcPr>
            <w:tcW w:w="167" w:type="pct"/>
          </w:tcPr>
          <w:p w:rsidR="00881D15" w:rsidRPr="002846E7" w:rsidRDefault="00881D15" w:rsidP="001D3BDF">
            <w:pPr>
              <w:rPr>
                <w:sz w:val="18"/>
                <w:szCs w:val="20"/>
              </w:rPr>
            </w:pPr>
            <w:r w:rsidRPr="002846E7">
              <w:rPr>
                <w:sz w:val="18"/>
                <w:szCs w:val="20"/>
              </w:rPr>
              <w:t>10.</w:t>
            </w:r>
          </w:p>
        </w:tc>
        <w:tc>
          <w:tcPr>
            <w:tcW w:w="522" w:type="pct"/>
          </w:tcPr>
          <w:p w:rsidR="00881D15" w:rsidRPr="002846E7" w:rsidRDefault="00881D15" w:rsidP="001D3BDF">
            <w:pPr>
              <w:rPr>
                <w:sz w:val="18"/>
                <w:szCs w:val="20"/>
              </w:rPr>
            </w:pPr>
            <w:r w:rsidRPr="002846E7">
              <w:rPr>
                <w:sz w:val="18"/>
                <w:szCs w:val="20"/>
              </w:rPr>
              <w:t>Study of diagnostic accuracy and  review of published literature</w:t>
            </w:r>
          </w:p>
        </w:tc>
        <w:tc>
          <w:tcPr>
            <w:tcW w:w="1019" w:type="pct"/>
          </w:tcPr>
          <w:p w:rsidR="00881D15" w:rsidRDefault="00881D15" w:rsidP="001D3BDF">
            <w:pPr>
              <w:rPr>
                <w:sz w:val="18"/>
                <w:szCs w:val="20"/>
              </w:rPr>
            </w:pPr>
            <w:r w:rsidRPr="002846E7">
              <w:rPr>
                <w:sz w:val="18"/>
                <w:szCs w:val="20"/>
              </w:rPr>
              <w:t xml:space="preserve">Viola et al: </w:t>
            </w:r>
          </w:p>
          <w:p w:rsidR="00881D15" w:rsidRPr="002846E7" w:rsidRDefault="00881D15" w:rsidP="001D3BDF">
            <w:pPr>
              <w:rPr>
                <w:sz w:val="18"/>
                <w:szCs w:val="20"/>
              </w:rPr>
            </w:pPr>
            <w:r w:rsidRPr="002846E7">
              <w:rPr>
                <w:sz w:val="18"/>
                <w:szCs w:val="20"/>
              </w:rPr>
              <w:t xml:space="preserve">A Validation Study for the Use of ROS1 </w:t>
            </w:r>
            <w:proofErr w:type="spellStart"/>
            <w:r w:rsidRPr="002846E7">
              <w:rPr>
                <w:sz w:val="18"/>
                <w:szCs w:val="20"/>
              </w:rPr>
              <w:t>Immunohistochemical</w:t>
            </w:r>
            <w:proofErr w:type="spellEnd"/>
            <w:r w:rsidRPr="002846E7">
              <w:rPr>
                <w:sz w:val="18"/>
                <w:szCs w:val="20"/>
              </w:rPr>
              <w:t xml:space="preserve"> Staining in Screening for ROS1 Translocations in lung Cancer.</w:t>
            </w:r>
          </w:p>
        </w:tc>
        <w:tc>
          <w:tcPr>
            <w:tcW w:w="1629" w:type="pct"/>
          </w:tcPr>
          <w:p w:rsidR="00881D15" w:rsidRPr="002846E7" w:rsidRDefault="00881D15" w:rsidP="001D3BDF">
            <w:pPr>
              <w:rPr>
                <w:sz w:val="18"/>
                <w:szCs w:val="20"/>
              </w:rPr>
            </w:pPr>
            <w:r w:rsidRPr="002846E7">
              <w:rPr>
                <w:sz w:val="18"/>
                <w:szCs w:val="20"/>
              </w:rPr>
              <w:t>A cohort of lung tumours negative for other common mutations related to tar</w:t>
            </w:r>
            <w:r>
              <w:rPr>
                <w:sz w:val="18"/>
                <w:szCs w:val="20"/>
              </w:rPr>
              <w:t>geted therapies, enriched with four</w:t>
            </w:r>
            <w:r w:rsidRPr="002846E7">
              <w:rPr>
                <w:sz w:val="18"/>
                <w:szCs w:val="20"/>
              </w:rPr>
              <w:t xml:space="preserve"> ROS1 cases first identified by FISH, were screened using IHC and FISH. </w:t>
            </w:r>
            <w:r>
              <w:rPr>
                <w:sz w:val="18"/>
                <w:szCs w:val="20"/>
              </w:rPr>
              <w:t xml:space="preserve">A review of published data was also undertaken. </w:t>
            </w:r>
            <w:r w:rsidRPr="002846E7">
              <w:rPr>
                <w:sz w:val="18"/>
                <w:szCs w:val="20"/>
              </w:rPr>
              <w:t>IHC screening was 100% sensitive (95% CI: 48-100) and 83% specific (95% CI: 86-100) overall when a</w:t>
            </w:r>
            <w:r>
              <w:rPr>
                <w:sz w:val="18"/>
                <w:szCs w:val="20"/>
              </w:rPr>
              <w:t>n</w:t>
            </w:r>
            <w:r w:rsidRPr="002846E7">
              <w:rPr>
                <w:sz w:val="18"/>
                <w:szCs w:val="20"/>
              </w:rPr>
              <w:t xml:space="preserve"> h-score </w:t>
            </w:r>
            <w:r w:rsidRPr="002913C5">
              <w:rPr>
                <w:sz w:val="18"/>
                <w:szCs w:val="20"/>
              </w:rPr>
              <w:t>&gt;</w:t>
            </w:r>
            <w:r w:rsidRPr="002846E7">
              <w:rPr>
                <w:sz w:val="18"/>
                <w:szCs w:val="20"/>
              </w:rPr>
              <w:t xml:space="preserve">100 was used. </w:t>
            </w:r>
          </w:p>
        </w:tc>
        <w:tc>
          <w:tcPr>
            <w:tcW w:w="1100" w:type="pct"/>
          </w:tcPr>
          <w:p w:rsidR="00881D15" w:rsidRDefault="008402C0" w:rsidP="001D3BDF">
            <w:pPr>
              <w:rPr>
                <w:sz w:val="18"/>
                <w:szCs w:val="20"/>
              </w:rPr>
            </w:pPr>
            <w:hyperlink r:id="rId27" w:tooltip="Journal of thoracic oncology : official publication of the International Association for the Study of Lung Cancer." w:history="1">
              <w:r w:rsidR="00881D15" w:rsidRPr="007F1041">
                <w:rPr>
                  <w:sz w:val="18"/>
                  <w:szCs w:val="20"/>
                </w:rPr>
                <w:t xml:space="preserve">J </w:t>
              </w:r>
              <w:proofErr w:type="spellStart"/>
              <w:r w:rsidR="00881D15" w:rsidRPr="007F1041">
                <w:rPr>
                  <w:sz w:val="18"/>
                  <w:szCs w:val="20"/>
                </w:rPr>
                <w:t>Thorac</w:t>
              </w:r>
              <w:proofErr w:type="spellEnd"/>
              <w:r w:rsidR="00881D15" w:rsidRPr="007F1041">
                <w:rPr>
                  <w:sz w:val="18"/>
                  <w:szCs w:val="20"/>
                </w:rPr>
                <w:t xml:space="preserve"> </w:t>
              </w:r>
              <w:proofErr w:type="spellStart"/>
              <w:r w:rsidR="00881D15" w:rsidRPr="007F1041">
                <w:rPr>
                  <w:sz w:val="18"/>
                  <w:szCs w:val="20"/>
                </w:rPr>
                <w:t>Oncol</w:t>
              </w:r>
              <w:proofErr w:type="spellEnd"/>
              <w:r w:rsidR="00881D15" w:rsidRPr="007F1041">
                <w:rPr>
                  <w:sz w:val="18"/>
                  <w:szCs w:val="20"/>
                </w:rPr>
                <w:t>.</w:t>
              </w:r>
            </w:hyperlink>
            <w:r w:rsidR="00881D15" w:rsidRPr="007F1041">
              <w:rPr>
                <w:sz w:val="18"/>
                <w:szCs w:val="20"/>
              </w:rPr>
              <w:t xml:space="preserve"> 2016 Jul</w:t>
            </w:r>
            <w:proofErr w:type="gramStart"/>
            <w:r w:rsidR="00881D15" w:rsidRPr="007F1041">
              <w:rPr>
                <w:sz w:val="18"/>
                <w:szCs w:val="20"/>
              </w:rPr>
              <w:t>;11</w:t>
            </w:r>
            <w:proofErr w:type="gramEnd"/>
            <w:r w:rsidR="00881D15" w:rsidRPr="007F1041">
              <w:rPr>
                <w:sz w:val="18"/>
                <w:szCs w:val="20"/>
              </w:rPr>
              <w:t>(7):1029-39.</w:t>
            </w:r>
          </w:p>
          <w:p w:rsidR="00881D15" w:rsidRPr="002846E7" w:rsidRDefault="008402C0" w:rsidP="00F30219">
            <w:pPr>
              <w:rPr>
                <w:sz w:val="18"/>
                <w:szCs w:val="20"/>
              </w:rPr>
            </w:pPr>
            <w:hyperlink r:id="rId28" w:history="1">
              <w:r w:rsidR="00F30219">
                <w:rPr>
                  <w:rStyle w:val="Hyperlink"/>
                  <w:sz w:val="18"/>
                  <w:szCs w:val="20"/>
                </w:rPr>
                <w:t>link</w:t>
              </w:r>
            </w:hyperlink>
            <w:r w:rsidR="00F30219">
              <w:rPr>
                <w:rStyle w:val="Hyperlink"/>
                <w:sz w:val="18"/>
                <w:szCs w:val="20"/>
              </w:rPr>
              <w:t xml:space="preserve"> to journal article</w:t>
            </w:r>
          </w:p>
        </w:tc>
        <w:tc>
          <w:tcPr>
            <w:tcW w:w="562" w:type="pct"/>
          </w:tcPr>
          <w:p w:rsidR="00881D15" w:rsidRPr="002846E7" w:rsidRDefault="00881D15" w:rsidP="001D3BDF">
            <w:pPr>
              <w:rPr>
                <w:sz w:val="18"/>
                <w:szCs w:val="20"/>
              </w:rPr>
            </w:pPr>
            <w:r w:rsidRPr="002846E7">
              <w:rPr>
                <w:sz w:val="18"/>
                <w:szCs w:val="20"/>
              </w:rPr>
              <w:t>2016</w:t>
            </w:r>
          </w:p>
        </w:tc>
      </w:tr>
      <w:tr w:rsidR="00881D15" w:rsidTr="00881D15">
        <w:trPr>
          <w:cantSplit/>
        </w:trPr>
        <w:tc>
          <w:tcPr>
            <w:tcW w:w="167" w:type="pct"/>
          </w:tcPr>
          <w:p w:rsidR="00881D15" w:rsidRPr="00CF3816" w:rsidRDefault="00881D15" w:rsidP="001D3BDF">
            <w:pPr>
              <w:rPr>
                <w:sz w:val="18"/>
                <w:szCs w:val="20"/>
              </w:rPr>
            </w:pPr>
            <w:r w:rsidRPr="00CF3816">
              <w:rPr>
                <w:sz w:val="18"/>
                <w:szCs w:val="20"/>
              </w:rPr>
              <w:t>11.</w:t>
            </w:r>
          </w:p>
        </w:tc>
        <w:tc>
          <w:tcPr>
            <w:tcW w:w="522" w:type="pct"/>
          </w:tcPr>
          <w:p w:rsidR="00881D15" w:rsidRPr="00CF3816" w:rsidRDefault="00881D15" w:rsidP="001D3BDF">
            <w:pPr>
              <w:rPr>
                <w:sz w:val="18"/>
                <w:szCs w:val="20"/>
              </w:rPr>
            </w:pPr>
            <w:r w:rsidRPr="00CF3816">
              <w:rPr>
                <w:sz w:val="18"/>
                <w:szCs w:val="20"/>
              </w:rPr>
              <w:t>Study of diagnostic accuracy</w:t>
            </w:r>
          </w:p>
        </w:tc>
        <w:tc>
          <w:tcPr>
            <w:tcW w:w="1019" w:type="pct"/>
          </w:tcPr>
          <w:p w:rsidR="00881D15" w:rsidRPr="00CF3816" w:rsidRDefault="00881D15" w:rsidP="001D3BDF">
            <w:pPr>
              <w:rPr>
                <w:sz w:val="18"/>
                <w:szCs w:val="20"/>
              </w:rPr>
            </w:pPr>
            <w:r w:rsidRPr="00CF3816">
              <w:rPr>
                <w:sz w:val="18"/>
                <w:szCs w:val="20"/>
              </w:rPr>
              <w:t>Scholl et al, 2013.</w:t>
            </w:r>
          </w:p>
          <w:p w:rsidR="00881D15" w:rsidRPr="00CF3816" w:rsidRDefault="00881D15" w:rsidP="001D3BDF">
            <w:pPr>
              <w:rPr>
                <w:sz w:val="18"/>
                <w:szCs w:val="20"/>
              </w:rPr>
            </w:pPr>
            <w:r w:rsidRPr="00CF3816">
              <w:rPr>
                <w:sz w:val="18"/>
                <w:szCs w:val="20"/>
              </w:rPr>
              <w:t>ROS1 Immunohistochemistry</w:t>
            </w:r>
            <w:r>
              <w:rPr>
                <w:sz w:val="18"/>
                <w:szCs w:val="20"/>
              </w:rPr>
              <w:t xml:space="preserve"> for Detection of ROS1-Rearrang</w:t>
            </w:r>
            <w:r w:rsidRPr="00CF3816">
              <w:rPr>
                <w:sz w:val="18"/>
                <w:szCs w:val="20"/>
              </w:rPr>
              <w:t>ed Lung Adenocarcinomas.</w:t>
            </w:r>
          </w:p>
        </w:tc>
        <w:tc>
          <w:tcPr>
            <w:tcW w:w="1629" w:type="pct"/>
          </w:tcPr>
          <w:p w:rsidR="00881D15" w:rsidRPr="00CF3816" w:rsidRDefault="00881D15" w:rsidP="001D3BDF">
            <w:pPr>
              <w:rPr>
                <w:sz w:val="18"/>
                <w:szCs w:val="20"/>
              </w:rPr>
            </w:pPr>
            <w:r w:rsidRPr="00CF3816">
              <w:rPr>
                <w:sz w:val="18"/>
                <w:szCs w:val="20"/>
              </w:rPr>
              <w:t xml:space="preserve">Study </w:t>
            </w:r>
            <w:r>
              <w:rPr>
                <w:sz w:val="18"/>
                <w:szCs w:val="20"/>
              </w:rPr>
              <w:t>examining</w:t>
            </w:r>
            <w:r w:rsidRPr="00CF3816">
              <w:rPr>
                <w:sz w:val="18"/>
                <w:szCs w:val="20"/>
              </w:rPr>
              <w:t xml:space="preserve"> the correlation betwee</w:t>
            </w:r>
            <w:r>
              <w:rPr>
                <w:sz w:val="18"/>
                <w:szCs w:val="20"/>
              </w:rPr>
              <w:t>n ROS1 IHC and FISH and describing</w:t>
            </w:r>
            <w:r w:rsidRPr="00CF3816">
              <w:rPr>
                <w:sz w:val="18"/>
                <w:szCs w:val="20"/>
              </w:rPr>
              <w:t xml:space="preserve"> the </w:t>
            </w:r>
            <w:proofErr w:type="spellStart"/>
            <w:r w:rsidRPr="00CF3816">
              <w:rPr>
                <w:sz w:val="18"/>
                <w:szCs w:val="20"/>
              </w:rPr>
              <w:t>clinicopathologic</w:t>
            </w:r>
            <w:proofErr w:type="spellEnd"/>
            <w:r w:rsidRPr="00CF3816">
              <w:rPr>
                <w:sz w:val="18"/>
                <w:szCs w:val="20"/>
              </w:rPr>
              <w:t xml:space="preserve"> ch</w:t>
            </w:r>
            <w:r>
              <w:rPr>
                <w:sz w:val="18"/>
                <w:szCs w:val="20"/>
              </w:rPr>
              <w:t>aracteristics of ROS1-rearrange</w:t>
            </w:r>
            <w:r w:rsidRPr="00CF3816">
              <w:rPr>
                <w:sz w:val="18"/>
                <w:szCs w:val="20"/>
              </w:rPr>
              <w:t xml:space="preserve">d lung tumours. In 56 cases tested with both IHC and FISH, ROS1 protein expression in tumour cells was 100% sensitive and 92% specific for ROS1 rearrangements by FISH. </w:t>
            </w:r>
          </w:p>
        </w:tc>
        <w:tc>
          <w:tcPr>
            <w:tcW w:w="1100" w:type="pct"/>
          </w:tcPr>
          <w:p w:rsidR="00881D15" w:rsidRDefault="008402C0" w:rsidP="001D3BDF">
            <w:pPr>
              <w:rPr>
                <w:sz w:val="18"/>
                <w:szCs w:val="20"/>
              </w:rPr>
            </w:pPr>
            <w:hyperlink r:id="rId29" w:tooltip="The American journal of surgical pathology." w:history="1">
              <w:r w:rsidR="00881D15" w:rsidRPr="00CF3816">
                <w:rPr>
                  <w:sz w:val="18"/>
                  <w:szCs w:val="20"/>
                </w:rPr>
                <w:t xml:space="preserve">Am J </w:t>
              </w:r>
              <w:proofErr w:type="spellStart"/>
              <w:r w:rsidR="00881D15" w:rsidRPr="00CF3816">
                <w:rPr>
                  <w:sz w:val="18"/>
                  <w:szCs w:val="20"/>
                </w:rPr>
                <w:t>Surg</w:t>
              </w:r>
              <w:proofErr w:type="spellEnd"/>
              <w:r w:rsidR="00881D15" w:rsidRPr="00CF3816">
                <w:rPr>
                  <w:sz w:val="18"/>
                  <w:szCs w:val="20"/>
                </w:rPr>
                <w:t xml:space="preserve"> </w:t>
              </w:r>
              <w:proofErr w:type="spellStart"/>
              <w:r w:rsidR="00881D15" w:rsidRPr="00CF3816">
                <w:rPr>
                  <w:sz w:val="18"/>
                  <w:szCs w:val="20"/>
                </w:rPr>
                <w:t>Pathol</w:t>
              </w:r>
              <w:proofErr w:type="spellEnd"/>
              <w:r w:rsidR="00881D15" w:rsidRPr="00CF3816">
                <w:rPr>
                  <w:sz w:val="18"/>
                  <w:szCs w:val="20"/>
                </w:rPr>
                <w:t>.</w:t>
              </w:r>
            </w:hyperlink>
            <w:r w:rsidR="00881D15" w:rsidRPr="00CF3816">
              <w:rPr>
                <w:sz w:val="18"/>
                <w:szCs w:val="20"/>
              </w:rPr>
              <w:t xml:space="preserve"> 2013 Sep</w:t>
            </w:r>
            <w:proofErr w:type="gramStart"/>
            <w:r w:rsidR="00881D15" w:rsidRPr="00CF3816">
              <w:rPr>
                <w:sz w:val="18"/>
                <w:szCs w:val="20"/>
              </w:rPr>
              <w:t>;37</w:t>
            </w:r>
            <w:proofErr w:type="gramEnd"/>
            <w:r w:rsidR="00881D15" w:rsidRPr="00CF3816">
              <w:rPr>
                <w:sz w:val="18"/>
                <w:szCs w:val="20"/>
              </w:rPr>
              <w:t>(9):1441-9.</w:t>
            </w:r>
          </w:p>
          <w:p w:rsidR="00881D15" w:rsidRPr="00567226" w:rsidRDefault="008402C0" w:rsidP="001D3BDF">
            <w:pPr>
              <w:rPr>
                <w:rStyle w:val="Hyperlink"/>
                <w:sz w:val="18"/>
              </w:rPr>
            </w:pPr>
            <w:hyperlink r:id="rId30" w:history="1">
              <w:r w:rsidR="00F30219">
                <w:rPr>
                  <w:rStyle w:val="Hyperlink"/>
                  <w:sz w:val="18"/>
                  <w:szCs w:val="20"/>
                </w:rPr>
                <w:t>link</w:t>
              </w:r>
            </w:hyperlink>
            <w:r w:rsidR="00F30219">
              <w:rPr>
                <w:rStyle w:val="Hyperlink"/>
                <w:sz w:val="18"/>
                <w:szCs w:val="20"/>
              </w:rPr>
              <w:t xml:space="preserve"> to journal article</w:t>
            </w:r>
          </w:p>
          <w:p w:rsidR="00881D15" w:rsidRPr="004E5EDC" w:rsidRDefault="00881D15" w:rsidP="001D3BDF">
            <w:pPr>
              <w:rPr>
                <w:sz w:val="18"/>
                <w:szCs w:val="20"/>
                <w:highlight w:val="yellow"/>
              </w:rPr>
            </w:pPr>
          </w:p>
        </w:tc>
        <w:tc>
          <w:tcPr>
            <w:tcW w:w="562" w:type="pct"/>
          </w:tcPr>
          <w:p w:rsidR="00881D15" w:rsidRPr="004E5EDC" w:rsidRDefault="00881D15" w:rsidP="001D3BDF">
            <w:pPr>
              <w:rPr>
                <w:sz w:val="18"/>
                <w:szCs w:val="20"/>
                <w:highlight w:val="yellow"/>
              </w:rPr>
            </w:pPr>
            <w:r w:rsidRPr="00CF3816">
              <w:rPr>
                <w:sz w:val="18"/>
                <w:szCs w:val="20"/>
              </w:rPr>
              <w:t>2013</w:t>
            </w:r>
          </w:p>
        </w:tc>
      </w:tr>
      <w:tr w:rsidR="00881D15" w:rsidTr="00881D15">
        <w:trPr>
          <w:cantSplit/>
        </w:trPr>
        <w:tc>
          <w:tcPr>
            <w:tcW w:w="167" w:type="pct"/>
          </w:tcPr>
          <w:p w:rsidR="00881D15" w:rsidRPr="00BA4FAE" w:rsidRDefault="00881D15" w:rsidP="001D3BDF">
            <w:pPr>
              <w:rPr>
                <w:sz w:val="18"/>
                <w:szCs w:val="20"/>
              </w:rPr>
            </w:pPr>
            <w:r w:rsidRPr="00BA4FAE">
              <w:rPr>
                <w:sz w:val="18"/>
                <w:szCs w:val="20"/>
              </w:rPr>
              <w:lastRenderedPageBreak/>
              <w:t>12.</w:t>
            </w:r>
          </w:p>
        </w:tc>
        <w:tc>
          <w:tcPr>
            <w:tcW w:w="522" w:type="pct"/>
          </w:tcPr>
          <w:p w:rsidR="00881D15" w:rsidRPr="00BA4FAE" w:rsidRDefault="00881D15" w:rsidP="001D3BDF">
            <w:pPr>
              <w:rPr>
                <w:sz w:val="18"/>
                <w:szCs w:val="20"/>
              </w:rPr>
            </w:pPr>
            <w:r w:rsidRPr="00BA4FAE">
              <w:rPr>
                <w:sz w:val="18"/>
                <w:szCs w:val="20"/>
              </w:rPr>
              <w:t>Study of diagnostic accuracy</w:t>
            </w:r>
          </w:p>
        </w:tc>
        <w:tc>
          <w:tcPr>
            <w:tcW w:w="1019" w:type="pct"/>
          </w:tcPr>
          <w:p w:rsidR="00881D15" w:rsidRPr="00BA4FAE" w:rsidRDefault="00881D15" w:rsidP="001D3BDF">
            <w:pPr>
              <w:rPr>
                <w:sz w:val="18"/>
                <w:szCs w:val="20"/>
              </w:rPr>
            </w:pPr>
            <w:r w:rsidRPr="00BA4FAE">
              <w:rPr>
                <w:sz w:val="18"/>
                <w:szCs w:val="20"/>
              </w:rPr>
              <w:t>Shan et al, 2015.</w:t>
            </w:r>
          </w:p>
          <w:p w:rsidR="00881D15" w:rsidRPr="00BA4FAE" w:rsidRDefault="00881D15" w:rsidP="001D3BDF">
            <w:pPr>
              <w:rPr>
                <w:sz w:val="18"/>
                <w:szCs w:val="20"/>
              </w:rPr>
            </w:pPr>
            <w:r w:rsidRPr="00BA4FAE">
              <w:rPr>
                <w:sz w:val="18"/>
                <w:szCs w:val="20"/>
              </w:rPr>
              <w:t>Detection of ROS1 Gene Rearrangement in Lung Adenocarcinoma: Comparison of IHC, FISH and Real-Time RT-PCR.</w:t>
            </w:r>
          </w:p>
        </w:tc>
        <w:tc>
          <w:tcPr>
            <w:tcW w:w="1629" w:type="pct"/>
          </w:tcPr>
          <w:p w:rsidR="00881D15" w:rsidRPr="00BA4FAE" w:rsidRDefault="00881D15" w:rsidP="001D3BDF">
            <w:pPr>
              <w:rPr>
                <w:sz w:val="18"/>
                <w:szCs w:val="20"/>
              </w:rPr>
            </w:pPr>
            <w:r>
              <w:rPr>
                <w:sz w:val="18"/>
                <w:szCs w:val="20"/>
              </w:rPr>
              <w:t xml:space="preserve">Study to compare FISH, IHC and </w:t>
            </w:r>
            <w:proofErr w:type="spellStart"/>
            <w:r>
              <w:rPr>
                <w:sz w:val="18"/>
                <w:szCs w:val="20"/>
              </w:rPr>
              <w:t>qRT</w:t>
            </w:r>
            <w:proofErr w:type="spellEnd"/>
            <w:r>
              <w:rPr>
                <w:sz w:val="18"/>
                <w:szCs w:val="20"/>
              </w:rPr>
              <w:t xml:space="preserve">-PCR assays for detection of ROS1 fusion in adenocarcinoma patients </w:t>
            </w:r>
            <w:r w:rsidRPr="00BA4FAE">
              <w:rPr>
                <w:sz w:val="18"/>
                <w:szCs w:val="20"/>
              </w:rPr>
              <w:t xml:space="preserve">Among 60 cases, 16 (26.7%), 13 (21.7%) and 20 (33.3%) </w:t>
            </w:r>
            <w:r>
              <w:rPr>
                <w:sz w:val="18"/>
                <w:szCs w:val="20"/>
              </w:rPr>
              <w:t xml:space="preserve">cases </w:t>
            </w:r>
            <w:r w:rsidRPr="00BA4FAE">
              <w:rPr>
                <w:sz w:val="18"/>
                <w:szCs w:val="20"/>
              </w:rPr>
              <w:t xml:space="preserve">were ROS1-positive by IHC, FISH and </w:t>
            </w:r>
            <w:proofErr w:type="spellStart"/>
            <w:r w:rsidRPr="00BA4FAE">
              <w:rPr>
                <w:sz w:val="18"/>
                <w:szCs w:val="20"/>
              </w:rPr>
              <w:t>qRT</w:t>
            </w:r>
            <w:proofErr w:type="spellEnd"/>
            <w:r w:rsidRPr="00BA4FAE">
              <w:rPr>
                <w:sz w:val="18"/>
                <w:szCs w:val="20"/>
              </w:rPr>
              <w:t xml:space="preserve">-PCR, respectively. Using FISH as a standard method, the sensitivity and specificity of IHC </w:t>
            </w:r>
            <w:r>
              <w:rPr>
                <w:sz w:val="18"/>
                <w:szCs w:val="20"/>
              </w:rPr>
              <w:t>were</w:t>
            </w:r>
            <w:r w:rsidRPr="00BA4FAE">
              <w:rPr>
                <w:sz w:val="18"/>
                <w:szCs w:val="20"/>
              </w:rPr>
              <w:t xml:space="preserve"> 100% and 93.6%</w:t>
            </w:r>
            <w:r>
              <w:rPr>
                <w:sz w:val="18"/>
                <w:szCs w:val="20"/>
              </w:rPr>
              <w:t>, respectively</w:t>
            </w:r>
            <w:r w:rsidRPr="00BA4FAE">
              <w:rPr>
                <w:sz w:val="18"/>
                <w:szCs w:val="20"/>
              </w:rPr>
              <w:t xml:space="preserve">. </w:t>
            </w:r>
          </w:p>
        </w:tc>
        <w:tc>
          <w:tcPr>
            <w:tcW w:w="1100" w:type="pct"/>
          </w:tcPr>
          <w:p w:rsidR="00881D15" w:rsidRDefault="008402C0" w:rsidP="001D3BDF">
            <w:pPr>
              <w:rPr>
                <w:sz w:val="18"/>
                <w:szCs w:val="20"/>
              </w:rPr>
            </w:pPr>
            <w:hyperlink r:id="rId31" w:tooltip="PloS one." w:history="1">
              <w:proofErr w:type="spellStart"/>
              <w:r w:rsidR="00881D15" w:rsidRPr="00BA4FAE">
                <w:rPr>
                  <w:sz w:val="18"/>
                  <w:szCs w:val="20"/>
                </w:rPr>
                <w:t>PLoS</w:t>
              </w:r>
              <w:proofErr w:type="spellEnd"/>
              <w:r w:rsidR="00881D15" w:rsidRPr="00BA4FAE">
                <w:rPr>
                  <w:sz w:val="18"/>
                  <w:szCs w:val="20"/>
                </w:rPr>
                <w:t xml:space="preserve"> One.</w:t>
              </w:r>
            </w:hyperlink>
            <w:r w:rsidR="00881D15" w:rsidRPr="00BA4FAE">
              <w:rPr>
                <w:sz w:val="18"/>
                <w:szCs w:val="20"/>
              </w:rPr>
              <w:t xml:space="preserve"> 2015 Mar 5;10(3):e0120422</w:t>
            </w:r>
          </w:p>
          <w:p w:rsidR="00881D15" w:rsidRDefault="008402C0" w:rsidP="001D3BDF">
            <w:pPr>
              <w:rPr>
                <w:sz w:val="18"/>
                <w:szCs w:val="20"/>
              </w:rPr>
            </w:pPr>
            <w:hyperlink r:id="rId32" w:history="1">
              <w:r w:rsidR="00F30219">
                <w:rPr>
                  <w:rStyle w:val="Hyperlink"/>
                  <w:sz w:val="18"/>
                  <w:szCs w:val="20"/>
                </w:rPr>
                <w:t>link</w:t>
              </w:r>
            </w:hyperlink>
            <w:r w:rsidR="00F30219">
              <w:rPr>
                <w:rStyle w:val="Hyperlink"/>
                <w:sz w:val="18"/>
                <w:szCs w:val="20"/>
              </w:rPr>
              <w:t xml:space="preserve"> to journal article</w:t>
            </w:r>
          </w:p>
          <w:p w:rsidR="00881D15" w:rsidRPr="00BA4FAE" w:rsidRDefault="00881D15" w:rsidP="001D3BDF">
            <w:pPr>
              <w:rPr>
                <w:sz w:val="18"/>
                <w:szCs w:val="20"/>
              </w:rPr>
            </w:pPr>
          </w:p>
          <w:p w:rsidR="00881D15" w:rsidRDefault="008402C0" w:rsidP="001D3BDF">
            <w:pPr>
              <w:rPr>
                <w:sz w:val="18"/>
                <w:szCs w:val="20"/>
              </w:rPr>
            </w:pPr>
            <w:hyperlink r:id="rId33" w:history="1"/>
          </w:p>
          <w:p w:rsidR="00881D15" w:rsidRPr="00BA4FAE" w:rsidRDefault="00881D15" w:rsidP="001D3BDF">
            <w:pPr>
              <w:rPr>
                <w:sz w:val="18"/>
                <w:szCs w:val="20"/>
              </w:rPr>
            </w:pPr>
          </w:p>
          <w:p w:rsidR="00881D15" w:rsidRPr="00BA4FAE" w:rsidRDefault="00881D15" w:rsidP="001D3BDF">
            <w:pPr>
              <w:rPr>
                <w:sz w:val="18"/>
                <w:szCs w:val="20"/>
              </w:rPr>
            </w:pPr>
          </w:p>
        </w:tc>
        <w:tc>
          <w:tcPr>
            <w:tcW w:w="562" w:type="pct"/>
          </w:tcPr>
          <w:p w:rsidR="00881D15" w:rsidRPr="00BA4FAE" w:rsidRDefault="00881D15" w:rsidP="001D3BDF">
            <w:pPr>
              <w:rPr>
                <w:sz w:val="18"/>
                <w:szCs w:val="20"/>
              </w:rPr>
            </w:pPr>
            <w:r w:rsidRPr="00BA4FAE">
              <w:rPr>
                <w:sz w:val="18"/>
                <w:szCs w:val="20"/>
              </w:rPr>
              <w:t>2015</w:t>
            </w:r>
          </w:p>
        </w:tc>
      </w:tr>
      <w:tr w:rsidR="00881D15" w:rsidTr="00881D15">
        <w:trPr>
          <w:cantSplit/>
        </w:trPr>
        <w:tc>
          <w:tcPr>
            <w:tcW w:w="167" w:type="pct"/>
          </w:tcPr>
          <w:p w:rsidR="00881D15" w:rsidRPr="004E5EDC" w:rsidRDefault="00881D15" w:rsidP="001D3BDF">
            <w:pPr>
              <w:rPr>
                <w:sz w:val="18"/>
                <w:szCs w:val="20"/>
                <w:highlight w:val="yellow"/>
              </w:rPr>
            </w:pPr>
            <w:r w:rsidRPr="0009321C">
              <w:rPr>
                <w:sz w:val="18"/>
                <w:szCs w:val="20"/>
              </w:rPr>
              <w:t>13.</w:t>
            </w:r>
          </w:p>
        </w:tc>
        <w:tc>
          <w:tcPr>
            <w:tcW w:w="522" w:type="pct"/>
          </w:tcPr>
          <w:p w:rsidR="00881D15" w:rsidRPr="004E5EDC" w:rsidRDefault="00881D15" w:rsidP="001D3BDF">
            <w:pPr>
              <w:rPr>
                <w:sz w:val="18"/>
                <w:szCs w:val="20"/>
                <w:highlight w:val="yellow"/>
              </w:rPr>
            </w:pPr>
            <w:r w:rsidRPr="00BA4FAE">
              <w:rPr>
                <w:sz w:val="18"/>
                <w:szCs w:val="20"/>
              </w:rPr>
              <w:t>Study of diagnostic accuracy</w:t>
            </w:r>
          </w:p>
        </w:tc>
        <w:tc>
          <w:tcPr>
            <w:tcW w:w="1019" w:type="pct"/>
          </w:tcPr>
          <w:p w:rsidR="00881D15" w:rsidRPr="0009321C" w:rsidRDefault="00881D15" w:rsidP="001D3BDF">
            <w:pPr>
              <w:rPr>
                <w:sz w:val="18"/>
                <w:szCs w:val="20"/>
              </w:rPr>
            </w:pPr>
            <w:r w:rsidRPr="0009321C">
              <w:rPr>
                <w:sz w:val="18"/>
                <w:szCs w:val="20"/>
              </w:rPr>
              <w:t>Cha et al, 2014.</w:t>
            </w:r>
          </w:p>
          <w:p w:rsidR="00881D15" w:rsidRPr="004E5EDC" w:rsidRDefault="00881D15" w:rsidP="001D3BDF">
            <w:pPr>
              <w:rPr>
                <w:sz w:val="18"/>
                <w:szCs w:val="20"/>
                <w:highlight w:val="yellow"/>
              </w:rPr>
            </w:pPr>
            <w:r w:rsidRPr="0009321C">
              <w:rPr>
                <w:sz w:val="18"/>
                <w:szCs w:val="20"/>
              </w:rPr>
              <w:t>Screening of ROS1 Rearrangements in Lung Adenocarcinoma by Immunohistochemistry and Comparison with ALK Rearrangements.</w:t>
            </w:r>
          </w:p>
        </w:tc>
        <w:tc>
          <w:tcPr>
            <w:tcW w:w="1629" w:type="pct"/>
          </w:tcPr>
          <w:p w:rsidR="00881D15" w:rsidRPr="004E5EDC" w:rsidRDefault="00881D15" w:rsidP="001D3BDF">
            <w:pPr>
              <w:rPr>
                <w:sz w:val="18"/>
                <w:szCs w:val="20"/>
                <w:highlight w:val="yellow"/>
              </w:rPr>
            </w:pPr>
            <w:r w:rsidRPr="0009321C">
              <w:rPr>
                <w:sz w:val="18"/>
                <w:szCs w:val="20"/>
              </w:rPr>
              <w:t xml:space="preserve">Investigation of the diagnostic accuracy of ROS1 IHC </w:t>
            </w:r>
            <w:r>
              <w:rPr>
                <w:sz w:val="18"/>
                <w:szCs w:val="20"/>
              </w:rPr>
              <w:t>across</w:t>
            </w:r>
            <w:r w:rsidRPr="0009321C">
              <w:rPr>
                <w:sz w:val="18"/>
                <w:szCs w:val="20"/>
              </w:rPr>
              <w:t xml:space="preserve"> retrospective (n=219) </w:t>
            </w:r>
            <w:r>
              <w:rPr>
                <w:sz w:val="18"/>
                <w:szCs w:val="20"/>
              </w:rPr>
              <w:t>and prospective (n=111) cohorts and</w:t>
            </w:r>
            <w:r w:rsidRPr="0009321C">
              <w:rPr>
                <w:sz w:val="18"/>
                <w:szCs w:val="20"/>
              </w:rPr>
              <w:t xml:space="preserve"> </w:t>
            </w:r>
            <w:r>
              <w:rPr>
                <w:sz w:val="18"/>
                <w:szCs w:val="20"/>
              </w:rPr>
              <w:t xml:space="preserve">a comparison of the diagnostic performance of ROS1 IHC and ALK IHC. </w:t>
            </w:r>
            <w:r w:rsidRPr="0009321C">
              <w:rPr>
                <w:sz w:val="18"/>
                <w:szCs w:val="20"/>
              </w:rPr>
              <w:t xml:space="preserve">Using an IHC-positivity cut-off of </w:t>
            </w:r>
            <w:r w:rsidRPr="00501A70">
              <w:rPr>
                <w:sz w:val="18"/>
                <w:szCs w:val="20"/>
                <w:u w:val="single"/>
              </w:rPr>
              <w:t>&gt;</w:t>
            </w:r>
            <w:r w:rsidRPr="0009321C">
              <w:rPr>
                <w:sz w:val="18"/>
                <w:szCs w:val="20"/>
              </w:rPr>
              <w:t xml:space="preserve">2+, the sensitivity and specificity </w:t>
            </w:r>
            <w:r>
              <w:rPr>
                <w:sz w:val="18"/>
                <w:szCs w:val="20"/>
              </w:rPr>
              <w:t xml:space="preserve">of ROS1 IHC </w:t>
            </w:r>
            <w:r w:rsidRPr="0009321C">
              <w:rPr>
                <w:sz w:val="18"/>
                <w:szCs w:val="20"/>
              </w:rPr>
              <w:t xml:space="preserve">were 100% and 95%, respectively. </w:t>
            </w:r>
          </w:p>
        </w:tc>
        <w:tc>
          <w:tcPr>
            <w:tcW w:w="1100" w:type="pct"/>
          </w:tcPr>
          <w:p w:rsidR="00881D15" w:rsidRDefault="008402C0" w:rsidP="001D3BDF">
            <w:pPr>
              <w:rPr>
                <w:sz w:val="18"/>
                <w:szCs w:val="20"/>
              </w:rPr>
            </w:pPr>
            <w:hyperlink r:id="rId34" w:tooltip="PloS one." w:history="1">
              <w:proofErr w:type="spellStart"/>
              <w:r w:rsidR="00881D15" w:rsidRPr="002F691D">
                <w:rPr>
                  <w:sz w:val="18"/>
                  <w:szCs w:val="20"/>
                </w:rPr>
                <w:t>PLoS</w:t>
              </w:r>
              <w:proofErr w:type="spellEnd"/>
              <w:r w:rsidR="00881D15" w:rsidRPr="002F691D">
                <w:rPr>
                  <w:sz w:val="18"/>
                  <w:szCs w:val="20"/>
                </w:rPr>
                <w:t xml:space="preserve"> One.</w:t>
              </w:r>
            </w:hyperlink>
            <w:r w:rsidR="00881D15" w:rsidRPr="002F691D">
              <w:rPr>
                <w:sz w:val="18"/>
                <w:szCs w:val="20"/>
              </w:rPr>
              <w:t xml:space="preserve"> 2014 Jul 24</w:t>
            </w:r>
            <w:proofErr w:type="gramStart"/>
            <w:r w:rsidR="00881D15" w:rsidRPr="002F691D">
              <w:rPr>
                <w:sz w:val="18"/>
                <w:szCs w:val="20"/>
              </w:rPr>
              <w:t>;9</w:t>
            </w:r>
            <w:proofErr w:type="gramEnd"/>
            <w:r w:rsidR="00881D15" w:rsidRPr="002F691D">
              <w:rPr>
                <w:sz w:val="18"/>
                <w:szCs w:val="20"/>
              </w:rPr>
              <w:t xml:space="preserve">(7):e103333. </w:t>
            </w:r>
          </w:p>
          <w:p w:rsidR="00881D15" w:rsidRDefault="008402C0" w:rsidP="001D3BDF">
            <w:pPr>
              <w:rPr>
                <w:sz w:val="18"/>
                <w:szCs w:val="20"/>
              </w:rPr>
            </w:pPr>
            <w:hyperlink r:id="rId35" w:history="1">
              <w:r w:rsidR="00F30219">
                <w:rPr>
                  <w:rStyle w:val="Hyperlink"/>
                  <w:sz w:val="18"/>
                  <w:szCs w:val="20"/>
                </w:rPr>
                <w:t>link</w:t>
              </w:r>
            </w:hyperlink>
            <w:r w:rsidR="00F30219">
              <w:rPr>
                <w:rStyle w:val="Hyperlink"/>
                <w:sz w:val="18"/>
                <w:szCs w:val="20"/>
              </w:rPr>
              <w:t xml:space="preserve"> to journal article</w:t>
            </w:r>
          </w:p>
          <w:p w:rsidR="00881D15" w:rsidRPr="002F691D" w:rsidRDefault="00881D15" w:rsidP="001D3BDF">
            <w:pPr>
              <w:rPr>
                <w:sz w:val="18"/>
                <w:szCs w:val="20"/>
              </w:rPr>
            </w:pPr>
          </w:p>
          <w:p w:rsidR="00881D15" w:rsidRPr="002F691D" w:rsidRDefault="00881D15" w:rsidP="001D3BDF">
            <w:pPr>
              <w:rPr>
                <w:sz w:val="18"/>
                <w:szCs w:val="20"/>
              </w:rPr>
            </w:pPr>
          </w:p>
          <w:p w:rsidR="00881D15" w:rsidRPr="004E5EDC" w:rsidRDefault="00881D15" w:rsidP="001D3BDF">
            <w:pPr>
              <w:rPr>
                <w:sz w:val="18"/>
                <w:szCs w:val="20"/>
                <w:highlight w:val="yellow"/>
              </w:rPr>
            </w:pPr>
          </w:p>
        </w:tc>
        <w:tc>
          <w:tcPr>
            <w:tcW w:w="562" w:type="pct"/>
          </w:tcPr>
          <w:p w:rsidR="00881D15" w:rsidRPr="004E5EDC" w:rsidRDefault="00881D15" w:rsidP="001D3BDF">
            <w:pPr>
              <w:rPr>
                <w:sz w:val="18"/>
                <w:szCs w:val="20"/>
                <w:highlight w:val="yellow"/>
              </w:rPr>
            </w:pPr>
            <w:r w:rsidRPr="00F138E7">
              <w:rPr>
                <w:sz w:val="18"/>
                <w:szCs w:val="20"/>
              </w:rPr>
              <w:t>2014</w:t>
            </w:r>
          </w:p>
        </w:tc>
      </w:tr>
      <w:tr w:rsidR="00881D15" w:rsidTr="00881D15">
        <w:trPr>
          <w:cantSplit/>
        </w:trPr>
        <w:tc>
          <w:tcPr>
            <w:tcW w:w="167" w:type="pct"/>
          </w:tcPr>
          <w:p w:rsidR="00881D15" w:rsidRPr="003B33D9" w:rsidRDefault="00881D15" w:rsidP="001D3BDF">
            <w:pPr>
              <w:rPr>
                <w:sz w:val="18"/>
                <w:szCs w:val="20"/>
              </w:rPr>
            </w:pPr>
            <w:r w:rsidRPr="003B33D9">
              <w:rPr>
                <w:sz w:val="18"/>
                <w:szCs w:val="20"/>
              </w:rPr>
              <w:t>14.</w:t>
            </w:r>
          </w:p>
        </w:tc>
        <w:tc>
          <w:tcPr>
            <w:tcW w:w="522" w:type="pct"/>
          </w:tcPr>
          <w:p w:rsidR="00881D15" w:rsidRPr="003B33D9" w:rsidRDefault="00881D15" w:rsidP="001D3BDF">
            <w:pPr>
              <w:rPr>
                <w:sz w:val="18"/>
                <w:szCs w:val="20"/>
              </w:rPr>
            </w:pPr>
            <w:r w:rsidRPr="003B33D9">
              <w:rPr>
                <w:sz w:val="18"/>
                <w:szCs w:val="20"/>
              </w:rPr>
              <w:t>Study of diagnostic accuracy</w:t>
            </w:r>
          </w:p>
        </w:tc>
        <w:tc>
          <w:tcPr>
            <w:tcW w:w="1019" w:type="pct"/>
          </w:tcPr>
          <w:p w:rsidR="00881D15" w:rsidRPr="003B33D9" w:rsidRDefault="00881D15" w:rsidP="001D3BDF">
            <w:pPr>
              <w:rPr>
                <w:sz w:val="18"/>
                <w:szCs w:val="20"/>
              </w:rPr>
            </w:pPr>
            <w:proofErr w:type="spellStart"/>
            <w:r>
              <w:rPr>
                <w:sz w:val="18"/>
                <w:szCs w:val="20"/>
              </w:rPr>
              <w:t>Mescam</w:t>
            </w:r>
            <w:proofErr w:type="spellEnd"/>
            <w:r>
              <w:rPr>
                <w:sz w:val="18"/>
                <w:szCs w:val="20"/>
              </w:rPr>
              <w:t>-Mancini et al, 2014</w:t>
            </w:r>
            <w:r w:rsidRPr="003B33D9">
              <w:rPr>
                <w:sz w:val="18"/>
                <w:szCs w:val="20"/>
              </w:rPr>
              <w:t>.</w:t>
            </w:r>
          </w:p>
          <w:p w:rsidR="00881D15" w:rsidRPr="003B33D9" w:rsidRDefault="00881D15" w:rsidP="001D3BDF">
            <w:pPr>
              <w:rPr>
                <w:sz w:val="18"/>
                <w:szCs w:val="20"/>
              </w:rPr>
            </w:pPr>
            <w:r w:rsidRPr="003B33D9">
              <w:rPr>
                <w:sz w:val="18"/>
                <w:szCs w:val="20"/>
              </w:rPr>
              <w:t>On the relevance of a testing algorithm for the detection of ROS1-rearranged lung adenocarcinomas.</w:t>
            </w:r>
          </w:p>
        </w:tc>
        <w:tc>
          <w:tcPr>
            <w:tcW w:w="1629" w:type="pct"/>
          </w:tcPr>
          <w:p w:rsidR="00881D15" w:rsidRPr="003B33D9" w:rsidRDefault="00881D15" w:rsidP="001D3BDF">
            <w:pPr>
              <w:rPr>
                <w:sz w:val="18"/>
                <w:szCs w:val="20"/>
              </w:rPr>
            </w:pPr>
            <w:r>
              <w:rPr>
                <w:sz w:val="18"/>
                <w:szCs w:val="20"/>
              </w:rPr>
              <w:t>Study of 121 triple negative lung adenocarcinomas and 80 additional cases with known EGFR, KRAS, PI3KCA, BRAF, HER2 mutations or ALK-rearrangement screened by IHC and FISH. Considering a positivity threshold of 2+ stained cells, the sensitivity of the ROS1 D464 antibody compared to FISH was 100% and the specificity 96.9%.</w:t>
            </w:r>
          </w:p>
        </w:tc>
        <w:tc>
          <w:tcPr>
            <w:tcW w:w="1100" w:type="pct"/>
          </w:tcPr>
          <w:p w:rsidR="00881D15" w:rsidRDefault="008402C0" w:rsidP="001D3BDF">
            <w:pPr>
              <w:rPr>
                <w:sz w:val="18"/>
                <w:szCs w:val="20"/>
              </w:rPr>
            </w:pPr>
            <w:hyperlink r:id="rId36" w:tooltip="Lung cancer (Amsterdam, Netherlands)." w:history="1">
              <w:r w:rsidR="00881D15" w:rsidRPr="00AC3E00">
                <w:rPr>
                  <w:sz w:val="18"/>
                </w:rPr>
                <w:t>Lung</w:t>
              </w:r>
              <w:r w:rsidR="00881D15" w:rsidRPr="00AC3E00">
                <w:rPr>
                  <w:sz w:val="18"/>
                  <w:szCs w:val="20"/>
                </w:rPr>
                <w:t xml:space="preserve"> Cancer.</w:t>
              </w:r>
            </w:hyperlink>
            <w:r w:rsidR="00881D15" w:rsidRPr="00AC3E00">
              <w:rPr>
                <w:sz w:val="18"/>
                <w:szCs w:val="20"/>
              </w:rPr>
              <w:t xml:space="preserve"> 2014 Feb</w:t>
            </w:r>
            <w:proofErr w:type="gramStart"/>
            <w:r w:rsidR="00881D15" w:rsidRPr="00AC3E00">
              <w:rPr>
                <w:sz w:val="18"/>
                <w:szCs w:val="20"/>
              </w:rPr>
              <w:t>;83</w:t>
            </w:r>
            <w:proofErr w:type="gramEnd"/>
            <w:r w:rsidR="00881D15" w:rsidRPr="00AC3E00">
              <w:rPr>
                <w:sz w:val="18"/>
                <w:szCs w:val="20"/>
              </w:rPr>
              <w:t>(2):168-73.</w:t>
            </w:r>
          </w:p>
          <w:p w:rsidR="00881D15" w:rsidRPr="00AC3E00" w:rsidRDefault="00F30219" w:rsidP="001D3BDF">
            <w:pPr>
              <w:rPr>
                <w:rStyle w:val="Hyperlink"/>
                <w:sz w:val="18"/>
              </w:rPr>
            </w:pPr>
            <w:r>
              <w:rPr>
                <w:rStyle w:val="Hyperlink"/>
                <w:sz w:val="18"/>
              </w:rPr>
              <w:t>Link to journal article</w:t>
            </w:r>
          </w:p>
          <w:p w:rsidR="00881D15" w:rsidRPr="003B33D9" w:rsidRDefault="00881D15" w:rsidP="001D3BDF">
            <w:pPr>
              <w:rPr>
                <w:sz w:val="18"/>
                <w:szCs w:val="20"/>
              </w:rPr>
            </w:pPr>
          </w:p>
        </w:tc>
        <w:tc>
          <w:tcPr>
            <w:tcW w:w="562" w:type="pct"/>
          </w:tcPr>
          <w:p w:rsidR="00881D15" w:rsidRPr="003B33D9" w:rsidRDefault="00881D15" w:rsidP="001D3BDF">
            <w:pPr>
              <w:rPr>
                <w:sz w:val="18"/>
                <w:szCs w:val="20"/>
              </w:rPr>
            </w:pPr>
            <w:r w:rsidRPr="003B33D9">
              <w:rPr>
                <w:sz w:val="18"/>
                <w:szCs w:val="20"/>
              </w:rPr>
              <w:t>2014</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rsidP="00DD308E">
      <w:pPr>
        <w:rPr>
          <w:i/>
          <w:szCs w:val="20"/>
        </w:rPr>
      </w:pPr>
      <w:r>
        <w:rPr>
          <w:i/>
          <w:szCs w:val="20"/>
        </w:rPr>
        <w:br w:type="page"/>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ayout w:type="fixed"/>
        <w:tblLook w:val="04A0" w:firstRow="1" w:lastRow="0" w:firstColumn="1" w:lastColumn="0" w:noHBand="0" w:noVBand="1"/>
        <w:tblDescription w:val="Summary of Evidence - Yet to be Published"/>
      </w:tblPr>
      <w:tblGrid>
        <w:gridCol w:w="451"/>
        <w:gridCol w:w="1032"/>
        <w:gridCol w:w="2027"/>
        <w:gridCol w:w="2838"/>
        <w:gridCol w:w="2857"/>
        <w:gridCol w:w="4969"/>
      </w:tblGrid>
      <w:tr w:rsidR="004C49EF" w:rsidTr="00881D15">
        <w:trPr>
          <w:cantSplit/>
          <w:tblHeader/>
        </w:trPr>
        <w:tc>
          <w:tcPr>
            <w:tcW w:w="159" w:type="pct"/>
          </w:tcPr>
          <w:p w:rsidR="004C49EF" w:rsidRDefault="004C49EF" w:rsidP="00855944">
            <w:pPr>
              <w:pStyle w:val="TableHEADER"/>
            </w:pPr>
          </w:p>
        </w:tc>
        <w:tc>
          <w:tcPr>
            <w:tcW w:w="364" w:type="pct"/>
          </w:tcPr>
          <w:p w:rsidR="004C49EF" w:rsidRDefault="004C49EF" w:rsidP="00855944">
            <w:pPr>
              <w:pStyle w:val="TableHEADER"/>
            </w:pPr>
            <w:r>
              <w:t>Type of study design*</w:t>
            </w:r>
          </w:p>
        </w:tc>
        <w:tc>
          <w:tcPr>
            <w:tcW w:w="715" w:type="pct"/>
          </w:tcPr>
          <w:p w:rsidR="004C49EF" w:rsidRDefault="004C49EF" w:rsidP="00855944">
            <w:pPr>
              <w:pStyle w:val="TableHEADER"/>
            </w:pPr>
            <w:r>
              <w:t>Title of research (including any trial identifier if relevant)</w:t>
            </w:r>
          </w:p>
        </w:tc>
        <w:tc>
          <w:tcPr>
            <w:tcW w:w="1001" w:type="pct"/>
          </w:tcPr>
          <w:p w:rsidR="004C49EF" w:rsidRDefault="00367C1B" w:rsidP="00855944">
            <w:pPr>
              <w:pStyle w:val="TableHEADER"/>
            </w:pPr>
            <w:r>
              <w:t xml:space="preserve">Short description of research </w:t>
            </w:r>
            <w:r w:rsidR="004C49EF">
              <w:t>(max 50 words)**</w:t>
            </w:r>
          </w:p>
        </w:tc>
        <w:tc>
          <w:tcPr>
            <w:tcW w:w="1008" w:type="pct"/>
          </w:tcPr>
          <w:p w:rsidR="004C49EF" w:rsidRDefault="004C49EF" w:rsidP="00855944">
            <w:pPr>
              <w:pStyle w:val="TableHEADER"/>
            </w:pPr>
            <w:r w:rsidRPr="00E82F54">
              <w:t xml:space="preserve">Website link to </w:t>
            </w:r>
            <w:r>
              <w:t>research (if available)</w:t>
            </w:r>
          </w:p>
        </w:tc>
        <w:tc>
          <w:tcPr>
            <w:tcW w:w="1753" w:type="pct"/>
          </w:tcPr>
          <w:p w:rsidR="004C49EF" w:rsidRDefault="004C49EF" w:rsidP="00855944">
            <w:pPr>
              <w:pStyle w:val="TableHEADER"/>
            </w:pPr>
            <w:r w:rsidRPr="00E82F54">
              <w:t>Date*</w:t>
            </w:r>
            <w:r>
              <w:t>**</w:t>
            </w:r>
          </w:p>
        </w:tc>
      </w:tr>
      <w:tr w:rsidR="00881D15" w:rsidTr="00881D15">
        <w:trPr>
          <w:cantSplit/>
        </w:trPr>
        <w:tc>
          <w:tcPr>
            <w:tcW w:w="159" w:type="pct"/>
          </w:tcPr>
          <w:p w:rsidR="00881D15" w:rsidRPr="00965B6B" w:rsidRDefault="00881D15" w:rsidP="001D3BDF">
            <w:pPr>
              <w:rPr>
                <w:szCs w:val="20"/>
              </w:rPr>
            </w:pPr>
            <w:r w:rsidRPr="00965B6B">
              <w:rPr>
                <w:szCs w:val="20"/>
              </w:rPr>
              <w:t>1</w:t>
            </w:r>
            <w:r>
              <w:rPr>
                <w:szCs w:val="20"/>
              </w:rPr>
              <w:t>.</w:t>
            </w:r>
          </w:p>
        </w:tc>
        <w:tc>
          <w:tcPr>
            <w:tcW w:w="364" w:type="pct"/>
          </w:tcPr>
          <w:p w:rsidR="00881D15" w:rsidRDefault="00881D15" w:rsidP="001D3BDF">
            <w:pPr>
              <w:rPr>
                <w:b/>
                <w:szCs w:val="20"/>
              </w:rPr>
            </w:pPr>
            <w:r w:rsidRPr="001B7740">
              <w:rPr>
                <w:sz w:val="18"/>
                <w:lang w:val="en"/>
              </w:rPr>
              <w:t>A biology driven, trans-</w:t>
            </w:r>
            <w:proofErr w:type="spellStart"/>
            <w:r w:rsidRPr="001B7740">
              <w:rPr>
                <w:sz w:val="18"/>
                <w:lang w:val="en"/>
              </w:rPr>
              <w:t>tumoral</w:t>
            </w:r>
            <w:proofErr w:type="spellEnd"/>
            <w:r w:rsidRPr="001B7740">
              <w:rPr>
                <w:sz w:val="18"/>
                <w:lang w:val="en"/>
              </w:rPr>
              <w:t xml:space="preserve">, </w:t>
            </w:r>
            <w:proofErr w:type="spellStart"/>
            <w:r w:rsidRPr="001B7740">
              <w:rPr>
                <w:sz w:val="18"/>
                <w:lang w:val="en"/>
              </w:rPr>
              <w:t>multicentric</w:t>
            </w:r>
            <w:proofErr w:type="spellEnd"/>
            <w:r w:rsidRPr="001B7740">
              <w:rPr>
                <w:sz w:val="18"/>
                <w:lang w:val="en"/>
              </w:rPr>
              <w:t xml:space="preserve"> phase II trial</w:t>
            </w:r>
          </w:p>
        </w:tc>
        <w:tc>
          <w:tcPr>
            <w:tcW w:w="715" w:type="pct"/>
          </w:tcPr>
          <w:p w:rsidR="00881D15" w:rsidRDefault="00881D15" w:rsidP="001D3BDF">
            <w:pPr>
              <w:rPr>
                <w:sz w:val="18"/>
                <w:lang w:val="en"/>
              </w:rPr>
            </w:pPr>
            <w:r w:rsidRPr="001B7740">
              <w:rPr>
                <w:sz w:val="18"/>
                <w:lang w:val="en"/>
              </w:rPr>
              <w:t xml:space="preserve">Phase 2 Study Assessing Efficacy and Safety of </w:t>
            </w:r>
            <w:proofErr w:type="spellStart"/>
            <w:r w:rsidRPr="001B7740">
              <w:rPr>
                <w:sz w:val="18"/>
                <w:lang w:val="en"/>
              </w:rPr>
              <w:t>Crizotinib</w:t>
            </w:r>
            <w:proofErr w:type="spellEnd"/>
            <w:r w:rsidRPr="001B7740">
              <w:rPr>
                <w:sz w:val="18"/>
                <w:lang w:val="en"/>
              </w:rPr>
              <w:t xml:space="preserve"> in Patients Harboring an Alteration on ALK, MET or </w:t>
            </w:r>
            <w:r w:rsidRPr="00010E8F">
              <w:rPr>
                <w:sz w:val="18"/>
                <w:lang w:val="en"/>
              </w:rPr>
              <w:t>ROS1</w:t>
            </w:r>
            <w:r w:rsidRPr="001B7740">
              <w:rPr>
                <w:sz w:val="18"/>
                <w:lang w:val="en"/>
              </w:rPr>
              <w:t xml:space="preserve"> (</w:t>
            </w:r>
            <w:proofErr w:type="spellStart"/>
            <w:r w:rsidRPr="001B7740">
              <w:rPr>
                <w:sz w:val="18"/>
                <w:lang w:val="en"/>
              </w:rPr>
              <w:t>AcSé</w:t>
            </w:r>
            <w:proofErr w:type="spellEnd"/>
            <w:r w:rsidRPr="001B7740">
              <w:rPr>
                <w:sz w:val="18"/>
                <w:lang w:val="en"/>
              </w:rPr>
              <w:t>)</w:t>
            </w:r>
            <w:r>
              <w:rPr>
                <w:sz w:val="18"/>
                <w:lang w:val="en"/>
              </w:rPr>
              <w:t xml:space="preserve">. </w:t>
            </w:r>
          </w:p>
          <w:p w:rsidR="00881D15" w:rsidRDefault="00881D15" w:rsidP="001D3BDF">
            <w:pPr>
              <w:rPr>
                <w:b/>
                <w:szCs w:val="20"/>
              </w:rPr>
            </w:pPr>
            <w:r w:rsidRPr="001B7740">
              <w:rPr>
                <w:sz w:val="18"/>
                <w:lang w:val="en"/>
              </w:rPr>
              <w:t>NCT02034981</w:t>
            </w:r>
            <w:r>
              <w:rPr>
                <w:sz w:val="18"/>
                <w:lang w:val="en"/>
              </w:rPr>
              <w:t>.</w:t>
            </w:r>
          </w:p>
        </w:tc>
        <w:tc>
          <w:tcPr>
            <w:tcW w:w="1001" w:type="pct"/>
          </w:tcPr>
          <w:p w:rsidR="00881D15" w:rsidRPr="001B7740" w:rsidRDefault="00881D15" w:rsidP="001D3BDF">
            <w:pPr>
              <w:rPr>
                <w:sz w:val="18"/>
                <w:lang w:val="en"/>
              </w:rPr>
            </w:pPr>
            <w:r>
              <w:rPr>
                <w:sz w:val="18"/>
                <w:lang w:val="en"/>
              </w:rPr>
              <w:t>Trial to assess</w:t>
            </w:r>
            <w:r w:rsidRPr="001B7740">
              <w:rPr>
                <w:sz w:val="18"/>
                <w:lang w:val="en"/>
              </w:rPr>
              <w:t xml:space="preserve"> the efficacy and the safety of the targeted agent </w:t>
            </w:r>
            <w:proofErr w:type="spellStart"/>
            <w:r w:rsidRPr="001B7740">
              <w:rPr>
                <w:sz w:val="18"/>
                <w:lang w:val="en"/>
              </w:rPr>
              <w:t>crizotinib</w:t>
            </w:r>
            <w:proofErr w:type="spellEnd"/>
            <w:r w:rsidRPr="001B7740">
              <w:rPr>
                <w:sz w:val="18"/>
                <w:lang w:val="en"/>
              </w:rPr>
              <w:t xml:space="preserve"> as a </w:t>
            </w:r>
            <w:proofErr w:type="spellStart"/>
            <w:r w:rsidRPr="001B7740">
              <w:rPr>
                <w:sz w:val="18"/>
                <w:lang w:val="en"/>
              </w:rPr>
              <w:t>monotherapy</w:t>
            </w:r>
            <w:proofErr w:type="spellEnd"/>
            <w:r w:rsidRPr="001B7740">
              <w:rPr>
                <w:sz w:val="18"/>
                <w:lang w:val="en"/>
              </w:rPr>
              <w:t xml:space="preserve"> in 23 cohorts of patients with identified activating molecular alterations in the </w:t>
            </w:r>
            <w:proofErr w:type="spellStart"/>
            <w:r w:rsidRPr="001B7740">
              <w:rPr>
                <w:sz w:val="18"/>
                <w:lang w:val="en"/>
              </w:rPr>
              <w:t>crizotinib</w:t>
            </w:r>
            <w:proofErr w:type="spellEnd"/>
            <w:r w:rsidRPr="001B7740">
              <w:rPr>
                <w:sz w:val="18"/>
                <w:lang w:val="en"/>
              </w:rPr>
              <w:t xml:space="preserve"> target genes. A cohort is defined by </w:t>
            </w:r>
            <w:proofErr w:type="gramStart"/>
            <w:r w:rsidRPr="001B7740">
              <w:rPr>
                <w:sz w:val="18"/>
                <w:lang w:val="en"/>
              </w:rPr>
              <w:t>a pathology</w:t>
            </w:r>
            <w:proofErr w:type="gramEnd"/>
            <w:r w:rsidRPr="001B7740">
              <w:rPr>
                <w:sz w:val="18"/>
                <w:lang w:val="en"/>
              </w:rPr>
              <w:t xml:space="preserve"> and a </w:t>
            </w:r>
            <w:proofErr w:type="spellStart"/>
            <w:r w:rsidRPr="001B7740">
              <w:rPr>
                <w:sz w:val="18"/>
                <w:lang w:val="en"/>
              </w:rPr>
              <w:t>crizotinib</w:t>
            </w:r>
            <w:proofErr w:type="spellEnd"/>
            <w:r w:rsidRPr="001B7740">
              <w:rPr>
                <w:sz w:val="18"/>
                <w:lang w:val="en"/>
              </w:rPr>
              <w:t>-target alteration (</w:t>
            </w:r>
            <w:proofErr w:type="spellStart"/>
            <w:r w:rsidRPr="001B7740">
              <w:rPr>
                <w:sz w:val="18"/>
                <w:lang w:val="en"/>
              </w:rPr>
              <w:t>eg</w:t>
            </w:r>
            <w:proofErr w:type="spellEnd"/>
            <w:r w:rsidRPr="001B7740">
              <w:rPr>
                <w:sz w:val="18"/>
                <w:lang w:val="en"/>
              </w:rPr>
              <w:t xml:space="preserve"> gastric cancer with MET amplification).</w:t>
            </w:r>
          </w:p>
        </w:tc>
        <w:tc>
          <w:tcPr>
            <w:tcW w:w="1008" w:type="pct"/>
          </w:tcPr>
          <w:p w:rsidR="00881D15" w:rsidRPr="00E82F54" w:rsidRDefault="00F30219" w:rsidP="001D3BDF">
            <w:pPr>
              <w:rPr>
                <w:b/>
                <w:szCs w:val="20"/>
              </w:rPr>
            </w:pPr>
            <w:r>
              <w:rPr>
                <w:rStyle w:val="Hyperlink"/>
                <w:sz w:val="18"/>
                <w:szCs w:val="20"/>
              </w:rPr>
              <w:t>Link to research</w:t>
            </w:r>
          </w:p>
        </w:tc>
        <w:tc>
          <w:tcPr>
            <w:tcW w:w="1753" w:type="pct"/>
          </w:tcPr>
          <w:p w:rsidR="00881D15" w:rsidRPr="00881D15" w:rsidRDefault="00881D15" w:rsidP="00881D15">
            <w:pPr>
              <w:rPr>
                <w:b/>
                <w:szCs w:val="20"/>
              </w:rPr>
            </w:pPr>
            <w:r>
              <w:rPr>
                <w:b/>
                <w:szCs w:val="20"/>
              </w:rPr>
              <w:t xml:space="preserve">Study Start Date: </w:t>
            </w:r>
            <w:r w:rsidRPr="00881D15">
              <w:rPr>
                <w:szCs w:val="20"/>
              </w:rPr>
              <w:t>August 2013</w:t>
            </w:r>
            <w:r w:rsidRPr="00881D15">
              <w:rPr>
                <w:szCs w:val="20"/>
              </w:rPr>
              <w:tab/>
            </w:r>
          </w:p>
          <w:p w:rsidR="00881D15" w:rsidRPr="00881D15" w:rsidRDefault="00881D15" w:rsidP="00881D15">
            <w:pPr>
              <w:rPr>
                <w:b/>
                <w:szCs w:val="20"/>
              </w:rPr>
            </w:pPr>
            <w:r>
              <w:rPr>
                <w:b/>
                <w:szCs w:val="20"/>
              </w:rPr>
              <w:t xml:space="preserve">Estimated Completion </w:t>
            </w:r>
            <w:r w:rsidRPr="00881D15">
              <w:rPr>
                <w:b/>
                <w:szCs w:val="20"/>
              </w:rPr>
              <w:t xml:space="preserve">Date: </w:t>
            </w:r>
            <w:r w:rsidRPr="00881D15">
              <w:rPr>
                <w:szCs w:val="20"/>
              </w:rPr>
              <w:t>July 2019</w:t>
            </w:r>
            <w:r w:rsidRPr="00881D15">
              <w:rPr>
                <w:b/>
                <w:szCs w:val="20"/>
              </w:rPr>
              <w:tab/>
            </w:r>
          </w:p>
          <w:p w:rsidR="00881D15" w:rsidRPr="00E82F54" w:rsidRDefault="00881D15" w:rsidP="00881D15">
            <w:pPr>
              <w:rPr>
                <w:b/>
                <w:szCs w:val="20"/>
              </w:rPr>
            </w:pPr>
            <w:r>
              <w:rPr>
                <w:b/>
                <w:szCs w:val="20"/>
              </w:rPr>
              <w:t xml:space="preserve">Estimated Primary Completion Date: </w:t>
            </w:r>
            <w:r w:rsidRPr="00881D15">
              <w:rPr>
                <w:szCs w:val="20"/>
              </w:rPr>
              <w:t>December 2016</w:t>
            </w:r>
            <w:r>
              <w:rPr>
                <w:b/>
                <w:szCs w:val="20"/>
              </w:rPr>
              <w:t xml:space="preserve"> </w:t>
            </w:r>
          </w:p>
        </w:tc>
      </w:tr>
      <w:tr w:rsidR="00881D15" w:rsidTr="00881D15">
        <w:trPr>
          <w:cantSplit/>
        </w:trPr>
        <w:tc>
          <w:tcPr>
            <w:tcW w:w="159" w:type="pct"/>
          </w:tcPr>
          <w:p w:rsidR="00881D15" w:rsidRPr="00965B6B" w:rsidRDefault="00881D15" w:rsidP="001D3BDF">
            <w:pPr>
              <w:rPr>
                <w:szCs w:val="20"/>
              </w:rPr>
            </w:pPr>
            <w:r>
              <w:rPr>
                <w:szCs w:val="20"/>
              </w:rPr>
              <w:t>2.</w:t>
            </w:r>
          </w:p>
        </w:tc>
        <w:tc>
          <w:tcPr>
            <w:tcW w:w="364" w:type="pct"/>
          </w:tcPr>
          <w:p w:rsidR="00881D15" w:rsidRPr="00AE2DE9" w:rsidRDefault="00881D15" w:rsidP="001D3BDF">
            <w:pPr>
              <w:rPr>
                <w:sz w:val="18"/>
                <w:lang w:val="en"/>
              </w:rPr>
            </w:pPr>
            <w:r>
              <w:rPr>
                <w:sz w:val="18"/>
                <w:lang w:val="en"/>
              </w:rPr>
              <w:t>Phase II, s</w:t>
            </w:r>
            <w:r w:rsidRPr="00010E8F">
              <w:rPr>
                <w:sz w:val="18"/>
                <w:lang w:val="en"/>
              </w:rPr>
              <w:t xml:space="preserve">ingle arm, open-label safety and </w:t>
            </w:r>
            <w:r>
              <w:rPr>
                <w:sz w:val="18"/>
                <w:lang w:val="en"/>
              </w:rPr>
              <w:t>efficacy study</w:t>
            </w:r>
          </w:p>
        </w:tc>
        <w:tc>
          <w:tcPr>
            <w:tcW w:w="715" w:type="pct"/>
          </w:tcPr>
          <w:p w:rsidR="00881D15" w:rsidRDefault="00881D15" w:rsidP="001D3BDF">
            <w:pPr>
              <w:rPr>
                <w:sz w:val="18"/>
                <w:lang w:val="en"/>
              </w:rPr>
            </w:pPr>
            <w:r w:rsidRPr="00AE2DE9">
              <w:rPr>
                <w:sz w:val="18"/>
                <w:lang w:val="en"/>
              </w:rPr>
              <w:t xml:space="preserve">Phase II Safety and Efficacy Study of </w:t>
            </w:r>
            <w:proofErr w:type="spellStart"/>
            <w:r w:rsidRPr="00AE2DE9">
              <w:rPr>
                <w:sz w:val="18"/>
              </w:rPr>
              <w:t>Crizotinib</w:t>
            </w:r>
            <w:proofErr w:type="spellEnd"/>
            <w:r w:rsidRPr="00AE2DE9">
              <w:rPr>
                <w:sz w:val="18"/>
                <w:lang w:val="en"/>
              </w:rPr>
              <w:t xml:space="preserve"> in East Asian Patients With ROS1 Positive, ALK Negative Advanced NSCLC</w:t>
            </w:r>
          </w:p>
          <w:p w:rsidR="00881D15" w:rsidRPr="00AE2DE9" w:rsidRDefault="00881D15" w:rsidP="001D3BDF">
            <w:pPr>
              <w:rPr>
                <w:sz w:val="18"/>
                <w:lang w:val="en"/>
              </w:rPr>
            </w:pPr>
            <w:r w:rsidRPr="00010E8F">
              <w:rPr>
                <w:sz w:val="18"/>
                <w:lang w:val="en"/>
              </w:rPr>
              <w:t>NCT01945021</w:t>
            </w:r>
            <w:r>
              <w:rPr>
                <w:sz w:val="18"/>
                <w:lang w:val="en"/>
              </w:rPr>
              <w:t>.</w:t>
            </w:r>
          </w:p>
        </w:tc>
        <w:tc>
          <w:tcPr>
            <w:tcW w:w="1001" w:type="pct"/>
          </w:tcPr>
          <w:p w:rsidR="00881D15" w:rsidRPr="00010E8F" w:rsidRDefault="00881D15" w:rsidP="001D3BDF">
            <w:pPr>
              <w:rPr>
                <w:sz w:val="18"/>
                <w:lang w:val="en"/>
              </w:rPr>
            </w:pPr>
            <w:r>
              <w:rPr>
                <w:sz w:val="18"/>
                <w:lang w:val="en"/>
              </w:rPr>
              <w:t>Study to</w:t>
            </w:r>
            <w:r w:rsidRPr="00010E8F">
              <w:rPr>
                <w:sz w:val="18"/>
                <w:lang w:val="en"/>
              </w:rPr>
              <w:t xml:space="preserve"> assess treatment effectiveness and safety of oral </w:t>
            </w:r>
            <w:proofErr w:type="spellStart"/>
            <w:r w:rsidRPr="00010E8F">
              <w:rPr>
                <w:sz w:val="18"/>
                <w:lang w:val="en"/>
              </w:rPr>
              <w:t>crizotinib</w:t>
            </w:r>
            <w:proofErr w:type="spellEnd"/>
            <w:r w:rsidRPr="00010E8F">
              <w:rPr>
                <w:sz w:val="18"/>
                <w:lang w:val="en"/>
              </w:rPr>
              <w:t xml:space="preserve"> administered to East Asian patients with Advanced Non-Small Cell Lung Cancer (NSCLC) that is confirmed to be positive for a ROS1 positive gene mutation (translocation or inversion) and confirmed negative for an ALK mutation</w:t>
            </w:r>
            <w:r>
              <w:rPr>
                <w:sz w:val="18"/>
                <w:lang w:val="en"/>
              </w:rPr>
              <w:t>.</w:t>
            </w:r>
          </w:p>
        </w:tc>
        <w:tc>
          <w:tcPr>
            <w:tcW w:w="1008" w:type="pct"/>
          </w:tcPr>
          <w:p w:rsidR="00881D15" w:rsidRPr="00E82F54" w:rsidRDefault="00F30219" w:rsidP="001D3BDF">
            <w:pPr>
              <w:rPr>
                <w:b/>
                <w:szCs w:val="20"/>
              </w:rPr>
            </w:pPr>
            <w:r>
              <w:rPr>
                <w:rStyle w:val="Hyperlink"/>
                <w:sz w:val="18"/>
                <w:szCs w:val="20"/>
              </w:rPr>
              <w:t>Link to research</w:t>
            </w:r>
          </w:p>
        </w:tc>
        <w:tc>
          <w:tcPr>
            <w:tcW w:w="1753" w:type="pct"/>
          </w:tcPr>
          <w:p w:rsidR="00881D15" w:rsidRPr="00881D15" w:rsidRDefault="00881D15" w:rsidP="00881D15">
            <w:pPr>
              <w:rPr>
                <w:b/>
                <w:szCs w:val="20"/>
              </w:rPr>
            </w:pPr>
            <w:r>
              <w:rPr>
                <w:b/>
                <w:szCs w:val="20"/>
              </w:rPr>
              <w:t>Study Start Date: September</w:t>
            </w:r>
            <w:r w:rsidRPr="00881D15">
              <w:rPr>
                <w:b/>
                <w:szCs w:val="20"/>
              </w:rPr>
              <w:t xml:space="preserve"> </w:t>
            </w:r>
            <w:r w:rsidRPr="00881D15">
              <w:rPr>
                <w:szCs w:val="20"/>
              </w:rPr>
              <w:t>2013</w:t>
            </w:r>
            <w:r w:rsidRPr="00881D15">
              <w:rPr>
                <w:szCs w:val="20"/>
              </w:rPr>
              <w:tab/>
            </w:r>
          </w:p>
          <w:p w:rsidR="00881D15" w:rsidRPr="00881D15" w:rsidRDefault="00881D15" w:rsidP="00881D15">
            <w:pPr>
              <w:rPr>
                <w:b/>
                <w:szCs w:val="20"/>
              </w:rPr>
            </w:pPr>
            <w:r>
              <w:rPr>
                <w:b/>
                <w:szCs w:val="20"/>
              </w:rPr>
              <w:t xml:space="preserve">Estimated Completion </w:t>
            </w:r>
            <w:r w:rsidRPr="00881D15">
              <w:rPr>
                <w:b/>
                <w:szCs w:val="20"/>
              </w:rPr>
              <w:t xml:space="preserve">Date: </w:t>
            </w:r>
            <w:r w:rsidRPr="00881D15">
              <w:rPr>
                <w:szCs w:val="20"/>
              </w:rPr>
              <w:t>July 2016</w:t>
            </w:r>
            <w:r w:rsidRPr="00881D15">
              <w:rPr>
                <w:b/>
                <w:szCs w:val="20"/>
              </w:rPr>
              <w:tab/>
            </w:r>
          </w:p>
          <w:p w:rsidR="00881D15" w:rsidRPr="00E82F54" w:rsidRDefault="00881D15" w:rsidP="001D3BDF">
            <w:pPr>
              <w:rPr>
                <w:b/>
                <w:szCs w:val="20"/>
              </w:rPr>
            </w:pP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Default="001D3BDF" w:rsidP="00A727B6">
      <w:pPr>
        <w:ind w:left="426"/>
      </w:pPr>
      <w:r>
        <w:t>Royal College of Pathologists (letter of support is attached)</w:t>
      </w:r>
    </w:p>
    <w:p w:rsidR="001D3BDF" w:rsidRPr="00A727B6" w:rsidRDefault="001D3BDF" w:rsidP="00A727B6">
      <w:pPr>
        <w:ind w:left="426"/>
      </w:pPr>
      <w:r>
        <w:t>Medi</w:t>
      </w:r>
      <w:r w:rsidR="00DD44C7">
        <w:t>cal Oncology Group of Australia</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881D15" w:rsidP="00A727B6">
      <w:pPr>
        <w:ind w:left="426"/>
      </w:pPr>
      <w:r>
        <w:t>Rare Cancers Australia</w:t>
      </w:r>
      <w:r w:rsidR="001D3BDF">
        <w:t xml:space="preserve"> (letter of support attached)</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881D15" w:rsidP="00A727B6">
      <w:pPr>
        <w:ind w:left="426"/>
        <w:rPr>
          <w:szCs w:val="20"/>
        </w:rPr>
      </w:pPr>
      <w:r>
        <w:t>Not applicable</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Default="00EE6450" w:rsidP="00EE6450">
      <w:pPr>
        <w:ind w:left="426"/>
        <w:rPr>
          <w:szCs w:val="20"/>
        </w:rPr>
      </w:pPr>
      <w:r>
        <w:fldChar w:fldCharType="begin">
          <w:ffData>
            <w:name w:val=""/>
            <w:enabled/>
            <w:calcOnExit w:val="0"/>
            <w:textInput>
              <w:default w:val="List relevant sponsor/s and or manufacturer/s here"/>
            </w:textInput>
          </w:ffData>
        </w:fldChar>
      </w:r>
      <w:r>
        <w:instrText xml:space="preserve"> FORMTEXT </w:instrText>
      </w:r>
      <w:r>
        <w:fldChar w:fldCharType="separate"/>
      </w:r>
      <w:r>
        <w:rPr>
          <w:noProof/>
        </w:rPr>
        <w:t>List relevant sponsor/s and or manufacturer/s here</w:t>
      </w:r>
      <w:r>
        <w:fldChar w:fldCharType="end"/>
      </w:r>
    </w:p>
    <w:p w:rsidR="00A96329" w:rsidRPr="00A96329" w:rsidRDefault="00E82F54" w:rsidP="00A96329">
      <w:pPr>
        <w:pStyle w:val="Heading2"/>
      </w:pPr>
      <w:r w:rsidRPr="00154B00">
        <w:t>Nominate two experts who could be approached about the proposed medical service and the current clinical management of the service(s):</w:t>
      </w:r>
    </w:p>
    <w:p w:rsidR="00987ABE" w:rsidRPr="00987ABE" w:rsidRDefault="00987ABE" w:rsidP="00987ABE">
      <w:pPr>
        <w:ind w:left="426"/>
        <w:rPr>
          <w:szCs w:val="20"/>
        </w:rPr>
      </w:pPr>
      <w:r>
        <w:rPr>
          <w:szCs w:val="20"/>
        </w:rPr>
        <w:t xml:space="preserve">Name of expert 1: </w:t>
      </w:r>
      <w:r w:rsidR="00881D15" w:rsidRPr="00881D15">
        <w:rPr>
          <w:b/>
        </w:rPr>
        <w:t>redacted</w:t>
      </w:r>
    </w:p>
    <w:p w:rsidR="00987ABE" w:rsidRPr="00987ABE" w:rsidRDefault="00987ABE" w:rsidP="00987ABE">
      <w:pPr>
        <w:ind w:left="426"/>
        <w:rPr>
          <w:szCs w:val="20"/>
        </w:rPr>
      </w:pPr>
      <w:r>
        <w:rPr>
          <w:szCs w:val="20"/>
        </w:rPr>
        <w:t xml:space="preserve">Telephone number(s): </w:t>
      </w:r>
      <w:r w:rsidR="00881D15" w:rsidRPr="00881D15">
        <w:rPr>
          <w:b/>
        </w:rPr>
        <w:t>redacted</w:t>
      </w:r>
    </w:p>
    <w:p w:rsidR="00987ABE" w:rsidRPr="00987ABE" w:rsidRDefault="00987ABE" w:rsidP="00987ABE">
      <w:pPr>
        <w:ind w:left="426"/>
        <w:rPr>
          <w:szCs w:val="20"/>
        </w:rPr>
      </w:pPr>
      <w:r>
        <w:rPr>
          <w:szCs w:val="20"/>
        </w:rPr>
        <w:t xml:space="preserve">Email address: </w:t>
      </w:r>
      <w:r w:rsidR="00881D15" w:rsidRPr="00881D15">
        <w:rPr>
          <w:b/>
        </w:rPr>
        <w:t>redacted</w:t>
      </w:r>
    </w:p>
    <w:p w:rsidR="00987ABE" w:rsidRPr="00987ABE" w:rsidRDefault="00987ABE" w:rsidP="00987ABE">
      <w:pPr>
        <w:ind w:left="426"/>
        <w:rPr>
          <w:szCs w:val="20"/>
        </w:rPr>
      </w:pPr>
      <w:r>
        <w:rPr>
          <w:szCs w:val="20"/>
        </w:rPr>
        <w:t xml:space="preserve">Justification of expertise: </w:t>
      </w:r>
      <w:r w:rsidR="00881D15" w:rsidRPr="00881D15">
        <w:rPr>
          <w:b/>
        </w:rPr>
        <w:t>redacted</w:t>
      </w:r>
    </w:p>
    <w:p w:rsidR="00987ABE" w:rsidRPr="00987ABE" w:rsidRDefault="00987ABE" w:rsidP="00987ABE">
      <w:pPr>
        <w:ind w:left="426"/>
        <w:rPr>
          <w:szCs w:val="20"/>
        </w:rPr>
      </w:pPr>
      <w:r>
        <w:rPr>
          <w:szCs w:val="20"/>
        </w:rPr>
        <w:t xml:space="preserve">Name of expert 2: </w:t>
      </w:r>
      <w:r w:rsidR="00881D15" w:rsidRPr="00881D15">
        <w:rPr>
          <w:b/>
        </w:rPr>
        <w:t>redacted</w:t>
      </w:r>
    </w:p>
    <w:p w:rsidR="00987ABE" w:rsidRPr="00987ABE" w:rsidRDefault="00987ABE" w:rsidP="00987ABE">
      <w:pPr>
        <w:ind w:left="426"/>
        <w:rPr>
          <w:szCs w:val="20"/>
        </w:rPr>
      </w:pPr>
      <w:r>
        <w:rPr>
          <w:szCs w:val="20"/>
        </w:rPr>
        <w:t xml:space="preserve">Telephone number(s): </w:t>
      </w:r>
      <w:r w:rsidR="00881D15" w:rsidRPr="00881D15">
        <w:rPr>
          <w:b/>
        </w:rPr>
        <w:t>redacted</w:t>
      </w:r>
    </w:p>
    <w:p w:rsidR="00987ABE" w:rsidRPr="00987ABE" w:rsidRDefault="00987ABE" w:rsidP="00987ABE">
      <w:pPr>
        <w:ind w:left="426"/>
        <w:rPr>
          <w:szCs w:val="20"/>
        </w:rPr>
      </w:pPr>
      <w:r>
        <w:rPr>
          <w:szCs w:val="20"/>
        </w:rPr>
        <w:t xml:space="preserve">Email address: </w:t>
      </w:r>
      <w:r w:rsidR="00881D15" w:rsidRPr="00881D15">
        <w:rPr>
          <w:b/>
        </w:rPr>
        <w:t>redacted</w:t>
      </w:r>
    </w:p>
    <w:p w:rsidR="00987ABE" w:rsidRPr="00881D15" w:rsidRDefault="00987ABE" w:rsidP="00881D15">
      <w:pPr>
        <w:ind w:left="426"/>
        <w:rPr>
          <w:szCs w:val="20"/>
        </w:rPr>
      </w:pPr>
      <w:r>
        <w:rPr>
          <w:szCs w:val="20"/>
        </w:rPr>
        <w:t xml:space="preserve">Justification of expertise: </w:t>
      </w:r>
      <w:r w:rsidR="00881D15" w:rsidRPr="00881D15">
        <w:rPr>
          <w:b/>
        </w:rPr>
        <w:t>redacted</w:t>
      </w:r>
    </w:p>
    <w:p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3433D1" w:rsidRDefault="003433D1">
      <w:pPr>
        <w:rPr>
          <w:b/>
          <w:sz w:val="32"/>
          <w:szCs w:val="32"/>
        </w:rPr>
      </w:pPr>
      <w:r>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F30219" w:rsidRDefault="00881D15" w:rsidP="00881D15">
      <w:pPr>
        <w:ind w:left="426"/>
      </w:pPr>
      <w:r>
        <w:t>In 2014 there were 11,580 new cases of lung cancer in Australia, representing approximately 9% of all cancer diagnoses that year. While this makes it the 5th most common cancer afflicting Australians, it was the number one cause of cancer-related mortality, accounting for 19% of cancer deaths in 2014 (AIHW 2014).</w:t>
      </w:r>
    </w:p>
    <w:p w:rsidR="00881D15" w:rsidRDefault="00881D15" w:rsidP="00881D15">
      <w:pPr>
        <w:ind w:left="426"/>
      </w:pPr>
      <w:r>
        <w:t>NSCLC accounts for about 85% of lung cancers and is a heterogeneous group of tumours of which adenocarcinoma, squamous cell carcinoma and large cell carcinoma comprise the major histological subtypes. Less than a third of NSCLC patients present with localised disease amenable to potentially curative surgical resection and NSCLC is associated with a 5-year survival of only 15% (Francis and Solomon 2010).</w:t>
      </w:r>
    </w:p>
    <w:p w:rsidR="00881D15" w:rsidRDefault="00881D15" w:rsidP="00881D15">
      <w:pPr>
        <w:ind w:left="426"/>
      </w:pPr>
      <w:r>
        <w:t>Cigarette smoking is the single largest cause of lung cancer, responsible for an estimated 90% of cases in males and about 65% of cases in females in Australia (AIHW, 2011).  However, lung cancer in never-smokers is a frequent clinical entity which, when considered in its own right, is the seventh most frequent cause of cancer-related death worldwide (Francis and Solomon 2010).</w:t>
      </w:r>
    </w:p>
    <w:p w:rsidR="00881D15" w:rsidRDefault="00881D15" w:rsidP="00881D15">
      <w:pPr>
        <w:ind w:left="426"/>
      </w:pPr>
      <w:r>
        <w:t xml:space="preserve">Approximately 1% of NSCLC tumours manifest a rearrangement of the ROS1 oncogene which encodes an orphan receptor tyrosine kinase, which is related to anaplastic lymphoma kinase (ALK) and members of the insulin receptor family. As with ALK rearrangements, ROS1 gene rearrangements occur more frequently amongst patients with adenocarcinoma histology and in non- or light-smokers. However, at the genetic level, ALK and ROS1 rearrangements rarely occur in the same tumour, with each defining a unique molecular subgroup of NSCLC (Shaw et al., 2014). ROS1-positive NSCLC therefore represents an additional molecularly-defined subgroup which may be effectively treated with a specific targeted therapy such as </w:t>
      </w:r>
      <w:proofErr w:type="spellStart"/>
      <w:r>
        <w:t>crizotinib</w:t>
      </w:r>
      <w:proofErr w:type="spellEnd"/>
      <w:r>
        <w:t>.</w:t>
      </w:r>
    </w:p>
    <w:p w:rsidR="00881D15" w:rsidRDefault="00881D15" w:rsidP="00881D15">
      <w:pPr>
        <w:ind w:left="426"/>
      </w:pPr>
      <w:r>
        <w:t xml:space="preserve">Information regarding the natural history of ROS1-positive NSCLC is limited, but several retrospective analyses describing the natural history of ROS1-positive NSCLC have been published. Whilst there are limitations and differences across these studies which need to be taken into account when interpreting the results, cumulatively, the findings seem to indicate that ROS1-positivity is unlikely to be a prognostic indicator in </w:t>
      </w:r>
      <w:proofErr w:type="gramStart"/>
      <w:r>
        <w:t>NSCLC,</w:t>
      </w:r>
      <w:proofErr w:type="gramEnd"/>
      <w:r>
        <w:t xml:space="preserve"> similar to what has previously been shown in ALK-positive NSCLC (Shaw et al., 2009, Shaw et al., 2011). It is therefore expected that ROS1 patients will have a poor 5-year survival, similar to the overall NSCLC population. A detailed systematic review all of the available evidence regarding the natural history of ROS1-positive NSCLC will be conducted by the Sponsor and provided in the submission. </w:t>
      </w:r>
    </w:p>
    <w:p w:rsidR="002A6753" w:rsidRPr="00154B00" w:rsidRDefault="00881D15" w:rsidP="00881D15">
      <w:pPr>
        <w:ind w:left="426"/>
        <w:rPr>
          <w:szCs w:val="20"/>
        </w:rPr>
      </w:pPr>
      <w:r>
        <w:t xml:space="preserve">There are currently no treatments either TGA approved, or listed on the PBS for the targeted treatment of patients with NSCLC who have ROS1 rearrangements.  </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E35913" w:rsidRDefault="00E35913" w:rsidP="00E35913">
      <w:pPr>
        <w:ind w:left="426"/>
      </w:pPr>
      <w:r>
        <w:t xml:space="preserve">Who to test: </w:t>
      </w:r>
    </w:p>
    <w:p w:rsidR="00E35913" w:rsidRDefault="00E35913" w:rsidP="00E35913">
      <w:pPr>
        <w:ind w:left="426"/>
      </w:pPr>
      <w:r>
        <w:t>Patients with non-small cell lung cancer, which is of non-squamous histology or histology not otherwise specified, with documented absence of activating mutations of either the epidermal growth factor receptor (EGFR) gene or the anaplastic lymphoma kinase (ALK) gene.</w:t>
      </w:r>
    </w:p>
    <w:p w:rsidR="00E35913" w:rsidRDefault="00E35913" w:rsidP="00E35913">
      <w:pPr>
        <w:ind w:left="426"/>
      </w:pPr>
    </w:p>
    <w:p w:rsidR="00F30219" w:rsidRDefault="00F30219">
      <w:pPr>
        <w:spacing w:before="0" w:after="200" w:line="276" w:lineRule="auto"/>
      </w:pPr>
      <w:r>
        <w:br w:type="page"/>
      </w:r>
    </w:p>
    <w:p w:rsidR="00E35913" w:rsidRDefault="00E35913" w:rsidP="00E35913">
      <w:pPr>
        <w:ind w:left="426"/>
      </w:pPr>
      <w:r>
        <w:lastRenderedPageBreak/>
        <w:t xml:space="preserve">When to test: </w:t>
      </w:r>
    </w:p>
    <w:p w:rsidR="00E35913" w:rsidRDefault="00E35913" w:rsidP="00E35913">
      <w:pPr>
        <w:ind w:left="426"/>
      </w:pPr>
      <w:r>
        <w:t xml:space="preserve">Pfizer proposes that ROS1 rearrangement testing is conducted at diagnosis. Given the low positivity rate of ROS1-gene rearrangements (approximately 1-2% of NSCLC patients) and the fact that EGFR, ALK and ROS1 rearrangements rarely occur in the same tumour, ROS1 FISH testing should be conducted as part of a screening algorithm sequential to the existing ALK and EGFR testing. Only those patients who are documented to be both ALK- and EGFR-negative should be eligible for the proposed service Medical Service for ROS1 gene rearrangement FISH testing. </w:t>
      </w:r>
    </w:p>
    <w:p w:rsidR="00E35913" w:rsidRDefault="00E35913" w:rsidP="00E35913">
      <w:pPr>
        <w:ind w:left="426"/>
      </w:pPr>
      <w:r>
        <w:t xml:space="preserve">In addition, it is proposed that patients will be pre-screened for evidence of ROS1 </w:t>
      </w:r>
      <w:proofErr w:type="spellStart"/>
      <w:r>
        <w:t>immunoreactivity</w:t>
      </w:r>
      <w:proofErr w:type="spellEnd"/>
      <w:r>
        <w:t xml:space="preserve"> by </w:t>
      </w:r>
      <w:proofErr w:type="spellStart"/>
      <w:r>
        <w:t>immunohistochemical</w:t>
      </w:r>
      <w:proofErr w:type="spellEnd"/>
      <w:r>
        <w:t xml:space="preserve"> (IHC) examination. Only those patients with documented evidence of a positive ROS1 IHC examination result, defined as a staining intensity score of 2+ or 3+, are to be eligible for the proposed medical service for ROS1 FISH testing. </w:t>
      </w:r>
    </w:p>
    <w:p w:rsidR="00E35913" w:rsidRDefault="00E35913" w:rsidP="00E35913">
      <w:pPr>
        <w:ind w:left="426"/>
      </w:pPr>
      <w:r>
        <w:t xml:space="preserve">How the patient is managed and referred: </w:t>
      </w:r>
    </w:p>
    <w:p w:rsidR="00E35913" w:rsidRDefault="00E35913" w:rsidP="00E35913">
      <w:pPr>
        <w:ind w:left="426"/>
      </w:pPr>
      <w:r>
        <w:t xml:space="preserve">In Australia, tumour tissue samples are collected by a respiratory physician/surgeons/interventional radiologist as part of routine clinical practice during the initial diagnosis of NSCLC patients. Two techniques; bronchoscopy, and percutaneous fine needle aspiration (FNA), are the most common. Bronchoscopy is preferred, as the amount of tissue obtained using FNA is often insufficient for molecular testing. FNA also carries greater risk of complications for the patient. The tissue samples are then sent to the Pathologists who perform the diagnostic testing. </w:t>
      </w:r>
    </w:p>
    <w:p w:rsidR="00E35913" w:rsidRDefault="00E35913" w:rsidP="00E35913">
      <w:pPr>
        <w:ind w:left="426"/>
      </w:pPr>
      <w:r>
        <w:t xml:space="preserve">Based on the outcome, the patient is referred back to respiratory physician/surgeon, or to a medical oncologist, who then communicates the clinical diagnosis. Medical oncologists may also request that the pathologists conduct additional molecular tests, in situations where the clinical </w:t>
      </w:r>
      <w:proofErr w:type="gramStart"/>
      <w:r>
        <w:t>profile,</w:t>
      </w:r>
      <w:proofErr w:type="gramEnd"/>
      <w:r>
        <w:t xml:space="preserve"> or results of the diagnostic report warrant further investigation.</w:t>
      </w:r>
    </w:p>
    <w:p w:rsidR="00E35913" w:rsidRDefault="00E35913" w:rsidP="00E35913">
      <w:pPr>
        <w:ind w:left="426"/>
      </w:pPr>
      <w:r>
        <w:t xml:space="preserve">In the majority of cases, the sample obtained during the initial biopsy is sufficient for conducting testing for both activating mutations of the EGFR gene and ALK gene rearrangement. Additional procedures are rarely required.  </w:t>
      </w:r>
    </w:p>
    <w:p w:rsidR="00AA5FDA" w:rsidRPr="00154B00" w:rsidRDefault="00E35913" w:rsidP="00E35913">
      <w:pPr>
        <w:ind w:left="426"/>
        <w:rPr>
          <w:szCs w:val="20"/>
        </w:rPr>
      </w:pPr>
      <w:r>
        <w:t>Patients with advanced NSCLC are referred to a medical oncologist for ongoing management.</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E35913" w:rsidRDefault="00E35913" w:rsidP="00E35913">
      <w:pPr>
        <w:ind w:left="426"/>
      </w:pPr>
      <w:r>
        <w:t xml:space="preserve">Treatment of locally advanced or metastatic NSCLC is evolving.  Currently, patients with an initial diagnosis of non-small cell lung cancer (NSCLC) will have a tumour sample taken by the respiratory physician/surgeon/interventional radiologist when the initial diagnosis is conducted and this sample is sent for diagnostic testing for activating mutations of the epidermal growth factor receptor (EGFR) and anaplastic lymphoma kinase (ALK) gene rearrangement. </w:t>
      </w:r>
    </w:p>
    <w:p w:rsidR="00E35913" w:rsidRDefault="00E35913" w:rsidP="00E35913">
      <w:pPr>
        <w:ind w:left="426"/>
      </w:pPr>
      <w:r>
        <w:t>The current diagnostic testing algorithm for non-squamous NSCLC patients requires that EGFR mutation testing and ALK immunohistochemistry (IHC) screening are conducted first, the results of which are used to determine eligibility for PBS reimbursed treatments for advanced disease and / or further confirmatory diagnostic testing to confirm the patient’s ALK status:</w:t>
      </w:r>
    </w:p>
    <w:p w:rsidR="00E35913" w:rsidRDefault="00E35913" w:rsidP="00E35913">
      <w:pPr>
        <w:ind w:left="426"/>
      </w:pPr>
      <w:r>
        <w:t>•</w:t>
      </w:r>
      <w:r>
        <w:tab/>
        <w:t xml:space="preserve">Patients found to be EGFR-positive are eligible for initiation onto treatment with an EGFR inhibitor (either </w:t>
      </w:r>
      <w:proofErr w:type="spellStart"/>
      <w:r>
        <w:t>erlotinib</w:t>
      </w:r>
      <w:proofErr w:type="spellEnd"/>
      <w:r>
        <w:t xml:space="preserve"> or </w:t>
      </w:r>
      <w:proofErr w:type="spellStart"/>
      <w:r>
        <w:t>gefitinib</w:t>
      </w:r>
      <w:proofErr w:type="spellEnd"/>
      <w:r>
        <w:t xml:space="preserve">) through the PBS once they have progressed to stage IIB or stage IV disease. </w:t>
      </w:r>
    </w:p>
    <w:p w:rsidR="00E35913" w:rsidRDefault="00E35913" w:rsidP="00E35913">
      <w:pPr>
        <w:ind w:left="426"/>
      </w:pPr>
      <w:r>
        <w:t>•</w:t>
      </w:r>
      <w:r>
        <w:tab/>
        <w:t xml:space="preserve">Patients with an absence of activating mutations of the EGFR gene, plus documented evidence of ALK </w:t>
      </w:r>
      <w:proofErr w:type="spellStart"/>
      <w:r>
        <w:t>immunoreactivity</w:t>
      </w:r>
      <w:proofErr w:type="spellEnd"/>
      <w:r>
        <w:t xml:space="preserve"> by IHC examination may also be tested for ALK-gene rearrangements through fluorescence in situ hybridisation (FISH) testing of their tumour material through the MBS.  A further core sample may be required for the ALK FISH testing in a minority of cases where the sample is of insufficient quality or quantity at the time of testing. Patients found to be ALK-positive in confirmatory FISH testing are eligible for subsidised treatment with </w:t>
      </w:r>
      <w:proofErr w:type="spellStart"/>
      <w:r>
        <w:t>crizotinib</w:t>
      </w:r>
      <w:proofErr w:type="spellEnd"/>
      <w:r>
        <w:t xml:space="preserve"> through the PBS once they have progressed to stage IIB or stage IV disease.  </w:t>
      </w:r>
    </w:p>
    <w:p w:rsidR="00E35913" w:rsidRDefault="00E35913" w:rsidP="00F30219">
      <w:pPr>
        <w:ind w:left="426"/>
      </w:pPr>
      <w:r>
        <w:lastRenderedPageBreak/>
        <w:t>•</w:t>
      </w:r>
      <w:r>
        <w:tab/>
        <w:t xml:space="preserve">Unselected locally advanced or metastatic NSCLC patients, with an absence of documented evidence of either EGFR or ALK-positivity are currently treated with a platinum based therapy in the first-line setting (most commonly carboplatin plus gemcitabine). </w:t>
      </w:r>
    </w:p>
    <w:p w:rsidR="00BC424B" w:rsidRPr="00BC424B" w:rsidRDefault="00E35913" w:rsidP="00E35913">
      <w:pPr>
        <w:ind w:left="426"/>
      </w:pPr>
      <w:r>
        <w:t>A flowchart of the current diagnostic flow is provided as an attachment to this application.</w:t>
      </w:r>
    </w:p>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4D36C8" w:rsidRDefault="004D36C8" w:rsidP="004D36C8">
      <w:pPr>
        <w:ind w:left="426"/>
      </w:pPr>
      <w:r>
        <w:t>ROS1-gene rearrangements or the resulting fusion proteins may be detected in NSCLC tumour specimens using a number of different techniques, including; immunohistochemistry (IHC), fluorescence in situ hybridisation (FISH), reverse transcriptase polymerase chain reaction (RT-PCR) and next-generation sequencing (NGS). FISH was considered the gold standard assay for detection of ALK rearrangements and consequently, many early ROS1 screening studies used FISH as the predominant testing tool (</w:t>
      </w:r>
      <w:proofErr w:type="spellStart"/>
      <w:r>
        <w:t>Gainor</w:t>
      </w:r>
      <w:proofErr w:type="spellEnd"/>
      <w:r>
        <w:t xml:space="preserve"> and Shaw, 2013).  FISH was also the predominant diagnostic method used in the Phase I/II study of </w:t>
      </w:r>
      <w:proofErr w:type="spellStart"/>
      <w:r>
        <w:t>crizotinib</w:t>
      </w:r>
      <w:proofErr w:type="spellEnd"/>
      <w:r>
        <w:t xml:space="preserve"> in advanced ROS1-rearranged NSCLC (Shaw et al., 2014). </w:t>
      </w:r>
    </w:p>
    <w:p w:rsidR="004D36C8" w:rsidRDefault="004D36C8" w:rsidP="004D36C8">
      <w:pPr>
        <w:ind w:left="426"/>
      </w:pPr>
      <w:r>
        <w:t xml:space="preserve">The draft Molecular Testing Guidelines for the Selection of Lung Cancer Patients were recently published by the International Association for the Study of Lung cancer (IASLC), the College of American Pathologists (CAP) and the Association for Molecular Pathology (AMP) and are currently available for public comment. These draft guidelines recommend that, “ROS1 testing may use IHC as a screening test in lung adenocarcinoma patients; however, positive ROS1 IHC results should be confirmed by a molecular or cytogenetic method.” </w:t>
      </w:r>
    </w:p>
    <w:p w:rsidR="004D36C8" w:rsidRDefault="004D36C8" w:rsidP="004D36C8">
      <w:pPr>
        <w:ind w:left="426"/>
      </w:pPr>
      <w:r>
        <w:t>Feedback received from Australian Medical Oncologists and Pathologists indicates that the predominant testing approach for diagnosing ROS1-positive NSCLC in Australia is IHC examination, followed by confirmatory ROS1 FISH testing for cases with a positive IHC result. Accordingly, the medical service being proposed is for ROS1 FISH testing, which is to be conducted in cases with a positive result in ROS1 IHC pre-screening, with a positive IHC result defined as a staining intensity score of 2+ or 3+.</w:t>
      </w:r>
    </w:p>
    <w:p w:rsidR="004D36C8" w:rsidRDefault="004D36C8" w:rsidP="004D36C8">
      <w:pPr>
        <w:ind w:left="426"/>
      </w:pPr>
      <w:r>
        <w:t>ROS1 FISH assays are performed on formalin-fixed paraffin-embedded (FFPE) tumour tissue. Several different ROS1 FISH assays have been developed, which generally use red or orange and green fluorescent probes to hybridise with sequences adjacent to or including a portion of the ROS1 gene, which is located on chromosome 6. In the absence of a ROS1 rearrangement, the overlapping probes produce a fused or yellow signal. When a ROS1 gene rearrangement is present however, the two probes become separated, resulting in a “split” signal. Isolated 3’ signals can also be observed in the setting of ROS1 rearrangements. Specimens are deemed positive (rearranged) if more than 15% of tumour cell nuclei demonstrate split or isolated 3’ signals (</w:t>
      </w:r>
      <w:proofErr w:type="spellStart"/>
      <w:r>
        <w:t>Gainor</w:t>
      </w:r>
      <w:proofErr w:type="spellEnd"/>
      <w:r>
        <w:t xml:space="preserve"> and Shaw, 2013, Rogers et al., 2015).  </w:t>
      </w:r>
    </w:p>
    <w:p w:rsidR="004D36C8" w:rsidRDefault="004D36C8" w:rsidP="004D36C8">
      <w:pPr>
        <w:ind w:left="426"/>
      </w:pPr>
      <w:r>
        <w:t>The whole process of conducting a FISH assay takes 2 days in total: sections need to be cut and there are long periods of processing, including overnight baking. A whole batch of cases can be done in this time, if required. Actual hands-on labour time is about 10 hours of scientist laboratory time per case (which could include a batch of many cases), 15-30 minutes scientist screening per case, plus approximately 30 minutes of pathologist reporting per case.</w:t>
      </w:r>
    </w:p>
    <w:p w:rsidR="002A50FD" w:rsidRPr="00154B00" w:rsidRDefault="004D36C8" w:rsidP="004D36C8">
      <w:pPr>
        <w:ind w:left="426"/>
        <w:rPr>
          <w:szCs w:val="20"/>
        </w:rPr>
      </w:pPr>
      <w:r>
        <w:t xml:space="preserve">At present, testing for ROS1-positivity using FISH is only conducted in a minority of centres in Australia, including, but not limited to; the Royal Prince Alfred Hospital in Sydney, the Peter </w:t>
      </w:r>
      <w:proofErr w:type="spellStart"/>
      <w:r>
        <w:t>MacCallum</w:t>
      </w:r>
      <w:proofErr w:type="spellEnd"/>
      <w:r>
        <w:t xml:space="preserve"> Cancer Centre in Melbourne and St </w:t>
      </w:r>
      <w:proofErr w:type="spellStart"/>
      <w:r>
        <w:t>Vincents</w:t>
      </w:r>
      <w:proofErr w:type="spellEnd"/>
      <w:r>
        <w:t xml:space="preserve"> Hospital in Sydney. Details of a ROS1 FISH assay conducted at the Peter </w:t>
      </w:r>
      <w:proofErr w:type="spellStart"/>
      <w:r>
        <w:t>MacCallum</w:t>
      </w:r>
      <w:proofErr w:type="spellEnd"/>
      <w:r>
        <w:t xml:space="preserve"> Cancer Centre have been published (</w:t>
      </w:r>
      <w:proofErr w:type="gramStart"/>
      <w:r>
        <w:t>Rogers</w:t>
      </w:r>
      <w:proofErr w:type="gramEnd"/>
      <w:r>
        <w:t xml:space="preserve"> et al., 2015). Since there are currently no commercially available FISH tests for ROS1 testing in Australia (only ROS1 Break Apart FISH probes are commercially available at present), individual centres currently develop and validate their own modified ‘in house’ FISH protocols for detecting ROS1 rearrangements. The Sponsor intends to seek feedback from across the Australian laboratories that are conducting ROS1 FISH testing to inform MSAC decision-making.</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4D36C8" w:rsidP="00E357B9">
      <w:pPr>
        <w:ind w:left="426"/>
        <w:rPr>
          <w:szCs w:val="20"/>
        </w:rPr>
      </w:pPr>
      <w:r>
        <w:t>No</w:t>
      </w:r>
    </w:p>
    <w:p w:rsidR="004D36C8" w:rsidRDefault="004D36C8">
      <w:pPr>
        <w:spacing w:before="0" w:after="200" w:line="276" w:lineRule="auto"/>
        <w:rPr>
          <w:b/>
          <w:szCs w:val="20"/>
        </w:rPr>
      </w:pPr>
      <w:r>
        <w:br w:type="page"/>
      </w:r>
    </w:p>
    <w:p w:rsidR="00C22AD8" w:rsidRPr="00154B00" w:rsidRDefault="00C22AD8" w:rsidP="00530204">
      <w:pPr>
        <w:pStyle w:val="Heading2"/>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4D36C8" w:rsidP="00E357B9">
      <w:pPr>
        <w:ind w:left="426"/>
        <w:rPr>
          <w:b/>
          <w:szCs w:val="20"/>
        </w:rPr>
      </w:pPr>
      <w:r>
        <w:t>Not applicable</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4D36C8" w:rsidRPr="004D36C8" w:rsidRDefault="004D36C8" w:rsidP="004D36C8">
      <w:pPr>
        <w:ind w:left="426"/>
        <w:rPr>
          <w:u w:val="single"/>
        </w:rPr>
      </w:pPr>
      <w:r w:rsidRPr="004D36C8">
        <w:rPr>
          <w:u w:val="single"/>
        </w:rPr>
        <w:t xml:space="preserve">Test: </w:t>
      </w:r>
    </w:p>
    <w:p w:rsidR="004D36C8" w:rsidRDefault="004D36C8" w:rsidP="004D36C8">
      <w:pPr>
        <w:ind w:left="426"/>
      </w:pPr>
      <w:r>
        <w:t xml:space="preserve">It is proposed that any limitations on the funding of the medical service are consistent with the corresponding PBS restriction for the use of </w:t>
      </w:r>
      <w:proofErr w:type="spellStart"/>
      <w:r>
        <w:t>crizotinib</w:t>
      </w:r>
      <w:proofErr w:type="spellEnd"/>
      <w:r>
        <w:t>.  Proposed limitations include:</w:t>
      </w:r>
    </w:p>
    <w:p w:rsidR="004D36C8" w:rsidRDefault="004D36C8" w:rsidP="004D36C8">
      <w:pPr>
        <w:ind w:left="426"/>
      </w:pPr>
      <w:r>
        <w:t>•</w:t>
      </w:r>
      <w:r>
        <w:tab/>
        <w:t>NSCLC with non-squamous histology</w:t>
      </w:r>
    </w:p>
    <w:p w:rsidR="004D36C8" w:rsidRDefault="004D36C8" w:rsidP="004D36C8">
      <w:pPr>
        <w:ind w:left="426"/>
      </w:pPr>
      <w:r>
        <w:t>•</w:t>
      </w:r>
      <w:r>
        <w:tab/>
        <w:t>Negative test for EGFR and ALK</w:t>
      </w:r>
    </w:p>
    <w:p w:rsidR="004D36C8" w:rsidRDefault="004D36C8" w:rsidP="004D36C8">
      <w:pPr>
        <w:ind w:left="426"/>
      </w:pPr>
      <w:r>
        <w:t xml:space="preserve">Pfizer believes that the ROS1-gene rearrangement is stable and is not affected by prior treatment, therefore each patient requires testing only once, with the exception of retests which would only be required if the sample is of insufficient quality or quantity at the time of testing.  </w:t>
      </w:r>
    </w:p>
    <w:p w:rsidR="004D36C8" w:rsidRPr="004D36C8" w:rsidRDefault="004D36C8" w:rsidP="004D36C8">
      <w:pPr>
        <w:ind w:left="426"/>
        <w:rPr>
          <w:u w:val="single"/>
        </w:rPr>
      </w:pPr>
      <w:r w:rsidRPr="004D36C8">
        <w:rPr>
          <w:u w:val="single"/>
        </w:rPr>
        <w:t xml:space="preserve">Pharmaceutical: </w:t>
      </w:r>
    </w:p>
    <w:p w:rsidR="00CC09D7" w:rsidRPr="00154B00" w:rsidRDefault="004D36C8" w:rsidP="004D36C8">
      <w:pPr>
        <w:ind w:left="426"/>
        <w:rPr>
          <w:szCs w:val="20"/>
        </w:rPr>
      </w:pPr>
      <w:r>
        <w:t xml:space="preserve">It is proposed that patients receive </w:t>
      </w:r>
      <w:proofErr w:type="spellStart"/>
      <w:r>
        <w:t>crizotinib</w:t>
      </w:r>
      <w:proofErr w:type="spellEnd"/>
      <w:r>
        <w:t xml:space="preserve"> 250mg, twice daily, while patients have stable or responding disease.</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4D36C8" w:rsidRPr="00A06F54" w:rsidRDefault="004D36C8" w:rsidP="00A06F54">
      <w:pPr>
        <w:ind w:left="426"/>
        <w:rPr>
          <w:u w:val="single"/>
        </w:rPr>
      </w:pPr>
      <w:r w:rsidRPr="004D36C8">
        <w:rPr>
          <w:u w:val="single"/>
        </w:rPr>
        <w:t>Test</w:t>
      </w:r>
      <w:r w:rsidRPr="00A06F54">
        <w:t xml:space="preserve">: </w:t>
      </w:r>
      <w:r>
        <w:t xml:space="preserve">Tumour samples are already routinely collected for the existing genetic assessments used in treatment decision-making for advanced NSCLC patients (EGFR and ALK). Under the proposed algorithm, ROS1 FISH assays will only be conducted for those patients with a negative ALK </w:t>
      </w:r>
      <w:proofErr w:type="gramStart"/>
      <w:r>
        <w:t>test,</w:t>
      </w:r>
      <w:proofErr w:type="gramEnd"/>
      <w:r>
        <w:t xml:space="preserve"> therefore two FISH tests (ALK and ROS1) would only ever be required for those rare cases in which there is a false positive result on ALK IHC examination. It is not therefore expected that additional tumour samples will typically be required in order to conduct the proposed testing for ROS1 rearrangements.</w:t>
      </w:r>
    </w:p>
    <w:p w:rsidR="00791C8D" w:rsidRPr="00A06F54" w:rsidRDefault="004D36C8" w:rsidP="00A06F54">
      <w:pPr>
        <w:ind w:left="426"/>
      </w:pPr>
      <w:r w:rsidRPr="004D36C8">
        <w:rPr>
          <w:u w:val="single"/>
        </w:rPr>
        <w:t>Pharmaceutical</w:t>
      </w:r>
      <w:r>
        <w:t>: Not applicable.</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4D36C8" w:rsidRPr="004D36C8" w:rsidRDefault="004D36C8" w:rsidP="004D36C8">
      <w:pPr>
        <w:ind w:left="426"/>
        <w:rPr>
          <w:u w:val="single"/>
        </w:rPr>
      </w:pPr>
      <w:r w:rsidRPr="004D36C8">
        <w:rPr>
          <w:u w:val="single"/>
        </w:rPr>
        <w:t>Test</w:t>
      </w:r>
      <w:r w:rsidRPr="004D36C8">
        <w:t xml:space="preserve">: </w:t>
      </w:r>
      <w:r>
        <w:t xml:space="preserve">Medical oncologists and respiratory physicians will order ROS1 rearrangement testing and utilise the results in subsequent patient management.  Pathologists will examine and interpret the results of sample testing. </w:t>
      </w:r>
    </w:p>
    <w:p w:rsidR="00B17E26" w:rsidRPr="004D36C8" w:rsidRDefault="004D36C8" w:rsidP="004D36C8">
      <w:pPr>
        <w:ind w:left="426"/>
        <w:rPr>
          <w:u w:val="single"/>
        </w:rPr>
      </w:pPr>
      <w:r w:rsidRPr="004D36C8">
        <w:rPr>
          <w:u w:val="single"/>
        </w:rPr>
        <w:t xml:space="preserve">Pharmaceutical: </w:t>
      </w:r>
      <w:proofErr w:type="spellStart"/>
      <w:r>
        <w:t>Crizotinib</w:t>
      </w:r>
      <w:proofErr w:type="spellEnd"/>
      <w:r>
        <w:t xml:space="preserve"> will be prescribed by a specialist medical practitioner.</w:t>
      </w:r>
    </w:p>
    <w:p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4D36C8" w:rsidRDefault="004D36C8" w:rsidP="004D36C8">
      <w:pPr>
        <w:ind w:left="360"/>
      </w:pPr>
      <w:r w:rsidRPr="004D36C8">
        <w:rPr>
          <w:u w:val="single"/>
        </w:rPr>
        <w:t>Test</w:t>
      </w:r>
      <w:r>
        <w:t>: Not applicable (the service will always be provided by pathologists regardless of the health professional ordering the service).</w:t>
      </w:r>
    </w:p>
    <w:p w:rsidR="004D36C8" w:rsidRPr="004D36C8" w:rsidRDefault="004D36C8" w:rsidP="004D36C8">
      <w:pPr>
        <w:ind w:left="360"/>
      </w:pPr>
      <w:r w:rsidRPr="004D36C8">
        <w:rPr>
          <w:u w:val="single"/>
        </w:rPr>
        <w:t>Pharmaceutical</w:t>
      </w:r>
      <w:r>
        <w:t>: Not applicable.</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4D36C8" w:rsidRDefault="004D36C8" w:rsidP="004D36C8">
      <w:pPr>
        <w:ind w:left="426"/>
      </w:pPr>
      <w:r w:rsidRPr="004D36C8">
        <w:rPr>
          <w:u w:val="single"/>
        </w:rPr>
        <w:t>Test</w:t>
      </w:r>
      <w:r>
        <w:t xml:space="preserve">: </w:t>
      </w:r>
    </w:p>
    <w:p w:rsidR="004D36C8" w:rsidRDefault="004D36C8" w:rsidP="004D36C8">
      <w:pPr>
        <w:ind w:left="426"/>
      </w:pPr>
      <w:r>
        <w:t xml:space="preserve">Only medical oncologists or respiratory physicians will order ROS1-gene rearrangement testing and utilise the results in subsequent patient management.  </w:t>
      </w:r>
    </w:p>
    <w:p w:rsidR="004D36C8" w:rsidRDefault="004D36C8" w:rsidP="004D36C8">
      <w:pPr>
        <w:ind w:left="426"/>
      </w:pPr>
      <w:r>
        <w:t>Only pathologists will examine and interpret the results of sample testing.</w:t>
      </w:r>
    </w:p>
    <w:p w:rsidR="004D36C8" w:rsidRDefault="004D36C8" w:rsidP="004D36C8">
      <w:pPr>
        <w:ind w:left="426"/>
      </w:pPr>
      <w:r w:rsidRPr="004D36C8">
        <w:rPr>
          <w:u w:val="single"/>
        </w:rPr>
        <w:t>Pharmaceutical</w:t>
      </w:r>
      <w:r>
        <w:t xml:space="preserve">: </w:t>
      </w:r>
    </w:p>
    <w:p w:rsidR="004D36C8" w:rsidRPr="00154B00" w:rsidRDefault="004D36C8" w:rsidP="004D36C8">
      <w:pPr>
        <w:ind w:left="426"/>
        <w:rPr>
          <w:szCs w:val="20"/>
        </w:rPr>
      </w:pPr>
      <w:proofErr w:type="spellStart"/>
      <w:r>
        <w:t>Crizotinib</w:t>
      </w:r>
      <w:proofErr w:type="spellEnd"/>
      <w:r>
        <w:t xml:space="preserve"> may only be prescribed by a specialist medical practitioner.</w:t>
      </w:r>
    </w:p>
    <w:p w:rsidR="00EA0E25" w:rsidRPr="00154B00" w:rsidRDefault="00EA0E25" w:rsidP="00BC424B">
      <w:pPr>
        <w:ind w:left="426"/>
        <w:rPr>
          <w:szCs w:val="20"/>
        </w:rPr>
      </w:pPr>
    </w:p>
    <w:p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D42086" w:rsidRDefault="00D42086" w:rsidP="00D42086">
      <w:pPr>
        <w:ind w:left="426"/>
      </w:pPr>
      <w:r>
        <w:t>It is proposed that testing should only be performed in laboratories that have received National Association of Testing Authorities (NATA) accreditation.</w:t>
      </w:r>
    </w:p>
    <w:p w:rsidR="00D42086" w:rsidRDefault="00D42086" w:rsidP="00D42086">
      <w:pPr>
        <w:ind w:left="426"/>
      </w:pPr>
      <w:r>
        <w:t xml:space="preserve">It is anticipated that ROS1 testing will be limited to specialised pathology laboratories based in major centres. Access to testing for patients in regional or remote areas would be facilitated by the collection of a tissue sample at their local treatment centre and transportation to an accredited pathology laboratory for testing.  </w:t>
      </w:r>
    </w:p>
    <w:p w:rsidR="00EA0E25" w:rsidRPr="00154B00" w:rsidRDefault="00D42086" w:rsidP="00D42086">
      <w:pPr>
        <w:ind w:left="426"/>
        <w:rPr>
          <w:szCs w:val="20"/>
        </w:rPr>
      </w:pPr>
      <w:r>
        <w:t>The Sponsor is aware of ‘Centres of Excellence’ which currently perform the majority of ALK FISH testing. These centres have specialised laboratories capable of accurate and efficient processing of Australian ALK samples and it is anticipated that these same centres are also likely to become the ‘Centres of Excellence’ for ROS1 FISH testing in the future. The Sponsor can provide a list of these centres, if required.</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Patient’s home</w:t>
      </w:r>
    </w:p>
    <w:p w:rsidR="000A478F" w:rsidRDefault="00D4208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402C0">
        <w:rPr>
          <w:szCs w:val="20"/>
        </w:rPr>
      </w:r>
      <w:r w:rsidR="008402C0">
        <w:rPr>
          <w:szCs w:val="20"/>
        </w:rPr>
        <w:fldChar w:fldCharType="separate"/>
      </w:r>
      <w:r w:rsidRPr="000A5B32">
        <w:rPr>
          <w:szCs w:val="20"/>
        </w:rPr>
        <w:fldChar w:fldCharType="end"/>
      </w:r>
      <w:r>
        <w:rPr>
          <w:szCs w:val="20"/>
        </w:rPr>
        <w:t xml:space="preserve"> </w:t>
      </w:r>
      <w:r>
        <w:t>Other – please specify below</w:t>
      </w:r>
    </w:p>
    <w:p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1B29A1" w:rsidP="0073597B">
      <w:pPr>
        <w:ind w:left="426"/>
        <w:rPr>
          <w:b/>
          <w:szCs w:val="20"/>
        </w:rPr>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79455C"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F30219" w:rsidRDefault="001B29A1" w:rsidP="00F30219">
      <w:pPr>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rsidR="00E60529" w:rsidRPr="00F30219" w:rsidRDefault="005C3AE7" w:rsidP="00F30219">
      <w:pPr>
        <w:ind w:left="426"/>
        <w:rPr>
          <w:b/>
          <w:u w:val="single"/>
        </w:rPr>
      </w:pPr>
      <w:r w:rsidRPr="00F30219">
        <w:rPr>
          <w:b/>
          <w:u w:val="single"/>
        </w:rPr>
        <w:t xml:space="preserve">PART 6c – </w:t>
      </w:r>
      <w:r w:rsidR="00E60529" w:rsidRPr="00F30219">
        <w:rPr>
          <w:b/>
          <w:u w:val="single"/>
        </w:rPr>
        <w:t>INFORMATION ABOUT THE COMPARATOR</w:t>
      </w:r>
      <w:r w:rsidR="00A83EC6" w:rsidRPr="00F30219">
        <w:rPr>
          <w:b/>
          <w:u w:val="single"/>
        </w:rPr>
        <w:t>(S)</w:t>
      </w:r>
    </w:p>
    <w:p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1D3BDF" w:rsidRDefault="001D3BDF" w:rsidP="001D3BDF">
      <w:r>
        <w:t>Patients with advanced NSCLC are currently not tested for the presence of ROS1 rearrangements.</w:t>
      </w:r>
    </w:p>
    <w:p w:rsidR="001D3BDF" w:rsidRDefault="001D3BDF" w:rsidP="001D3BDF">
      <w:r>
        <w:t xml:space="preserve">Patients with advanced NSCLC can currently receive testing to determine their EGFR status and ALK status, as a means of </w:t>
      </w:r>
      <w:r w:rsidR="00710A86">
        <w:t>guiding</w:t>
      </w:r>
      <w:r>
        <w:t xml:space="preserve"> therapy. The existing body of evidence</w:t>
      </w:r>
      <w:r w:rsidR="00166566">
        <w:t xml:space="preserve"> indicates that EGFR mutation, ALK-gene rearrangements and OS1-gene rearrangements are mutually exclusive.</w:t>
      </w:r>
    </w:p>
    <w:p w:rsidR="00166566" w:rsidRPr="001D3BDF" w:rsidRDefault="00166566" w:rsidP="001D3BDF">
      <w:r>
        <w:t>Patients with ROS1-rearranged NSCLC are not currently being routinely identified. ‘</w:t>
      </w:r>
      <w:proofErr w:type="gramStart"/>
      <w:r>
        <w:t>no</w:t>
      </w:r>
      <w:proofErr w:type="gramEnd"/>
      <w:r>
        <w:t xml:space="preserve"> testing’ will therefore be replaced by the new medical service which is being proposed in this co-dependant submission.</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Yes (please provide all relevant MBS item numbers below)</w:t>
      </w:r>
    </w:p>
    <w:p w:rsidR="000159B9" w:rsidRDefault="0079455C" w:rsidP="006A1038">
      <w:pPr>
        <w:spacing w:before="0" w:after="0"/>
        <w:ind w:left="426"/>
        <w:rPr>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A1038">
        <w:rPr>
          <w:szCs w:val="20"/>
        </w:rPr>
        <w:t xml:space="preserve"> No  </w:t>
      </w:r>
    </w:p>
    <w:p w:rsidR="00F30219" w:rsidRPr="00166566" w:rsidRDefault="001B29A1" w:rsidP="00166566">
      <w:pPr>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79455C" w:rsidRDefault="0079455C" w:rsidP="0079455C">
      <w:pPr>
        <w:ind w:left="426"/>
      </w:pPr>
      <w:r>
        <w:t xml:space="preserve">Current clinical management of advanced non-squamous NSCLC patients with an absence of evidence of an activating mutation of the EGFR gene or ALK rearrangement, in the absence of diagnostic testing for ROS1 rearrangement, is typically platinum-based therapy in the first-line setting (most commonly carboplatin plus gemcitabine), followed by </w:t>
      </w:r>
      <w:proofErr w:type="spellStart"/>
      <w:r>
        <w:t>pemetrexed</w:t>
      </w:r>
      <w:proofErr w:type="spellEnd"/>
      <w:r>
        <w:t xml:space="preserve"> or </w:t>
      </w:r>
      <w:proofErr w:type="spellStart"/>
      <w:r>
        <w:t>docetaxel</w:t>
      </w:r>
      <w:proofErr w:type="spellEnd"/>
      <w:r>
        <w:t xml:space="preserve"> (most commonly </w:t>
      </w:r>
      <w:proofErr w:type="spellStart"/>
      <w:r>
        <w:t>pemetrexed</w:t>
      </w:r>
      <w:proofErr w:type="spellEnd"/>
      <w:r>
        <w:t>) as second-line treatment for advanced disease.</w:t>
      </w:r>
    </w:p>
    <w:p w:rsidR="003433D1" w:rsidRDefault="0079455C" w:rsidP="0079455C">
      <w:pPr>
        <w:ind w:left="426"/>
        <w:rPr>
          <w:b/>
          <w:szCs w:val="20"/>
        </w:rPr>
      </w:pPr>
      <w:r>
        <w:t>A flowchart of the current management of patients who receive the nominated comparator (no ROS1 testing) is provided as an attachment to this application.</w:t>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2170D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1B29A1">
        <w:rPr>
          <w:szCs w:val="20"/>
        </w:rPr>
        <w:t xml:space="preserve"> Yes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402C0">
        <w:rPr>
          <w:szCs w:val="20"/>
        </w:rPr>
      </w:r>
      <w:r w:rsidR="008402C0">
        <w:rPr>
          <w:szCs w:val="20"/>
        </w:rPr>
        <w:fldChar w:fldCharType="separate"/>
      </w:r>
      <w:r w:rsidRPr="00753C44">
        <w:rPr>
          <w:szCs w:val="20"/>
        </w:rPr>
        <w:fldChar w:fldCharType="end"/>
      </w:r>
      <w:r>
        <w:rPr>
          <w:szCs w:val="20"/>
        </w:rPr>
        <w:t xml:space="preserve"> No  </w:t>
      </w:r>
    </w:p>
    <w:p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2170D4" w:rsidP="001B29A1">
      <w:pPr>
        <w:ind w:left="426"/>
        <w:rPr>
          <w:szCs w:val="20"/>
        </w:rPr>
      </w:pPr>
      <w:r w:rsidRPr="002170D4">
        <w:t xml:space="preserve">The proposed medical service will replace ‘no testing’ in eligible patients.  </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2170D4" w:rsidRDefault="002170D4" w:rsidP="002170D4">
      <w:pPr>
        <w:ind w:left="426"/>
        <w:rPr>
          <w:szCs w:val="20"/>
        </w:rPr>
      </w:pPr>
      <w:r w:rsidRPr="004D35F5">
        <w:rPr>
          <w:szCs w:val="20"/>
        </w:rPr>
        <w:t>The proposed</w:t>
      </w:r>
      <w:r>
        <w:rPr>
          <w:szCs w:val="20"/>
        </w:rPr>
        <w:t xml:space="preserve"> flowchart for the management of patients in the presence of diagnostic testing for ROS1 gene rearrangement and </w:t>
      </w:r>
      <w:proofErr w:type="spellStart"/>
      <w:r>
        <w:rPr>
          <w:szCs w:val="20"/>
        </w:rPr>
        <w:t>crizotinib</w:t>
      </w:r>
      <w:proofErr w:type="spellEnd"/>
      <w:r>
        <w:rPr>
          <w:szCs w:val="20"/>
        </w:rPr>
        <w:t xml:space="preserve"> therapy for the treatment of the identified ROS1-positive patients is provided as an attachment. </w:t>
      </w:r>
    </w:p>
    <w:p w:rsidR="002170D4" w:rsidRPr="009C78C7" w:rsidRDefault="002170D4" w:rsidP="002170D4">
      <w:pPr>
        <w:ind w:left="426"/>
        <w:rPr>
          <w:szCs w:val="20"/>
        </w:rPr>
      </w:pPr>
      <w:r>
        <w:rPr>
          <w:szCs w:val="20"/>
        </w:rPr>
        <w:t xml:space="preserve">It is proposed that patients will receive the proposed service for ROS1 testing at diagnosis following the existing testing for EGFR and ALK status. For patients with documented evidence of ROS1 rearrangement from IHC and confirmatory FISH testing, the first line treatment for advanced disease is changed in the proposed algorithm as ROS1-positive patients become eligible for </w:t>
      </w:r>
      <w:proofErr w:type="spellStart"/>
      <w:r>
        <w:rPr>
          <w:szCs w:val="20"/>
        </w:rPr>
        <w:t>crizotinib</w:t>
      </w:r>
      <w:proofErr w:type="spellEnd"/>
      <w:r>
        <w:rPr>
          <w:szCs w:val="20"/>
        </w:rPr>
        <w:t xml:space="preserve"> treatment through the PBS. </w:t>
      </w:r>
    </w:p>
    <w:p w:rsidR="002170D4" w:rsidRDefault="002170D4" w:rsidP="002170D4">
      <w:pPr>
        <w:ind w:left="426"/>
        <w:rPr>
          <w:szCs w:val="20"/>
        </w:rPr>
      </w:pPr>
      <w:r w:rsidRPr="004D35F5">
        <w:rPr>
          <w:szCs w:val="20"/>
        </w:rPr>
        <w:t xml:space="preserve">Upon progression on targeted treatment with </w:t>
      </w:r>
      <w:proofErr w:type="spellStart"/>
      <w:r w:rsidRPr="004D35F5">
        <w:rPr>
          <w:szCs w:val="20"/>
        </w:rPr>
        <w:t>crizotinib</w:t>
      </w:r>
      <w:proofErr w:type="spellEnd"/>
      <w:r w:rsidRPr="004D35F5">
        <w:rPr>
          <w:szCs w:val="20"/>
        </w:rPr>
        <w:t xml:space="preserve"> in the first-line setting, ROS1-positive patients </w:t>
      </w:r>
      <w:r>
        <w:rPr>
          <w:szCs w:val="20"/>
        </w:rPr>
        <w:t>are likely to</w:t>
      </w:r>
      <w:r w:rsidRPr="004D35F5">
        <w:rPr>
          <w:szCs w:val="20"/>
        </w:rPr>
        <w:t xml:space="preserve"> receive </w:t>
      </w:r>
      <w:r>
        <w:rPr>
          <w:szCs w:val="20"/>
        </w:rPr>
        <w:t>a platinum</w:t>
      </w:r>
      <w:r w:rsidRPr="004D35F5">
        <w:rPr>
          <w:szCs w:val="20"/>
        </w:rPr>
        <w:t xml:space="preserve"> doublet </w:t>
      </w:r>
      <w:r>
        <w:rPr>
          <w:szCs w:val="20"/>
        </w:rPr>
        <w:t>regimen</w:t>
      </w:r>
      <w:r w:rsidRPr="004D35F5">
        <w:rPr>
          <w:szCs w:val="20"/>
        </w:rPr>
        <w:t xml:space="preserve"> (</w:t>
      </w:r>
      <w:r>
        <w:rPr>
          <w:szCs w:val="20"/>
        </w:rPr>
        <w:t>such as</w:t>
      </w:r>
      <w:r w:rsidRPr="004D35F5">
        <w:rPr>
          <w:szCs w:val="20"/>
        </w:rPr>
        <w:t xml:space="preserve"> carboplatin plus gemcitabine), </w:t>
      </w:r>
      <w:proofErr w:type="spellStart"/>
      <w:r w:rsidRPr="004D35F5">
        <w:rPr>
          <w:szCs w:val="20"/>
        </w:rPr>
        <w:t>pemetrexed</w:t>
      </w:r>
      <w:proofErr w:type="spellEnd"/>
      <w:r w:rsidRPr="004D35F5">
        <w:rPr>
          <w:szCs w:val="20"/>
        </w:rPr>
        <w:t xml:space="preserve"> or </w:t>
      </w:r>
      <w:proofErr w:type="spellStart"/>
      <w:r w:rsidRPr="004D35F5">
        <w:rPr>
          <w:szCs w:val="20"/>
        </w:rPr>
        <w:t>docetax</w:t>
      </w:r>
      <w:r>
        <w:rPr>
          <w:szCs w:val="20"/>
        </w:rPr>
        <w:t>el</w:t>
      </w:r>
      <w:proofErr w:type="spellEnd"/>
      <w:r>
        <w:rPr>
          <w:szCs w:val="20"/>
        </w:rPr>
        <w:t>) in the second-line setting.</w:t>
      </w:r>
    </w:p>
    <w:p w:rsidR="002053F2" w:rsidRPr="002170D4" w:rsidRDefault="002170D4" w:rsidP="002170D4">
      <w:pPr>
        <w:ind w:left="426"/>
        <w:rPr>
          <w:szCs w:val="20"/>
        </w:rPr>
      </w:pPr>
      <w:r w:rsidRPr="002170D4">
        <w:rPr>
          <w:szCs w:val="20"/>
        </w:rPr>
        <w:t xml:space="preserve">Unselected locally advanced or metastatic NSCLC patients with an absence of documented evidence of EGFR, ALK and ROS1-positivity will continue to receive platinum doublet therapy in the first-line setting (most commonly carboplatin plus gemcitabine), with </w:t>
      </w:r>
      <w:proofErr w:type="spellStart"/>
      <w:r w:rsidRPr="002170D4">
        <w:rPr>
          <w:szCs w:val="20"/>
        </w:rPr>
        <w:t>pemetrexed</w:t>
      </w:r>
      <w:proofErr w:type="spellEnd"/>
      <w:r w:rsidRPr="002170D4">
        <w:rPr>
          <w:szCs w:val="20"/>
        </w:rPr>
        <w:t xml:space="preserve"> or </w:t>
      </w:r>
      <w:proofErr w:type="spellStart"/>
      <w:r w:rsidRPr="002170D4">
        <w:rPr>
          <w:szCs w:val="20"/>
        </w:rPr>
        <w:t>docetaxel</w:t>
      </w:r>
      <w:proofErr w:type="spellEnd"/>
      <w:r w:rsidRPr="002170D4">
        <w:rPr>
          <w:szCs w:val="20"/>
        </w:rPr>
        <w:t xml:space="preserve"> </w:t>
      </w:r>
      <w:proofErr w:type="spellStart"/>
      <w:r w:rsidRPr="002170D4">
        <w:rPr>
          <w:szCs w:val="20"/>
        </w:rPr>
        <w:t>monotherapy</w:t>
      </w:r>
      <w:proofErr w:type="spellEnd"/>
      <w:r w:rsidRPr="002170D4">
        <w:rPr>
          <w:szCs w:val="20"/>
        </w:rPr>
        <w:t xml:space="preserve"> (most commonly </w:t>
      </w:r>
      <w:proofErr w:type="spellStart"/>
      <w:r w:rsidRPr="002170D4">
        <w:rPr>
          <w:szCs w:val="20"/>
        </w:rPr>
        <w:t>pemetrexed</w:t>
      </w:r>
      <w:proofErr w:type="spellEnd"/>
      <w:r w:rsidRPr="002170D4">
        <w:rPr>
          <w:szCs w:val="20"/>
        </w:rPr>
        <w:t>) used in the second-line setting.</w:t>
      </w: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2170D4" w:rsidRDefault="002170D4" w:rsidP="002170D4">
      <w:pPr>
        <w:ind w:left="426"/>
      </w:pPr>
      <w:r>
        <w:t xml:space="preserve">The clinical claim made is that testing for ROS1 rearrangement and treating patients on the basis of the results of that test (patients with ROS1-positive NSCLC are treated with </w:t>
      </w:r>
      <w:proofErr w:type="spellStart"/>
      <w:r>
        <w:t>crizotinib</w:t>
      </w:r>
      <w:proofErr w:type="spellEnd"/>
      <w:r>
        <w:t xml:space="preserve">; ROS1-negative patients or those not tested are treated with the current standard of care chemotherapy) is associated with clinical advantages (with respect to disease control) over the current scenario.  </w:t>
      </w:r>
    </w:p>
    <w:p w:rsidR="004E3CC7" w:rsidRPr="00154B00" w:rsidRDefault="002170D4" w:rsidP="002170D4">
      <w:pPr>
        <w:ind w:left="426"/>
        <w:rPr>
          <w:szCs w:val="20"/>
        </w:rPr>
      </w:pPr>
      <w:r>
        <w:t>The proposed medical service (ROS1 testing) is therefore considered to be a clinically relevant diagnostic tool, due to its role in identifying a subset of NSCLC patients that is likely to benefit from treatment with targeted treatment (</w:t>
      </w:r>
      <w:proofErr w:type="spellStart"/>
      <w:r>
        <w:t>crizotinib</w:t>
      </w:r>
      <w:proofErr w:type="spellEnd"/>
      <w:r>
        <w:t>).</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2170D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402C0">
        <w:rPr>
          <w:szCs w:val="20"/>
        </w:rPr>
      </w:r>
      <w:r w:rsidR="008402C0">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2170D4"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rsidR="001B29A1" w:rsidRDefault="002170D4" w:rsidP="001B29A1">
      <w:pPr>
        <w:pBdr>
          <w:top w:val="single" w:sz="4" w:space="1" w:color="auto"/>
          <w:left w:val="single" w:sz="4" w:space="4" w:color="auto"/>
          <w:bottom w:val="single" w:sz="4" w:space="1" w:color="auto"/>
          <w:right w:val="single" w:sz="4" w:space="4" w:color="auto"/>
        </w:pBdr>
      </w:pPr>
      <w:r>
        <w:t>Adverse events</w:t>
      </w:r>
    </w:p>
    <w:p w:rsidR="002170D4" w:rsidRDefault="002170D4" w:rsidP="001B29A1">
      <w:pPr>
        <w:pBdr>
          <w:top w:val="single" w:sz="4" w:space="1" w:color="auto"/>
          <w:left w:val="single" w:sz="4" w:space="4" w:color="auto"/>
          <w:bottom w:val="single" w:sz="4" w:space="1" w:color="auto"/>
          <w:right w:val="single" w:sz="4" w:space="4" w:color="auto"/>
        </w:pBdr>
      </w:pPr>
      <w:r>
        <w:t>Treatment interruptions</w:t>
      </w:r>
    </w:p>
    <w:p w:rsidR="001B29A1" w:rsidRPr="001B29A1" w:rsidRDefault="002170D4" w:rsidP="001B29A1">
      <w:pPr>
        <w:pBdr>
          <w:top w:val="single" w:sz="4" w:space="1" w:color="auto"/>
          <w:left w:val="single" w:sz="4" w:space="4" w:color="auto"/>
          <w:bottom w:val="single" w:sz="4" w:space="1" w:color="auto"/>
          <w:right w:val="single" w:sz="4" w:space="4" w:color="auto"/>
        </w:pBdr>
        <w:rPr>
          <w:b/>
          <w:szCs w:val="20"/>
        </w:rPr>
      </w:pPr>
      <w:r>
        <w:t>Treatment discontinuations</w:t>
      </w:r>
    </w:p>
    <w:p w:rsidR="002170D4" w:rsidRDefault="001B29A1" w:rsidP="002170D4">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rsidR="002170D4" w:rsidRDefault="002170D4" w:rsidP="002170D4">
      <w:pPr>
        <w:pBdr>
          <w:top w:val="single" w:sz="4" w:space="1" w:color="auto"/>
          <w:left w:val="single" w:sz="4" w:space="4" w:color="auto"/>
          <w:bottom w:val="single" w:sz="4" w:space="1" w:color="auto"/>
          <w:right w:val="single" w:sz="4" w:space="4" w:color="auto"/>
        </w:pBdr>
      </w:pPr>
      <w:r>
        <w:t>Objective tumour response rates</w:t>
      </w:r>
    </w:p>
    <w:p w:rsidR="002170D4" w:rsidRDefault="002170D4" w:rsidP="002170D4">
      <w:pPr>
        <w:pBdr>
          <w:top w:val="single" w:sz="4" w:space="1" w:color="auto"/>
          <w:left w:val="single" w:sz="4" w:space="4" w:color="auto"/>
          <w:bottom w:val="single" w:sz="4" w:space="1" w:color="auto"/>
          <w:right w:val="single" w:sz="4" w:space="4" w:color="auto"/>
        </w:pBdr>
      </w:pPr>
      <w:r>
        <w:t>Duration of response</w:t>
      </w:r>
    </w:p>
    <w:p w:rsidR="002170D4" w:rsidRDefault="002170D4" w:rsidP="002170D4">
      <w:pPr>
        <w:pBdr>
          <w:top w:val="single" w:sz="4" w:space="1" w:color="auto"/>
          <w:left w:val="single" w:sz="4" w:space="4" w:color="auto"/>
          <w:bottom w:val="single" w:sz="4" w:space="1" w:color="auto"/>
          <w:right w:val="single" w:sz="4" w:space="4" w:color="auto"/>
        </w:pBdr>
      </w:pPr>
      <w:r>
        <w:t>Progression-free survival</w:t>
      </w:r>
    </w:p>
    <w:p w:rsidR="002170D4" w:rsidRDefault="002170D4" w:rsidP="002170D4">
      <w:pPr>
        <w:pBdr>
          <w:top w:val="single" w:sz="4" w:space="1" w:color="auto"/>
          <w:left w:val="single" w:sz="4" w:space="4" w:color="auto"/>
          <w:bottom w:val="single" w:sz="4" w:space="1" w:color="auto"/>
          <w:right w:val="single" w:sz="4" w:space="4" w:color="auto"/>
        </w:pBdr>
      </w:pPr>
      <w:r>
        <w:t>Overall survival</w:t>
      </w:r>
    </w:p>
    <w:p w:rsidR="00B25D20" w:rsidRPr="001B29A1" w:rsidRDefault="002170D4" w:rsidP="002170D4">
      <w:pPr>
        <w:pBdr>
          <w:top w:val="single" w:sz="4" w:space="1" w:color="auto"/>
          <w:left w:val="single" w:sz="4" w:space="4" w:color="auto"/>
          <w:bottom w:val="single" w:sz="4" w:space="1" w:color="auto"/>
          <w:right w:val="single" w:sz="4" w:space="4" w:color="auto"/>
        </w:pBdr>
        <w:rPr>
          <w:szCs w:val="20"/>
        </w:rPr>
      </w:pPr>
      <w:r>
        <w:t>Quality-adjusted survival</w:t>
      </w:r>
    </w:p>
    <w:p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tbl>
      <w:tblPr>
        <w:tblStyle w:val="TableGrid"/>
        <w:tblW w:w="8930" w:type="dxa"/>
        <w:tblInd w:w="392" w:type="dxa"/>
        <w:tblLook w:val="04A0" w:firstRow="1" w:lastRow="0" w:firstColumn="1" w:lastColumn="0" w:noHBand="0" w:noVBand="1"/>
        <w:tblDescription w:val="prevalence data"/>
      </w:tblPr>
      <w:tblGrid>
        <w:gridCol w:w="2939"/>
        <w:gridCol w:w="720"/>
        <w:gridCol w:w="2340"/>
        <w:gridCol w:w="2931"/>
      </w:tblGrid>
      <w:tr w:rsidR="00BD645D" w:rsidTr="00F30219">
        <w:trPr>
          <w:tblHeader/>
        </w:trPr>
        <w:tc>
          <w:tcPr>
            <w:tcW w:w="2939" w:type="dxa"/>
          </w:tcPr>
          <w:p w:rsidR="00BD645D" w:rsidRDefault="00BD645D" w:rsidP="001D3BDF">
            <w:pPr>
              <w:spacing w:before="100" w:beforeAutospacing="1" w:after="100" w:afterAutospacing="1"/>
              <w:rPr>
                <w:szCs w:val="20"/>
              </w:rPr>
            </w:pPr>
          </w:p>
        </w:tc>
        <w:tc>
          <w:tcPr>
            <w:tcW w:w="720" w:type="dxa"/>
          </w:tcPr>
          <w:p w:rsidR="00BD645D" w:rsidRPr="007B3B52" w:rsidRDefault="00BD645D" w:rsidP="001D3BDF">
            <w:pPr>
              <w:spacing w:before="100" w:beforeAutospacing="1" w:after="100" w:afterAutospacing="1"/>
              <w:rPr>
                <w:b/>
                <w:sz w:val="18"/>
                <w:szCs w:val="20"/>
              </w:rPr>
            </w:pPr>
            <w:r w:rsidRPr="007B3B52">
              <w:rPr>
                <w:b/>
                <w:sz w:val="18"/>
                <w:szCs w:val="20"/>
              </w:rPr>
              <w:t>Cases</w:t>
            </w:r>
          </w:p>
        </w:tc>
        <w:tc>
          <w:tcPr>
            <w:tcW w:w="2340" w:type="dxa"/>
          </w:tcPr>
          <w:p w:rsidR="00BD645D" w:rsidRPr="007B3B52" w:rsidRDefault="00BD645D" w:rsidP="001D3BDF">
            <w:pPr>
              <w:spacing w:before="100" w:beforeAutospacing="1" w:after="100" w:afterAutospacing="1"/>
              <w:rPr>
                <w:b/>
                <w:sz w:val="18"/>
                <w:szCs w:val="20"/>
              </w:rPr>
            </w:pPr>
            <w:r w:rsidRPr="007B3B52">
              <w:rPr>
                <w:b/>
                <w:sz w:val="18"/>
                <w:szCs w:val="20"/>
              </w:rPr>
              <w:t>Assumption</w:t>
            </w:r>
          </w:p>
        </w:tc>
        <w:tc>
          <w:tcPr>
            <w:tcW w:w="2931" w:type="dxa"/>
          </w:tcPr>
          <w:p w:rsidR="00BD645D" w:rsidRPr="007B3B52" w:rsidRDefault="00BD645D" w:rsidP="001D3BDF">
            <w:pPr>
              <w:spacing w:before="100" w:beforeAutospacing="1" w:after="100" w:afterAutospacing="1"/>
              <w:rPr>
                <w:b/>
                <w:sz w:val="18"/>
                <w:szCs w:val="20"/>
              </w:rPr>
            </w:pPr>
            <w:r w:rsidRPr="007B3B52">
              <w:rPr>
                <w:b/>
                <w:sz w:val="18"/>
                <w:szCs w:val="20"/>
              </w:rPr>
              <w:t>Source</w:t>
            </w: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 xml:space="preserve">Incidence of lung cancer  </w:t>
            </w:r>
          </w:p>
        </w:tc>
        <w:tc>
          <w:tcPr>
            <w:tcW w:w="720" w:type="dxa"/>
          </w:tcPr>
          <w:p w:rsidR="00BD645D" w:rsidRPr="007B3B52" w:rsidRDefault="00BD645D" w:rsidP="001D3BDF">
            <w:pPr>
              <w:spacing w:before="100" w:beforeAutospacing="1" w:after="100" w:afterAutospacing="1"/>
              <w:rPr>
                <w:sz w:val="18"/>
                <w:szCs w:val="20"/>
              </w:rPr>
            </w:pPr>
            <w:r w:rsidRPr="007B3B52">
              <w:rPr>
                <w:sz w:val="18"/>
                <w:szCs w:val="20"/>
              </w:rPr>
              <w:t>1</w:t>
            </w:r>
            <w:r>
              <w:rPr>
                <w:sz w:val="18"/>
                <w:szCs w:val="20"/>
              </w:rPr>
              <w:t>1,573</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 xml:space="preserve">Incidence rate (per 100,000) = </w:t>
            </w:r>
            <w:r>
              <w:rPr>
                <w:sz w:val="18"/>
                <w:szCs w:val="20"/>
              </w:rPr>
              <w:t>47.2</w:t>
            </w:r>
          </w:p>
        </w:tc>
        <w:tc>
          <w:tcPr>
            <w:tcW w:w="2931" w:type="dxa"/>
          </w:tcPr>
          <w:p w:rsidR="00BD645D" w:rsidRPr="007B3B52" w:rsidRDefault="00BD645D" w:rsidP="001D3BDF">
            <w:pPr>
              <w:spacing w:before="100" w:beforeAutospacing="1" w:after="100" w:afterAutospacing="1"/>
              <w:rPr>
                <w:i/>
                <w:sz w:val="18"/>
                <w:szCs w:val="20"/>
              </w:rPr>
            </w:pPr>
            <w:r w:rsidRPr="007B3B52">
              <w:rPr>
                <w:i/>
                <w:sz w:val="18"/>
                <w:szCs w:val="20"/>
              </w:rPr>
              <w:t xml:space="preserve">Projected from AIHW </w:t>
            </w:r>
            <w:r>
              <w:rPr>
                <w:i/>
                <w:sz w:val="18"/>
                <w:szCs w:val="20"/>
              </w:rPr>
              <w:t>ACIM Books 2016 (2012 dataset)</w:t>
            </w: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 xml:space="preserve">Incidence of advanced </w:t>
            </w:r>
            <w:r>
              <w:rPr>
                <w:sz w:val="18"/>
                <w:szCs w:val="20"/>
              </w:rPr>
              <w:t>lung cancer</w:t>
            </w:r>
            <w:r w:rsidRPr="007B3B52">
              <w:rPr>
                <w:sz w:val="18"/>
                <w:szCs w:val="20"/>
              </w:rPr>
              <w:t xml:space="preserve"> at diagnosis</w:t>
            </w:r>
          </w:p>
        </w:tc>
        <w:tc>
          <w:tcPr>
            <w:tcW w:w="720" w:type="dxa"/>
          </w:tcPr>
          <w:p w:rsidR="00BD645D" w:rsidRPr="007B3B52" w:rsidRDefault="00BD645D" w:rsidP="001D3BDF">
            <w:pPr>
              <w:spacing w:before="100" w:beforeAutospacing="1" w:after="100" w:afterAutospacing="1"/>
              <w:rPr>
                <w:sz w:val="18"/>
                <w:szCs w:val="20"/>
              </w:rPr>
            </w:pPr>
            <w:r>
              <w:rPr>
                <w:sz w:val="18"/>
                <w:szCs w:val="20"/>
              </w:rPr>
              <w:t>8,101</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70%</w:t>
            </w:r>
          </w:p>
        </w:tc>
        <w:tc>
          <w:tcPr>
            <w:tcW w:w="2931" w:type="dxa"/>
          </w:tcPr>
          <w:p w:rsidR="00BD645D" w:rsidRPr="007B3B52" w:rsidRDefault="00BD645D" w:rsidP="001D3BDF">
            <w:pPr>
              <w:spacing w:before="100" w:beforeAutospacing="1" w:after="100" w:afterAutospacing="1"/>
              <w:rPr>
                <w:i/>
                <w:sz w:val="18"/>
                <w:szCs w:val="20"/>
              </w:rPr>
            </w:pPr>
            <w:r w:rsidRPr="00CE608F">
              <w:rPr>
                <w:i/>
                <w:sz w:val="18"/>
                <w:szCs w:val="20"/>
              </w:rPr>
              <w:t>Walters et al., 2012</w:t>
            </w: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 xml:space="preserve">Incidence of recurrent </w:t>
            </w:r>
            <w:r>
              <w:rPr>
                <w:sz w:val="18"/>
                <w:szCs w:val="20"/>
              </w:rPr>
              <w:t>lung cancer</w:t>
            </w:r>
          </w:p>
        </w:tc>
        <w:tc>
          <w:tcPr>
            <w:tcW w:w="720" w:type="dxa"/>
          </w:tcPr>
          <w:p w:rsidR="00BD645D" w:rsidRPr="007B3B52" w:rsidRDefault="00BD645D" w:rsidP="001D3BDF">
            <w:pPr>
              <w:spacing w:before="100" w:beforeAutospacing="1" w:after="100" w:afterAutospacing="1"/>
              <w:rPr>
                <w:sz w:val="18"/>
                <w:szCs w:val="20"/>
              </w:rPr>
            </w:pPr>
            <w:r>
              <w:rPr>
                <w:sz w:val="18"/>
                <w:szCs w:val="20"/>
              </w:rPr>
              <w:t>530</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1-year prevalence</w:t>
            </w:r>
            <w:r>
              <w:rPr>
                <w:sz w:val="18"/>
                <w:szCs w:val="20"/>
              </w:rPr>
              <w:t xml:space="preserve"> for patients diagnosed with localised disease = 63.2</w:t>
            </w:r>
            <w:r w:rsidRPr="007B3B52">
              <w:rPr>
                <w:sz w:val="18"/>
                <w:szCs w:val="20"/>
              </w:rPr>
              <w:t>% recurrence rate = 28%</w:t>
            </w:r>
          </w:p>
        </w:tc>
        <w:tc>
          <w:tcPr>
            <w:tcW w:w="2931" w:type="dxa"/>
          </w:tcPr>
          <w:p w:rsidR="00BD645D" w:rsidRDefault="00BD645D" w:rsidP="001D3BDF">
            <w:pPr>
              <w:spacing w:before="100" w:beforeAutospacing="1" w:after="100" w:afterAutospacing="1"/>
              <w:rPr>
                <w:i/>
                <w:sz w:val="18"/>
                <w:szCs w:val="20"/>
              </w:rPr>
            </w:pPr>
            <w:r w:rsidRPr="00CE608F">
              <w:rPr>
                <w:i/>
                <w:sz w:val="18"/>
                <w:szCs w:val="20"/>
              </w:rPr>
              <w:t>Walters et al., 2012</w:t>
            </w:r>
          </w:p>
          <w:p w:rsidR="00BD645D" w:rsidRPr="007B3B52" w:rsidRDefault="00BD645D" w:rsidP="001D3BDF">
            <w:pPr>
              <w:spacing w:before="100" w:beforeAutospacing="1" w:after="100" w:afterAutospacing="1"/>
              <w:rPr>
                <w:i/>
                <w:sz w:val="18"/>
                <w:szCs w:val="20"/>
              </w:rPr>
            </w:pP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 xml:space="preserve">Total </w:t>
            </w:r>
            <w:r>
              <w:rPr>
                <w:sz w:val="18"/>
                <w:szCs w:val="20"/>
              </w:rPr>
              <w:t>new advanced</w:t>
            </w:r>
            <w:r w:rsidRPr="007B3B52">
              <w:rPr>
                <w:sz w:val="18"/>
                <w:szCs w:val="20"/>
              </w:rPr>
              <w:t xml:space="preserve"> </w:t>
            </w:r>
            <w:r>
              <w:rPr>
                <w:sz w:val="18"/>
                <w:szCs w:val="20"/>
              </w:rPr>
              <w:t>lung cancer</w:t>
            </w:r>
            <w:r w:rsidRPr="007B3B52">
              <w:rPr>
                <w:sz w:val="18"/>
                <w:szCs w:val="20"/>
              </w:rPr>
              <w:t xml:space="preserve"> cases</w:t>
            </w:r>
            <w:r>
              <w:rPr>
                <w:sz w:val="18"/>
                <w:szCs w:val="20"/>
              </w:rPr>
              <w:t xml:space="preserve"> / year</w:t>
            </w:r>
          </w:p>
        </w:tc>
        <w:tc>
          <w:tcPr>
            <w:tcW w:w="720" w:type="dxa"/>
          </w:tcPr>
          <w:p w:rsidR="00BD645D" w:rsidRPr="007B3B52" w:rsidRDefault="00BD645D" w:rsidP="001D3BDF">
            <w:pPr>
              <w:spacing w:before="100" w:beforeAutospacing="1" w:after="100" w:afterAutospacing="1"/>
              <w:rPr>
                <w:sz w:val="18"/>
                <w:szCs w:val="20"/>
              </w:rPr>
            </w:pPr>
            <w:r>
              <w:rPr>
                <w:sz w:val="18"/>
                <w:szCs w:val="20"/>
              </w:rPr>
              <w:t>8,630</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Sum of newly diagnosed and recurrent cases</w:t>
            </w:r>
          </w:p>
        </w:tc>
        <w:tc>
          <w:tcPr>
            <w:tcW w:w="2931" w:type="dxa"/>
          </w:tcPr>
          <w:p w:rsidR="00BD645D" w:rsidRPr="007B3B52" w:rsidRDefault="00BD645D" w:rsidP="001D3BDF">
            <w:pPr>
              <w:spacing w:before="100" w:beforeAutospacing="1" w:after="100" w:afterAutospacing="1"/>
              <w:rPr>
                <w:i/>
                <w:sz w:val="18"/>
                <w:szCs w:val="20"/>
              </w:rPr>
            </w:pP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Incidence of non-squamous NSCLC</w:t>
            </w:r>
          </w:p>
        </w:tc>
        <w:tc>
          <w:tcPr>
            <w:tcW w:w="720" w:type="dxa"/>
          </w:tcPr>
          <w:p w:rsidR="00BD645D" w:rsidRPr="007B3B52" w:rsidRDefault="00BD645D" w:rsidP="001D3BDF">
            <w:pPr>
              <w:spacing w:before="100" w:beforeAutospacing="1" w:after="100" w:afterAutospacing="1"/>
              <w:rPr>
                <w:sz w:val="18"/>
                <w:szCs w:val="20"/>
              </w:rPr>
            </w:pPr>
            <w:r>
              <w:rPr>
                <w:sz w:val="18"/>
                <w:szCs w:val="20"/>
              </w:rPr>
              <w:t>4,022</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46.6%</w:t>
            </w:r>
          </w:p>
        </w:tc>
        <w:tc>
          <w:tcPr>
            <w:tcW w:w="2931" w:type="dxa"/>
          </w:tcPr>
          <w:p w:rsidR="00BD645D" w:rsidRPr="007B3B52" w:rsidRDefault="00BD645D" w:rsidP="001D3BDF">
            <w:pPr>
              <w:spacing w:before="100" w:beforeAutospacing="1" w:after="100" w:afterAutospacing="1"/>
              <w:rPr>
                <w:i/>
                <w:sz w:val="18"/>
                <w:szCs w:val="20"/>
              </w:rPr>
            </w:pPr>
            <w:r w:rsidRPr="007B3B52">
              <w:rPr>
                <w:i/>
                <w:sz w:val="18"/>
                <w:szCs w:val="20"/>
              </w:rPr>
              <w:t>AIHW 2011</w:t>
            </w: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 xml:space="preserve">Advanced non-squamous NSCLC patients </w:t>
            </w:r>
            <w:r>
              <w:rPr>
                <w:sz w:val="18"/>
                <w:szCs w:val="20"/>
              </w:rPr>
              <w:t>who are both EGFR and ALK-negative</w:t>
            </w:r>
            <w:r w:rsidRPr="007B3B52">
              <w:rPr>
                <w:sz w:val="18"/>
                <w:szCs w:val="20"/>
              </w:rPr>
              <w:t xml:space="preserve">   </w:t>
            </w:r>
          </w:p>
        </w:tc>
        <w:tc>
          <w:tcPr>
            <w:tcW w:w="720" w:type="dxa"/>
          </w:tcPr>
          <w:p w:rsidR="00BD645D" w:rsidRPr="007B3B52" w:rsidRDefault="00BD645D" w:rsidP="001D3BDF">
            <w:pPr>
              <w:spacing w:before="100" w:beforeAutospacing="1" w:after="100" w:afterAutospacing="1"/>
              <w:rPr>
                <w:sz w:val="18"/>
                <w:szCs w:val="20"/>
              </w:rPr>
            </w:pPr>
            <w:r>
              <w:rPr>
                <w:sz w:val="18"/>
                <w:szCs w:val="20"/>
              </w:rPr>
              <w:t>3,223</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 xml:space="preserve">15% of patients are EGFR positive, 4.9% patients </w:t>
            </w:r>
            <w:r>
              <w:rPr>
                <w:sz w:val="18"/>
                <w:szCs w:val="20"/>
              </w:rPr>
              <w:t xml:space="preserve">are </w:t>
            </w:r>
            <w:r w:rsidRPr="007B3B52">
              <w:rPr>
                <w:sz w:val="18"/>
                <w:szCs w:val="20"/>
              </w:rPr>
              <w:t>ALK-positive</w:t>
            </w:r>
          </w:p>
        </w:tc>
        <w:tc>
          <w:tcPr>
            <w:tcW w:w="2931" w:type="dxa"/>
          </w:tcPr>
          <w:p w:rsidR="00BD645D" w:rsidRPr="007B3B52" w:rsidRDefault="00BD645D" w:rsidP="001D3BDF">
            <w:pPr>
              <w:spacing w:before="100" w:beforeAutospacing="1" w:after="100" w:afterAutospacing="1"/>
              <w:rPr>
                <w:i/>
                <w:sz w:val="18"/>
                <w:szCs w:val="20"/>
              </w:rPr>
            </w:pPr>
          </w:p>
        </w:tc>
      </w:tr>
      <w:tr w:rsidR="00BD645D" w:rsidTr="00BD645D">
        <w:tc>
          <w:tcPr>
            <w:tcW w:w="2939" w:type="dxa"/>
          </w:tcPr>
          <w:p w:rsidR="00BD645D" w:rsidRPr="007B3B52" w:rsidRDefault="00BD645D" w:rsidP="001D3BDF">
            <w:pPr>
              <w:spacing w:before="100" w:beforeAutospacing="1" w:after="100" w:afterAutospacing="1"/>
              <w:rPr>
                <w:sz w:val="18"/>
                <w:szCs w:val="20"/>
              </w:rPr>
            </w:pPr>
            <w:r w:rsidRPr="007B3B52">
              <w:rPr>
                <w:sz w:val="18"/>
                <w:szCs w:val="20"/>
              </w:rPr>
              <w:t>ROS1-positive</w:t>
            </w:r>
            <w:r>
              <w:rPr>
                <w:sz w:val="18"/>
                <w:szCs w:val="20"/>
              </w:rPr>
              <w:t xml:space="preserve"> advanced non-squamous NSCLC patients</w:t>
            </w:r>
          </w:p>
        </w:tc>
        <w:tc>
          <w:tcPr>
            <w:tcW w:w="720" w:type="dxa"/>
          </w:tcPr>
          <w:p w:rsidR="00BD645D" w:rsidRPr="007B3B52" w:rsidRDefault="00BD645D" w:rsidP="001D3BDF">
            <w:pPr>
              <w:spacing w:before="100" w:beforeAutospacing="1" w:after="100" w:afterAutospacing="1"/>
              <w:rPr>
                <w:sz w:val="18"/>
                <w:szCs w:val="20"/>
              </w:rPr>
            </w:pPr>
            <w:r>
              <w:rPr>
                <w:sz w:val="18"/>
                <w:szCs w:val="20"/>
              </w:rPr>
              <w:t>60</w:t>
            </w:r>
          </w:p>
        </w:tc>
        <w:tc>
          <w:tcPr>
            <w:tcW w:w="2340" w:type="dxa"/>
          </w:tcPr>
          <w:p w:rsidR="00BD645D" w:rsidRPr="007B3B52" w:rsidRDefault="00BD645D" w:rsidP="001D3BDF">
            <w:pPr>
              <w:spacing w:before="100" w:beforeAutospacing="1" w:after="100" w:afterAutospacing="1"/>
              <w:rPr>
                <w:sz w:val="18"/>
                <w:szCs w:val="20"/>
              </w:rPr>
            </w:pPr>
            <w:r w:rsidRPr="007B3B52">
              <w:rPr>
                <w:sz w:val="18"/>
                <w:szCs w:val="20"/>
              </w:rPr>
              <w:t>1.5%</w:t>
            </w:r>
            <w:r>
              <w:rPr>
                <w:sz w:val="18"/>
                <w:szCs w:val="20"/>
              </w:rPr>
              <w:t xml:space="preserve"> of NSCLC patients</w:t>
            </w:r>
          </w:p>
        </w:tc>
        <w:tc>
          <w:tcPr>
            <w:tcW w:w="2931" w:type="dxa"/>
          </w:tcPr>
          <w:p w:rsidR="00BD645D" w:rsidRPr="007B3B52" w:rsidRDefault="00BD645D" w:rsidP="001D3BDF">
            <w:pPr>
              <w:spacing w:before="100" w:beforeAutospacing="1" w:after="100" w:afterAutospacing="1"/>
              <w:rPr>
                <w:i/>
                <w:sz w:val="18"/>
                <w:szCs w:val="20"/>
              </w:rPr>
            </w:pPr>
            <w:proofErr w:type="spellStart"/>
            <w:r>
              <w:rPr>
                <w:i/>
                <w:sz w:val="18"/>
                <w:szCs w:val="20"/>
              </w:rPr>
              <w:t>Gainor</w:t>
            </w:r>
            <w:proofErr w:type="spellEnd"/>
            <w:r>
              <w:rPr>
                <w:i/>
                <w:sz w:val="18"/>
                <w:szCs w:val="20"/>
              </w:rPr>
              <w:t xml:space="preserve"> and Shaw, 2013</w:t>
            </w:r>
          </w:p>
        </w:tc>
      </w:tr>
      <w:tr w:rsidR="00BD645D" w:rsidTr="00BD645D">
        <w:tc>
          <w:tcPr>
            <w:tcW w:w="2939" w:type="dxa"/>
          </w:tcPr>
          <w:p w:rsidR="00BD645D" w:rsidRPr="007B3B52" w:rsidRDefault="00BD645D" w:rsidP="001D3BDF">
            <w:pPr>
              <w:spacing w:before="100" w:beforeAutospacing="1" w:after="100" w:afterAutospacing="1"/>
              <w:rPr>
                <w:sz w:val="18"/>
                <w:szCs w:val="20"/>
              </w:rPr>
            </w:pPr>
            <w:r>
              <w:rPr>
                <w:sz w:val="18"/>
                <w:szCs w:val="20"/>
              </w:rPr>
              <w:t>Potential patients who could be eligible for the proposed service for ROS1 FISH testing</w:t>
            </w:r>
          </w:p>
        </w:tc>
        <w:tc>
          <w:tcPr>
            <w:tcW w:w="720" w:type="dxa"/>
          </w:tcPr>
          <w:p w:rsidR="00BD645D" w:rsidRPr="007B3B52" w:rsidRDefault="00BD645D" w:rsidP="001D3BDF">
            <w:pPr>
              <w:spacing w:before="100" w:beforeAutospacing="1" w:after="100" w:afterAutospacing="1"/>
              <w:rPr>
                <w:sz w:val="18"/>
                <w:szCs w:val="20"/>
              </w:rPr>
            </w:pPr>
            <w:r>
              <w:rPr>
                <w:sz w:val="18"/>
                <w:szCs w:val="20"/>
              </w:rPr>
              <w:t>219</w:t>
            </w:r>
          </w:p>
        </w:tc>
        <w:tc>
          <w:tcPr>
            <w:tcW w:w="2340" w:type="dxa"/>
          </w:tcPr>
          <w:p w:rsidR="00BD645D" w:rsidRPr="007B3B52" w:rsidRDefault="00BD645D" w:rsidP="001D3BDF">
            <w:pPr>
              <w:spacing w:before="100" w:beforeAutospacing="1" w:after="100" w:afterAutospacing="1"/>
              <w:rPr>
                <w:sz w:val="18"/>
                <w:szCs w:val="20"/>
              </w:rPr>
            </w:pPr>
            <w:r>
              <w:rPr>
                <w:sz w:val="18"/>
                <w:szCs w:val="20"/>
              </w:rPr>
              <w:t>ROS1 IHC sensitivity and specificity of 100% and 95%, respectively</w:t>
            </w:r>
          </w:p>
        </w:tc>
        <w:tc>
          <w:tcPr>
            <w:tcW w:w="2931" w:type="dxa"/>
          </w:tcPr>
          <w:p w:rsidR="00BD645D" w:rsidRPr="007B3B52" w:rsidRDefault="00BD645D" w:rsidP="001D3BDF">
            <w:pPr>
              <w:spacing w:before="100" w:beforeAutospacing="1" w:after="100" w:afterAutospacing="1"/>
              <w:rPr>
                <w:i/>
                <w:sz w:val="18"/>
                <w:szCs w:val="20"/>
              </w:rPr>
            </w:pPr>
            <w:r>
              <w:rPr>
                <w:i/>
                <w:sz w:val="18"/>
                <w:szCs w:val="20"/>
              </w:rPr>
              <w:t>Weighted average of identified studies using the proposed IHC positivity definition of +2 or +3 (</w:t>
            </w:r>
            <w:proofErr w:type="spellStart"/>
            <w:r w:rsidRPr="00441988">
              <w:rPr>
                <w:i/>
                <w:sz w:val="18"/>
                <w:szCs w:val="20"/>
              </w:rPr>
              <w:t>Sholl</w:t>
            </w:r>
            <w:proofErr w:type="spellEnd"/>
            <w:r w:rsidRPr="00441988">
              <w:rPr>
                <w:i/>
                <w:sz w:val="18"/>
                <w:szCs w:val="20"/>
              </w:rPr>
              <w:t xml:space="preserve"> et al., 2013, Shan et al., 2015, Cha et al., 2014, </w:t>
            </w:r>
            <w:proofErr w:type="spellStart"/>
            <w:r w:rsidRPr="00441988">
              <w:rPr>
                <w:i/>
                <w:sz w:val="18"/>
                <w:szCs w:val="20"/>
              </w:rPr>
              <w:t>Mescam</w:t>
            </w:r>
            <w:proofErr w:type="spellEnd"/>
            <w:r w:rsidRPr="00441988">
              <w:rPr>
                <w:i/>
                <w:sz w:val="18"/>
                <w:szCs w:val="20"/>
              </w:rPr>
              <w:t>-Mancini et al., 2014</w:t>
            </w:r>
            <w:r>
              <w:rPr>
                <w:i/>
                <w:sz w:val="18"/>
                <w:szCs w:val="20"/>
              </w:rPr>
              <w:t>)</w:t>
            </w:r>
          </w:p>
        </w:tc>
      </w:tr>
    </w:tbl>
    <w:p w:rsidR="00BD645D" w:rsidRPr="00BD645D" w:rsidRDefault="00BD645D" w:rsidP="00BD645D">
      <w:pPr>
        <w:ind w:left="426"/>
        <w:rPr>
          <w:szCs w:val="20"/>
        </w:rPr>
      </w:pPr>
      <w:r w:rsidRPr="00BD645D">
        <w:rPr>
          <w:szCs w:val="20"/>
        </w:rPr>
        <w:t xml:space="preserve">By using an IHC pre-screening test (similar to the strategy used for the current testing for ALK gene rearrangements NSCLC patients) the majority of patients who are ROS1-negative will be excluded. This will significantly reduce the resource requirements and time associated with the proposed ROS1 FISH testing. </w:t>
      </w:r>
    </w:p>
    <w:p w:rsidR="00BD645D" w:rsidRPr="00154B00" w:rsidRDefault="00BD645D" w:rsidP="00BD645D">
      <w:pPr>
        <w:ind w:left="426"/>
        <w:rPr>
          <w:szCs w:val="20"/>
        </w:rPr>
      </w:pPr>
      <w:r w:rsidRPr="00BD645D">
        <w:rPr>
          <w:szCs w:val="20"/>
        </w:rPr>
        <w:t>Further details of these estimations will be presented in the submission dossier, which will include a comprehensive review of the available literature relating to the sensitivity and specificity of ROS1 IHC testing.</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BD645D" w:rsidP="00AE1188">
      <w:pPr>
        <w:ind w:left="426"/>
        <w:rPr>
          <w:szCs w:val="20"/>
        </w:rPr>
      </w:pPr>
      <w:r w:rsidRPr="00BD645D">
        <w:t>The Sponsor believes that ROS1 gene rearrangements are stable and not affected by treatment, therefore each patient will only require testing once. The only exceptions to this will be in the case of retests being required due to insufficient quantity and/or quality of the tumour sample to perform the analysis. An estimate of the number of retests that are likely to be required will be presented in the submission dossier.</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BD645D" w:rsidRDefault="00BD645D" w:rsidP="00BD645D">
      <w:pPr>
        <w:ind w:left="426"/>
      </w:pPr>
      <w:r w:rsidRPr="00BD645D">
        <w:rPr>
          <w:u w:val="single"/>
        </w:rPr>
        <w:t>Medical service</w:t>
      </w:r>
      <w:r>
        <w:t xml:space="preserve">: One test per patient (in year 1). </w:t>
      </w:r>
    </w:p>
    <w:p w:rsidR="00BD645D" w:rsidRDefault="00BD645D" w:rsidP="00BD645D">
      <w:pPr>
        <w:ind w:left="426"/>
      </w:pPr>
      <w:r w:rsidRPr="00BD645D">
        <w:rPr>
          <w:u w:val="single"/>
        </w:rPr>
        <w:t>Pharmaceutical</w:t>
      </w:r>
      <w:r>
        <w:t xml:space="preserve">: It is anticipated that subsidised treatment of ROS1-positive patients with </w:t>
      </w:r>
      <w:proofErr w:type="spellStart"/>
      <w:r>
        <w:t>crizotinib</w:t>
      </w:r>
      <w:proofErr w:type="spellEnd"/>
      <w:r>
        <w:t xml:space="preserve"> through the PBS will continue to the point of disease progression. </w:t>
      </w:r>
    </w:p>
    <w:p w:rsidR="00382407" w:rsidRPr="00154B00" w:rsidRDefault="00BD645D" w:rsidP="00BD645D">
      <w:pPr>
        <w:ind w:left="426"/>
        <w:rPr>
          <w:b/>
          <w:szCs w:val="20"/>
        </w:rPr>
      </w:pPr>
      <w:r>
        <w:t xml:space="preserve">In the pivotal study of </w:t>
      </w:r>
      <w:proofErr w:type="spellStart"/>
      <w:r>
        <w:t>crizotinib</w:t>
      </w:r>
      <w:proofErr w:type="spellEnd"/>
      <w:r>
        <w:t xml:space="preserve"> in ROS1-rearranged NSCLC patients, the median progression free survival (PFS) was 19.2 months (95% CI: 14.4 to not reached) and the median duration of treatment was 64.5 weeks (range, 2.3 to 182.0) with 30 patients (60%) continuing to receive treatment after the data cut-off date (Shaw et al., 2014).  </w:t>
      </w:r>
    </w:p>
    <w:p w:rsidR="00BD645D" w:rsidRDefault="00BD645D">
      <w:pPr>
        <w:spacing w:before="0" w:after="200" w:line="276" w:lineRule="auto"/>
        <w:rPr>
          <w:b/>
          <w:szCs w:val="20"/>
        </w:rPr>
      </w:pPr>
      <w:r>
        <w:br w:type="page"/>
      </w:r>
    </w:p>
    <w:p w:rsidR="002A6753" w:rsidRPr="00154B00" w:rsidRDefault="000E47E7" w:rsidP="00530204">
      <w:pPr>
        <w:pStyle w:val="Heading2"/>
        <w:rPr>
          <w:b w:val="0"/>
        </w:rPr>
      </w:pPr>
      <w:r w:rsidRPr="00154B00">
        <w:lastRenderedPageBreak/>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BD645D" w:rsidRDefault="00BD645D" w:rsidP="00BD645D">
      <w:pPr>
        <w:ind w:left="426"/>
      </w:pPr>
      <w:r>
        <w:t>Medical service: Assuming that ROS1 testing is first listed on the MBS in &lt;</w:t>
      </w:r>
      <w:r w:rsidRPr="00BD645D">
        <w:rPr>
          <w:b/>
        </w:rPr>
        <w:t>REDACTED</w:t>
      </w:r>
      <w:r>
        <w:t>&gt;, it is estimated that a total of &lt;</w:t>
      </w:r>
      <w:r w:rsidRPr="00BD645D">
        <w:rPr>
          <w:b/>
        </w:rPr>
        <w:t>REDACTED</w:t>
      </w:r>
      <w:r>
        <w:t xml:space="preserve">&gt;, patients would utilise the proposed medical service for confirmatory ROS1 FISH testing in the first full year of listing. </w:t>
      </w:r>
    </w:p>
    <w:p w:rsidR="00BD645D" w:rsidRDefault="00BD645D" w:rsidP="00BD645D">
      <w:pPr>
        <w:ind w:left="426"/>
      </w:pPr>
      <w:r>
        <w:t>This estimate assumes that IHC pre-screening for ROS1 positivity has a sensitivity and specificity of 100% and 95%, respectively and a ROS1 testing rate of &lt;</w:t>
      </w:r>
      <w:r w:rsidRPr="00BD645D">
        <w:rPr>
          <w:b/>
        </w:rPr>
        <w:t>REDACTED</w:t>
      </w:r>
      <w:r>
        <w:t xml:space="preserve">&gt;,  amongst eligible patients, based on the uptake of ALK testing in the first year of listing on the PBS/MBS. </w:t>
      </w:r>
    </w:p>
    <w:p w:rsidR="00BD645D" w:rsidRDefault="00BD645D" w:rsidP="00BD645D">
      <w:pPr>
        <w:ind w:left="426"/>
      </w:pPr>
      <w:r>
        <w:t>The sensitivity and specificity assumption used in this calculation is based on a weighted average of the studies identified which report this information based on the proposed IHC positivity definition of +2 or + 3 (</w:t>
      </w:r>
      <w:proofErr w:type="spellStart"/>
      <w:r>
        <w:t>Sholl</w:t>
      </w:r>
      <w:proofErr w:type="spellEnd"/>
      <w:r>
        <w:t xml:space="preserve"> et al., 2013, Shan et al., 2015, Cha et al., 2014, </w:t>
      </w:r>
      <w:proofErr w:type="spellStart"/>
      <w:r>
        <w:t>Mescam</w:t>
      </w:r>
      <w:proofErr w:type="spellEnd"/>
      <w:r>
        <w:t>-Mancini et al., 2014). A systematic review of all of the available literature regarding the sensitivity and specificity of IHC testing will be conducted and presented in the submission.</w:t>
      </w:r>
    </w:p>
    <w:p w:rsidR="00AE1188" w:rsidRPr="00154B00" w:rsidRDefault="00BD645D" w:rsidP="00BD645D">
      <w:pPr>
        <w:ind w:left="426"/>
        <w:rPr>
          <w:szCs w:val="20"/>
        </w:rPr>
      </w:pPr>
      <w:r>
        <w:t>Pharmaceutical: &lt;</w:t>
      </w:r>
      <w:r w:rsidRPr="00BD645D">
        <w:rPr>
          <w:b/>
        </w:rPr>
        <w:t>REDACTED</w:t>
      </w:r>
      <w:r>
        <w:t>&gt;, patients (&lt;</w:t>
      </w:r>
      <w:r w:rsidRPr="00BD645D">
        <w:rPr>
          <w:b/>
        </w:rPr>
        <w:t>REDACTED</w:t>
      </w:r>
      <w:r>
        <w:t>&gt;</w:t>
      </w:r>
      <w:proofErr w:type="gramStart"/>
      <w:r>
        <w:t>,  uptake</w:t>
      </w:r>
      <w:proofErr w:type="gramEnd"/>
      <w:r>
        <w:t xml:space="preserve"> amongst patients with a positive ROS1 FISH test in year 1 of listing).</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BD645D" w:rsidRDefault="00BD645D" w:rsidP="00BD645D">
      <w:pPr>
        <w:spacing w:before="0"/>
        <w:ind w:left="426"/>
        <w:rPr>
          <w:szCs w:val="20"/>
          <w:u w:val="single"/>
        </w:rPr>
      </w:pPr>
      <w:r w:rsidRPr="00AC7845">
        <w:rPr>
          <w:szCs w:val="20"/>
          <w:u w:val="single"/>
        </w:rPr>
        <w:t xml:space="preserve">Medical service: </w:t>
      </w:r>
    </w:p>
    <w:p w:rsidR="00BD645D" w:rsidRDefault="00BD645D" w:rsidP="00BD645D">
      <w:pPr>
        <w:spacing w:before="0"/>
        <w:ind w:left="426"/>
        <w:rPr>
          <w:szCs w:val="20"/>
        </w:rPr>
      </w:pPr>
      <w:r>
        <w:rPr>
          <w:szCs w:val="20"/>
        </w:rPr>
        <w:t xml:space="preserve">The anticipated numbers of </w:t>
      </w:r>
      <w:proofErr w:type="gramStart"/>
      <w:r>
        <w:rPr>
          <w:szCs w:val="20"/>
        </w:rPr>
        <w:t>patients who would receive</w:t>
      </w:r>
      <w:r w:rsidRPr="00792A0B">
        <w:rPr>
          <w:szCs w:val="20"/>
        </w:rPr>
        <w:t xml:space="preserve"> </w:t>
      </w:r>
      <w:r>
        <w:rPr>
          <w:szCs w:val="20"/>
        </w:rPr>
        <w:t>the proposed medical service for ROS1 FISH testing</w:t>
      </w:r>
      <w:r w:rsidRPr="00792A0B">
        <w:rPr>
          <w:szCs w:val="20"/>
        </w:rPr>
        <w:t xml:space="preserve"> in the first 3 years of listing</w:t>
      </w:r>
      <w:r>
        <w:rPr>
          <w:szCs w:val="20"/>
        </w:rPr>
        <w:t xml:space="preserve"> (&lt;REDACTED&gt;</w:t>
      </w:r>
      <w:proofErr w:type="gramEnd"/>
      <w:r>
        <w:rPr>
          <w:szCs w:val="20"/>
        </w:rPr>
        <w:t>,) are detailed in the table below.</w:t>
      </w:r>
    </w:p>
    <w:tbl>
      <w:tblPr>
        <w:tblStyle w:val="TableGrid"/>
        <w:tblW w:w="0" w:type="auto"/>
        <w:tblInd w:w="534" w:type="dxa"/>
        <w:tblLook w:val="04A0" w:firstRow="1" w:lastRow="0" w:firstColumn="1" w:lastColumn="0" w:noHBand="0" w:noVBand="1"/>
        <w:tblDescription w:val="patient utilisation estimate table (contents redacted)"/>
      </w:tblPr>
      <w:tblGrid>
        <w:gridCol w:w="1984"/>
        <w:gridCol w:w="2552"/>
        <w:gridCol w:w="3402"/>
      </w:tblGrid>
      <w:tr w:rsidR="00BD645D" w:rsidTr="00F30219">
        <w:trPr>
          <w:tblHeader/>
        </w:trPr>
        <w:tc>
          <w:tcPr>
            <w:tcW w:w="1984" w:type="dxa"/>
          </w:tcPr>
          <w:p w:rsidR="00BD645D" w:rsidRDefault="00BD645D" w:rsidP="00BD645D">
            <w:pPr>
              <w:spacing w:before="0"/>
              <w:ind w:left="426"/>
              <w:rPr>
                <w:szCs w:val="20"/>
              </w:rPr>
            </w:pPr>
          </w:p>
        </w:tc>
        <w:tc>
          <w:tcPr>
            <w:tcW w:w="2552" w:type="dxa"/>
          </w:tcPr>
          <w:p w:rsidR="00BD645D" w:rsidRDefault="00BD645D" w:rsidP="00BD645D">
            <w:pPr>
              <w:spacing w:before="0"/>
              <w:ind w:left="426"/>
              <w:rPr>
                <w:szCs w:val="20"/>
              </w:rPr>
            </w:pPr>
            <w:r>
              <w:rPr>
                <w:szCs w:val="20"/>
              </w:rPr>
              <w:t>Number of patients</w:t>
            </w:r>
          </w:p>
        </w:tc>
        <w:tc>
          <w:tcPr>
            <w:tcW w:w="3402" w:type="dxa"/>
          </w:tcPr>
          <w:p w:rsidR="00BD645D" w:rsidRDefault="00BD645D" w:rsidP="00BD645D">
            <w:pPr>
              <w:spacing w:before="0"/>
              <w:ind w:left="426"/>
              <w:rPr>
                <w:szCs w:val="20"/>
              </w:rPr>
            </w:pPr>
            <w:r>
              <w:rPr>
                <w:szCs w:val="20"/>
              </w:rPr>
              <w:t>FISH uptake in eligible population</w:t>
            </w:r>
          </w:p>
        </w:tc>
      </w:tr>
      <w:tr w:rsidR="00BD645D" w:rsidTr="00BD645D">
        <w:tc>
          <w:tcPr>
            <w:tcW w:w="1984" w:type="dxa"/>
          </w:tcPr>
          <w:p w:rsidR="00BD645D" w:rsidRDefault="00BD645D" w:rsidP="00BD645D">
            <w:pPr>
              <w:spacing w:before="0"/>
              <w:ind w:left="426"/>
              <w:rPr>
                <w:szCs w:val="20"/>
              </w:rPr>
            </w:pPr>
            <w:r>
              <w:rPr>
                <w:szCs w:val="20"/>
              </w:rPr>
              <w:t>Year 1</w:t>
            </w:r>
          </w:p>
        </w:tc>
        <w:tc>
          <w:tcPr>
            <w:tcW w:w="2552" w:type="dxa"/>
          </w:tcPr>
          <w:p w:rsidR="00BD645D" w:rsidRPr="00BD645D" w:rsidRDefault="00BD645D" w:rsidP="00BD645D">
            <w:pPr>
              <w:spacing w:before="0"/>
              <w:ind w:left="426"/>
              <w:jc w:val="center"/>
              <w:rPr>
                <w:b/>
                <w:szCs w:val="20"/>
                <w:highlight w:val="black"/>
              </w:rPr>
            </w:pPr>
            <w:r w:rsidRPr="00BD645D">
              <w:rPr>
                <w:b/>
                <w:szCs w:val="20"/>
              </w:rPr>
              <w:t>&lt;REDACTED&gt;</w:t>
            </w:r>
          </w:p>
        </w:tc>
        <w:tc>
          <w:tcPr>
            <w:tcW w:w="3402" w:type="dxa"/>
          </w:tcPr>
          <w:p w:rsidR="00BD645D" w:rsidRPr="00BD645D" w:rsidRDefault="00BD645D" w:rsidP="00BD645D">
            <w:pPr>
              <w:spacing w:before="0"/>
              <w:ind w:left="426"/>
              <w:jc w:val="center"/>
              <w:rPr>
                <w:b/>
                <w:szCs w:val="20"/>
                <w:highlight w:val="black"/>
              </w:rPr>
            </w:pPr>
            <w:r w:rsidRPr="00BD645D">
              <w:rPr>
                <w:b/>
                <w:szCs w:val="20"/>
              </w:rPr>
              <w:t>&lt;REDACTED&gt;</w:t>
            </w:r>
          </w:p>
        </w:tc>
      </w:tr>
      <w:tr w:rsidR="00BD645D" w:rsidTr="00BD645D">
        <w:tc>
          <w:tcPr>
            <w:tcW w:w="1984" w:type="dxa"/>
          </w:tcPr>
          <w:p w:rsidR="00BD645D" w:rsidRDefault="00BD645D" w:rsidP="00BD645D">
            <w:pPr>
              <w:spacing w:before="0"/>
              <w:ind w:left="426"/>
              <w:rPr>
                <w:szCs w:val="20"/>
              </w:rPr>
            </w:pPr>
            <w:r>
              <w:rPr>
                <w:szCs w:val="20"/>
              </w:rPr>
              <w:t>Year 2</w:t>
            </w:r>
          </w:p>
        </w:tc>
        <w:tc>
          <w:tcPr>
            <w:tcW w:w="2552" w:type="dxa"/>
          </w:tcPr>
          <w:p w:rsidR="00BD645D" w:rsidRPr="00BD645D" w:rsidRDefault="00BD645D" w:rsidP="00BD645D">
            <w:pPr>
              <w:spacing w:before="0"/>
              <w:ind w:left="426"/>
              <w:jc w:val="center"/>
              <w:rPr>
                <w:b/>
                <w:szCs w:val="20"/>
                <w:highlight w:val="black"/>
              </w:rPr>
            </w:pPr>
            <w:r w:rsidRPr="00BD645D">
              <w:rPr>
                <w:b/>
                <w:szCs w:val="20"/>
              </w:rPr>
              <w:t>&lt;REDACTED&gt;</w:t>
            </w:r>
          </w:p>
        </w:tc>
        <w:tc>
          <w:tcPr>
            <w:tcW w:w="3402" w:type="dxa"/>
          </w:tcPr>
          <w:p w:rsidR="00BD645D" w:rsidRPr="00BD645D" w:rsidRDefault="00BD645D" w:rsidP="00BD645D">
            <w:pPr>
              <w:spacing w:before="0"/>
              <w:ind w:left="426"/>
              <w:jc w:val="center"/>
              <w:rPr>
                <w:b/>
                <w:szCs w:val="20"/>
                <w:highlight w:val="black"/>
              </w:rPr>
            </w:pPr>
            <w:r w:rsidRPr="00BD645D">
              <w:rPr>
                <w:b/>
                <w:szCs w:val="20"/>
              </w:rPr>
              <w:t>&lt;REDACTED&gt;</w:t>
            </w:r>
          </w:p>
        </w:tc>
      </w:tr>
      <w:tr w:rsidR="00BD645D" w:rsidTr="00BD645D">
        <w:tc>
          <w:tcPr>
            <w:tcW w:w="1984" w:type="dxa"/>
          </w:tcPr>
          <w:p w:rsidR="00BD645D" w:rsidRDefault="00BD645D" w:rsidP="00BD645D">
            <w:pPr>
              <w:spacing w:before="0"/>
              <w:ind w:left="426"/>
              <w:rPr>
                <w:szCs w:val="20"/>
              </w:rPr>
            </w:pPr>
            <w:r>
              <w:rPr>
                <w:szCs w:val="20"/>
              </w:rPr>
              <w:t>Year 3</w:t>
            </w:r>
          </w:p>
        </w:tc>
        <w:tc>
          <w:tcPr>
            <w:tcW w:w="2552" w:type="dxa"/>
          </w:tcPr>
          <w:p w:rsidR="00BD645D" w:rsidRPr="00BD645D" w:rsidRDefault="00BD645D" w:rsidP="00BD645D">
            <w:pPr>
              <w:spacing w:before="0"/>
              <w:ind w:left="426"/>
              <w:jc w:val="center"/>
              <w:rPr>
                <w:b/>
                <w:szCs w:val="20"/>
                <w:highlight w:val="black"/>
              </w:rPr>
            </w:pPr>
            <w:r w:rsidRPr="00BD645D">
              <w:rPr>
                <w:b/>
                <w:szCs w:val="20"/>
              </w:rPr>
              <w:t>&lt;REDACTED&gt;</w:t>
            </w:r>
          </w:p>
        </w:tc>
        <w:tc>
          <w:tcPr>
            <w:tcW w:w="3402" w:type="dxa"/>
          </w:tcPr>
          <w:p w:rsidR="00BD645D" w:rsidRPr="00BD645D" w:rsidRDefault="00BD645D" w:rsidP="00BD645D">
            <w:pPr>
              <w:spacing w:before="0"/>
              <w:ind w:left="426"/>
              <w:jc w:val="center"/>
              <w:rPr>
                <w:b/>
                <w:szCs w:val="20"/>
                <w:highlight w:val="black"/>
              </w:rPr>
            </w:pPr>
            <w:r w:rsidRPr="00BD645D">
              <w:rPr>
                <w:b/>
                <w:szCs w:val="20"/>
              </w:rPr>
              <w:t>&lt;REDACTED&gt;</w:t>
            </w:r>
          </w:p>
        </w:tc>
      </w:tr>
    </w:tbl>
    <w:p w:rsidR="00BD645D" w:rsidRPr="002D6826" w:rsidRDefault="00BD645D" w:rsidP="00BD645D">
      <w:pPr>
        <w:spacing w:before="0"/>
        <w:ind w:left="425"/>
        <w:rPr>
          <w:szCs w:val="20"/>
          <w:u w:val="single"/>
        </w:rPr>
      </w:pPr>
      <w:r w:rsidRPr="002D6826">
        <w:rPr>
          <w:szCs w:val="20"/>
          <w:u w:val="single"/>
        </w:rPr>
        <w:t xml:space="preserve">Pharmaceutical: </w:t>
      </w:r>
    </w:p>
    <w:p w:rsidR="00BD645D" w:rsidRDefault="00BD645D" w:rsidP="00BD645D">
      <w:pPr>
        <w:spacing w:before="0"/>
        <w:ind w:left="426"/>
        <w:rPr>
          <w:szCs w:val="20"/>
        </w:rPr>
      </w:pPr>
      <w:r>
        <w:rPr>
          <w:szCs w:val="20"/>
        </w:rPr>
        <w:t xml:space="preserve">The anticipated numbers of ROS1-positive patients </w:t>
      </w:r>
      <w:r w:rsidRPr="00C169CD">
        <w:rPr>
          <w:szCs w:val="20"/>
        </w:rPr>
        <w:t>initiating</w:t>
      </w:r>
      <w:r>
        <w:rPr>
          <w:szCs w:val="20"/>
        </w:rPr>
        <w:t xml:space="preserve"> onto </w:t>
      </w:r>
      <w:proofErr w:type="spellStart"/>
      <w:r>
        <w:rPr>
          <w:szCs w:val="20"/>
        </w:rPr>
        <w:t>crizotinib</w:t>
      </w:r>
      <w:proofErr w:type="spellEnd"/>
      <w:r>
        <w:rPr>
          <w:szCs w:val="20"/>
        </w:rPr>
        <w:t xml:space="preserve"> in the first 3 years of listing are detailed in the table below.</w:t>
      </w:r>
    </w:p>
    <w:tbl>
      <w:tblPr>
        <w:tblStyle w:val="TableGrid"/>
        <w:tblW w:w="0" w:type="auto"/>
        <w:tblInd w:w="534" w:type="dxa"/>
        <w:tblLook w:val="04A0" w:firstRow="1" w:lastRow="0" w:firstColumn="1" w:lastColumn="0" w:noHBand="0" w:noVBand="1"/>
        <w:tblDescription w:val="Patient utilisation data (contents redacted)"/>
      </w:tblPr>
      <w:tblGrid>
        <w:gridCol w:w="1984"/>
        <w:gridCol w:w="2552"/>
        <w:gridCol w:w="3402"/>
      </w:tblGrid>
      <w:tr w:rsidR="00BD645D" w:rsidTr="00F30219">
        <w:trPr>
          <w:tblHeader/>
        </w:trPr>
        <w:tc>
          <w:tcPr>
            <w:tcW w:w="1984" w:type="dxa"/>
          </w:tcPr>
          <w:p w:rsidR="00BD645D" w:rsidRDefault="00BD645D" w:rsidP="00BD645D">
            <w:pPr>
              <w:spacing w:before="0"/>
              <w:ind w:left="426"/>
              <w:rPr>
                <w:szCs w:val="20"/>
              </w:rPr>
            </w:pPr>
          </w:p>
        </w:tc>
        <w:tc>
          <w:tcPr>
            <w:tcW w:w="2552" w:type="dxa"/>
          </w:tcPr>
          <w:p w:rsidR="00BD645D" w:rsidRDefault="00BD645D" w:rsidP="00BD645D">
            <w:pPr>
              <w:spacing w:before="0"/>
              <w:ind w:left="426"/>
              <w:rPr>
                <w:szCs w:val="20"/>
              </w:rPr>
            </w:pPr>
            <w:r>
              <w:rPr>
                <w:szCs w:val="20"/>
              </w:rPr>
              <w:t>Number of patients</w:t>
            </w:r>
          </w:p>
        </w:tc>
        <w:tc>
          <w:tcPr>
            <w:tcW w:w="3402" w:type="dxa"/>
          </w:tcPr>
          <w:p w:rsidR="00BD645D" w:rsidRDefault="00BD645D" w:rsidP="00BD645D">
            <w:pPr>
              <w:spacing w:before="0"/>
              <w:ind w:left="426"/>
              <w:rPr>
                <w:szCs w:val="20"/>
              </w:rPr>
            </w:pPr>
            <w:r>
              <w:rPr>
                <w:szCs w:val="20"/>
              </w:rPr>
              <w:t>Uptake in eligible patients</w:t>
            </w:r>
          </w:p>
        </w:tc>
      </w:tr>
      <w:tr w:rsidR="00BD645D" w:rsidTr="00BD645D">
        <w:tc>
          <w:tcPr>
            <w:tcW w:w="1984" w:type="dxa"/>
          </w:tcPr>
          <w:p w:rsidR="00BD645D" w:rsidRDefault="00BD645D" w:rsidP="00BD645D">
            <w:pPr>
              <w:spacing w:before="0"/>
              <w:ind w:left="426"/>
              <w:rPr>
                <w:szCs w:val="20"/>
              </w:rPr>
            </w:pPr>
            <w:r>
              <w:rPr>
                <w:szCs w:val="20"/>
              </w:rPr>
              <w:t>Year 1</w:t>
            </w:r>
          </w:p>
        </w:tc>
        <w:tc>
          <w:tcPr>
            <w:tcW w:w="2552" w:type="dxa"/>
          </w:tcPr>
          <w:p w:rsidR="00BD645D" w:rsidRPr="00BD645D" w:rsidRDefault="00BD645D" w:rsidP="00BD645D">
            <w:pPr>
              <w:spacing w:before="0"/>
              <w:ind w:left="426"/>
              <w:jc w:val="center"/>
              <w:rPr>
                <w:b/>
                <w:szCs w:val="20"/>
                <w:highlight w:val="black"/>
              </w:rPr>
            </w:pPr>
            <w:r w:rsidRPr="00BD645D">
              <w:rPr>
                <w:b/>
                <w:szCs w:val="20"/>
              </w:rPr>
              <w:t>&lt;REDACTED&gt;</w:t>
            </w:r>
          </w:p>
        </w:tc>
        <w:tc>
          <w:tcPr>
            <w:tcW w:w="3402" w:type="dxa"/>
          </w:tcPr>
          <w:p w:rsidR="00BD645D" w:rsidRPr="00BD645D" w:rsidRDefault="00BD645D" w:rsidP="00BD645D">
            <w:pPr>
              <w:spacing w:before="0"/>
              <w:ind w:left="426"/>
              <w:jc w:val="center"/>
              <w:rPr>
                <w:b/>
                <w:szCs w:val="20"/>
                <w:highlight w:val="black"/>
              </w:rPr>
            </w:pPr>
            <w:r w:rsidRPr="00BD645D">
              <w:rPr>
                <w:b/>
                <w:szCs w:val="20"/>
              </w:rPr>
              <w:t>&lt;REDACTED&gt;</w:t>
            </w:r>
          </w:p>
        </w:tc>
      </w:tr>
      <w:tr w:rsidR="00BD645D" w:rsidTr="00BD645D">
        <w:tc>
          <w:tcPr>
            <w:tcW w:w="1984" w:type="dxa"/>
          </w:tcPr>
          <w:p w:rsidR="00BD645D" w:rsidRDefault="00BD645D" w:rsidP="00BD645D">
            <w:pPr>
              <w:spacing w:before="0"/>
              <w:ind w:left="426"/>
              <w:rPr>
                <w:szCs w:val="20"/>
              </w:rPr>
            </w:pPr>
            <w:r>
              <w:rPr>
                <w:szCs w:val="20"/>
              </w:rPr>
              <w:t>Year 2</w:t>
            </w:r>
          </w:p>
        </w:tc>
        <w:tc>
          <w:tcPr>
            <w:tcW w:w="2552" w:type="dxa"/>
          </w:tcPr>
          <w:p w:rsidR="00BD645D" w:rsidRPr="00BD645D" w:rsidRDefault="00BD645D" w:rsidP="00BD645D">
            <w:pPr>
              <w:spacing w:before="0"/>
              <w:ind w:left="426"/>
              <w:jc w:val="center"/>
              <w:rPr>
                <w:b/>
                <w:szCs w:val="20"/>
                <w:highlight w:val="black"/>
              </w:rPr>
            </w:pPr>
            <w:r w:rsidRPr="00BD645D">
              <w:rPr>
                <w:b/>
                <w:szCs w:val="20"/>
              </w:rPr>
              <w:t>&lt;REDACTED&gt;</w:t>
            </w:r>
          </w:p>
        </w:tc>
        <w:tc>
          <w:tcPr>
            <w:tcW w:w="3402" w:type="dxa"/>
          </w:tcPr>
          <w:p w:rsidR="00BD645D" w:rsidRPr="00BD645D" w:rsidRDefault="00BD645D" w:rsidP="00BD645D">
            <w:pPr>
              <w:spacing w:before="0"/>
              <w:ind w:left="426"/>
              <w:jc w:val="center"/>
              <w:rPr>
                <w:b/>
                <w:szCs w:val="20"/>
                <w:highlight w:val="black"/>
              </w:rPr>
            </w:pPr>
            <w:r w:rsidRPr="00BD645D">
              <w:rPr>
                <w:b/>
                <w:szCs w:val="20"/>
              </w:rPr>
              <w:t>&lt;REDACTED&gt;</w:t>
            </w:r>
          </w:p>
        </w:tc>
      </w:tr>
      <w:tr w:rsidR="00BD645D" w:rsidTr="00BD645D">
        <w:tc>
          <w:tcPr>
            <w:tcW w:w="1984" w:type="dxa"/>
          </w:tcPr>
          <w:p w:rsidR="00BD645D" w:rsidRDefault="00BD645D" w:rsidP="00BD645D">
            <w:pPr>
              <w:spacing w:before="0"/>
              <w:ind w:left="426"/>
              <w:rPr>
                <w:szCs w:val="20"/>
              </w:rPr>
            </w:pPr>
            <w:r>
              <w:rPr>
                <w:szCs w:val="20"/>
              </w:rPr>
              <w:t>Year 3</w:t>
            </w:r>
          </w:p>
        </w:tc>
        <w:tc>
          <w:tcPr>
            <w:tcW w:w="2552" w:type="dxa"/>
          </w:tcPr>
          <w:p w:rsidR="00BD645D" w:rsidRPr="00BD645D" w:rsidRDefault="00BD645D" w:rsidP="00BD645D">
            <w:pPr>
              <w:spacing w:before="0"/>
              <w:ind w:left="426"/>
              <w:jc w:val="center"/>
              <w:rPr>
                <w:b/>
                <w:szCs w:val="20"/>
                <w:highlight w:val="black"/>
              </w:rPr>
            </w:pPr>
            <w:r w:rsidRPr="00BD645D">
              <w:rPr>
                <w:b/>
                <w:szCs w:val="20"/>
              </w:rPr>
              <w:t>&lt;REDACTED&gt;</w:t>
            </w:r>
          </w:p>
        </w:tc>
        <w:tc>
          <w:tcPr>
            <w:tcW w:w="3402" w:type="dxa"/>
          </w:tcPr>
          <w:p w:rsidR="00BD645D" w:rsidRPr="00BD645D" w:rsidRDefault="00BD645D" w:rsidP="00BD645D">
            <w:pPr>
              <w:spacing w:before="0"/>
              <w:ind w:left="426"/>
              <w:jc w:val="center"/>
              <w:rPr>
                <w:b/>
                <w:szCs w:val="20"/>
                <w:highlight w:val="black"/>
              </w:rPr>
            </w:pPr>
            <w:r w:rsidRPr="00BD645D">
              <w:rPr>
                <w:b/>
                <w:szCs w:val="20"/>
              </w:rPr>
              <w:t>&lt;REDACTED&gt;</w:t>
            </w:r>
          </w:p>
        </w:tc>
      </w:tr>
    </w:tbl>
    <w:p w:rsidR="001B171D" w:rsidRPr="00154B00" w:rsidRDefault="00BD645D" w:rsidP="00BD645D">
      <w:pPr>
        <w:ind w:left="425"/>
        <w:rPr>
          <w:szCs w:val="20"/>
        </w:rPr>
      </w:pPr>
      <w:r>
        <w:rPr>
          <w:szCs w:val="20"/>
        </w:rPr>
        <w:t>The Sponsor believes there</w:t>
      </w:r>
      <w:r w:rsidRPr="00AC7845">
        <w:rPr>
          <w:szCs w:val="20"/>
        </w:rPr>
        <w:t xml:space="preserve"> is minimal chance of leakage</w:t>
      </w:r>
      <w:r>
        <w:rPr>
          <w:szCs w:val="20"/>
        </w:rPr>
        <w:t xml:space="preserve"> beyond the proposed restriction</w:t>
      </w:r>
      <w:r w:rsidRPr="00AC7845">
        <w:rPr>
          <w:szCs w:val="20"/>
        </w:rPr>
        <w:t>, since NSCLC is an established disease area with experienced clinicians and clearly defined diagnostic criteria</w:t>
      </w:r>
      <w:r>
        <w:rPr>
          <w:szCs w:val="20"/>
        </w:rPr>
        <w:t xml:space="preserve">. Furthermore, </w:t>
      </w:r>
      <w:proofErr w:type="spellStart"/>
      <w:r>
        <w:rPr>
          <w:szCs w:val="20"/>
        </w:rPr>
        <w:t>crizotinib</w:t>
      </w:r>
      <w:proofErr w:type="spellEnd"/>
      <w:r>
        <w:rPr>
          <w:szCs w:val="20"/>
        </w:rPr>
        <w:t xml:space="preserve"> is already PBS-</w:t>
      </w:r>
      <w:r w:rsidRPr="00AC7845">
        <w:rPr>
          <w:szCs w:val="20"/>
        </w:rPr>
        <w:t xml:space="preserve">listed for the treatment of </w:t>
      </w:r>
      <w:r>
        <w:rPr>
          <w:szCs w:val="20"/>
        </w:rPr>
        <w:t xml:space="preserve">ALK-positive NSCLC patients </w:t>
      </w:r>
      <w:r w:rsidRPr="00AC7845">
        <w:rPr>
          <w:szCs w:val="20"/>
        </w:rPr>
        <w:t xml:space="preserve">for </w:t>
      </w:r>
      <w:r>
        <w:rPr>
          <w:szCs w:val="20"/>
        </w:rPr>
        <w:t>whom</w:t>
      </w:r>
      <w:r w:rsidRPr="00AC7845">
        <w:rPr>
          <w:szCs w:val="20"/>
        </w:rPr>
        <w:t xml:space="preserve"> it </w:t>
      </w:r>
      <w:r>
        <w:rPr>
          <w:szCs w:val="20"/>
        </w:rPr>
        <w:t xml:space="preserve">also </w:t>
      </w:r>
      <w:r w:rsidRPr="00AC7845">
        <w:rPr>
          <w:szCs w:val="20"/>
        </w:rPr>
        <w:t xml:space="preserve">has evidence </w:t>
      </w:r>
      <w:r>
        <w:rPr>
          <w:szCs w:val="20"/>
        </w:rPr>
        <w:t>of clinical benefit</w:t>
      </w:r>
      <w:r w:rsidRPr="00AC7845">
        <w:rPr>
          <w:szCs w:val="20"/>
        </w:rPr>
        <w:t>.</w:t>
      </w:r>
    </w:p>
    <w:p w:rsidR="003433D1" w:rsidRDefault="003433D1">
      <w:pPr>
        <w:rPr>
          <w:b/>
          <w:sz w:val="32"/>
          <w:szCs w:val="32"/>
        </w:rPr>
      </w:pPr>
      <w:r>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BD645D" w:rsidRDefault="00BD645D" w:rsidP="00BD645D">
      <w:pPr>
        <w:ind w:left="426"/>
        <w:rPr>
          <w:szCs w:val="20"/>
        </w:rPr>
      </w:pPr>
      <w:r>
        <w:rPr>
          <w:szCs w:val="20"/>
        </w:rPr>
        <w:t xml:space="preserve">It is proposed that the cost of providing the medical service should be exactly the same as the current </w:t>
      </w:r>
      <w:r w:rsidRPr="000E75D9">
        <w:rPr>
          <w:szCs w:val="20"/>
        </w:rPr>
        <w:t>MBS fee for FISH testing for ALK-gene rearrangements</w:t>
      </w:r>
      <w:r>
        <w:rPr>
          <w:szCs w:val="20"/>
        </w:rPr>
        <w:t>:</w:t>
      </w:r>
    </w:p>
    <w:p w:rsidR="00951933" w:rsidRPr="00154B00" w:rsidRDefault="00BD645D" w:rsidP="00BD645D">
      <w:pPr>
        <w:ind w:left="426"/>
        <w:rPr>
          <w:szCs w:val="20"/>
        </w:rPr>
      </w:pPr>
      <w:r w:rsidRPr="000E75D9">
        <w:rPr>
          <w:szCs w:val="20"/>
        </w:rPr>
        <w:t>Fee:  $400</w:t>
      </w:r>
      <w:r>
        <w:rPr>
          <w:szCs w:val="20"/>
        </w:rPr>
        <w:t xml:space="preserve"> Benefit: 75% = $300.00</w:t>
      </w:r>
      <w:r w:rsidRPr="000E75D9">
        <w:rPr>
          <w:szCs w:val="20"/>
        </w:rPr>
        <w:t xml:space="preserve"> 85% = $340.00 </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Default="00BD645D" w:rsidP="00AE1188">
      <w:pPr>
        <w:ind w:left="426"/>
        <w:rPr>
          <w:b/>
          <w:szCs w:val="20"/>
        </w:rPr>
      </w:pPr>
      <w:r w:rsidRPr="000E75D9">
        <w:rPr>
          <w:szCs w:val="20"/>
        </w:rPr>
        <w:t>The whole process takes 2 days in total: sections need to be cut and there are long periods of processing, including overnight baking. A whole batch of cases can be done in this time, if required. Actual hands-on labour time is about 10 hours of scientist laboratory time per case (which could include a batch of many cases), 15-30 minutes scientist screening per case, plus approximately 30 minutes of pathologist reporting per case.</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rsidR="00705B87" w:rsidRDefault="00AE1188" w:rsidP="00705B87">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rsidR="00705B87" w:rsidRDefault="00705B87" w:rsidP="00705B87">
      <w:pPr>
        <w:pBdr>
          <w:top w:val="single" w:sz="4" w:space="1" w:color="auto"/>
          <w:left w:val="single" w:sz="4" w:space="4" w:color="auto"/>
          <w:bottom w:val="single" w:sz="4" w:space="1" w:color="auto"/>
          <w:right w:val="single" w:sz="4" w:space="4" w:color="auto"/>
        </w:pBdr>
      </w:pPr>
      <w:r>
        <w:t xml:space="preserve">The following draft MBS item descriptor is based on the proposed testing algorithm for ROS1 rearrangement, in which patients have an IHC pre-screen, followed by confirmatory ROS1 FISH testing: </w:t>
      </w:r>
    </w:p>
    <w:p w:rsidR="00AE1188" w:rsidRPr="00AE1188" w:rsidRDefault="00705B87" w:rsidP="00705B87">
      <w:pPr>
        <w:pBdr>
          <w:top w:val="single" w:sz="4" w:space="1" w:color="auto"/>
          <w:left w:val="single" w:sz="4" w:space="4" w:color="auto"/>
          <w:bottom w:val="single" w:sz="4" w:space="1" w:color="auto"/>
          <w:right w:val="single" w:sz="4" w:space="4" w:color="auto"/>
        </w:pBdr>
        <w:rPr>
          <w:szCs w:val="20"/>
        </w:rPr>
      </w:pPr>
      <w:r>
        <w:t xml:space="preserve">Fluorescence in situ hybridisation (FISH) test of tumour tissue from a patient with locally advanced or metastatic non-small cell lung cancer, which is of non-squamous histology or histology not otherwise specified, with documented evidence of ROS1 </w:t>
      </w:r>
      <w:proofErr w:type="spellStart"/>
      <w:r>
        <w:t>immunoreactivity</w:t>
      </w:r>
      <w:proofErr w:type="spellEnd"/>
      <w:r>
        <w:t xml:space="preserve"> by </w:t>
      </w:r>
      <w:proofErr w:type="spellStart"/>
      <w:r>
        <w:t>immunohistochemical</w:t>
      </w:r>
      <w:proofErr w:type="spellEnd"/>
      <w:r>
        <w:t xml:space="preserve"> (IHC) examination giving a staining intensity score of 2+ or 3+, and with d</w:t>
      </w:r>
      <w:bookmarkStart w:id="4" w:name="_GoBack"/>
      <w:bookmarkEnd w:id="4"/>
      <w:r>
        <w:t xml:space="preserve">ocumented absence of either activating mutations of the epidermal growth factor receptor (EGFR) gene or anaplastic lymphoma kinase (ALK) gene rearrangement, requested by a specialist or consultant physician to determine if requirements relating to ROS1 gene rearrangement status for access to </w:t>
      </w:r>
      <w:proofErr w:type="spellStart"/>
      <w:r>
        <w:t>crizotinib</w:t>
      </w:r>
      <w:proofErr w:type="spellEnd"/>
      <w:r>
        <w:t xml:space="preserve"> under the Pharmaceutical Benefits Scheme (PBS) are fulfilled.</w:t>
      </w:r>
    </w:p>
    <w:p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705B87" w:rsidRPr="00705B87">
        <w:rPr>
          <w:b/>
        </w:rPr>
        <w:t>redacted</w:t>
      </w:r>
    </w:p>
    <w:p w:rsidR="00AE1188" w:rsidRDefault="00705B87" w:rsidP="004A0BF4">
      <w:pPr>
        <w:pStyle w:val="Heading2"/>
        <w:numPr>
          <w:ilvl w:val="0"/>
          <w:numId w:val="0"/>
        </w:numPr>
        <w:ind w:left="360"/>
      </w:pPr>
      <w:r w:rsidRPr="00705B87">
        <w:rPr>
          <w:b w:val="0"/>
        </w:rPr>
        <w:t>Cognisant of the fact that genetic mutation testing in cancer is a rapidly evolving field, the Sponsor is willing to work with the Department of Health to finalise the details of the restriction.</w:t>
      </w:r>
      <w:r w:rsidR="00AE1188">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705B87" w:rsidP="00603D04">
      <w:pPr>
        <w:ind w:left="426"/>
        <w:rPr>
          <w:szCs w:val="20"/>
        </w:rPr>
      </w:pPr>
      <w:proofErr w:type="gramStart"/>
      <w:r>
        <w:rPr>
          <w:szCs w:val="20"/>
        </w:rPr>
        <w:t>Approximately 4 weeks, including consultation with external experts together with the Sponsor’s internal Medical team.</w:t>
      </w:r>
      <w:proofErr w:type="gramEnd"/>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705B87"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402C0">
        <w:rPr>
          <w:szCs w:val="20"/>
        </w:rPr>
      </w:r>
      <w:r w:rsidR="008402C0">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1B5169">
      <w:pPr>
        <w:pStyle w:val="Heading2"/>
        <w:numPr>
          <w:ilvl w:val="0"/>
          <w:numId w:val="31"/>
        </w:numPr>
      </w:pPr>
      <w:r>
        <w:t>If no, provide areas of concern:</w:t>
      </w:r>
    </w:p>
    <w:p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705B87"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402C0">
        <w:rPr>
          <w:szCs w:val="20"/>
        </w:rPr>
      </w:r>
      <w:r w:rsidR="008402C0">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1B5169">
      <w:pPr>
        <w:pStyle w:val="Heading2"/>
        <w:numPr>
          <w:ilvl w:val="0"/>
          <w:numId w:val="32"/>
        </w:numPr>
      </w:pPr>
      <w:r>
        <w:t>If no, what areas did you find not to be useful?</w:t>
      </w:r>
    </w:p>
    <w:p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402C0">
        <w:rPr>
          <w:szCs w:val="20"/>
        </w:rPr>
      </w:r>
      <w:r w:rsidR="008402C0">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705B87"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402C0">
        <w:rPr>
          <w:szCs w:val="20"/>
        </w:rPr>
      </w:r>
      <w:r w:rsidR="008402C0">
        <w:rPr>
          <w:szCs w:val="20"/>
        </w:rPr>
        <w:fldChar w:fldCharType="separate"/>
      </w:r>
      <w:r>
        <w:rPr>
          <w:szCs w:val="20"/>
        </w:rPr>
        <w:fldChar w:fldCharType="end"/>
      </w:r>
      <w:r w:rsidR="00603D04" w:rsidRPr="001B29A1">
        <w:rPr>
          <w:szCs w:val="20"/>
        </w:rPr>
        <w:t xml:space="preserve"> </w:t>
      </w:r>
      <w:r w:rsidR="00603D04">
        <w:rPr>
          <w:szCs w:val="20"/>
        </w:rPr>
        <w:t>No</w:t>
      </w:r>
    </w:p>
    <w:p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82" w:rsidRDefault="00301F82" w:rsidP="00CF2DFA">
      <w:pPr>
        <w:spacing w:after="0"/>
      </w:pPr>
      <w:r>
        <w:separator/>
      </w:r>
    </w:p>
  </w:endnote>
  <w:endnote w:type="continuationSeparator" w:id="0">
    <w:p w:rsidR="00301F82" w:rsidRDefault="00301F8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C0" w:rsidRDefault="00840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1D3BDF" w:rsidRDefault="001D3BD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402C0" w:rsidRPr="008402C0">
          <w:rPr>
            <w:b/>
            <w:bCs/>
            <w:noProof/>
            <w:sz w:val="18"/>
            <w:szCs w:val="18"/>
          </w:rPr>
          <w:t>22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1D3BDF" w:rsidRPr="003F7CB9" w:rsidRDefault="001D3BD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C0" w:rsidRDefault="00840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82" w:rsidRDefault="00301F82" w:rsidP="00CF2DFA">
      <w:pPr>
        <w:spacing w:after="0"/>
      </w:pPr>
      <w:r>
        <w:separator/>
      </w:r>
    </w:p>
  </w:footnote>
  <w:footnote w:type="continuationSeparator" w:id="0">
    <w:p w:rsidR="00301F82" w:rsidRDefault="00301F82"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C0" w:rsidRDefault="00840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C0" w:rsidRDefault="008402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C0" w:rsidRDefault="00840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507D0"/>
    <w:rsid w:val="00154B00"/>
    <w:rsid w:val="001644E9"/>
    <w:rsid w:val="00166566"/>
    <w:rsid w:val="001845D9"/>
    <w:rsid w:val="0018630F"/>
    <w:rsid w:val="001906CD"/>
    <w:rsid w:val="00191B99"/>
    <w:rsid w:val="00197D29"/>
    <w:rsid w:val="001A02E3"/>
    <w:rsid w:val="001A1ADF"/>
    <w:rsid w:val="001A365C"/>
    <w:rsid w:val="001B171D"/>
    <w:rsid w:val="001B29A1"/>
    <w:rsid w:val="001B5169"/>
    <w:rsid w:val="001B6164"/>
    <w:rsid w:val="001D3BDF"/>
    <w:rsid w:val="001D77ED"/>
    <w:rsid w:val="001E1180"/>
    <w:rsid w:val="001E23EA"/>
    <w:rsid w:val="001E6919"/>
    <w:rsid w:val="001E6958"/>
    <w:rsid w:val="00201924"/>
    <w:rsid w:val="00202473"/>
    <w:rsid w:val="002053F2"/>
    <w:rsid w:val="00206D63"/>
    <w:rsid w:val="0021185D"/>
    <w:rsid w:val="002170D4"/>
    <w:rsid w:val="00226777"/>
    <w:rsid w:val="00235BD1"/>
    <w:rsid w:val="00242B0E"/>
    <w:rsid w:val="00247DF0"/>
    <w:rsid w:val="00254813"/>
    <w:rsid w:val="00257FF2"/>
    <w:rsid w:val="00265822"/>
    <w:rsid w:val="0027105F"/>
    <w:rsid w:val="002711FB"/>
    <w:rsid w:val="00275D11"/>
    <w:rsid w:val="00283318"/>
    <w:rsid w:val="00285525"/>
    <w:rsid w:val="00294CD8"/>
    <w:rsid w:val="002A270B"/>
    <w:rsid w:val="002A40AE"/>
    <w:rsid w:val="002A50FD"/>
    <w:rsid w:val="002A6753"/>
    <w:rsid w:val="002B28D7"/>
    <w:rsid w:val="002B7EB6"/>
    <w:rsid w:val="002C0B61"/>
    <w:rsid w:val="002C15E6"/>
    <w:rsid w:val="002C247D"/>
    <w:rsid w:val="002C3345"/>
    <w:rsid w:val="002D409A"/>
    <w:rsid w:val="002E2F3B"/>
    <w:rsid w:val="002F30E7"/>
    <w:rsid w:val="002F55EF"/>
    <w:rsid w:val="00300EEB"/>
    <w:rsid w:val="003013A9"/>
    <w:rsid w:val="00301F82"/>
    <w:rsid w:val="003020B5"/>
    <w:rsid w:val="003027BB"/>
    <w:rsid w:val="00310A10"/>
    <w:rsid w:val="00327D25"/>
    <w:rsid w:val="003319A7"/>
    <w:rsid w:val="00334FE3"/>
    <w:rsid w:val="003421AE"/>
    <w:rsid w:val="003433D1"/>
    <w:rsid w:val="00344B24"/>
    <w:rsid w:val="003456B9"/>
    <w:rsid w:val="0035067D"/>
    <w:rsid w:val="00352047"/>
    <w:rsid w:val="00353A16"/>
    <w:rsid w:val="0035776D"/>
    <w:rsid w:val="00364FD9"/>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3654D"/>
    <w:rsid w:val="00451840"/>
    <w:rsid w:val="00457DE6"/>
    <w:rsid w:val="00460C9A"/>
    <w:rsid w:val="00464924"/>
    <w:rsid w:val="0047581D"/>
    <w:rsid w:val="00480289"/>
    <w:rsid w:val="00481279"/>
    <w:rsid w:val="00483368"/>
    <w:rsid w:val="00494011"/>
    <w:rsid w:val="004A0BF4"/>
    <w:rsid w:val="004A263B"/>
    <w:rsid w:val="004A68EF"/>
    <w:rsid w:val="004A6AEB"/>
    <w:rsid w:val="004B68AE"/>
    <w:rsid w:val="004B7DB5"/>
    <w:rsid w:val="004C35B0"/>
    <w:rsid w:val="004C49EF"/>
    <w:rsid w:val="004C4A19"/>
    <w:rsid w:val="004C5570"/>
    <w:rsid w:val="004D00C9"/>
    <w:rsid w:val="004D36C8"/>
    <w:rsid w:val="004E16F5"/>
    <w:rsid w:val="004E3CC7"/>
    <w:rsid w:val="004E5B69"/>
    <w:rsid w:val="004F2A87"/>
    <w:rsid w:val="0050517E"/>
    <w:rsid w:val="00507C56"/>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D0677"/>
    <w:rsid w:val="005E294C"/>
    <w:rsid w:val="005E2CE3"/>
    <w:rsid w:val="005F3F07"/>
    <w:rsid w:val="00603D04"/>
    <w:rsid w:val="00606857"/>
    <w:rsid w:val="00615F42"/>
    <w:rsid w:val="006258C2"/>
    <w:rsid w:val="00626365"/>
    <w:rsid w:val="00630E22"/>
    <w:rsid w:val="0064168C"/>
    <w:rsid w:val="00657B46"/>
    <w:rsid w:val="006751A9"/>
    <w:rsid w:val="006764EC"/>
    <w:rsid w:val="006835FE"/>
    <w:rsid w:val="00693BFD"/>
    <w:rsid w:val="00695065"/>
    <w:rsid w:val="006A1038"/>
    <w:rsid w:val="006A1C25"/>
    <w:rsid w:val="006A649A"/>
    <w:rsid w:val="006B1B49"/>
    <w:rsid w:val="006B6390"/>
    <w:rsid w:val="006C0356"/>
    <w:rsid w:val="006C0843"/>
    <w:rsid w:val="006C74B1"/>
    <w:rsid w:val="006E57AA"/>
    <w:rsid w:val="006F20CF"/>
    <w:rsid w:val="006F38ED"/>
    <w:rsid w:val="00705B87"/>
    <w:rsid w:val="00707D4D"/>
    <w:rsid w:val="00710A86"/>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9455C"/>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3271A"/>
    <w:rsid w:val="00832B31"/>
    <w:rsid w:val="008402C0"/>
    <w:rsid w:val="008403E0"/>
    <w:rsid w:val="0084657B"/>
    <w:rsid w:val="00855944"/>
    <w:rsid w:val="00864A18"/>
    <w:rsid w:val="00870833"/>
    <w:rsid w:val="00874571"/>
    <w:rsid w:val="00881D15"/>
    <w:rsid w:val="00881F93"/>
    <w:rsid w:val="00882CB5"/>
    <w:rsid w:val="00883641"/>
    <w:rsid w:val="00884E69"/>
    <w:rsid w:val="00890082"/>
    <w:rsid w:val="008A48D2"/>
    <w:rsid w:val="008B2610"/>
    <w:rsid w:val="008B471D"/>
    <w:rsid w:val="008B49E4"/>
    <w:rsid w:val="008B729C"/>
    <w:rsid w:val="008C4A93"/>
    <w:rsid w:val="008E0E49"/>
    <w:rsid w:val="008E35FD"/>
    <w:rsid w:val="008E6227"/>
    <w:rsid w:val="0090543D"/>
    <w:rsid w:val="009056C5"/>
    <w:rsid w:val="00923EDA"/>
    <w:rsid w:val="009262F2"/>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F0C02"/>
    <w:rsid w:val="009F5758"/>
    <w:rsid w:val="00A0283F"/>
    <w:rsid w:val="00A04F4A"/>
    <w:rsid w:val="00A06F54"/>
    <w:rsid w:val="00A26343"/>
    <w:rsid w:val="00A26C78"/>
    <w:rsid w:val="00A408B5"/>
    <w:rsid w:val="00A45E9A"/>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1C91"/>
    <w:rsid w:val="00B75965"/>
    <w:rsid w:val="00B771AD"/>
    <w:rsid w:val="00B814CB"/>
    <w:rsid w:val="00B97992"/>
    <w:rsid w:val="00BA0CF8"/>
    <w:rsid w:val="00BA1ADF"/>
    <w:rsid w:val="00BA51FC"/>
    <w:rsid w:val="00BB003A"/>
    <w:rsid w:val="00BB3358"/>
    <w:rsid w:val="00BB3382"/>
    <w:rsid w:val="00BB3643"/>
    <w:rsid w:val="00BC3DA0"/>
    <w:rsid w:val="00BC424B"/>
    <w:rsid w:val="00BD645D"/>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37F9"/>
    <w:rsid w:val="00C4696B"/>
    <w:rsid w:val="00C50513"/>
    <w:rsid w:val="00C54503"/>
    <w:rsid w:val="00C63055"/>
    <w:rsid w:val="00C73B62"/>
    <w:rsid w:val="00C776B1"/>
    <w:rsid w:val="00C815FE"/>
    <w:rsid w:val="00C847AE"/>
    <w:rsid w:val="00CA04C6"/>
    <w:rsid w:val="00CA26DD"/>
    <w:rsid w:val="00CB12EC"/>
    <w:rsid w:val="00CC09D7"/>
    <w:rsid w:val="00CC12B8"/>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42086"/>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D44C7"/>
    <w:rsid w:val="00DF0C51"/>
    <w:rsid w:val="00DF0D47"/>
    <w:rsid w:val="00DF1652"/>
    <w:rsid w:val="00DF6D37"/>
    <w:rsid w:val="00E048ED"/>
    <w:rsid w:val="00E04FB3"/>
    <w:rsid w:val="00E058F2"/>
    <w:rsid w:val="00E05D9C"/>
    <w:rsid w:val="00E06102"/>
    <w:rsid w:val="00E23E71"/>
    <w:rsid w:val="00E30F19"/>
    <w:rsid w:val="00E33C4A"/>
    <w:rsid w:val="00E357B9"/>
    <w:rsid w:val="00E35913"/>
    <w:rsid w:val="00E4321E"/>
    <w:rsid w:val="00E44B80"/>
    <w:rsid w:val="00E47623"/>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10ED8"/>
    <w:rsid w:val="00F222BE"/>
    <w:rsid w:val="00F24179"/>
    <w:rsid w:val="00F301F1"/>
    <w:rsid w:val="00F30219"/>
    <w:rsid w:val="00F30C22"/>
    <w:rsid w:val="00F33F1A"/>
    <w:rsid w:val="00F34AEC"/>
    <w:rsid w:val="00F547F7"/>
    <w:rsid w:val="00F54CCF"/>
    <w:rsid w:val="00F61D7A"/>
    <w:rsid w:val="00F637B3"/>
    <w:rsid w:val="00F63A62"/>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Paragraph">
    <w:name w:val="Paragraph"/>
    <w:link w:val="ParagraphChar"/>
    <w:qFormat/>
    <w:rsid w:val="00881D15"/>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881D1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Paragraph">
    <w:name w:val="Paragraph"/>
    <w:link w:val="ParagraphChar"/>
    <w:qFormat/>
    <w:rsid w:val="00881D15"/>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881D1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clinicaltrials.gov/show/NCT00585195" TargetMode="External"/><Relationship Id="rId26" Type="http://schemas.openxmlformats.org/officeDocument/2006/relationships/hyperlink" Target="http://dx.doi.org/10.1016/j.lungcan.2015.06.012" TargetMode="External"/><Relationship Id="rId3" Type="http://schemas.openxmlformats.org/officeDocument/2006/relationships/styles" Target="styles.xml"/><Relationship Id="rId21" Type="http://schemas.openxmlformats.org/officeDocument/2006/relationships/hyperlink" Target="http://dx.doi.org/10.1097/PAS.0b013e3182758fe6" TargetMode="External"/><Relationship Id="rId34" Type="http://schemas.openxmlformats.org/officeDocument/2006/relationships/hyperlink" Target="http://www.ncbi.nlm.nih.gov/pubmed/?term=Screening+of+ROS1+Rearrangements+in+Lung+Adenocarcinoma+by+Immunohistochemistry+and+Comparison+with+ALK+Rearrangemen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ncbi.nlm.nih.gov/pubmed/25868855" TargetMode="External"/><Relationship Id="rId33" Type="http://schemas.openxmlformats.org/officeDocument/2006/relationships/hyperlink" Target="http://www.ncbi.nlm.nih.gov/pubmed/2574228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dx.doi.org/10.1200/JCO.2011.35.6345" TargetMode="External"/><Relationship Id="rId29" Type="http://schemas.openxmlformats.org/officeDocument/2006/relationships/hyperlink" Target="http://www.ncbi.nlm.nih.gov/pubmed/238871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dx.doi.org/10.1371/journal.pone.0124354" TargetMode="External"/><Relationship Id="rId32" Type="http://schemas.openxmlformats.org/officeDocument/2006/relationships/hyperlink" Target="http://journals.plos.org/plosone/article?id=10.1371/journal.pone.012042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dx.doi.org/10.1245/s10434-012-2553-6" TargetMode="External"/><Relationship Id="rId28" Type="http://schemas.openxmlformats.org/officeDocument/2006/relationships/hyperlink" Target="http://dx.doi.org/10.1016/j.jtho.2016.03.019" TargetMode="External"/><Relationship Id="rId36" Type="http://schemas.openxmlformats.org/officeDocument/2006/relationships/hyperlink" Target="http://www.ncbi.nlm.nih.gov/pubmed/24380695" TargetMode="External"/><Relationship Id="rId10" Type="http://schemas.openxmlformats.org/officeDocument/2006/relationships/hyperlink" Target="mailto:hta@health.gov.au" TargetMode="External"/><Relationship Id="rId19" Type="http://schemas.openxmlformats.org/officeDocument/2006/relationships/hyperlink" Target="http://dx.doi.org/10.1056/NEJMoa1406766" TargetMode="External"/><Relationship Id="rId31" Type="http://schemas.openxmlformats.org/officeDocument/2006/relationships/hyperlink" Target="http://www.ncbi.nlm.nih.gov/pubmed/2574228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dx.doi.org/10.1093/annonc/mdt071" TargetMode="External"/><Relationship Id="rId27" Type="http://schemas.openxmlformats.org/officeDocument/2006/relationships/hyperlink" Target="http://www.ncbi.nlm.nih.gov/pubmed/?term=A+Validation+Study+for+the+Use+of+ROS1+Immunohistochemical+Staining+in+Screening+for+ROS1+Translocations+in+lung+Cancer" TargetMode="External"/><Relationship Id="rId30" Type="http://schemas.openxmlformats.org/officeDocument/2006/relationships/hyperlink" Target="http://dx.doi.org/10.1097/PAS.0b013e3182960fa7" TargetMode="External"/><Relationship Id="rId35" Type="http://schemas.openxmlformats.org/officeDocument/2006/relationships/hyperlink" Target="http://journals.plos.org/plosone/article?id=10.1371/journal.pone.010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7FA4-CF3E-43D4-8F92-FB60CB7B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8688</Words>
  <Characters>49527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2016-12-02T00:41:00Z</dcterms:created>
  <dcterms:modified xsi:type="dcterms:W3CDTF">2016-12-02T00:41:00Z</dcterms:modified>
</cp:coreProperties>
</file>