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CFA9C0" w14:textId="77777777" w:rsidR="00BC1364" w:rsidRPr="00707064" w:rsidRDefault="00C67DD2" w:rsidP="00F715D1">
      <w:pPr>
        <w:spacing w:after="240"/>
        <w:jc w:val="center"/>
        <w:rPr>
          <w:b/>
          <w:i/>
          <w:szCs w:val="24"/>
          <w:highlight w:val="yellow"/>
        </w:rPr>
      </w:pPr>
      <w:r>
        <w:rPr>
          <w:rFonts w:ascii="Arial" w:hAnsi="Arial" w:cs="Arial"/>
          <w:b/>
          <w:noProof/>
          <w:color w:val="000080"/>
          <w:sz w:val="28"/>
          <w:szCs w:val="28"/>
        </w:rPr>
        <w:drawing>
          <wp:inline distT="0" distB="0" distL="0" distR="0" wp14:anchorId="2402CFF0" wp14:editId="1AEFF39F">
            <wp:extent cx="2627630" cy="1078865"/>
            <wp:effectExtent l="0" t="0" r="1270" b="6985"/>
            <wp:docPr id="2" name="Picture 2" descr="Medical Services Advisory Committe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27630" cy="1078865"/>
                    </a:xfrm>
                    <a:prstGeom prst="rect">
                      <a:avLst/>
                    </a:prstGeom>
                    <a:noFill/>
                  </pic:spPr>
                </pic:pic>
              </a:graphicData>
            </a:graphic>
          </wp:inline>
        </w:drawing>
      </w:r>
    </w:p>
    <w:p w14:paraId="0FB007F7" w14:textId="77777777" w:rsidR="00BC1364" w:rsidRPr="00F715D1" w:rsidRDefault="00F715D1" w:rsidP="00F715D1">
      <w:pPr>
        <w:pStyle w:val="Title"/>
        <w:tabs>
          <w:tab w:val="left" w:pos="1926"/>
          <w:tab w:val="center" w:pos="4513"/>
        </w:tabs>
        <w:jc w:val="left"/>
      </w:pPr>
      <w:r>
        <w:tab/>
      </w:r>
      <w:r>
        <w:tab/>
      </w:r>
      <w:r w:rsidR="00BF479B" w:rsidRPr="00F715D1">
        <w:t>Public Summary Document</w:t>
      </w:r>
    </w:p>
    <w:p w14:paraId="6F2E40B5" w14:textId="77777777" w:rsidR="00BC1364" w:rsidRPr="00F715D1" w:rsidRDefault="00BC1364" w:rsidP="00F715D1">
      <w:pPr>
        <w:pStyle w:val="Subtitle"/>
      </w:pPr>
      <w:r w:rsidRPr="00F715D1">
        <w:t xml:space="preserve">Application No. </w:t>
      </w:r>
      <w:r w:rsidR="00E60F1E">
        <w:t>1612</w:t>
      </w:r>
      <w:r w:rsidRPr="00F715D1">
        <w:t xml:space="preserve"> – </w:t>
      </w:r>
      <w:r w:rsidR="00E60F1E">
        <w:t>Prostatic urethral lift procedure for men with benign prostate hyperplasia</w:t>
      </w:r>
    </w:p>
    <w:p w14:paraId="5C753F83" w14:textId="77777777" w:rsidR="00BC1364" w:rsidRPr="00F715D1" w:rsidRDefault="00B35595" w:rsidP="00D64355">
      <w:pPr>
        <w:tabs>
          <w:tab w:val="left" w:pos="3686"/>
        </w:tabs>
        <w:spacing w:after="240"/>
        <w:rPr>
          <w:rFonts w:ascii="Arial" w:hAnsi="Arial" w:cs="Arial"/>
          <w:b/>
          <w:szCs w:val="24"/>
        </w:rPr>
      </w:pPr>
      <w:r w:rsidRPr="00F715D1">
        <w:rPr>
          <w:rFonts w:ascii="Arial" w:hAnsi="Arial" w:cs="Arial"/>
          <w:b/>
          <w:szCs w:val="24"/>
        </w:rPr>
        <w:t>Applicant</w:t>
      </w:r>
      <w:r w:rsidR="00D64355">
        <w:rPr>
          <w:rFonts w:ascii="Arial" w:hAnsi="Arial" w:cs="Arial"/>
          <w:b/>
          <w:szCs w:val="24"/>
        </w:rPr>
        <w:t>:</w:t>
      </w:r>
      <w:r w:rsidR="00D64355">
        <w:rPr>
          <w:rFonts w:ascii="Arial" w:hAnsi="Arial" w:cs="Arial"/>
          <w:b/>
          <w:szCs w:val="24"/>
        </w:rPr>
        <w:tab/>
      </w:r>
      <w:r w:rsidR="00E60F1E">
        <w:rPr>
          <w:rFonts w:ascii="Arial" w:hAnsi="Arial" w:cs="Arial"/>
          <w:b/>
          <w:szCs w:val="24"/>
        </w:rPr>
        <w:t>Teleflex Australia Pty Ltd</w:t>
      </w:r>
    </w:p>
    <w:p w14:paraId="2E3226D3" w14:textId="77777777" w:rsidR="00F3242B" w:rsidRDefault="00BC1364" w:rsidP="00F3242B">
      <w:pPr>
        <w:tabs>
          <w:tab w:val="left" w:pos="3686"/>
        </w:tabs>
        <w:rPr>
          <w:rFonts w:ascii="Arial" w:hAnsi="Arial" w:cs="Arial"/>
          <w:b/>
        </w:rPr>
      </w:pPr>
      <w:r w:rsidRPr="00F715D1">
        <w:rPr>
          <w:rFonts w:ascii="Arial" w:hAnsi="Arial" w:cs="Arial"/>
          <w:b/>
          <w:szCs w:val="24"/>
        </w:rPr>
        <w:t>Date of MSAC consideration:</w:t>
      </w:r>
      <w:r w:rsidRPr="00F715D1">
        <w:rPr>
          <w:rFonts w:ascii="Arial" w:hAnsi="Arial" w:cs="Arial"/>
          <w:b/>
          <w:szCs w:val="24"/>
        </w:rPr>
        <w:tab/>
      </w:r>
      <w:r w:rsidR="00F3242B">
        <w:rPr>
          <w:rFonts w:ascii="Arial" w:hAnsi="Arial" w:cs="Arial"/>
          <w:b/>
          <w:szCs w:val="24"/>
        </w:rPr>
        <w:t>85</w:t>
      </w:r>
      <w:r w:rsidR="00F3242B" w:rsidRPr="006F592F">
        <w:rPr>
          <w:rFonts w:ascii="Arial" w:hAnsi="Arial" w:cs="Arial"/>
          <w:b/>
          <w:szCs w:val="24"/>
          <w:vertAlign w:val="superscript"/>
        </w:rPr>
        <w:t>th</w:t>
      </w:r>
      <w:r w:rsidR="00F3242B">
        <w:rPr>
          <w:rFonts w:ascii="Arial" w:hAnsi="Arial" w:cs="Arial"/>
          <w:b/>
          <w:szCs w:val="24"/>
        </w:rPr>
        <w:t xml:space="preserve"> Meeting, </w:t>
      </w:r>
      <w:r w:rsidR="00F3242B">
        <w:rPr>
          <w:rFonts w:ascii="Arial" w:hAnsi="Arial" w:cs="Arial"/>
          <w:b/>
        </w:rPr>
        <w:t>28-29 July 2022</w:t>
      </w:r>
    </w:p>
    <w:p w14:paraId="191263D4" w14:textId="39F25C88" w:rsidR="00BC1364" w:rsidRPr="00F715D1" w:rsidRDefault="00F3242B" w:rsidP="00D64355">
      <w:pPr>
        <w:tabs>
          <w:tab w:val="left" w:pos="3686"/>
        </w:tabs>
        <w:spacing w:after="240"/>
        <w:rPr>
          <w:rFonts w:ascii="Arial" w:hAnsi="Arial" w:cs="Arial"/>
          <w:b/>
          <w:szCs w:val="24"/>
        </w:rPr>
      </w:pPr>
      <w:r>
        <w:rPr>
          <w:rFonts w:ascii="Arial" w:hAnsi="Arial" w:cs="Arial"/>
          <w:b/>
        </w:rPr>
        <w:tab/>
      </w:r>
      <w:r w:rsidR="00F878CB">
        <w:rPr>
          <w:rFonts w:ascii="Arial" w:hAnsi="Arial" w:cs="Arial"/>
          <w:b/>
          <w:szCs w:val="24"/>
        </w:rPr>
        <w:t>79</w:t>
      </w:r>
      <w:r w:rsidR="00EB6B6F" w:rsidRPr="00F715D1">
        <w:rPr>
          <w:rFonts w:ascii="Arial" w:hAnsi="Arial" w:cs="Arial"/>
          <w:b/>
          <w:szCs w:val="24"/>
          <w:vertAlign w:val="superscript"/>
        </w:rPr>
        <w:t>th</w:t>
      </w:r>
      <w:r w:rsidR="00EB6B6F" w:rsidRPr="00F715D1">
        <w:rPr>
          <w:rFonts w:ascii="Arial" w:hAnsi="Arial" w:cs="Arial"/>
          <w:b/>
          <w:szCs w:val="24"/>
        </w:rPr>
        <w:t xml:space="preserve"> </w:t>
      </w:r>
      <w:r w:rsidR="00BC1364" w:rsidRPr="00F715D1">
        <w:rPr>
          <w:rFonts w:ascii="Arial" w:hAnsi="Arial" w:cs="Arial"/>
          <w:b/>
          <w:szCs w:val="24"/>
        </w:rPr>
        <w:t xml:space="preserve">Meeting, </w:t>
      </w:r>
      <w:r w:rsidR="00F878CB">
        <w:rPr>
          <w:rFonts w:ascii="Arial" w:hAnsi="Arial" w:cs="Arial"/>
          <w:b/>
          <w:szCs w:val="24"/>
        </w:rPr>
        <w:t>28-29 July 2020</w:t>
      </w:r>
    </w:p>
    <w:p w14:paraId="718C6A52" w14:textId="77777777" w:rsidR="0041184F" w:rsidRPr="00B03EAB" w:rsidRDefault="006A0D97" w:rsidP="00B03EAB">
      <w:pPr>
        <w:spacing w:after="360"/>
        <w:rPr>
          <w:color w:val="0000FF"/>
          <w:szCs w:val="24"/>
          <w:u w:val="single"/>
        </w:rPr>
      </w:pPr>
      <w:r w:rsidRPr="00F715D1">
        <w:rPr>
          <w:szCs w:val="24"/>
        </w:rPr>
        <w:t>Context for decision: MSAC makes its advice in accordance wit</w:t>
      </w:r>
      <w:r w:rsidR="00F715D1">
        <w:rPr>
          <w:szCs w:val="24"/>
        </w:rPr>
        <w:t>h its Terms of Reference,</w:t>
      </w:r>
      <w:r w:rsidRPr="00F715D1">
        <w:rPr>
          <w:szCs w:val="24"/>
        </w:rPr>
        <w:t xml:space="preserve"> </w:t>
      </w:r>
      <w:hyperlink r:id="rId9" w:tooltip="Link to Medical Services Advisory Committee website" w:history="1">
        <w:r w:rsidR="00F715D1" w:rsidRPr="00F715D1">
          <w:rPr>
            <w:rStyle w:val="Hyperlink"/>
            <w:szCs w:val="24"/>
          </w:rPr>
          <w:t>visit the MSAC website</w:t>
        </w:r>
      </w:hyperlink>
    </w:p>
    <w:p w14:paraId="32D7AF5F" w14:textId="77777777" w:rsidR="003D7F29" w:rsidRPr="00F715D1" w:rsidRDefault="003D7F29" w:rsidP="00F715D1">
      <w:pPr>
        <w:pStyle w:val="Heading1"/>
      </w:pPr>
      <w:r w:rsidRPr="00F715D1">
        <w:t>Purpose of application</w:t>
      </w:r>
      <w:r w:rsidR="00822C7E" w:rsidRPr="00F715D1">
        <w:t xml:space="preserve"> </w:t>
      </w:r>
    </w:p>
    <w:p w14:paraId="4CC84194" w14:textId="77777777" w:rsidR="00C30E70" w:rsidRPr="00AE5B3E" w:rsidRDefault="00C30E70" w:rsidP="00C30E70">
      <w:pPr>
        <w:spacing w:after="120"/>
        <w:rPr>
          <w:b/>
          <w:i/>
        </w:rPr>
      </w:pPr>
      <w:r>
        <w:rPr>
          <w:b/>
          <w:i/>
        </w:rPr>
        <w:t>July 2022</w:t>
      </w:r>
      <w:r w:rsidRPr="00AE5B3E">
        <w:rPr>
          <w:b/>
          <w:i/>
        </w:rPr>
        <w:t xml:space="preserve"> MSAC consideration</w:t>
      </w:r>
    </w:p>
    <w:p w14:paraId="398899E4" w14:textId="77777777" w:rsidR="00C30E70" w:rsidRPr="00D4501D" w:rsidRDefault="00C30E70" w:rsidP="00C30E70">
      <w:r w:rsidRPr="000D5021">
        <w:t xml:space="preserve">MSAC reconsidered </w:t>
      </w:r>
      <w:r>
        <w:t xml:space="preserve">the application from Teleflex Australia Pty Ltd requesting a fee increase for an existing Medicare Benefits Schedule (MBS) item </w:t>
      </w:r>
      <w:r w:rsidRPr="002F286E">
        <w:t>36811</w:t>
      </w:r>
      <w:r>
        <w:t xml:space="preserve"> for the prostatic urethral lift (PUL) procedure for men with benign prostate hyperplasia (BPH).</w:t>
      </w:r>
    </w:p>
    <w:p w14:paraId="166884BB" w14:textId="77777777" w:rsidR="00F3242B" w:rsidRPr="0022220F" w:rsidRDefault="00F3242B" w:rsidP="00293E8C">
      <w:pPr>
        <w:spacing w:before="240" w:after="120"/>
        <w:rPr>
          <w:b/>
          <w:i/>
        </w:rPr>
      </w:pPr>
      <w:r w:rsidRPr="0022220F">
        <w:rPr>
          <w:b/>
          <w:i/>
        </w:rPr>
        <w:t>July 2020</w:t>
      </w:r>
      <w:r>
        <w:rPr>
          <w:b/>
          <w:i/>
        </w:rPr>
        <w:t xml:space="preserve"> </w:t>
      </w:r>
      <w:r w:rsidRPr="00AE5B3E">
        <w:rPr>
          <w:b/>
          <w:i/>
        </w:rPr>
        <w:t>MSAC consideration</w:t>
      </w:r>
    </w:p>
    <w:p w14:paraId="176F926D" w14:textId="3D40CEFF" w:rsidR="00C204FB" w:rsidRPr="00D4501D" w:rsidRDefault="00D4501D" w:rsidP="00D4501D">
      <w:r>
        <w:t xml:space="preserve">An application requesting a fee increase for an existing Medicare Benefits Schedule (MBS) item </w:t>
      </w:r>
      <w:r w:rsidRPr="002F286E">
        <w:t>36811</w:t>
      </w:r>
      <w:r>
        <w:t xml:space="preserve"> for the prostatic urethral lift (PUL) procedure for men with benign prostate hyperplasia (BPH) was received from Teleflex Australia Pty Ltd by the Department of Health</w:t>
      </w:r>
      <w:r w:rsidR="000D5021" w:rsidRPr="000D5021">
        <w:t xml:space="preserve"> </w:t>
      </w:r>
      <w:r w:rsidR="000D5021">
        <w:t>and Aged Care</w:t>
      </w:r>
      <w:r>
        <w:t>.</w:t>
      </w:r>
    </w:p>
    <w:p w14:paraId="7A915BD0" w14:textId="77777777" w:rsidR="00C30E70" w:rsidRPr="00F715D1" w:rsidRDefault="00C30E70" w:rsidP="00C30E70">
      <w:pPr>
        <w:pStyle w:val="Heading1"/>
      </w:pPr>
      <w:r w:rsidRPr="00F715D1">
        <w:t>MSAC’s advice to the Minister</w:t>
      </w:r>
      <w:r>
        <w:t xml:space="preserve"> – July 2022</w:t>
      </w:r>
    </w:p>
    <w:p w14:paraId="0B1327BA" w14:textId="66EF2122" w:rsidR="00293E8C" w:rsidRPr="00293E8C" w:rsidRDefault="00C30E70">
      <w:r w:rsidRPr="000D5021">
        <w:t>After considering the strength of the available evidence in relation to comparative safety, clinical effectiveness</w:t>
      </w:r>
      <w:r w:rsidR="005F29E7">
        <w:t>,</w:t>
      </w:r>
      <w:r w:rsidRPr="000D5021">
        <w:t xml:space="preserve"> </w:t>
      </w:r>
      <w:proofErr w:type="gramStart"/>
      <w:r w:rsidRPr="000D5021">
        <w:t>cost-effectiveness</w:t>
      </w:r>
      <w:proofErr w:type="gramEnd"/>
      <w:r w:rsidR="005F29E7">
        <w:t xml:space="preserve"> and total cost</w:t>
      </w:r>
      <w:r w:rsidRPr="000D5021">
        <w:t>,</w:t>
      </w:r>
      <w:r>
        <w:t xml:space="preserve"> </w:t>
      </w:r>
      <w:r w:rsidRPr="000D5021">
        <w:t xml:space="preserve">MSAC supported the creation of a new MBS item for PUL for the treatment of BPH. MSAC noted limitations in the clinical evidence but considered that PUL was likely to have inferior effectiveness and superior safety compared with transurethral resection of the prostate (TURP). MSAC noted there </w:t>
      </w:r>
      <w:r w:rsidR="00F47642">
        <w:t>is</w:t>
      </w:r>
      <w:r w:rsidRPr="000D5021">
        <w:t xml:space="preserve"> a wide range of factors considered by clinicians and patients when choosing a procedure and that patients have different preferences when considering the balance between side effects and long-term effectiveness</w:t>
      </w:r>
      <w:r w:rsidRPr="00FE6E3E">
        <w:t xml:space="preserve">. MSAC considered that PUL was likely to have total costs </w:t>
      </w:r>
      <w:r w:rsidR="002D584D" w:rsidRPr="00FE6E3E">
        <w:t xml:space="preserve">per procedure </w:t>
      </w:r>
      <w:r w:rsidRPr="00FE6E3E">
        <w:t>that would be comparable to TURP.</w:t>
      </w:r>
      <w:r w:rsidR="00293E8C">
        <w:br w:type="page"/>
      </w:r>
    </w:p>
    <w:p w14:paraId="6D6E210C" w14:textId="09C2A3D0" w:rsidR="00C30E70" w:rsidRDefault="00C30E70" w:rsidP="00293E8C">
      <w:pPr>
        <w:pStyle w:val="NormalBeforeBullet"/>
        <w:spacing w:before="240"/>
      </w:pPr>
      <w:r w:rsidRPr="00CA35E5">
        <w:lastRenderedPageBreak/>
        <w:t xml:space="preserve">The item descriptor for </w:t>
      </w:r>
      <w:r>
        <w:t>PUL</w:t>
      </w:r>
      <w:r w:rsidRPr="00CA35E5">
        <w:t xml:space="preserve"> </w:t>
      </w:r>
      <w:r w:rsidR="00F47642">
        <w:t xml:space="preserve">accepted by MSAC </w:t>
      </w:r>
      <w:r w:rsidRPr="00CA35E5">
        <w:t>is shown below.</w:t>
      </w:r>
    </w:p>
    <w:tbl>
      <w:tblPr>
        <w:tblStyle w:val="TableGrid1"/>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Description w:val="Category [3] – [Therapeutic Procedures] major blocks"/>
      </w:tblPr>
      <w:tblGrid>
        <w:gridCol w:w="9015"/>
      </w:tblGrid>
      <w:tr w:rsidR="00C30E70" w:rsidDel="007E0AA0" w14:paraId="1E6EEC4B" w14:textId="77777777" w:rsidTr="00C30E70">
        <w:trPr>
          <w:cnfStyle w:val="100000000000" w:firstRow="1" w:lastRow="0" w:firstColumn="0" w:lastColumn="0" w:oddVBand="0" w:evenVBand="0" w:oddHBand="0" w:evenHBand="0" w:firstRowFirstColumn="0" w:firstRowLastColumn="0" w:lastRowFirstColumn="0" w:lastRowLastColumn="0"/>
          <w:tblHeader/>
        </w:trPr>
        <w:tc>
          <w:tcPr>
            <w:tcW w:w="9015" w:type="dxa"/>
            <w:tcBorders>
              <w:top w:val="single" w:sz="6" w:space="0" w:color="auto"/>
              <w:left w:val="single" w:sz="6" w:space="0" w:color="auto"/>
              <w:bottom w:val="single" w:sz="6" w:space="0" w:color="auto"/>
              <w:right w:val="single" w:sz="6" w:space="0" w:color="auto"/>
            </w:tcBorders>
            <w:hideMark/>
          </w:tcPr>
          <w:p w14:paraId="75F3A0DB" w14:textId="77777777" w:rsidR="00C30E70" w:rsidRPr="009C0008" w:rsidDel="007E0AA0" w:rsidRDefault="00C30E70" w:rsidP="00F47642">
            <w:pPr>
              <w:spacing w:after="120"/>
              <w:rPr>
                <w:rFonts w:ascii="Arial Narrow" w:hAnsi="Arial Narrow" w:cs="Arial"/>
                <w:color w:val="000000"/>
                <w:kern w:val="24"/>
                <w:sz w:val="20"/>
                <w:lang w:eastAsia="en-GB"/>
              </w:rPr>
            </w:pPr>
            <w:r w:rsidRPr="009C0008" w:rsidDel="007E0AA0">
              <w:rPr>
                <w:rFonts w:ascii="Arial Narrow" w:hAnsi="Arial Narrow" w:cs="Arial"/>
                <w:color w:val="000000"/>
                <w:kern w:val="24"/>
                <w:sz w:val="20"/>
                <w:lang w:eastAsia="en-GB"/>
              </w:rPr>
              <w:t>Category [3] – [Therapeutic Procedures]</w:t>
            </w:r>
          </w:p>
        </w:tc>
      </w:tr>
      <w:tr w:rsidR="00C30E70" w:rsidDel="007E0AA0" w14:paraId="20C85A5E" w14:textId="77777777" w:rsidTr="00C30E70">
        <w:trPr>
          <w:cnfStyle w:val="100000000000" w:firstRow="1" w:lastRow="0" w:firstColumn="0" w:lastColumn="0" w:oddVBand="0" w:evenVBand="0" w:oddHBand="0" w:evenHBand="0" w:firstRowFirstColumn="0" w:firstRowLastColumn="0" w:lastRowFirstColumn="0" w:lastRowLastColumn="0"/>
          <w:tblHeader/>
        </w:trPr>
        <w:tc>
          <w:tcPr>
            <w:tcW w:w="9015" w:type="dxa"/>
            <w:tcBorders>
              <w:top w:val="single" w:sz="6" w:space="0" w:color="auto"/>
              <w:left w:val="single" w:sz="4" w:space="0" w:color="000000"/>
              <w:bottom w:val="single" w:sz="4" w:space="0" w:color="000000"/>
              <w:right w:val="single" w:sz="4" w:space="0" w:color="000000"/>
            </w:tcBorders>
            <w:hideMark/>
          </w:tcPr>
          <w:p w14:paraId="206BC11B" w14:textId="77777777" w:rsidR="00C30E70" w:rsidRPr="009C0008" w:rsidDel="007E0AA0" w:rsidRDefault="00C30E70" w:rsidP="00F47642">
            <w:pPr>
              <w:spacing w:after="120"/>
              <w:rPr>
                <w:rFonts w:ascii="Arial Narrow" w:hAnsi="Arial Narrow" w:cs="Arial"/>
                <w:color w:val="000000"/>
                <w:kern w:val="24"/>
                <w:sz w:val="20"/>
                <w:lang w:eastAsia="en-GB"/>
              </w:rPr>
            </w:pPr>
            <w:r w:rsidRPr="009C0008" w:rsidDel="007E0AA0">
              <w:rPr>
                <w:rFonts w:ascii="Arial Narrow" w:hAnsi="Arial Narrow" w:cs="Arial"/>
                <w:color w:val="000000"/>
                <w:kern w:val="24"/>
                <w:sz w:val="20"/>
                <w:lang w:eastAsia="en-GB"/>
              </w:rPr>
              <w:t xml:space="preserve">CYSTOSCOPY with insertion of prostatic prostheses for the treatment of Benign Prostatic Hyperplasia in men: </w:t>
            </w:r>
          </w:p>
          <w:p w14:paraId="60DBE3B3" w14:textId="77777777" w:rsidR="00C30E70" w:rsidRPr="009C0008" w:rsidDel="007E0AA0" w:rsidRDefault="00C30E70" w:rsidP="00F47642">
            <w:pPr>
              <w:spacing w:after="120"/>
              <w:rPr>
                <w:rFonts w:ascii="Arial Narrow" w:hAnsi="Arial Narrow" w:cs="Arial"/>
                <w:color w:val="000000"/>
                <w:kern w:val="24"/>
                <w:sz w:val="20"/>
                <w:lang w:eastAsia="en-GB"/>
              </w:rPr>
            </w:pPr>
            <w:r w:rsidRPr="009C0008" w:rsidDel="007E0AA0">
              <w:rPr>
                <w:rFonts w:ascii="Arial Narrow" w:hAnsi="Arial Narrow" w:cs="Arial"/>
                <w:color w:val="000000"/>
                <w:kern w:val="24"/>
                <w:sz w:val="20"/>
                <w:lang w:eastAsia="en-GB"/>
              </w:rPr>
              <w:t>Multiple Operation Rule (</w:t>
            </w:r>
            <w:proofErr w:type="spellStart"/>
            <w:r w:rsidRPr="009C0008" w:rsidDel="007E0AA0">
              <w:rPr>
                <w:rFonts w:ascii="Arial Narrow" w:hAnsi="Arial Narrow" w:cs="Arial"/>
                <w:color w:val="000000"/>
                <w:kern w:val="24"/>
                <w:sz w:val="20"/>
                <w:lang w:eastAsia="en-GB"/>
              </w:rPr>
              <w:t>Anaes</w:t>
            </w:r>
            <w:proofErr w:type="spellEnd"/>
            <w:r w:rsidRPr="009C0008" w:rsidDel="007E0AA0">
              <w:rPr>
                <w:rFonts w:ascii="Arial Narrow" w:hAnsi="Arial Narrow" w:cs="Arial"/>
                <w:color w:val="000000"/>
                <w:kern w:val="24"/>
                <w:sz w:val="20"/>
                <w:lang w:eastAsia="en-GB"/>
              </w:rPr>
              <w:t xml:space="preserve">.) </w:t>
            </w:r>
          </w:p>
          <w:p w14:paraId="6EBB4163" w14:textId="77777777" w:rsidR="00C30E70" w:rsidDel="007E0AA0" w:rsidRDefault="00C30E70" w:rsidP="00F47642">
            <w:pPr>
              <w:spacing w:after="120"/>
              <w:rPr>
                <w:rFonts w:ascii="Arial Narrow" w:hAnsi="Arial Narrow"/>
                <w:lang w:eastAsia="ja-JP"/>
              </w:rPr>
            </w:pPr>
            <w:r w:rsidRPr="009C0008" w:rsidDel="007E0AA0">
              <w:rPr>
                <w:rFonts w:ascii="Arial Narrow" w:hAnsi="Arial Narrow" w:cs="Arial"/>
                <w:color w:val="000000"/>
                <w:kern w:val="24"/>
                <w:sz w:val="20"/>
                <w:lang w:eastAsia="en-GB"/>
              </w:rPr>
              <w:t>Fee: $842.10 Benefit: 75% = 631.60 85% = $715.79</w:t>
            </w:r>
          </w:p>
        </w:tc>
      </w:tr>
    </w:tbl>
    <w:p w14:paraId="413F951A" w14:textId="77777777" w:rsidR="00C30E70" w:rsidRDefault="00C30E70" w:rsidP="00C30E70"/>
    <w:tbl>
      <w:tblPr>
        <w:tblStyle w:val="TableGrid"/>
        <w:tblW w:w="0" w:type="auto"/>
        <w:tblLook w:val="04A0" w:firstRow="1" w:lastRow="0" w:firstColumn="1" w:lastColumn="0" w:noHBand="0" w:noVBand="1"/>
        <w:tblDescription w:val="Consumer summary of MSAC consideration"/>
      </w:tblPr>
      <w:tblGrid>
        <w:gridCol w:w="9016"/>
      </w:tblGrid>
      <w:tr w:rsidR="00C30E70" w14:paraId="7B3A2AAA" w14:textId="77777777" w:rsidTr="00F47642">
        <w:trPr>
          <w:tblHeader/>
        </w:trPr>
        <w:tc>
          <w:tcPr>
            <w:tcW w:w="9016" w:type="dxa"/>
          </w:tcPr>
          <w:p w14:paraId="40D66053" w14:textId="77777777" w:rsidR="00C30E70" w:rsidRPr="009F3015" w:rsidRDefault="00C30E70" w:rsidP="00F47642">
            <w:pPr>
              <w:pStyle w:val="NormalBeforeBullet"/>
              <w:keepNext w:val="0"/>
              <w:spacing w:before="120"/>
              <w:rPr>
                <w:b/>
              </w:rPr>
            </w:pPr>
            <w:r w:rsidRPr="009F3015">
              <w:rPr>
                <w:b/>
              </w:rPr>
              <w:t>Consumer summary</w:t>
            </w:r>
          </w:p>
        </w:tc>
      </w:tr>
      <w:tr w:rsidR="00C30E70" w14:paraId="7303A486" w14:textId="77777777" w:rsidTr="00F47642">
        <w:tc>
          <w:tcPr>
            <w:tcW w:w="9016" w:type="dxa"/>
          </w:tcPr>
          <w:p w14:paraId="0183A5C9" w14:textId="4C89249A" w:rsidR="00C30E70" w:rsidRDefault="00C30E70" w:rsidP="00F47642">
            <w:pPr>
              <w:pStyle w:val="NormalBeforeBullet"/>
              <w:keepNext w:val="0"/>
              <w:spacing w:before="120"/>
            </w:pPr>
            <w:r w:rsidRPr="00C874D6">
              <w:rPr>
                <w:color w:val="auto"/>
              </w:rPr>
              <w:t xml:space="preserve">Teleflex Australia </w:t>
            </w:r>
            <w:r>
              <w:rPr>
                <w:color w:val="auto"/>
              </w:rPr>
              <w:t xml:space="preserve">Pty </w:t>
            </w:r>
            <w:r w:rsidRPr="00C874D6">
              <w:rPr>
                <w:color w:val="auto"/>
              </w:rPr>
              <w:t xml:space="preserve">Ltd </w:t>
            </w:r>
            <w:r>
              <w:rPr>
                <w:color w:val="auto"/>
              </w:rPr>
              <w:t>requested</w:t>
            </w:r>
            <w:r w:rsidRPr="00C874D6">
              <w:rPr>
                <w:color w:val="auto"/>
              </w:rPr>
              <w:t xml:space="preserve"> a fee increase for the prostatic urethral lift (PUL) procedure </w:t>
            </w:r>
            <w:r>
              <w:rPr>
                <w:color w:val="auto"/>
              </w:rPr>
              <w:t>to treat</w:t>
            </w:r>
            <w:r w:rsidRPr="00C874D6">
              <w:rPr>
                <w:color w:val="auto"/>
              </w:rPr>
              <w:t xml:space="preserve"> benign prostate hyperplasia (BPH). PUL is currently on the Medicare Benefits Schedule (MBS) under a generic item for non-specific procedures.</w:t>
            </w:r>
            <w:r>
              <w:t xml:space="preserve"> MSAC initially deferred </w:t>
            </w:r>
            <w:r w:rsidR="00087B2B">
              <w:t xml:space="preserve">providing </w:t>
            </w:r>
            <w:r>
              <w:t xml:space="preserve">its </w:t>
            </w:r>
            <w:r w:rsidR="00087B2B">
              <w:t xml:space="preserve">advice </w:t>
            </w:r>
            <w:r>
              <w:t xml:space="preserve">on PUL and requested a review of </w:t>
            </w:r>
            <w:r w:rsidRPr="00C874D6">
              <w:t xml:space="preserve">all the procedures used to treat </w:t>
            </w:r>
            <w:r>
              <w:t>prostate enlargement</w:t>
            </w:r>
            <w:r w:rsidRPr="00C874D6">
              <w:t xml:space="preserve">, and </w:t>
            </w:r>
            <w:r w:rsidR="00D55D97">
              <w:t xml:space="preserve">a comparison of </w:t>
            </w:r>
            <w:r>
              <w:t>their</w:t>
            </w:r>
            <w:r w:rsidRPr="00C874D6">
              <w:t xml:space="preserve"> advantages and disadvantages </w:t>
            </w:r>
            <w:r>
              <w:t>with regards to their</w:t>
            </w:r>
            <w:r w:rsidRPr="00C874D6">
              <w:t xml:space="preserve"> effectiveness, safety</w:t>
            </w:r>
            <w:r>
              <w:t xml:space="preserve">, </w:t>
            </w:r>
            <w:proofErr w:type="gramStart"/>
            <w:r>
              <w:t>cost</w:t>
            </w:r>
            <w:proofErr w:type="gramEnd"/>
            <w:r>
              <w:t xml:space="preserve"> </w:t>
            </w:r>
            <w:r w:rsidRPr="00C874D6">
              <w:t xml:space="preserve">and cost-effectiveness. </w:t>
            </w:r>
            <w:r>
              <w:t xml:space="preserve">After considering this review (see MSAC application 1697), MSAC reconsider this application requesting </w:t>
            </w:r>
            <w:r w:rsidR="00D55D97">
              <w:t xml:space="preserve">an </w:t>
            </w:r>
            <w:r>
              <w:t xml:space="preserve">increase </w:t>
            </w:r>
            <w:r w:rsidR="00D55D97">
              <w:t xml:space="preserve">to </w:t>
            </w:r>
            <w:r>
              <w:t>the MBS fee for PUL.</w:t>
            </w:r>
          </w:p>
          <w:p w14:paraId="327BC465" w14:textId="3A5FA33F" w:rsidR="00C30E70" w:rsidRPr="00C874D6" w:rsidRDefault="00C30E70" w:rsidP="00F47642">
            <w:pPr>
              <w:pStyle w:val="Default"/>
              <w:spacing w:before="120" w:after="240"/>
              <w:rPr>
                <w:color w:val="auto"/>
              </w:rPr>
            </w:pPr>
            <w:r>
              <w:t xml:space="preserve">BPH is a non-cancerous enlargement of the prostate gland that occurs as a natural part of ageing. This can cause lower urinary tract symptoms, such as increased frequency, urgency and/or difficulty in urinating, which can impact </w:t>
            </w:r>
            <w:r w:rsidR="00D55D97">
              <w:t xml:space="preserve">on </w:t>
            </w:r>
            <w:r>
              <w:t xml:space="preserve">the person’s quality of life. </w:t>
            </w:r>
            <w:r w:rsidRPr="00C874D6">
              <w:rPr>
                <w:color w:val="auto"/>
              </w:rPr>
              <w:t xml:space="preserve">In a PUL procedure, a doctor (usually </w:t>
            </w:r>
            <w:r w:rsidR="00B76E09">
              <w:t>a</w:t>
            </w:r>
            <w:r w:rsidRPr="00C874D6">
              <w:rPr>
                <w:color w:val="auto"/>
              </w:rPr>
              <w:t xml:space="preserve"> urologist) inserts a device into the urethra (where urine comes out). When the device reaches the side of the prostate, it ejects small, thin implants into both sides of the prostate, helping to open the urine channel. This relieves some of the symptoms of an enlarged prostate, such as problems urinating.</w:t>
            </w:r>
          </w:p>
          <w:p w14:paraId="512A2F42" w14:textId="133484DB" w:rsidR="00C30E70" w:rsidRDefault="00C30E70" w:rsidP="00F47642">
            <w:pPr>
              <w:pStyle w:val="NormalBeforeBullet"/>
              <w:keepNext w:val="0"/>
            </w:pPr>
            <w:r w:rsidRPr="00757849">
              <w:t xml:space="preserve">Transurethral resection of the prostate (TURP) is type of surgery where the prostate tissue is cut out piece by piece and flushed out </w:t>
            </w:r>
            <w:r w:rsidR="00F47642">
              <w:t xml:space="preserve">of the body </w:t>
            </w:r>
            <w:r w:rsidRPr="00757849">
              <w:t>via the urethra. TURP is considered the gold standard treatment for BPH, and it is the treatment used most often because it is very effective and safe. However, patients may prefer alternative procedures that are not as invasive as TURP.</w:t>
            </w:r>
          </w:p>
          <w:p w14:paraId="5A63D0C7" w14:textId="77777777" w:rsidR="00C30E70" w:rsidRPr="005E3A09" w:rsidRDefault="00C30E70" w:rsidP="00F47642">
            <w:pPr>
              <w:pStyle w:val="NormalBeforeBullet"/>
              <w:keepNext w:val="0"/>
            </w:pPr>
            <w:r>
              <w:t>MSAC noted that PUL does not work as well as TURP at treating BPH (</w:t>
            </w:r>
            <w:proofErr w:type="gramStart"/>
            <w:r>
              <w:t>i.e.</w:t>
            </w:r>
            <w:proofErr w:type="gramEnd"/>
            <w:r>
              <w:t xml:space="preserve"> inferior effectiveness) but the risks for certain adverse events are less with PUL compared to TURP (i.e. superior safety). </w:t>
            </w:r>
            <w:r w:rsidRPr="00034318">
              <w:t>MSAC noted that there were a wide range of factors considered by clinicians and patients when choosing a procedure</w:t>
            </w:r>
            <w:r>
              <w:t xml:space="preserve"> and that</w:t>
            </w:r>
            <w:r w:rsidRPr="00034318">
              <w:t xml:space="preserve"> patients have different preferences when considering the balance between effectiveness and safety.</w:t>
            </w:r>
          </w:p>
          <w:p w14:paraId="424D43B3" w14:textId="58B60994" w:rsidR="00C30E70" w:rsidRPr="009F3015" w:rsidRDefault="00C30E70" w:rsidP="00F47642">
            <w:pPr>
              <w:pStyle w:val="NormalBeforeBullet"/>
              <w:keepNext w:val="0"/>
              <w:spacing w:before="240"/>
              <w:rPr>
                <w:b/>
              </w:rPr>
            </w:pPr>
            <w:r w:rsidRPr="009F3015">
              <w:rPr>
                <w:b/>
              </w:rPr>
              <w:t xml:space="preserve">MSAC’s advice to the </w:t>
            </w:r>
            <w:proofErr w:type="gramStart"/>
            <w:r w:rsidRPr="009F3015">
              <w:rPr>
                <w:b/>
              </w:rPr>
              <w:t>Commonwealth Minister</w:t>
            </w:r>
            <w:proofErr w:type="gramEnd"/>
            <w:r w:rsidRPr="009F3015">
              <w:rPr>
                <w:b/>
              </w:rPr>
              <w:t xml:space="preserve"> for Health</w:t>
            </w:r>
            <w:r w:rsidR="00B22FA3">
              <w:rPr>
                <w:b/>
              </w:rPr>
              <w:t xml:space="preserve"> and Aged Care</w:t>
            </w:r>
          </w:p>
          <w:p w14:paraId="292B08F7" w14:textId="5298311B" w:rsidR="00C30E70" w:rsidRDefault="00C30E70" w:rsidP="00F47642">
            <w:pPr>
              <w:pStyle w:val="NormalBeforeBullet"/>
              <w:keepNext w:val="0"/>
            </w:pPr>
            <w:r>
              <w:t xml:space="preserve">MSAC supported increasing the MBS fee for PUL however, MSAC advised that a new MBS item should be created for PUL instead of amending the existing generic MBS item that PUL is currently claimed under. </w:t>
            </w:r>
            <w:r w:rsidRPr="00E11478">
              <w:t xml:space="preserve">MSAC considered that PUL was likely to have inferior effectiveness and superior safety compared with TURP. MSAC noted there are a wide range of factors considered by clinicians and patients when choosing a procedure and that patients have different preferences when considering the balance between side effects and long-term effectiveness. </w:t>
            </w:r>
            <w:r w:rsidRPr="00FE6E3E">
              <w:t xml:space="preserve">MSAC considered that PUL was likely to have total costs </w:t>
            </w:r>
            <w:r w:rsidR="002D584D" w:rsidRPr="00FE6E3E">
              <w:t xml:space="preserve">per procedure </w:t>
            </w:r>
            <w:r w:rsidRPr="00FE6E3E">
              <w:t>that would be comparable to TURP.</w:t>
            </w:r>
          </w:p>
        </w:tc>
      </w:tr>
    </w:tbl>
    <w:p w14:paraId="235C69BA" w14:textId="77777777" w:rsidR="00293E8C" w:rsidRDefault="00293E8C">
      <w:pPr>
        <w:rPr>
          <w:rFonts w:ascii="Arial" w:hAnsi="Arial" w:cs="Arial"/>
          <w:b/>
          <w:szCs w:val="24"/>
        </w:rPr>
      </w:pPr>
      <w:r>
        <w:rPr>
          <w:rFonts w:ascii="Arial" w:hAnsi="Arial" w:cs="Arial"/>
        </w:rPr>
        <w:br w:type="page"/>
      </w:r>
    </w:p>
    <w:p w14:paraId="37490CCD" w14:textId="6B75DAEB" w:rsidR="00C30E70" w:rsidRDefault="00C30E70" w:rsidP="00C30E70">
      <w:pPr>
        <w:pStyle w:val="Heading2"/>
        <w:rPr>
          <w:rFonts w:ascii="Arial" w:hAnsi="Arial" w:cs="Arial"/>
        </w:rPr>
      </w:pPr>
      <w:r w:rsidRPr="0022220F">
        <w:rPr>
          <w:rFonts w:ascii="Arial" w:hAnsi="Arial" w:cs="Arial"/>
        </w:rPr>
        <w:lastRenderedPageBreak/>
        <w:t>Summary of consideration and rationale for MSAC’s advice – July 2022</w:t>
      </w:r>
    </w:p>
    <w:p w14:paraId="087CDDFB" w14:textId="02068B19" w:rsidR="00C30E70" w:rsidRDefault="00C30E70" w:rsidP="00C30E70">
      <w:r>
        <w:t xml:space="preserve">MSAC recalled that at its July 2020 meeting, MSAC had deferred consideration of this application which </w:t>
      </w:r>
      <w:r w:rsidRPr="00E11478">
        <w:t>requested a fee increase for an existing MBS item 36811 for the PUL procedure for men with BPH.</w:t>
      </w:r>
      <w:r>
        <w:t xml:space="preserve"> </w:t>
      </w:r>
      <w:r w:rsidR="008A02CA">
        <w:t xml:space="preserve">At that time, MSAC had considered a review of the effectiveness, safety and cost-effectiveness of all minimally invasive procedures used to manage BPH in Australia (BPH review) was required before MSAC could provide advice on the proposed MBS fee for PUL. </w:t>
      </w:r>
    </w:p>
    <w:p w14:paraId="31968D86" w14:textId="2B50BDE4" w:rsidR="00C30E70" w:rsidRDefault="00C30E70" w:rsidP="00293E8C">
      <w:pPr>
        <w:spacing w:before="240"/>
      </w:pPr>
      <w:r>
        <w:t xml:space="preserve">After considering the outcomes of the BPH review (see the public summary document for </w:t>
      </w:r>
      <w:hyperlink r:id="rId10" w:history="1">
        <w:r w:rsidRPr="00E643C4">
          <w:rPr>
            <w:rStyle w:val="Hyperlink"/>
          </w:rPr>
          <w:t>MSAC application 1697</w:t>
        </w:r>
      </w:hyperlink>
      <w:r>
        <w:t xml:space="preserve"> for further information), MSAC reconsidered this application.</w:t>
      </w:r>
    </w:p>
    <w:p w14:paraId="1F3DA792" w14:textId="444DFCFD" w:rsidR="00C30E70" w:rsidRPr="00B6550F" w:rsidRDefault="00C30E70" w:rsidP="00293E8C">
      <w:pPr>
        <w:spacing w:before="240"/>
        <w:rPr>
          <w:rFonts w:eastAsia="Calibri"/>
          <w:szCs w:val="24"/>
        </w:rPr>
      </w:pPr>
      <w:r>
        <w:t xml:space="preserve">Regarding the comparative safety and effectiveness of PUL versus TURP, MSAC agreed with the BPH review that PUL had superior safety compared to TURP for two safety outcomes, retrograde </w:t>
      </w:r>
      <w:proofErr w:type="gramStart"/>
      <w:r>
        <w:t>ejaculation</w:t>
      </w:r>
      <w:proofErr w:type="gramEnd"/>
      <w:r>
        <w:t xml:space="preserve"> and urinary incontinence. PUL showed no difference to TURP for major adverse events, urinary tract infections or urethral strictures. MSAC also noted that PUL may have been superior for erectile dysfunction but the trial evidence for PUL was not powered to show this.</w:t>
      </w:r>
      <w:r w:rsidRPr="00330CAB">
        <w:t xml:space="preserve"> </w:t>
      </w:r>
      <w:r>
        <w:t xml:space="preserve">MSAC noted that PUL had statistically and clinically </w:t>
      </w:r>
      <w:r w:rsidR="00146803">
        <w:t xml:space="preserve">poorer </w:t>
      </w:r>
      <w:r>
        <w:t xml:space="preserve">outcomes for </w:t>
      </w:r>
      <w:r w:rsidR="00B76E09" w:rsidRPr="00B76E09">
        <w:t xml:space="preserve">International Prostate Symptom Score </w:t>
      </w:r>
      <w:r w:rsidR="00B76E09">
        <w:t>(IPSS)</w:t>
      </w:r>
      <w:r w:rsidR="00B76E09">
        <w:rPr>
          <w:rFonts w:eastAsia="Calibri"/>
          <w:szCs w:val="24"/>
        </w:rPr>
        <w:t xml:space="preserve"> </w:t>
      </w:r>
      <w:r>
        <w:t xml:space="preserve">at 12 months and </w:t>
      </w:r>
      <w:r w:rsidR="00A7345F">
        <w:t>peak urinary flow (</w:t>
      </w:r>
      <w:proofErr w:type="spellStart"/>
      <w:r>
        <w:t>Qmax</w:t>
      </w:r>
      <w:proofErr w:type="spellEnd"/>
      <w:r w:rsidR="00A7345F">
        <w:t>)</w:t>
      </w:r>
      <w:r>
        <w:t xml:space="preserve"> at 6 and 12 months compared to TURP.</w:t>
      </w:r>
      <w:r w:rsidRPr="00330CAB">
        <w:t xml:space="preserve"> </w:t>
      </w:r>
      <w:r>
        <w:t>MSAC disagreed with the pre</w:t>
      </w:r>
      <w:r w:rsidR="00087B2B">
        <w:noBreakHyphen/>
      </w:r>
      <w:r>
        <w:t xml:space="preserve">MSAC response from Teleflex Medical (applicant for PUL – MSAC application 1612) which claimed PUL had non-inferior clinical effectiveness compared with TURP. MSAC acknowledged that six months post-intervention, PUL was non-inferior </w:t>
      </w:r>
      <w:r w:rsidR="00146803">
        <w:t xml:space="preserve">to TURP </w:t>
      </w:r>
      <w:r>
        <w:t xml:space="preserve">for IPSS, but MSAC considered after one </w:t>
      </w:r>
      <w:r w:rsidR="00146803">
        <w:t>and</w:t>
      </w:r>
      <w:r>
        <w:t xml:space="preserve"> two years PUL was inferior</w:t>
      </w:r>
      <w:r w:rsidR="00146803">
        <w:t xml:space="preserve"> to TURP</w:t>
      </w:r>
      <w:r>
        <w:t xml:space="preserve"> for IPSS. MSAC noted that the reintervention rates </w:t>
      </w:r>
      <w:r w:rsidR="00146803">
        <w:t xml:space="preserve">for PUL and TURP </w:t>
      </w:r>
      <w:r>
        <w:t>were similar after one year (about 6%</w:t>
      </w:r>
      <w:r w:rsidR="00087B2B">
        <w:t>) but</w:t>
      </w:r>
      <w:r>
        <w:t xml:space="preserve"> were much higher for PUL (13.6%) after five years (LIFT trial). MSAC acknowledge</w:t>
      </w:r>
      <w:r w:rsidR="00146803">
        <w:t>d</w:t>
      </w:r>
      <w:r>
        <w:t xml:space="preserve"> that although TURP is superior for IPSS change, PUL still does achieve a significant change</w:t>
      </w:r>
      <w:r w:rsidR="00146803">
        <w:t xml:space="preserve">: PUL </w:t>
      </w:r>
      <w:r>
        <w:t>11.4 vs</w:t>
      </w:r>
      <w:r w:rsidR="00146803">
        <w:t xml:space="preserve"> TURP </w:t>
      </w:r>
      <w:r>
        <w:t xml:space="preserve">15.4 </w:t>
      </w:r>
      <w:r w:rsidR="00146803">
        <w:t>at</w:t>
      </w:r>
      <w:r>
        <w:t xml:space="preserve"> 12 months. However, based on the comparative evidence, MSAC considered PUL has superior safety and inferior effectiveness compared to TURP.</w:t>
      </w:r>
    </w:p>
    <w:p w14:paraId="418E8C42" w14:textId="7EEF55F7" w:rsidR="00C30E70" w:rsidRDefault="00C30E70" w:rsidP="00293E8C">
      <w:pPr>
        <w:spacing w:before="240"/>
      </w:pPr>
      <w:r>
        <w:t xml:space="preserve">Regarding cost-effectiveness, MSAC noted the review found </w:t>
      </w:r>
      <w:r w:rsidR="00146803">
        <w:t>when</w:t>
      </w:r>
      <w:r>
        <w:t xml:space="preserve"> the MBS fee for PUL was increased to $</w:t>
      </w:r>
      <w:r w:rsidRPr="0013301E">
        <w:t xml:space="preserve">1,058.80 </w:t>
      </w:r>
      <w:r>
        <w:t>(</w:t>
      </w:r>
      <w:r w:rsidRPr="0013301E">
        <w:t>as originally requested in MSAC application 1612</w:t>
      </w:r>
      <w:r>
        <w:t xml:space="preserve">) that the total costs </w:t>
      </w:r>
      <w:r w:rsidR="00146803">
        <w:t xml:space="preserve">per procedure </w:t>
      </w:r>
      <w:r>
        <w:t>for PUL were more than the total costs</w:t>
      </w:r>
      <w:r w:rsidR="00146803">
        <w:t xml:space="preserve"> per procedure</w:t>
      </w:r>
      <w:r>
        <w:t xml:space="preserve"> for TURP.</w:t>
      </w:r>
      <w:r w:rsidRPr="0013301E">
        <w:t xml:space="preserve"> </w:t>
      </w:r>
      <w:r>
        <w:t xml:space="preserve">MSAC noted that the cost of PUL is sensitive to the number of prostheses used. MSAC recalled that the applicant developed assessment report for MSAC application 1612 had </w:t>
      </w:r>
      <w:r w:rsidR="00146803">
        <w:t>assumed</w:t>
      </w:r>
      <w:r>
        <w:t xml:space="preserve"> four implants</w:t>
      </w:r>
      <w:r w:rsidR="00146803">
        <w:t xml:space="preserve"> per procedure</w:t>
      </w:r>
      <w:r>
        <w:t xml:space="preserve">, but that MSAC had previously noted that the cost of PUL may be underestimated due to the number of implants required. MSAC noted that the BPH review used results of a recent systematic review and applied 4.54 implants </w:t>
      </w:r>
      <w:r w:rsidR="00146803">
        <w:t xml:space="preserve">per procedure </w:t>
      </w:r>
      <w:r>
        <w:t xml:space="preserve">which MSAC considered appropriate. </w:t>
      </w:r>
      <w:r w:rsidRPr="005512ED">
        <w:t xml:space="preserve">MSAC noted that the mean operative time for PUL </w:t>
      </w:r>
      <w:r>
        <w:t xml:space="preserve">was </w:t>
      </w:r>
      <w:r w:rsidRPr="005512ED">
        <w:t>55 minutes.</w:t>
      </w:r>
      <w:r>
        <w:t xml:space="preserve"> MSAC noted the pre-MSAC response advised that </w:t>
      </w:r>
      <w:proofErr w:type="gramStart"/>
      <w:r>
        <w:t>the majority of</w:t>
      </w:r>
      <w:proofErr w:type="gramEnd"/>
      <w:r>
        <w:t xml:space="preserve"> equipment required for PUL is the same as for TURP, meaning the incremental capital costs for PUL are very low ($63 per PUL vs $56 per TURP) as hospitals would already be set up to perform both procedures. When this was taken into consideration, along with the new proposed fee of $842.10 for PUL, </w:t>
      </w:r>
      <w:r w:rsidR="00146803">
        <w:t>the pre-MSAC response</w:t>
      </w:r>
      <w:r>
        <w:t xml:space="preserve"> claimed the total costs </w:t>
      </w:r>
      <w:r w:rsidR="00146803">
        <w:t xml:space="preserve">per procedure </w:t>
      </w:r>
      <w:r>
        <w:t xml:space="preserve">for PUL were less than </w:t>
      </w:r>
      <w:r w:rsidR="00146803">
        <w:t xml:space="preserve">for </w:t>
      </w:r>
      <w:r>
        <w:t xml:space="preserve">TURP. </w:t>
      </w:r>
      <w:r w:rsidRPr="0013301E">
        <w:t xml:space="preserve">MSAC noted the cost-effectiveness analyses </w:t>
      </w:r>
      <w:r>
        <w:t>in the BPH review</w:t>
      </w:r>
      <w:r w:rsidRPr="0013301E">
        <w:t xml:space="preserve"> presented the incremental cost-effectiveness ratios (ICER) for IPSS and </w:t>
      </w:r>
      <w:proofErr w:type="spellStart"/>
      <w:r w:rsidRPr="0013301E">
        <w:t>Qmax</w:t>
      </w:r>
      <w:proofErr w:type="spellEnd"/>
      <w:r w:rsidRPr="0013301E">
        <w:t xml:space="preserve"> effectiveness outcomes. MSAC noted </w:t>
      </w:r>
      <w:r w:rsidR="00146803">
        <w:t>when the MBS fee was set to</w:t>
      </w:r>
      <w:r w:rsidRPr="0013301E">
        <w:t xml:space="preserve"> $1,084 </w:t>
      </w:r>
      <w:r w:rsidR="00146803">
        <w:t>for PUL (</w:t>
      </w:r>
      <w:r w:rsidRPr="0013301E">
        <w:t xml:space="preserve">equivalent to TURP) </w:t>
      </w:r>
      <w:r w:rsidR="00146803">
        <w:t xml:space="preserve">PUL </w:t>
      </w:r>
      <w:r w:rsidRPr="0013301E">
        <w:t>was dominated by TURP.</w:t>
      </w:r>
    </w:p>
    <w:p w14:paraId="7BB0C502" w14:textId="7736E7F6" w:rsidR="00C30E70" w:rsidRPr="009C0008" w:rsidDel="007E0AA0" w:rsidRDefault="00C30E70" w:rsidP="00293E8C">
      <w:pPr>
        <w:spacing w:before="240"/>
      </w:pPr>
      <w:r>
        <w:t xml:space="preserve">MSAC supported increasing the MBS fee for PUL and creating of a new MBS item specific for PUL (rather than amending the generic cytology MBS item 36811) </w:t>
      </w:r>
      <w:bookmarkStart w:id="0" w:name="_Hlk111206781"/>
      <w:r>
        <w:t xml:space="preserve">on the basis that PUL </w:t>
      </w:r>
      <w:r>
        <w:lastRenderedPageBreak/>
        <w:t xml:space="preserve">has </w:t>
      </w:r>
      <w:r w:rsidRPr="00D52DDC">
        <w:t>superior safety and inferior effectiveness compared to TURP</w:t>
      </w:r>
      <w:r>
        <w:t xml:space="preserve">. </w:t>
      </w:r>
      <w:r w:rsidRPr="008040F8">
        <w:t xml:space="preserve">MSAC noted there </w:t>
      </w:r>
      <w:r w:rsidR="009E22FD">
        <w:t>is</w:t>
      </w:r>
      <w:r w:rsidRPr="008040F8">
        <w:t xml:space="preserve"> a wide range of factors considered by clinicians and patients when choosing a procedure and that patients have different preferences when considering the balance between side effects and long-term </w:t>
      </w:r>
      <w:bookmarkEnd w:id="0"/>
      <w:r w:rsidRPr="008040F8">
        <w:t>effectiveness.</w:t>
      </w:r>
      <w:r>
        <w:t xml:space="preserve"> MSAC considered the proposed increased fee of $842.10 </w:t>
      </w:r>
      <w:r w:rsidR="009E22FD">
        <w:t xml:space="preserve">for PUL </w:t>
      </w:r>
      <w:r>
        <w:t xml:space="preserve">appeared to be commensurate with the procedure time and complexity. </w:t>
      </w:r>
      <w:r w:rsidRPr="008040F8">
        <w:t>MSAC considered that PUL was likely to have total costs that would be comparable to TURP.</w:t>
      </w:r>
      <w:r>
        <w:t xml:space="preserve"> MSAC did not consider it necessary to include clinical criteria </w:t>
      </w:r>
      <w:r w:rsidR="009E22FD">
        <w:t xml:space="preserve">in the item descriptor </w:t>
      </w:r>
      <w:r>
        <w:t>noting there are clinical guidelines available</w:t>
      </w:r>
      <w:r w:rsidR="009E22FD">
        <w:t xml:space="preserve"> that address these</w:t>
      </w:r>
      <w:r>
        <w:t>.</w:t>
      </w:r>
      <w:r w:rsidRPr="000E4FA8">
        <w:t xml:space="preserve"> </w:t>
      </w:r>
      <w:r>
        <w:t>MSAC noted that PUL can be repeated and therefore questioned if the item descriptor should specify a once per lifetime limit. MSAC suggested the Department could seek input from urologists on whether</w:t>
      </w:r>
      <w:r w:rsidR="009E22FD">
        <w:t xml:space="preserve"> such a</w:t>
      </w:r>
      <w:r>
        <w:t xml:space="preserve"> restriction w</w:t>
      </w:r>
      <w:r w:rsidR="009E22FD">
        <w:t>ould</w:t>
      </w:r>
      <w:r>
        <w:t xml:space="preserve"> disadvantage any population groups.</w:t>
      </w:r>
    </w:p>
    <w:p w14:paraId="1FCA2BCA" w14:textId="77777777" w:rsidR="00F3242B" w:rsidRDefault="00F3242B" w:rsidP="00F3242B">
      <w:pPr>
        <w:pStyle w:val="Heading1"/>
      </w:pPr>
      <w:r w:rsidRPr="00F715D1">
        <w:t>MSAC’s advice to the Minister</w:t>
      </w:r>
      <w:r>
        <w:t xml:space="preserve"> – July 2020</w:t>
      </w:r>
    </w:p>
    <w:p w14:paraId="191BDA46" w14:textId="76C8C260" w:rsidR="00C874D6" w:rsidRPr="00250EF2" w:rsidRDefault="00C874D6" w:rsidP="00250EF2">
      <w:pPr>
        <w:spacing w:after="240"/>
      </w:pPr>
      <w:r w:rsidRPr="00250EF2">
        <w:t xml:space="preserve">After considering the strength of the available evidence in relation to comparative safety, clinical </w:t>
      </w:r>
      <w:proofErr w:type="gramStart"/>
      <w:r w:rsidRPr="00250EF2">
        <w:t>effectiveness</w:t>
      </w:r>
      <w:proofErr w:type="gramEnd"/>
      <w:r w:rsidRPr="00250EF2">
        <w:t xml:space="preserve"> and cost-effectiveness, MSAC deferred its advice on the request for an increase in the MBS fee for PUL procedure for BPH. MSAC considered that PUL is likely inferior in terms of effectiveness to transurethral resection of the prostate (TURP) </w:t>
      </w:r>
      <w:r w:rsidRPr="008D65B5">
        <w:t>and visual laser ablation of the prostate (VLAP)</w:t>
      </w:r>
      <w:r w:rsidR="00E7131B" w:rsidRPr="00250EF2">
        <w:t>.</w:t>
      </w:r>
      <w:r w:rsidR="00BD23EE" w:rsidRPr="00250EF2">
        <w:t xml:space="preserve"> </w:t>
      </w:r>
      <w:r w:rsidR="00073D0F" w:rsidRPr="00250EF2">
        <w:t xml:space="preserve">MSAC considered PUL has </w:t>
      </w:r>
      <w:r w:rsidRPr="00250EF2">
        <w:t>a different safety profile</w:t>
      </w:r>
      <w:r w:rsidR="00073D0F" w:rsidRPr="00250EF2">
        <w:t xml:space="preserve"> to TURP, </w:t>
      </w:r>
      <w:r w:rsidR="00073D0F" w:rsidRPr="008D65B5">
        <w:t>and that the comparative safety of PUL versus VLAP is unclear</w:t>
      </w:r>
      <w:r w:rsidR="00073D0F" w:rsidRPr="00250EF2">
        <w:t>.</w:t>
      </w:r>
      <w:r w:rsidRPr="00250EF2">
        <w:t xml:space="preserve"> MSAC noted there are significant uncertainties in the costs associated with each </w:t>
      </w:r>
      <w:proofErr w:type="gramStart"/>
      <w:r w:rsidRPr="00250EF2">
        <w:t>procedure, and</w:t>
      </w:r>
      <w:proofErr w:type="gramEnd"/>
      <w:r w:rsidRPr="00250EF2">
        <w:t xml:space="preserve"> requested a further holistic assessment of the different therapeutic approaches to BPH management that takes into account the different outcomes and costs associated with each</w:t>
      </w:r>
      <w:r w:rsidR="00E97E77">
        <w:t>.</w:t>
      </w:r>
      <w:r w:rsidR="00F45920" w:rsidRPr="00F45920">
        <w:t xml:space="preserve"> </w:t>
      </w:r>
      <w:r w:rsidR="00F45920" w:rsidRPr="00800961">
        <w:t xml:space="preserve">MSAC recognised </w:t>
      </w:r>
      <w:r w:rsidR="00F45920">
        <w:t xml:space="preserve">that individual patients may </w:t>
      </w:r>
      <w:r w:rsidR="00F45920" w:rsidRPr="00FD5E92">
        <w:t>have different preferences when considering the balance between side effects and long-term effectiveness.</w:t>
      </w:r>
    </w:p>
    <w:tbl>
      <w:tblPr>
        <w:tblStyle w:val="TableGrid"/>
        <w:tblW w:w="0" w:type="auto"/>
        <w:tblLook w:val="04A0" w:firstRow="1" w:lastRow="0" w:firstColumn="1" w:lastColumn="0" w:noHBand="0" w:noVBand="1"/>
        <w:tblDescription w:val="Consumer summary of MSAC consideration"/>
      </w:tblPr>
      <w:tblGrid>
        <w:gridCol w:w="9016"/>
      </w:tblGrid>
      <w:tr w:rsidR="00C11BBE" w14:paraId="3904C4EC" w14:textId="77777777" w:rsidTr="00221228">
        <w:trPr>
          <w:tblHeader/>
        </w:trPr>
        <w:tc>
          <w:tcPr>
            <w:tcW w:w="9016" w:type="dxa"/>
          </w:tcPr>
          <w:p w14:paraId="3DF34758" w14:textId="3A609D8B" w:rsidR="00C11BBE" w:rsidRPr="00C11BBE" w:rsidRDefault="00C11BBE" w:rsidP="00C11BBE">
            <w:pPr>
              <w:pStyle w:val="Default"/>
              <w:spacing w:before="120" w:after="240"/>
              <w:rPr>
                <w:b/>
                <w:color w:val="auto"/>
              </w:rPr>
            </w:pPr>
            <w:r w:rsidRPr="00C06B0B">
              <w:rPr>
                <w:b/>
                <w:color w:val="auto"/>
              </w:rPr>
              <w:t>Consumer summary</w:t>
            </w:r>
          </w:p>
        </w:tc>
      </w:tr>
      <w:tr w:rsidR="00C11BBE" w14:paraId="2ADDC595" w14:textId="77777777" w:rsidTr="00C11BBE">
        <w:tc>
          <w:tcPr>
            <w:tcW w:w="9016" w:type="dxa"/>
          </w:tcPr>
          <w:p w14:paraId="6A4F6C69" w14:textId="77777777" w:rsidR="00C11BBE" w:rsidRPr="00C874D6" w:rsidRDefault="00C11BBE" w:rsidP="00C11BBE">
            <w:pPr>
              <w:pStyle w:val="Default"/>
              <w:spacing w:before="120" w:after="240"/>
              <w:rPr>
                <w:color w:val="auto"/>
              </w:rPr>
            </w:pPr>
            <w:r w:rsidRPr="00C874D6">
              <w:rPr>
                <w:color w:val="auto"/>
              </w:rPr>
              <w:t xml:space="preserve">Teleflex Australia </w:t>
            </w:r>
            <w:r>
              <w:rPr>
                <w:color w:val="auto"/>
              </w:rPr>
              <w:t xml:space="preserve">Pty </w:t>
            </w:r>
            <w:r w:rsidRPr="00C874D6">
              <w:rPr>
                <w:color w:val="auto"/>
              </w:rPr>
              <w:t xml:space="preserve">Ltd </w:t>
            </w:r>
            <w:r>
              <w:rPr>
                <w:color w:val="auto"/>
              </w:rPr>
              <w:t>requested</w:t>
            </w:r>
            <w:r w:rsidRPr="00C874D6">
              <w:rPr>
                <w:color w:val="auto"/>
              </w:rPr>
              <w:t xml:space="preserve"> a fee increase for the prostatic urethral lift (PUL) procedure </w:t>
            </w:r>
            <w:r>
              <w:rPr>
                <w:color w:val="auto"/>
              </w:rPr>
              <w:t>to treat</w:t>
            </w:r>
            <w:r w:rsidRPr="00C874D6">
              <w:rPr>
                <w:color w:val="auto"/>
              </w:rPr>
              <w:t xml:space="preserve"> benign prostate hyperplasia (BPH). PUL is currently on the Medicare Benefits Schedule (MBS) under a generic item for non-specific procedures.</w:t>
            </w:r>
          </w:p>
          <w:p w14:paraId="03FEF906" w14:textId="04D99749" w:rsidR="00C11BBE" w:rsidRPr="00C874D6" w:rsidRDefault="00C11BBE" w:rsidP="00C11BBE">
            <w:pPr>
              <w:pStyle w:val="Default"/>
              <w:spacing w:before="120" w:after="240"/>
              <w:rPr>
                <w:color w:val="auto"/>
              </w:rPr>
            </w:pPr>
            <w:r>
              <w:t xml:space="preserve">BPH is a non-cancerous enlargement of a person’s prostate that occurs as a natural part of ageing. This can cause lower urinary tract symptoms, such as increased frequency, urgency and/or difficulty in urinating, which can impact the person’s quality of life. </w:t>
            </w:r>
            <w:r w:rsidRPr="00C874D6">
              <w:rPr>
                <w:color w:val="auto"/>
              </w:rPr>
              <w:t xml:space="preserve">In a PUL procedure, a doctor (usually </w:t>
            </w:r>
            <w:proofErr w:type="gramStart"/>
            <w:r w:rsidRPr="00C874D6">
              <w:rPr>
                <w:color w:val="auto"/>
              </w:rPr>
              <w:t>a</w:t>
            </w:r>
            <w:r w:rsidR="00C867A4">
              <w:rPr>
                <w:color w:val="auto"/>
              </w:rPr>
              <w:t>n</w:t>
            </w:r>
            <w:proofErr w:type="gramEnd"/>
            <w:r w:rsidRPr="00C874D6">
              <w:rPr>
                <w:color w:val="auto"/>
              </w:rPr>
              <w:t xml:space="preserve"> urologist) inserts a device into the urethra (where urine comes out). When the device reaches the side of the prostate, it ejects small, thin implants into both sides of the prostate, helping to open the urine channel. This relieves some of the symptoms of an enlarged prostate, such as problems urinating.</w:t>
            </w:r>
          </w:p>
          <w:p w14:paraId="67A41ED6" w14:textId="0A1C8C08" w:rsidR="00C11BBE" w:rsidRPr="00C874D6" w:rsidRDefault="00C11BBE" w:rsidP="00C11BBE">
            <w:pPr>
              <w:pStyle w:val="Default"/>
              <w:spacing w:before="120" w:after="240"/>
              <w:rPr>
                <w:color w:val="auto"/>
              </w:rPr>
            </w:pPr>
            <w:r>
              <w:t xml:space="preserve">MSAC noted that there </w:t>
            </w:r>
            <w:proofErr w:type="gramStart"/>
            <w:r>
              <w:t>are</w:t>
            </w:r>
            <w:proofErr w:type="gramEnd"/>
            <w:r>
              <w:t xml:space="preserve"> other MBS funded procedures for treating BPH and that BPH is commonly treated using </w:t>
            </w:r>
            <w:r w:rsidR="00CE75AC">
              <w:t>transurethral</w:t>
            </w:r>
            <w:r w:rsidRPr="00DC0321">
              <w:t xml:space="preserve"> resection of the prostate (TURP)</w:t>
            </w:r>
            <w:r w:rsidR="00F45920">
              <w:t>,</w:t>
            </w:r>
            <w:r w:rsidRPr="00DC0321">
              <w:t xml:space="preserve"> </w:t>
            </w:r>
            <w:r>
              <w:t xml:space="preserve">which </w:t>
            </w:r>
            <w:r w:rsidR="00F45920">
              <w:t>involves</w:t>
            </w:r>
            <w:r w:rsidRPr="00DC0321">
              <w:t xml:space="preserve"> the </w:t>
            </w:r>
            <w:r>
              <w:t>surgical removal</w:t>
            </w:r>
            <w:r w:rsidRPr="00DC0321">
              <w:t xml:space="preserve"> of prosta</w:t>
            </w:r>
            <w:r>
              <w:t xml:space="preserve">tic tissues through the urethra. </w:t>
            </w:r>
            <w:r w:rsidRPr="00C874D6">
              <w:rPr>
                <w:color w:val="auto"/>
              </w:rPr>
              <w:t xml:space="preserve">MSAC noted that PUL was </w:t>
            </w:r>
            <w:proofErr w:type="gramStart"/>
            <w:r w:rsidRPr="00C874D6">
              <w:rPr>
                <w:color w:val="auto"/>
              </w:rPr>
              <w:t>safe, and</w:t>
            </w:r>
            <w:proofErr w:type="gramEnd"/>
            <w:r w:rsidRPr="00C874D6">
              <w:rPr>
                <w:color w:val="auto"/>
              </w:rPr>
              <w:t xml:space="preserve"> had </w:t>
            </w:r>
            <w:r>
              <w:rPr>
                <w:color w:val="auto"/>
              </w:rPr>
              <w:t xml:space="preserve">some </w:t>
            </w:r>
            <w:r w:rsidRPr="00C874D6">
              <w:rPr>
                <w:color w:val="auto"/>
              </w:rPr>
              <w:t xml:space="preserve">better outcomes (such as maintaining ejaculatory function) compared to other </w:t>
            </w:r>
            <w:r>
              <w:rPr>
                <w:color w:val="auto"/>
              </w:rPr>
              <w:t xml:space="preserve">MBS funded </w:t>
            </w:r>
            <w:r w:rsidRPr="00C874D6">
              <w:rPr>
                <w:color w:val="auto"/>
              </w:rPr>
              <w:t xml:space="preserve">procedures used to treat </w:t>
            </w:r>
            <w:r>
              <w:rPr>
                <w:color w:val="auto"/>
              </w:rPr>
              <w:t>BPH</w:t>
            </w:r>
            <w:r w:rsidRPr="00C874D6">
              <w:rPr>
                <w:color w:val="auto"/>
              </w:rPr>
              <w:t xml:space="preserve">. </w:t>
            </w:r>
            <w:r w:rsidRPr="008D65B5">
              <w:rPr>
                <w:color w:val="auto"/>
              </w:rPr>
              <w:t xml:space="preserve">However, PUL does not seem to work as well as other procedures in the long term. This means that many patients may have short-term relief after a PUL procedure, but their symptoms may come </w:t>
            </w:r>
            <w:proofErr w:type="gramStart"/>
            <w:r w:rsidRPr="008D65B5">
              <w:rPr>
                <w:color w:val="auto"/>
              </w:rPr>
              <w:t>back</w:t>
            </w:r>
            <w:proofErr w:type="gramEnd"/>
            <w:r w:rsidRPr="008D65B5">
              <w:rPr>
                <w:color w:val="auto"/>
              </w:rPr>
              <w:t xml:space="preserve"> and the person will need to have either another PUL or a different procedure.</w:t>
            </w:r>
          </w:p>
          <w:p w14:paraId="1E3FF8C5" w14:textId="77777777" w:rsidR="00C11BBE" w:rsidRPr="00C874D6" w:rsidRDefault="00C11BBE" w:rsidP="00C11BBE">
            <w:pPr>
              <w:pStyle w:val="Default"/>
              <w:spacing w:before="120" w:after="240"/>
              <w:rPr>
                <w:color w:val="auto"/>
              </w:rPr>
            </w:pPr>
            <w:r w:rsidRPr="00C874D6">
              <w:rPr>
                <w:color w:val="auto"/>
              </w:rPr>
              <w:t>MSAC acknowledge</w:t>
            </w:r>
            <w:r>
              <w:rPr>
                <w:color w:val="auto"/>
              </w:rPr>
              <w:t>d</w:t>
            </w:r>
            <w:r w:rsidRPr="00C874D6">
              <w:rPr>
                <w:color w:val="auto"/>
              </w:rPr>
              <w:t xml:space="preserve"> the importance of patient preference and options, and that some patients may value the benefits of PUL.</w:t>
            </w:r>
          </w:p>
          <w:p w14:paraId="17376F2B" w14:textId="77777777" w:rsidR="00C11BBE" w:rsidRDefault="00C11BBE" w:rsidP="00C11BBE">
            <w:pPr>
              <w:pStyle w:val="Default"/>
              <w:spacing w:after="120"/>
              <w:rPr>
                <w:b/>
                <w:color w:val="auto"/>
              </w:rPr>
            </w:pPr>
            <w:r w:rsidRPr="00C06B0B">
              <w:rPr>
                <w:b/>
                <w:color w:val="auto"/>
              </w:rPr>
              <w:lastRenderedPageBreak/>
              <w:t xml:space="preserve">MSAC’s </w:t>
            </w:r>
            <w:r>
              <w:rPr>
                <w:b/>
                <w:color w:val="auto"/>
              </w:rPr>
              <w:t>advice</w:t>
            </w:r>
            <w:r w:rsidRPr="00C06B0B">
              <w:rPr>
                <w:b/>
                <w:color w:val="auto"/>
              </w:rPr>
              <w:t xml:space="preserve"> to the </w:t>
            </w:r>
            <w:proofErr w:type="gramStart"/>
            <w:r w:rsidRPr="00C06B0B">
              <w:rPr>
                <w:b/>
                <w:color w:val="auto"/>
              </w:rPr>
              <w:t>Commonwealth Minister</w:t>
            </w:r>
            <w:proofErr w:type="gramEnd"/>
            <w:r>
              <w:rPr>
                <w:b/>
                <w:color w:val="auto"/>
              </w:rPr>
              <w:t xml:space="preserve"> for Health</w:t>
            </w:r>
          </w:p>
          <w:p w14:paraId="0703764B" w14:textId="422B6B76" w:rsidR="00C11BBE" w:rsidRDefault="00C11BBE" w:rsidP="00700626">
            <w:pPr>
              <w:spacing w:after="120"/>
            </w:pPr>
            <w:r w:rsidRPr="00C874D6">
              <w:t xml:space="preserve">MSAC decided to defer its advice regarding the fee increase for PUL. MSAC would like to review all the procedures used to treat </w:t>
            </w:r>
            <w:r w:rsidR="00700626">
              <w:t xml:space="preserve">prostate </w:t>
            </w:r>
            <w:proofErr w:type="gramStart"/>
            <w:r w:rsidR="00700626">
              <w:t>enlargement</w:t>
            </w:r>
            <w:r w:rsidRPr="00C874D6">
              <w:t>, and</w:t>
            </w:r>
            <w:proofErr w:type="gramEnd"/>
            <w:r w:rsidRPr="00C874D6">
              <w:t xml:space="preserve"> </w:t>
            </w:r>
            <w:r w:rsidR="00D50CFD">
              <w:t>compare their</w:t>
            </w:r>
            <w:r w:rsidRPr="00C874D6">
              <w:t xml:space="preserve"> advantages and disadvantages </w:t>
            </w:r>
            <w:r w:rsidR="00D50CFD">
              <w:t>with regards to their</w:t>
            </w:r>
            <w:r w:rsidRPr="00C874D6">
              <w:t xml:space="preserve"> effectiveness, safety</w:t>
            </w:r>
            <w:r>
              <w:t xml:space="preserve">, cost </w:t>
            </w:r>
            <w:r w:rsidRPr="00C874D6">
              <w:t xml:space="preserve">and cost-effectiveness. This will help MSAC </w:t>
            </w:r>
            <w:r>
              <w:t>estimate</w:t>
            </w:r>
            <w:r w:rsidRPr="00C874D6">
              <w:t xml:space="preserve"> the</w:t>
            </w:r>
            <w:r>
              <w:t xml:space="preserve"> </w:t>
            </w:r>
            <w:r w:rsidRPr="00C874D6">
              <w:t xml:space="preserve">appropriate fees for </w:t>
            </w:r>
            <w:r>
              <w:t xml:space="preserve">each procedure. </w:t>
            </w:r>
            <w:r w:rsidR="00F45920" w:rsidRPr="00F45920">
              <w:t>MSAC recognised that individual patients may have different preferences when considering the balance between side effects and long-term effectiveness.</w:t>
            </w:r>
            <w:r w:rsidR="00A959DB">
              <w:t xml:space="preserve"> In the meantime</w:t>
            </w:r>
            <w:r w:rsidRPr="00C874D6">
              <w:t>, PUL is still available on the MBS for those who wish to have it.</w:t>
            </w:r>
          </w:p>
        </w:tc>
      </w:tr>
    </w:tbl>
    <w:p w14:paraId="78B59B61" w14:textId="4693DA97" w:rsidR="00550354" w:rsidRPr="00F715D1" w:rsidRDefault="00550354" w:rsidP="00F3242B">
      <w:pPr>
        <w:pStyle w:val="Heading1"/>
        <w:numPr>
          <w:ilvl w:val="0"/>
          <w:numId w:val="0"/>
        </w:numPr>
        <w:ind w:left="720" w:hanging="720"/>
      </w:pPr>
      <w:r w:rsidRPr="00F715D1">
        <w:lastRenderedPageBreak/>
        <w:t>Summary of consideration and rationale for MSAC’s advice</w:t>
      </w:r>
      <w:r w:rsidR="00F3242B">
        <w:t xml:space="preserve"> – July 2020</w:t>
      </w:r>
      <w:r w:rsidRPr="00F715D1">
        <w:t xml:space="preserve"> </w:t>
      </w:r>
    </w:p>
    <w:p w14:paraId="747BA3C1" w14:textId="6A085932" w:rsidR="00C874D6" w:rsidRPr="00C874D6" w:rsidRDefault="00C874D6" w:rsidP="00C874D6">
      <w:pPr>
        <w:spacing w:after="240"/>
        <w:rPr>
          <w:szCs w:val="24"/>
        </w:rPr>
      </w:pPr>
      <w:r w:rsidRPr="00C874D6">
        <w:rPr>
          <w:szCs w:val="24"/>
        </w:rPr>
        <w:t xml:space="preserve">MSAC noted that this application </w:t>
      </w:r>
      <w:r w:rsidR="004C4CAA" w:rsidRPr="00C874D6">
        <w:rPr>
          <w:szCs w:val="24"/>
        </w:rPr>
        <w:t>request</w:t>
      </w:r>
      <w:r w:rsidR="004C4CAA">
        <w:rPr>
          <w:szCs w:val="24"/>
        </w:rPr>
        <w:t>ed</w:t>
      </w:r>
      <w:r w:rsidR="00B55B07">
        <w:rPr>
          <w:szCs w:val="24"/>
        </w:rPr>
        <w:t xml:space="preserve"> </w:t>
      </w:r>
      <w:r w:rsidRPr="00C874D6">
        <w:rPr>
          <w:szCs w:val="24"/>
        </w:rPr>
        <w:t>a fee increase for an existing MBS item 36811 for the PUL procedure for men with BPH.</w:t>
      </w:r>
    </w:p>
    <w:p w14:paraId="4646232A" w14:textId="035857F6" w:rsidR="00C874D6" w:rsidRPr="00C874D6" w:rsidRDefault="00C874D6" w:rsidP="00C874D6">
      <w:pPr>
        <w:spacing w:after="240"/>
        <w:rPr>
          <w:szCs w:val="24"/>
        </w:rPr>
      </w:pPr>
      <w:r w:rsidRPr="00C874D6">
        <w:rPr>
          <w:szCs w:val="24"/>
        </w:rPr>
        <w:t xml:space="preserve">MSAC </w:t>
      </w:r>
      <w:r w:rsidR="004C4CAA">
        <w:rPr>
          <w:szCs w:val="24"/>
        </w:rPr>
        <w:t>recalled</w:t>
      </w:r>
      <w:r w:rsidRPr="00C874D6">
        <w:rPr>
          <w:szCs w:val="24"/>
        </w:rPr>
        <w:t xml:space="preserve"> that the TURP (MBS item 37203) fee is $</w:t>
      </w:r>
      <w:r w:rsidR="004C4CAA" w:rsidRPr="00C874D6">
        <w:rPr>
          <w:szCs w:val="24"/>
        </w:rPr>
        <w:t>1,058.80</w:t>
      </w:r>
      <w:r w:rsidRPr="00C874D6">
        <w:rPr>
          <w:szCs w:val="24"/>
        </w:rPr>
        <w:t xml:space="preserve"> and, in March 2019, MSAC supported an increase in VLAP (MBS item 37207) fee from $866.45 to match TURP </w:t>
      </w:r>
      <w:proofErr w:type="gramStart"/>
      <w:r w:rsidRPr="00C874D6">
        <w:rPr>
          <w:szCs w:val="24"/>
        </w:rPr>
        <w:t>on the basis of</w:t>
      </w:r>
      <w:proofErr w:type="gramEnd"/>
      <w:r w:rsidRPr="00C874D6">
        <w:rPr>
          <w:szCs w:val="24"/>
        </w:rPr>
        <w:t xml:space="preserve"> non-inferiority. The proposal in this submission </w:t>
      </w:r>
      <w:r w:rsidR="00B55B07">
        <w:rPr>
          <w:szCs w:val="24"/>
        </w:rPr>
        <w:t>wa</w:t>
      </w:r>
      <w:r w:rsidRPr="00C874D6">
        <w:rPr>
          <w:szCs w:val="24"/>
        </w:rPr>
        <w:t>s to increase the fee for PUL to $1,058.80.</w:t>
      </w:r>
    </w:p>
    <w:p w14:paraId="0BBFEC6F" w14:textId="1EC241B6" w:rsidR="00C874D6" w:rsidRPr="00C874D6" w:rsidRDefault="00C874D6" w:rsidP="00C874D6">
      <w:pPr>
        <w:spacing w:after="240"/>
        <w:rPr>
          <w:szCs w:val="24"/>
        </w:rPr>
      </w:pPr>
      <w:r w:rsidRPr="00C874D6">
        <w:rPr>
          <w:szCs w:val="24"/>
        </w:rPr>
        <w:t xml:space="preserve">PUL is currently funded under MBS item 36811 CYSTOSCOPY with insertion of urethral prosthesis (with the fee of $328.55). This is a generic item and used also for other non-specific procedures. MSAC noted the applicant’s suggestion that this fee discrepancy is a disincentive to perform PUL </w:t>
      </w:r>
      <w:proofErr w:type="gramStart"/>
      <w:r w:rsidRPr="00C874D6">
        <w:rPr>
          <w:szCs w:val="24"/>
        </w:rPr>
        <w:t>on the basis of</w:t>
      </w:r>
      <w:proofErr w:type="gramEnd"/>
      <w:r w:rsidRPr="00C874D6">
        <w:rPr>
          <w:szCs w:val="24"/>
        </w:rPr>
        <w:t xml:space="preserve"> inequality in fees for procedures of equal efficacy. However, MSAC noted that utilisation of VLAP did not increase after its fee increase.</w:t>
      </w:r>
    </w:p>
    <w:p w14:paraId="5CDE208F" w14:textId="001EA6C0" w:rsidR="00C874D6" w:rsidRPr="00C874D6" w:rsidRDefault="00C874D6" w:rsidP="00C874D6">
      <w:pPr>
        <w:spacing w:after="240"/>
        <w:rPr>
          <w:szCs w:val="24"/>
        </w:rPr>
      </w:pPr>
      <w:r w:rsidRPr="00C874D6">
        <w:rPr>
          <w:szCs w:val="24"/>
        </w:rPr>
        <w:t>MSAC noted that the</w:t>
      </w:r>
      <w:r w:rsidR="004C4CAA">
        <w:rPr>
          <w:szCs w:val="24"/>
        </w:rPr>
        <w:t xml:space="preserve"> </w:t>
      </w:r>
      <w:r w:rsidR="00286EF1">
        <w:rPr>
          <w:szCs w:val="24"/>
        </w:rPr>
        <w:t xml:space="preserve">comparative </w:t>
      </w:r>
      <w:r w:rsidR="00A84AA9">
        <w:rPr>
          <w:szCs w:val="24"/>
        </w:rPr>
        <w:t>clinical evidence was</w:t>
      </w:r>
      <w:r w:rsidR="004C4CAA">
        <w:rPr>
          <w:szCs w:val="24"/>
        </w:rPr>
        <w:t xml:space="preserve"> based on </w:t>
      </w:r>
      <w:r w:rsidR="00286EF1">
        <w:rPr>
          <w:szCs w:val="24"/>
        </w:rPr>
        <w:t>th</w:t>
      </w:r>
      <w:r w:rsidR="00BB00B9">
        <w:rPr>
          <w:szCs w:val="24"/>
        </w:rPr>
        <w:t>r</w:t>
      </w:r>
      <w:r w:rsidR="00286EF1">
        <w:rPr>
          <w:szCs w:val="24"/>
        </w:rPr>
        <w:t xml:space="preserve">ee </w:t>
      </w:r>
      <w:r w:rsidR="004C4CAA">
        <w:rPr>
          <w:szCs w:val="24"/>
        </w:rPr>
        <w:t>randomised clinica</w:t>
      </w:r>
      <w:r w:rsidR="00286EF1">
        <w:rPr>
          <w:szCs w:val="24"/>
        </w:rPr>
        <w:t xml:space="preserve">l trials: </w:t>
      </w:r>
      <w:r w:rsidR="004C4CAA">
        <w:rPr>
          <w:szCs w:val="24"/>
        </w:rPr>
        <w:t xml:space="preserve">BPH6 </w:t>
      </w:r>
      <w:r w:rsidR="00286EF1">
        <w:rPr>
          <w:szCs w:val="24"/>
        </w:rPr>
        <w:t xml:space="preserve">(PUL </w:t>
      </w:r>
      <w:r w:rsidR="00286EF1">
        <w:rPr>
          <w:i/>
          <w:szCs w:val="24"/>
        </w:rPr>
        <w:t>vs.</w:t>
      </w:r>
      <w:r w:rsidR="00286EF1">
        <w:rPr>
          <w:szCs w:val="24"/>
        </w:rPr>
        <w:t xml:space="preserve"> TURP), </w:t>
      </w:r>
      <w:r w:rsidR="004C4CAA">
        <w:rPr>
          <w:szCs w:val="24"/>
        </w:rPr>
        <w:t>L.I.F.T.</w:t>
      </w:r>
      <w:r w:rsidR="00286EF1">
        <w:rPr>
          <w:szCs w:val="24"/>
        </w:rPr>
        <w:t xml:space="preserve"> (PUL </w:t>
      </w:r>
      <w:r w:rsidR="00286EF1">
        <w:rPr>
          <w:i/>
          <w:szCs w:val="24"/>
        </w:rPr>
        <w:t xml:space="preserve">vs. </w:t>
      </w:r>
      <w:r w:rsidR="00286EF1">
        <w:rPr>
          <w:szCs w:val="24"/>
        </w:rPr>
        <w:t>sham</w:t>
      </w:r>
      <w:r w:rsidR="004C4CAA">
        <w:rPr>
          <w:szCs w:val="24"/>
        </w:rPr>
        <w:t>)</w:t>
      </w:r>
      <w:r w:rsidR="00286EF1">
        <w:rPr>
          <w:szCs w:val="24"/>
        </w:rPr>
        <w:t xml:space="preserve"> and GOLIATH (VLAP </w:t>
      </w:r>
      <w:r w:rsidR="00286EF1">
        <w:rPr>
          <w:i/>
          <w:szCs w:val="24"/>
        </w:rPr>
        <w:t xml:space="preserve">vs. </w:t>
      </w:r>
      <w:r w:rsidR="00286EF1">
        <w:rPr>
          <w:szCs w:val="24"/>
        </w:rPr>
        <w:t xml:space="preserve">TURP). MSAC noted that the </w:t>
      </w:r>
      <w:r w:rsidRPr="00C874D6">
        <w:rPr>
          <w:szCs w:val="24"/>
        </w:rPr>
        <w:t xml:space="preserve">composite endpoint </w:t>
      </w:r>
      <w:r w:rsidR="00286EF1">
        <w:rPr>
          <w:szCs w:val="24"/>
        </w:rPr>
        <w:t xml:space="preserve">used to </w:t>
      </w:r>
      <w:r w:rsidR="00BB00B9">
        <w:rPr>
          <w:szCs w:val="24"/>
        </w:rPr>
        <w:t>claim superiority</w:t>
      </w:r>
      <w:r w:rsidR="00286EF1" w:rsidRPr="00C874D6">
        <w:rPr>
          <w:szCs w:val="24"/>
        </w:rPr>
        <w:t xml:space="preserve"> of PUL </w:t>
      </w:r>
      <w:r w:rsidR="00286EF1">
        <w:rPr>
          <w:i/>
          <w:szCs w:val="24"/>
        </w:rPr>
        <w:t>vs.</w:t>
      </w:r>
      <w:r w:rsidR="00286EF1" w:rsidRPr="00C874D6">
        <w:rPr>
          <w:szCs w:val="24"/>
        </w:rPr>
        <w:t xml:space="preserve"> TURP</w:t>
      </w:r>
      <w:r w:rsidR="00286EF1">
        <w:rPr>
          <w:szCs w:val="24"/>
        </w:rPr>
        <w:t xml:space="preserve"> in the BPH6 study was </w:t>
      </w:r>
      <w:r w:rsidRPr="00C874D6">
        <w:rPr>
          <w:szCs w:val="24"/>
        </w:rPr>
        <w:t>comprised of six outcome</w:t>
      </w:r>
      <w:r w:rsidR="00286EF1">
        <w:rPr>
          <w:szCs w:val="24"/>
        </w:rPr>
        <w:t>s</w:t>
      </w:r>
      <w:r w:rsidR="002050A3">
        <w:rPr>
          <w:szCs w:val="24"/>
        </w:rPr>
        <w:t>, with safety and erectile/</w:t>
      </w:r>
      <w:r w:rsidR="00BB00B9">
        <w:rPr>
          <w:szCs w:val="24"/>
        </w:rPr>
        <w:t>ejaculatory outcomes driving the BPH6 endpoint.</w:t>
      </w:r>
      <w:r w:rsidR="002050A3">
        <w:rPr>
          <w:szCs w:val="24"/>
        </w:rPr>
        <w:t xml:space="preserve"> </w:t>
      </w:r>
      <w:r w:rsidR="00BB00B9">
        <w:rPr>
          <w:szCs w:val="24"/>
        </w:rPr>
        <w:t xml:space="preserve">This </w:t>
      </w:r>
      <w:r w:rsidRPr="00C874D6">
        <w:rPr>
          <w:szCs w:val="24"/>
        </w:rPr>
        <w:t xml:space="preserve">biased </w:t>
      </w:r>
      <w:r w:rsidR="00A84AA9">
        <w:rPr>
          <w:szCs w:val="24"/>
        </w:rPr>
        <w:t>the study</w:t>
      </w:r>
      <w:r w:rsidR="0078621E">
        <w:rPr>
          <w:szCs w:val="24"/>
        </w:rPr>
        <w:t xml:space="preserve"> against TURP</w:t>
      </w:r>
      <w:r w:rsidR="00BB00B9">
        <w:rPr>
          <w:szCs w:val="24"/>
        </w:rPr>
        <w:t>.</w:t>
      </w:r>
      <w:r w:rsidRPr="00C874D6">
        <w:rPr>
          <w:szCs w:val="24"/>
        </w:rPr>
        <w:t xml:space="preserve"> </w:t>
      </w:r>
      <w:r w:rsidR="00064BCB">
        <w:rPr>
          <w:szCs w:val="24"/>
        </w:rPr>
        <w:t>In addition, t</w:t>
      </w:r>
      <w:r w:rsidR="0078621E">
        <w:rPr>
          <w:szCs w:val="24"/>
        </w:rPr>
        <w:t xml:space="preserve">he </w:t>
      </w:r>
      <w:r w:rsidR="00064BCB">
        <w:rPr>
          <w:szCs w:val="24"/>
        </w:rPr>
        <w:t xml:space="preserve">22% withdraw rate in the </w:t>
      </w:r>
      <w:r w:rsidR="0078621E">
        <w:rPr>
          <w:szCs w:val="24"/>
        </w:rPr>
        <w:t>BPH6 study was not addressed</w:t>
      </w:r>
      <w:r w:rsidR="00064BCB">
        <w:rPr>
          <w:szCs w:val="24"/>
        </w:rPr>
        <w:t xml:space="preserve">. </w:t>
      </w:r>
    </w:p>
    <w:p w14:paraId="5093FDAB" w14:textId="1C400398" w:rsidR="00C874D6" w:rsidRPr="00C874D6" w:rsidRDefault="00C874D6" w:rsidP="00C874D6">
      <w:pPr>
        <w:spacing w:after="240"/>
        <w:rPr>
          <w:szCs w:val="24"/>
        </w:rPr>
      </w:pPr>
      <w:r w:rsidRPr="00C874D6">
        <w:rPr>
          <w:szCs w:val="24"/>
        </w:rPr>
        <w:t xml:space="preserve">Regarding safety, MSAC noted that retrograde ejaculation is the most common long-term complication of TURP (in up to 90% of cases). However, </w:t>
      </w:r>
      <w:bookmarkStart w:id="1" w:name="_Hlk51743282"/>
      <w:r w:rsidRPr="00C874D6">
        <w:rPr>
          <w:szCs w:val="24"/>
        </w:rPr>
        <w:t xml:space="preserve">MSAC noted that retrograde ejaculation is not considered to be a serious long-term complication. </w:t>
      </w:r>
      <w:bookmarkEnd w:id="1"/>
      <w:r w:rsidRPr="00C874D6">
        <w:rPr>
          <w:szCs w:val="24"/>
        </w:rPr>
        <w:t xml:space="preserve">Some degree of urinary incontinence and erectile dysfunction are also common after TURP. </w:t>
      </w:r>
      <w:r w:rsidR="00C95869" w:rsidRPr="00C95869">
        <w:rPr>
          <w:szCs w:val="24"/>
        </w:rPr>
        <w:t xml:space="preserve">MSAC considered it reasonable to conclude PUL has superior safety compared with TURP in terms of function and </w:t>
      </w:r>
      <w:proofErr w:type="gramStart"/>
      <w:r w:rsidR="00C95869" w:rsidRPr="00C95869">
        <w:rPr>
          <w:szCs w:val="24"/>
        </w:rPr>
        <w:t>procedure</w:t>
      </w:r>
      <w:proofErr w:type="gramEnd"/>
      <w:r w:rsidR="00C95869" w:rsidRPr="00C95869">
        <w:rPr>
          <w:szCs w:val="24"/>
        </w:rPr>
        <w:t xml:space="preserve"> </w:t>
      </w:r>
      <w:r w:rsidR="00C95869" w:rsidRPr="008D65B5">
        <w:rPr>
          <w:szCs w:val="24"/>
        </w:rPr>
        <w:t>but MSAC noted that prostheses-related adverse events for PUL are unknown</w:t>
      </w:r>
      <w:r w:rsidR="00C95869" w:rsidRPr="00C95869">
        <w:rPr>
          <w:szCs w:val="24"/>
        </w:rPr>
        <w:t xml:space="preserve">. </w:t>
      </w:r>
      <w:r w:rsidRPr="00C874D6">
        <w:rPr>
          <w:szCs w:val="24"/>
        </w:rPr>
        <w:t xml:space="preserve">There </w:t>
      </w:r>
      <w:r w:rsidR="00D80465">
        <w:rPr>
          <w:szCs w:val="24"/>
        </w:rPr>
        <w:t>were</w:t>
      </w:r>
      <w:r w:rsidR="00D80465" w:rsidRPr="00C874D6">
        <w:rPr>
          <w:szCs w:val="24"/>
        </w:rPr>
        <w:t xml:space="preserve"> </w:t>
      </w:r>
      <w:r w:rsidRPr="00C874D6">
        <w:rPr>
          <w:szCs w:val="24"/>
        </w:rPr>
        <w:t xml:space="preserve">no studies comparing safety of PUL and VLAP; thus, MSAC considered the safety profile of PUL compared with VLAP to be unknown. </w:t>
      </w:r>
    </w:p>
    <w:p w14:paraId="761C748C" w14:textId="29655EE5" w:rsidR="00C874D6" w:rsidRPr="008D65B5" w:rsidRDefault="00A84AA9" w:rsidP="00C874D6">
      <w:pPr>
        <w:spacing w:after="240"/>
        <w:rPr>
          <w:szCs w:val="24"/>
        </w:rPr>
      </w:pPr>
      <w:r>
        <w:rPr>
          <w:szCs w:val="24"/>
        </w:rPr>
        <w:t xml:space="preserve">Regarding effectiveness, </w:t>
      </w:r>
      <w:r w:rsidR="00C874D6" w:rsidRPr="00C874D6">
        <w:rPr>
          <w:szCs w:val="24"/>
        </w:rPr>
        <w:t>MSAC noted the clinical claim for PUL is non-inferior</w:t>
      </w:r>
      <w:r w:rsidR="00725626">
        <w:rPr>
          <w:szCs w:val="24"/>
        </w:rPr>
        <w:t xml:space="preserve"> effectiveness compared</w:t>
      </w:r>
      <w:r w:rsidR="00970D92">
        <w:rPr>
          <w:szCs w:val="24"/>
        </w:rPr>
        <w:t xml:space="preserve"> </w:t>
      </w:r>
      <w:r w:rsidR="00C874D6" w:rsidRPr="00C874D6">
        <w:rPr>
          <w:szCs w:val="24"/>
        </w:rPr>
        <w:t>to TURP, based on the BPH6 composite endpoint. After 1 year, PUL is non</w:t>
      </w:r>
      <w:r w:rsidR="00DA1573">
        <w:rPr>
          <w:szCs w:val="24"/>
        </w:rPr>
        <w:noBreakHyphen/>
      </w:r>
      <w:r w:rsidR="00C874D6" w:rsidRPr="00C874D6">
        <w:rPr>
          <w:szCs w:val="24"/>
        </w:rPr>
        <w:t xml:space="preserve">inferior to TURP for the BPH6 endpoint. After 2 years, </w:t>
      </w:r>
      <w:r w:rsidR="00725626">
        <w:rPr>
          <w:szCs w:val="24"/>
        </w:rPr>
        <w:t>PUL</w:t>
      </w:r>
      <w:r w:rsidR="00725626" w:rsidRPr="00C874D6">
        <w:rPr>
          <w:szCs w:val="24"/>
        </w:rPr>
        <w:t xml:space="preserve"> </w:t>
      </w:r>
      <w:r w:rsidR="00C874D6" w:rsidRPr="00C874D6">
        <w:rPr>
          <w:szCs w:val="24"/>
        </w:rPr>
        <w:t xml:space="preserve">appears to be </w:t>
      </w:r>
      <w:r w:rsidR="00725626">
        <w:rPr>
          <w:szCs w:val="24"/>
        </w:rPr>
        <w:t>inferior</w:t>
      </w:r>
      <w:r w:rsidR="00725626" w:rsidRPr="00C874D6">
        <w:rPr>
          <w:szCs w:val="24"/>
        </w:rPr>
        <w:t xml:space="preserve"> </w:t>
      </w:r>
      <w:r w:rsidR="00C874D6" w:rsidRPr="00C874D6">
        <w:rPr>
          <w:szCs w:val="24"/>
        </w:rPr>
        <w:t xml:space="preserve">to </w:t>
      </w:r>
      <w:r w:rsidR="00725626">
        <w:rPr>
          <w:szCs w:val="24"/>
        </w:rPr>
        <w:t>TURP</w:t>
      </w:r>
      <w:r w:rsidR="00725626" w:rsidRPr="00C874D6">
        <w:rPr>
          <w:szCs w:val="24"/>
        </w:rPr>
        <w:t xml:space="preserve"> </w:t>
      </w:r>
      <w:r w:rsidR="00C874D6" w:rsidRPr="00C874D6">
        <w:rPr>
          <w:szCs w:val="24"/>
        </w:rPr>
        <w:t>for IPSS and urinary flow scores, but PUL is superior to TURP for ejaculatory function scores. MSAC noted the reintervention rates at 2 years for PUL (13.6%) and TURP (5.7%) where patients go on to require VLAP, TURP, repeat PUL or Botox</w:t>
      </w:r>
      <w:r w:rsidR="00DA1573" w:rsidRPr="00C11BBE">
        <w:rPr>
          <w:szCs w:val="24"/>
          <w:vertAlign w:val="superscript"/>
        </w:rPr>
        <w:t>®</w:t>
      </w:r>
      <w:r w:rsidR="00C874D6" w:rsidRPr="00C874D6">
        <w:rPr>
          <w:szCs w:val="24"/>
        </w:rPr>
        <w:t xml:space="preserve"> for detrusor overactivity. MSAC thus acknowledged that, for patients who wanted to preserve ejaculatory </w:t>
      </w:r>
      <w:r w:rsidR="00C874D6" w:rsidRPr="00C874D6">
        <w:rPr>
          <w:szCs w:val="24"/>
        </w:rPr>
        <w:lastRenderedPageBreak/>
        <w:t xml:space="preserve">function, PUL may be preferable to TURP, but considered PUL </w:t>
      </w:r>
      <w:r w:rsidR="006016EE">
        <w:rPr>
          <w:szCs w:val="24"/>
        </w:rPr>
        <w:t>to have</w:t>
      </w:r>
      <w:r w:rsidR="00C874D6" w:rsidRPr="00C874D6">
        <w:rPr>
          <w:szCs w:val="24"/>
        </w:rPr>
        <w:t xml:space="preserve"> inferior</w:t>
      </w:r>
      <w:r w:rsidR="00725626">
        <w:rPr>
          <w:szCs w:val="24"/>
        </w:rPr>
        <w:t xml:space="preserve"> effectiveness compared</w:t>
      </w:r>
      <w:r w:rsidR="00C874D6" w:rsidRPr="00C874D6">
        <w:rPr>
          <w:szCs w:val="24"/>
        </w:rPr>
        <w:t xml:space="preserve"> to TURP overall.</w:t>
      </w:r>
      <w:r>
        <w:rPr>
          <w:szCs w:val="24"/>
        </w:rPr>
        <w:t xml:space="preserve"> </w:t>
      </w:r>
      <w:r w:rsidR="00C874D6" w:rsidRPr="00C874D6">
        <w:rPr>
          <w:szCs w:val="24"/>
        </w:rPr>
        <w:t xml:space="preserve">MSAC noted that the GOLIATH trial showed that VLAP </w:t>
      </w:r>
      <w:r w:rsidR="00725626">
        <w:rPr>
          <w:szCs w:val="24"/>
        </w:rPr>
        <w:t>has</w:t>
      </w:r>
      <w:r w:rsidR="00C874D6" w:rsidRPr="00C874D6">
        <w:rPr>
          <w:szCs w:val="24"/>
        </w:rPr>
        <w:t xml:space="preserve"> non-inferior </w:t>
      </w:r>
      <w:r w:rsidR="00725626">
        <w:rPr>
          <w:szCs w:val="24"/>
        </w:rPr>
        <w:t xml:space="preserve">effectiveness </w:t>
      </w:r>
      <w:r w:rsidR="00C874D6" w:rsidRPr="00C874D6">
        <w:rPr>
          <w:szCs w:val="24"/>
        </w:rPr>
        <w:t xml:space="preserve">to TURP, </w:t>
      </w:r>
      <w:r w:rsidR="00C874D6" w:rsidRPr="008D65B5">
        <w:rPr>
          <w:szCs w:val="24"/>
        </w:rPr>
        <w:t xml:space="preserve">making it likely that PUL </w:t>
      </w:r>
      <w:r w:rsidR="00725626" w:rsidRPr="008D65B5">
        <w:rPr>
          <w:szCs w:val="24"/>
        </w:rPr>
        <w:t xml:space="preserve">has </w:t>
      </w:r>
      <w:r w:rsidR="00C874D6" w:rsidRPr="008D65B5">
        <w:rPr>
          <w:szCs w:val="24"/>
        </w:rPr>
        <w:t xml:space="preserve">inferior </w:t>
      </w:r>
      <w:r w:rsidR="00725626" w:rsidRPr="008D65B5">
        <w:rPr>
          <w:szCs w:val="24"/>
        </w:rPr>
        <w:t xml:space="preserve">effectiveness compared </w:t>
      </w:r>
      <w:r w:rsidR="00C874D6" w:rsidRPr="008D65B5">
        <w:rPr>
          <w:szCs w:val="24"/>
        </w:rPr>
        <w:t>to VLAP.</w:t>
      </w:r>
    </w:p>
    <w:p w14:paraId="3CB00DC1" w14:textId="703B8E4A" w:rsidR="00C874D6" w:rsidRPr="00C874D6" w:rsidRDefault="00C874D6" w:rsidP="00C874D6">
      <w:pPr>
        <w:spacing w:after="240"/>
        <w:rPr>
          <w:szCs w:val="24"/>
        </w:rPr>
      </w:pPr>
      <w:r w:rsidRPr="00C874D6">
        <w:rPr>
          <w:szCs w:val="24"/>
        </w:rPr>
        <w:t>MSAC noted that the economic evaluation was a cost-comparison analysis, but MSAC queried whether a cost-effectiveness analysis or cost-utility analysis may be more appropriate, given that the clinical claim of non-inferiority was not well supported. MSAC noted that the Department revisited the cost comparison calculations following ESC advice, which showed that</w:t>
      </w:r>
      <w:r w:rsidR="00073D0F">
        <w:rPr>
          <w:szCs w:val="24"/>
        </w:rPr>
        <w:t xml:space="preserve"> at</w:t>
      </w:r>
      <w:r w:rsidRPr="00C874D6">
        <w:rPr>
          <w:szCs w:val="24"/>
        </w:rPr>
        <w:t xml:space="preserve"> the proposed fee of $1,058.80</w:t>
      </w:r>
      <w:r w:rsidR="00073D0F">
        <w:rPr>
          <w:szCs w:val="24"/>
        </w:rPr>
        <w:t xml:space="preserve"> PUL could</w:t>
      </w:r>
      <w:r w:rsidRPr="00C874D6">
        <w:rPr>
          <w:szCs w:val="24"/>
        </w:rPr>
        <w:t xml:space="preserve"> be more costly than TURP and VLAP, which is inconsistent with a finding of inferiority.</w:t>
      </w:r>
    </w:p>
    <w:p w14:paraId="490C785C" w14:textId="45085376" w:rsidR="00C874D6" w:rsidRPr="00C874D6" w:rsidRDefault="00C874D6" w:rsidP="00C874D6">
      <w:pPr>
        <w:spacing w:after="240"/>
        <w:rPr>
          <w:szCs w:val="24"/>
        </w:rPr>
      </w:pPr>
      <w:r w:rsidRPr="00C874D6">
        <w:rPr>
          <w:szCs w:val="24"/>
        </w:rPr>
        <w:t xml:space="preserve">MSAC </w:t>
      </w:r>
      <w:r w:rsidR="00073D0F">
        <w:rPr>
          <w:szCs w:val="24"/>
        </w:rPr>
        <w:t xml:space="preserve">further </w:t>
      </w:r>
      <w:r w:rsidRPr="00C874D6">
        <w:rPr>
          <w:szCs w:val="24"/>
        </w:rPr>
        <w:t xml:space="preserve">noted that the cost of PUL may be underestimated due to the costs and number of implants required </w:t>
      </w:r>
      <w:r w:rsidR="0078621E">
        <w:rPr>
          <w:szCs w:val="24"/>
        </w:rPr>
        <w:t xml:space="preserve">and the re-intervention rate </w:t>
      </w:r>
      <w:r w:rsidRPr="00C874D6">
        <w:rPr>
          <w:szCs w:val="24"/>
        </w:rPr>
        <w:t xml:space="preserve">not being </w:t>
      </w:r>
      <w:r w:rsidR="0078621E">
        <w:rPr>
          <w:szCs w:val="24"/>
        </w:rPr>
        <w:t xml:space="preserve">adequately </w:t>
      </w:r>
      <w:r w:rsidRPr="00C874D6">
        <w:rPr>
          <w:szCs w:val="24"/>
        </w:rPr>
        <w:t>accounted for, and that the cost of TURP and VLAP may be overestimated, including major complications, length of stay and capital costs.</w:t>
      </w:r>
    </w:p>
    <w:p w14:paraId="7E7233B1" w14:textId="77777777" w:rsidR="00C874D6" w:rsidRPr="00C874D6" w:rsidRDefault="00C874D6" w:rsidP="00C874D6">
      <w:pPr>
        <w:spacing w:after="240"/>
        <w:rPr>
          <w:szCs w:val="24"/>
        </w:rPr>
      </w:pPr>
      <w:r w:rsidRPr="00C874D6">
        <w:rPr>
          <w:szCs w:val="24"/>
        </w:rPr>
        <w:t>MSAC noted the uncertainty regarding the financial impact due to the number of PUL procedures being displaced, rather than substituted.</w:t>
      </w:r>
    </w:p>
    <w:p w14:paraId="777AC498" w14:textId="39C03598" w:rsidR="00C874D6" w:rsidRPr="00C874D6" w:rsidRDefault="00C874D6" w:rsidP="002050A3">
      <w:pPr>
        <w:spacing w:after="120"/>
        <w:rPr>
          <w:szCs w:val="24"/>
        </w:rPr>
      </w:pPr>
      <w:r w:rsidRPr="00C874D6">
        <w:rPr>
          <w:szCs w:val="24"/>
        </w:rPr>
        <w:t xml:space="preserve">MSAC considered that the treatments for BPH management required a more holistic </w:t>
      </w:r>
      <w:r w:rsidR="00073D0F">
        <w:rPr>
          <w:szCs w:val="24"/>
        </w:rPr>
        <w:t>review</w:t>
      </w:r>
      <w:r w:rsidRPr="00C874D6">
        <w:rPr>
          <w:szCs w:val="24"/>
        </w:rPr>
        <w:t>, and recommended that the Department, in consultation with</w:t>
      </w:r>
      <w:r w:rsidR="00073D0F">
        <w:rPr>
          <w:szCs w:val="24"/>
        </w:rPr>
        <w:t xml:space="preserve"> applicants and profession</w:t>
      </w:r>
      <w:r w:rsidR="006016EE">
        <w:rPr>
          <w:szCs w:val="24"/>
        </w:rPr>
        <w:t>al</w:t>
      </w:r>
      <w:r w:rsidR="00073D0F">
        <w:rPr>
          <w:szCs w:val="24"/>
        </w:rPr>
        <w:t xml:space="preserve"> and consumer stakeholders</w:t>
      </w:r>
      <w:r w:rsidR="006016EE">
        <w:rPr>
          <w:szCs w:val="24"/>
        </w:rPr>
        <w:t>,</w:t>
      </w:r>
      <w:r w:rsidR="002050A3">
        <w:rPr>
          <w:szCs w:val="24"/>
        </w:rPr>
        <w:t xml:space="preserve"> undertake a review of the</w:t>
      </w:r>
      <w:r w:rsidRPr="00C874D6">
        <w:rPr>
          <w:szCs w:val="24"/>
        </w:rPr>
        <w:t xml:space="preserve"> effectiveness</w:t>
      </w:r>
      <w:r w:rsidR="00073D0F">
        <w:rPr>
          <w:szCs w:val="24"/>
        </w:rPr>
        <w:t xml:space="preserve"> (includi</w:t>
      </w:r>
      <w:r w:rsidR="002050A3">
        <w:rPr>
          <w:szCs w:val="24"/>
        </w:rPr>
        <w:t>ng short and long-term outcomes</w:t>
      </w:r>
      <w:r w:rsidR="004140EF">
        <w:rPr>
          <w:szCs w:val="24"/>
        </w:rPr>
        <w:t>)</w:t>
      </w:r>
      <w:r w:rsidR="00BD23EE">
        <w:rPr>
          <w:szCs w:val="24"/>
        </w:rPr>
        <w:t xml:space="preserve">, </w:t>
      </w:r>
      <w:r w:rsidRPr="00C874D6">
        <w:rPr>
          <w:szCs w:val="24"/>
        </w:rPr>
        <w:t>safety</w:t>
      </w:r>
      <w:r w:rsidR="00073D0F">
        <w:rPr>
          <w:szCs w:val="24"/>
        </w:rPr>
        <w:t>, costs</w:t>
      </w:r>
      <w:r w:rsidRPr="00C874D6">
        <w:rPr>
          <w:szCs w:val="24"/>
        </w:rPr>
        <w:t xml:space="preserve"> and cost-effectiveness of VLAP, PUL, TUWA, TUNA, TURP and any other procedures used to manage BPH</w:t>
      </w:r>
      <w:r w:rsidR="00073D0F">
        <w:rPr>
          <w:szCs w:val="24"/>
        </w:rPr>
        <w:t>.</w:t>
      </w:r>
    </w:p>
    <w:p w14:paraId="13BD77ED" w14:textId="6B6877EC" w:rsidR="00073D0F" w:rsidRDefault="00073D0F" w:rsidP="008D65B5">
      <w:pPr>
        <w:spacing w:before="240" w:after="120"/>
        <w:rPr>
          <w:szCs w:val="24"/>
        </w:rPr>
      </w:pPr>
      <w:r>
        <w:rPr>
          <w:szCs w:val="24"/>
        </w:rPr>
        <w:t>MSAC considered this review could also usefully garner information on</w:t>
      </w:r>
      <w:r w:rsidR="00BB02F7">
        <w:rPr>
          <w:szCs w:val="24"/>
        </w:rPr>
        <w:t>:</w:t>
      </w:r>
    </w:p>
    <w:p w14:paraId="20ED96C7" w14:textId="1B88BA7E" w:rsidR="004140EF" w:rsidRDefault="00C874D6" w:rsidP="002050A3">
      <w:pPr>
        <w:pStyle w:val="ListParagraph"/>
        <w:numPr>
          <w:ilvl w:val="0"/>
          <w:numId w:val="27"/>
        </w:numPr>
        <w:spacing w:before="120" w:after="120"/>
        <w:ind w:left="426"/>
        <w:rPr>
          <w:szCs w:val="24"/>
        </w:rPr>
      </w:pPr>
      <w:r w:rsidRPr="00A528C6">
        <w:rPr>
          <w:szCs w:val="24"/>
        </w:rPr>
        <w:t xml:space="preserve">why urologists recommended certain procedures </w:t>
      </w:r>
    </w:p>
    <w:p w14:paraId="32AE7096" w14:textId="4790A9B7" w:rsidR="004140EF" w:rsidRDefault="00073D0F" w:rsidP="002050A3">
      <w:pPr>
        <w:pStyle w:val="ListParagraph"/>
        <w:numPr>
          <w:ilvl w:val="0"/>
          <w:numId w:val="27"/>
        </w:numPr>
        <w:spacing w:before="120" w:after="120"/>
        <w:ind w:left="426"/>
        <w:rPr>
          <w:szCs w:val="24"/>
        </w:rPr>
      </w:pPr>
      <w:r w:rsidRPr="004140EF">
        <w:rPr>
          <w:szCs w:val="24"/>
        </w:rPr>
        <w:t xml:space="preserve">what informs </w:t>
      </w:r>
      <w:r w:rsidR="00C874D6" w:rsidRPr="004140EF">
        <w:rPr>
          <w:szCs w:val="24"/>
        </w:rPr>
        <w:t>patient preferences</w:t>
      </w:r>
      <w:r w:rsidRPr="004140EF">
        <w:rPr>
          <w:szCs w:val="24"/>
        </w:rPr>
        <w:t xml:space="preserve"> for certain procedures</w:t>
      </w:r>
    </w:p>
    <w:p w14:paraId="7C693A71" w14:textId="78D547D0" w:rsidR="00C874D6" w:rsidRPr="004140EF" w:rsidRDefault="00C874D6" w:rsidP="002050A3">
      <w:pPr>
        <w:pStyle w:val="ListParagraph"/>
        <w:numPr>
          <w:ilvl w:val="0"/>
          <w:numId w:val="27"/>
        </w:numPr>
        <w:spacing w:before="120" w:after="120"/>
        <w:ind w:left="426"/>
        <w:rPr>
          <w:szCs w:val="24"/>
        </w:rPr>
      </w:pPr>
      <w:r w:rsidRPr="004140EF">
        <w:rPr>
          <w:szCs w:val="24"/>
        </w:rPr>
        <w:t>long-term outcomes.</w:t>
      </w:r>
    </w:p>
    <w:p w14:paraId="598987DE" w14:textId="660F5C0F" w:rsidR="009868A6" w:rsidRDefault="009868A6" w:rsidP="008D65B5">
      <w:pPr>
        <w:spacing w:before="240" w:after="240"/>
        <w:rPr>
          <w:szCs w:val="24"/>
        </w:rPr>
      </w:pPr>
      <w:r>
        <w:rPr>
          <w:szCs w:val="24"/>
        </w:rPr>
        <w:t xml:space="preserve">This review will allow MSAC to </w:t>
      </w:r>
      <w:r w:rsidR="00873B87">
        <w:rPr>
          <w:szCs w:val="24"/>
        </w:rPr>
        <w:t xml:space="preserve">provide </w:t>
      </w:r>
      <w:r>
        <w:rPr>
          <w:szCs w:val="24"/>
        </w:rPr>
        <w:t xml:space="preserve">better advice </w:t>
      </w:r>
      <w:r w:rsidR="00873B87">
        <w:rPr>
          <w:szCs w:val="24"/>
        </w:rPr>
        <w:t xml:space="preserve">to </w:t>
      </w:r>
      <w:r>
        <w:rPr>
          <w:szCs w:val="24"/>
        </w:rPr>
        <w:t>the Minister on which BPH procedures should be funded on the MBS and the appropriate fees for each procedure.</w:t>
      </w:r>
    </w:p>
    <w:p w14:paraId="2CC89152" w14:textId="77777777" w:rsidR="00BC1364" w:rsidRPr="00F715D1" w:rsidRDefault="00BC1364" w:rsidP="00F715D1">
      <w:pPr>
        <w:pStyle w:val="Heading1"/>
      </w:pPr>
      <w:r w:rsidRPr="00F715D1">
        <w:t>Background</w:t>
      </w:r>
    </w:p>
    <w:p w14:paraId="257BD1AE" w14:textId="32D09C53" w:rsidR="00BC1364" w:rsidRDefault="005512ED" w:rsidP="00D4501D">
      <w:r>
        <w:t>The applicant developed assessment report (ADAR)</w:t>
      </w:r>
      <w:r w:rsidR="00D4501D" w:rsidRPr="00FA2498">
        <w:t xml:space="preserve"> </w:t>
      </w:r>
      <w:r w:rsidR="00D4501D">
        <w:t xml:space="preserve">requesting a fee increase for an existing MBS item </w:t>
      </w:r>
      <w:r w:rsidR="00D4501D" w:rsidRPr="002F286E">
        <w:t>36811</w:t>
      </w:r>
      <w:r w:rsidR="00D4501D">
        <w:t xml:space="preserve"> for prostatic urethral lift procedure for men with benign prostate hyperplasia</w:t>
      </w:r>
      <w:r>
        <w:t xml:space="preserve"> was first considered by MSAC in July 2020</w:t>
      </w:r>
      <w:r w:rsidR="00D4501D">
        <w:t xml:space="preserve">. </w:t>
      </w:r>
      <w:r>
        <w:t xml:space="preserve">At that time, MSAC deferred providing advice on the fee for PUL and requested the Department undertake a review of </w:t>
      </w:r>
      <w:r w:rsidRPr="00E76AAC">
        <w:t xml:space="preserve">the effectiveness (including short and long-term outcomes), safety, </w:t>
      </w:r>
      <w:proofErr w:type="gramStart"/>
      <w:r w:rsidRPr="00E76AAC">
        <w:t>costs</w:t>
      </w:r>
      <w:proofErr w:type="gramEnd"/>
      <w:r w:rsidRPr="00E76AAC">
        <w:t xml:space="preserve"> and cost-effectiveness of VLAP, PUL, TUWA, TUNA, TURP and any other procedures used to manage BPH</w:t>
      </w:r>
      <w:r>
        <w:t xml:space="preserve"> (the BPH review</w:t>
      </w:r>
      <w:r w:rsidR="005B79C9">
        <w:t>; see section 3 MSAC’s advice to the Minister)</w:t>
      </w:r>
      <w:r w:rsidRPr="00E76AAC">
        <w:t>.</w:t>
      </w:r>
    </w:p>
    <w:p w14:paraId="5AE1DFF0" w14:textId="7B68A3A5" w:rsidR="005512ED" w:rsidRPr="00154A9C" w:rsidRDefault="005512ED" w:rsidP="00293E8C">
      <w:pPr>
        <w:spacing w:before="240"/>
      </w:pPr>
      <w:r>
        <w:t>The BPH review (</w:t>
      </w:r>
      <w:hyperlink r:id="rId11" w:history="1">
        <w:r w:rsidRPr="00E76AAC">
          <w:rPr>
            <w:rStyle w:val="Hyperlink"/>
          </w:rPr>
          <w:t>MSAC application 1697</w:t>
        </w:r>
      </w:hyperlink>
      <w:r>
        <w:t xml:space="preserve">) was considered by MSAC at </w:t>
      </w:r>
      <w:r w:rsidR="005B79C9">
        <w:t>the</w:t>
      </w:r>
      <w:r>
        <w:t xml:space="preserve"> July 2022 meeting. After considering the outcomes of the BPH review, MSAC reconsidered this application from Teleflex Medical to increase the MBS fee for PUL.</w:t>
      </w:r>
    </w:p>
    <w:p w14:paraId="1A27C05A" w14:textId="77777777" w:rsidR="00BC1364" w:rsidRPr="00F715D1" w:rsidRDefault="00BC1364" w:rsidP="00F715D1">
      <w:pPr>
        <w:pStyle w:val="Heading1"/>
      </w:pPr>
      <w:r w:rsidRPr="00F715D1">
        <w:lastRenderedPageBreak/>
        <w:t>Prerequisites to implementation of any funding advice</w:t>
      </w:r>
    </w:p>
    <w:p w14:paraId="7B757995" w14:textId="41B87676" w:rsidR="00D4501D" w:rsidRDefault="00D4501D" w:rsidP="00C11BBE">
      <w:pPr>
        <w:spacing w:after="240"/>
      </w:pPr>
      <w:r w:rsidRPr="00FA2498">
        <w:t xml:space="preserve">Items on the Australian Register of Therapeutic Goods (ARTG) that are relevant to this application are shown in </w:t>
      </w:r>
      <w:r w:rsidR="0017406A">
        <w:t>Table 1</w:t>
      </w:r>
      <w:r w:rsidRPr="00FA2498">
        <w:t>.</w:t>
      </w:r>
      <w:r w:rsidR="00552D60">
        <w:t xml:space="preserve"> </w:t>
      </w:r>
      <w:r w:rsidR="00552D60" w:rsidRPr="00552D60">
        <w:t xml:space="preserve">The </w:t>
      </w:r>
      <w:proofErr w:type="spellStart"/>
      <w:r w:rsidR="00552D60" w:rsidRPr="00552D60">
        <w:t>UroLift</w:t>
      </w:r>
      <w:proofErr w:type="spellEnd"/>
      <w:r w:rsidR="00DA1573" w:rsidRPr="00C11BBE">
        <w:rPr>
          <w:vertAlign w:val="superscript"/>
        </w:rPr>
        <w:t>®</w:t>
      </w:r>
      <w:r w:rsidR="00552D60" w:rsidRPr="00552D60">
        <w:t xml:space="preserve"> prosthesis, implanted as part of the procedure, is</w:t>
      </w:r>
      <w:r w:rsidR="00552D60">
        <w:t xml:space="preserve"> also</w:t>
      </w:r>
      <w:r w:rsidR="00552D60" w:rsidRPr="00552D60">
        <w:t xml:space="preserve"> listed on the Prostheses List.</w:t>
      </w:r>
      <w:bookmarkStart w:id="2" w:name="_Ref364240778"/>
      <w:bookmarkStart w:id="3" w:name="_Toc381969859"/>
      <w:bookmarkStart w:id="4" w:name="_Toc444869024"/>
    </w:p>
    <w:p w14:paraId="64C6304E" w14:textId="15E8E221" w:rsidR="00D4501D" w:rsidRPr="00016353" w:rsidRDefault="00D4501D" w:rsidP="00016353">
      <w:pPr>
        <w:rPr>
          <w:rFonts w:ascii="Arial Narrow" w:hAnsi="Arial Narrow"/>
          <w:b/>
          <w:sz w:val="20"/>
        </w:rPr>
      </w:pPr>
      <w:bookmarkStart w:id="5" w:name="_Ref40795757"/>
      <w:bookmarkEnd w:id="2"/>
      <w:r w:rsidRPr="00016353">
        <w:rPr>
          <w:rFonts w:ascii="Arial Narrow" w:hAnsi="Arial Narrow"/>
          <w:b/>
          <w:sz w:val="20"/>
        </w:rPr>
        <w:t xml:space="preserve">Table </w:t>
      </w:r>
      <w:r w:rsidR="00C11BBE" w:rsidRPr="00016353">
        <w:rPr>
          <w:rFonts w:ascii="Arial Narrow" w:hAnsi="Arial Narrow"/>
          <w:b/>
          <w:sz w:val="20"/>
        </w:rPr>
        <w:fldChar w:fldCharType="begin"/>
      </w:r>
      <w:r w:rsidR="00C11BBE" w:rsidRPr="00016353">
        <w:rPr>
          <w:rFonts w:ascii="Arial Narrow" w:hAnsi="Arial Narrow"/>
          <w:b/>
          <w:sz w:val="20"/>
        </w:rPr>
        <w:instrText xml:space="preserve"> SEQ Table \* ARABIC </w:instrText>
      </w:r>
      <w:r w:rsidR="00C11BBE" w:rsidRPr="00016353">
        <w:rPr>
          <w:rFonts w:ascii="Arial Narrow" w:hAnsi="Arial Narrow"/>
          <w:b/>
          <w:sz w:val="20"/>
        </w:rPr>
        <w:fldChar w:fldCharType="separate"/>
      </w:r>
      <w:r w:rsidR="003636DE" w:rsidRPr="00016353">
        <w:rPr>
          <w:rFonts w:ascii="Arial Narrow" w:hAnsi="Arial Narrow"/>
          <w:b/>
          <w:sz w:val="20"/>
        </w:rPr>
        <w:t>1</w:t>
      </w:r>
      <w:r w:rsidR="00C11BBE" w:rsidRPr="00016353">
        <w:rPr>
          <w:rFonts w:ascii="Arial Narrow" w:hAnsi="Arial Narrow"/>
          <w:b/>
          <w:sz w:val="20"/>
        </w:rPr>
        <w:fldChar w:fldCharType="end"/>
      </w:r>
      <w:bookmarkEnd w:id="5"/>
      <w:r w:rsidRPr="00016353">
        <w:rPr>
          <w:rFonts w:ascii="Arial Narrow" w:hAnsi="Arial Narrow"/>
          <w:b/>
          <w:sz w:val="20"/>
        </w:rPr>
        <w:t xml:space="preserve"> </w:t>
      </w:r>
      <w:proofErr w:type="spellStart"/>
      <w:r w:rsidRPr="00016353">
        <w:rPr>
          <w:rFonts w:ascii="Arial Narrow" w:hAnsi="Arial Narrow"/>
          <w:b/>
          <w:sz w:val="20"/>
        </w:rPr>
        <w:t>UroLift</w:t>
      </w:r>
      <w:proofErr w:type="spellEnd"/>
      <w:r w:rsidRPr="00016353">
        <w:rPr>
          <w:rFonts w:ascii="Arial Narrow" w:hAnsi="Arial Narrow"/>
          <w:b/>
          <w:sz w:val="20"/>
        </w:rPr>
        <w:t>® System listed on the ARTG</w:t>
      </w:r>
      <w:bookmarkEnd w:id="3"/>
      <w:bookmarkEnd w:id="4"/>
    </w:p>
    <w:tbl>
      <w:tblPr>
        <w:tblStyle w:val="TableGrid1"/>
        <w:tblW w:w="9209" w:type="dxa"/>
        <w:tblLayout w:type="fixed"/>
        <w:tblLook w:val="04A0" w:firstRow="1" w:lastRow="0" w:firstColumn="1" w:lastColumn="0" w:noHBand="0" w:noVBand="1"/>
        <w:tblCaption w:val="Table 10 XXX listed on the Australian Register of Therapeutic Goods"/>
        <w:tblDescription w:val="This table provides the registry number, product number, product description, product category and sponsor for products that relate to the technology being assessed and that are currently registered on the Australian Register of Therapeutic Goods."/>
      </w:tblPr>
      <w:tblGrid>
        <w:gridCol w:w="988"/>
        <w:gridCol w:w="1134"/>
        <w:gridCol w:w="2268"/>
        <w:gridCol w:w="2126"/>
        <w:gridCol w:w="2693"/>
      </w:tblGrid>
      <w:tr w:rsidR="00D4501D" w:rsidRPr="00265ACA" w14:paraId="317DCA3C" w14:textId="77777777" w:rsidTr="00D863C8">
        <w:trPr>
          <w:cnfStyle w:val="100000000000" w:firstRow="1" w:lastRow="0" w:firstColumn="0" w:lastColumn="0" w:oddVBand="0" w:evenVBand="0" w:oddHBand="0" w:evenHBand="0" w:firstRowFirstColumn="0" w:firstRowLastColumn="0" w:lastRowFirstColumn="0" w:lastRowLastColumn="0"/>
          <w:tblHeader/>
        </w:trPr>
        <w:tc>
          <w:tcPr>
            <w:tcW w:w="988" w:type="dxa"/>
          </w:tcPr>
          <w:p w14:paraId="223815C0" w14:textId="77777777" w:rsidR="00D4501D" w:rsidRPr="00265ACA" w:rsidRDefault="00D4501D" w:rsidP="00D4501D">
            <w:pPr>
              <w:pStyle w:val="TableHeading"/>
            </w:pPr>
            <w:r w:rsidRPr="00265ACA">
              <w:t>ARTG no.</w:t>
            </w:r>
          </w:p>
        </w:tc>
        <w:tc>
          <w:tcPr>
            <w:tcW w:w="1134" w:type="dxa"/>
          </w:tcPr>
          <w:p w14:paraId="5CA7326D" w14:textId="77777777" w:rsidR="00D4501D" w:rsidRPr="00265ACA" w:rsidRDefault="00D4501D" w:rsidP="00D4501D">
            <w:pPr>
              <w:pStyle w:val="TableHeading"/>
            </w:pPr>
            <w:r w:rsidRPr="00265ACA">
              <w:t>Product no.</w:t>
            </w:r>
          </w:p>
        </w:tc>
        <w:tc>
          <w:tcPr>
            <w:tcW w:w="2268" w:type="dxa"/>
          </w:tcPr>
          <w:p w14:paraId="15466AF9" w14:textId="77777777" w:rsidR="00D4501D" w:rsidRPr="00265ACA" w:rsidRDefault="00D4501D" w:rsidP="00D4501D">
            <w:pPr>
              <w:pStyle w:val="TableHeading"/>
            </w:pPr>
            <w:r w:rsidRPr="00265ACA">
              <w:t>Product description</w:t>
            </w:r>
          </w:p>
        </w:tc>
        <w:tc>
          <w:tcPr>
            <w:tcW w:w="2126" w:type="dxa"/>
          </w:tcPr>
          <w:p w14:paraId="49829119" w14:textId="77777777" w:rsidR="00D4501D" w:rsidRPr="00265ACA" w:rsidRDefault="00D4501D" w:rsidP="00D4501D">
            <w:pPr>
              <w:pStyle w:val="TableHeading"/>
            </w:pPr>
            <w:r w:rsidRPr="00265ACA">
              <w:t>Product category</w:t>
            </w:r>
          </w:p>
        </w:tc>
        <w:tc>
          <w:tcPr>
            <w:tcW w:w="2693" w:type="dxa"/>
          </w:tcPr>
          <w:p w14:paraId="3105403A" w14:textId="77777777" w:rsidR="00D4501D" w:rsidRPr="00265ACA" w:rsidRDefault="00D4501D" w:rsidP="00D4501D">
            <w:pPr>
              <w:pStyle w:val="TableHeading"/>
            </w:pPr>
            <w:r w:rsidRPr="00265ACA">
              <w:t>Sponsor</w:t>
            </w:r>
          </w:p>
        </w:tc>
      </w:tr>
      <w:tr w:rsidR="00D4501D" w:rsidRPr="00265ACA" w14:paraId="794B679B" w14:textId="77777777" w:rsidTr="00D863C8">
        <w:tc>
          <w:tcPr>
            <w:tcW w:w="988" w:type="dxa"/>
          </w:tcPr>
          <w:p w14:paraId="41C43F7B" w14:textId="77777777" w:rsidR="00D4501D" w:rsidRPr="0022325F" w:rsidRDefault="00D4501D" w:rsidP="00D4501D">
            <w:pPr>
              <w:pStyle w:val="Tabletext"/>
            </w:pPr>
            <w:r w:rsidRPr="0022325F">
              <w:t>200361</w:t>
            </w:r>
          </w:p>
        </w:tc>
        <w:tc>
          <w:tcPr>
            <w:tcW w:w="1134" w:type="dxa"/>
          </w:tcPr>
          <w:p w14:paraId="20C429CD" w14:textId="77777777" w:rsidR="00D4501D" w:rsidRPr="0022325F" w:rsidRDefault="00D4501D" w:rsidP="00D4501D">
            <w:pPr>
              <w:pStyle w:val="Tabletext"/>
            </w:pPr>
            <w:r w:rsidRPr="0022325F">
              <w:t>58882</w:t>
            </w:r>
          </w:p>
        </w:tc>
        <w:tc>
          <w:tcPr>
            <w:tcW w:w="2268" w:type="dxa"/>
          </w:tcPr>
          <w:p w14:paraId="20846854" w14:textId="77777777" w:rsidR="00D4501D" w:rsidRPr="0022325F" w:rsidRDefault="00D4501D" w:rsidP="00D4501D">
            <w:pPr>
              <w:pStyle w:val="Tabletext"/>
            </w:pPr>
            <w:r w:rsidRPr="0022325F">
              <w:t>Prostatic retraction implant</w:t>
            </w:r>
          </w:p>
        </w:tc>
        <w:tc>
          <w:tcPr>
            <w:tcW w:w="2126" w:type="dxa"/>
          </w:tcPr>
          <w:p w14:paraId="12A3239A" w14:textId="77777777" w:rsidR="00D4501D" w:rsidRPr="0022325F" w:rsidRDefault="00D4501D" w:rsidP="00D4501D">
            <w:pPr>
              <w:pStyle w:val="Tabletext"/>
            </w:pPr>
            <w:r w:rsidRPr="0022325F">
              <w:t>Medical Device Class IIb</w:t>
            </w:r>
          </w:p>
        </w:tc>
        <w:tc>
          <w:tcPr>
            <w:tcW w:w="2693" w:type="dxa"/>
          </w:tcPr>
          <w:p w14:paraId="1799908E" w14:textId="77777777" w:rsidR="00D4501D" w:rsidRPr="0022325F" w:rsidRDefault="00D4501D" w:rsidP="00D4501D">
            <w:pPr>
              <w:pStyle w:val="Tabletext"/>
            </w:pPr>
            <w:r w:rsidRPr="0022325F">
              <w:t>Teleflex Medical Australia Pty Ltd</w:t>
            </w:r>
          </w:p>
        </w:tc>
      </w:tr>
    </w:tbl>
    <w:p w14:paraId="5BAA9278" w14:textId="77777777" w:rsidR="00802D61" w:rsidRDefault="00802D61" w:rsidP="00C11BBE">
      <w:pPr>
        <w:pStyle w:val="Tablenotes"/>
      </w:pPr>
      <w:r w:rsidRPr="00FE7C58">
        <w:t>Abbreviations: ARTG = Australian Register of Therapeutic Goods.</w:t>
      </w:r>
    </w:p>
    <w:p w14:paraId="5CD2A536" w14:textId="2A2EACDE" w:rsidR="00D4501D" w:rsidRPr="00265ACA" w:rsidRDefault="00D4501D" w:rsidP="00C11BBE">
      <w:pPr>
        <w:pStyle w:val="Tablenotes"/>
      </w:pPr>
      <w:r w:rsidRPr="00265ACA">
        <w:t>Source: Therapeutic Goods Administration, accessed 8</w:t>
      </w:r>
      <w:r w:rsidRPr="00265ACA">
        <w:rPr>
          <w:vertAlign w:val="superscript"/>
        </w:rPr>
        <w:t>th</w:t>
      </w:r>
      <w:r w:rsidRPr="00265ACA">
        <w:t xml:space="preserve"> January 2020  </w:t>
      </w:r>
      <w:hyperlink r:id="rId12" w:history="1">
        <w:r w:rsidRPr="00265ACA">
          <w:rPr>
            <w:rStyle w:val="Hyperlink"/>
            <w:rFonts w:asciiTheme="minorHAnsi" w:hAnsiTheme="minorHAnsi"/>
          </w:rPr>
          <w:t>Link to TGA.gov.au</w:t>
        </w:r>
      </w:hyperlink>
    </w:p>
    <w:p w14:paraId="1818E4DB" w14:textId="77777777" w:rsidR="00BC1364" w:rsidRPr="00F715D1" w:rsidRDefault="00BC1364" w:rsidP="00F715D1">
      <w:pPr>
        <w:pStyle w:val="Heading1"/>
      </w:pPr>
      <w:r w:rsidRPr="00F715D1">
        <w:t>Proposal for public funding</w:t>
      </w:r>
    </w:p>
    <w:p w14:paraId="27A6F83D" w14:textId="6ACDB4BC" w:rsidR="00D4501D" w:rsidRDefault="00D4501D" w:rsidP="00D4501D">
      <w:r w:rsidRPr="000537B0">
        <w:t>Prostatic urethral lift is currently funded for the treatment of men with benign prostate hyperplasia (BPH) on the MBS under Item 36811 CYSTOSCOPY with insertion of urethral prosthesis</w:t>
      </w:r>
      <w:r>
        <w:t xml:space="preserve"> </w:t>
      </w:r>
      <w:r w:rsidRPr="008823F4">
        <w:t>(with the fee of $328.55)</w:t>
      </w:r>
      <w:r w:rsidR="005512ED">
        <w:t>,</w:t>
      </w:r>
      <w:r w:rsidR="005512ED" w:rsidRPr="005512ED">
        <w:t xml:space="preserve"> </w:t>
      </w:r>
      <w:r w:rsidR="005512ED">
        <w:t>which was first listed on the MBS on 1 May 1997</w:t>
      </w:r>
      <w:r w:rsidRPr="008823F4">
        <w:t>.</w:t>
      </w:r>
      <w:r>
        <w:t xml:space="preserve"> </w:t>
      </w:r>
    </w:p>
    <w:p w14:paraId="24FD2F07" w14:textId="7EFB6047" w:rsidR="00D4501D" w:rsidRPr="00DB53F6" w:rsidRDefault="00D4501D" w:rsidP="00C11BBE">
      <w:pPr>
        <w:spacing w:before="240" w:after="240"/>
      </w:pPr>
      <w:r>
        <w:t>The MBS item descriptor with increased fee proposed by the applicant is summarised in</w:t>
      </w:r>
      <w:r w:rsidR="00DB53F6">
        <w:t xml:space="preserve"> </w:t>
      </w:r>
      <w:r w:rsidR="0017406A" w:rsidRPr="00DB53F6">
        <w:t>Table 2</w:t>
      </w:r>
      <w:r w:rsidRPr="00DB53F6">
        <w:t>.</w:t>
      </w:r>
    </w:p>
    <w:p w14:paraId="2001E454" w14:textId="505296FD" w:rsidR="00D4501D" w:rsidRPr="00016353" w:rsidRDefault="00D4501D" w:rsidP="00016353">
      <w:pPr>
        <w:rPr>
          <w:rFonts w:ascii="Arial Narrow" w:hAnsi="Arial Narrow"/>
          <w:b/>
          <w:sz w:val="20"/>
        </w:rPr>
      </w:pPr>
      <w:bookmarkStart w:id="6" w:name="_Ref40794762"/>
      <w:bookmarkStart w:id="7" w:name="_Toc40172853"/>
      <w:r w:rsidRPr="00016353">
        <w:rPr>
          <w:rFonts w:ascii="Arial Narrow" w:hAnsi="Arial Narrow"/>
          <w:b/>
          <w:sz w:val="20"/>
        </w:rPr>
        <w:t xml:space="preserve">Table </w:t>
      </w:r>
      <w:r w:rsidR="00C11BBE" w:rsidRPr="00016353">
        <w:rPr>
          <w:rFonts w:ascii="Arial Narrow" w:hAnsi="Arial Narrow"/>
          <w:b/>
          <w:sz w:val="20"/>
        </w:rPr>
        <w:fldChar w:fldCharType="begin"/>
      </w:r>
      <w:r w:rsidR="00C11BBE" w:rsidRPr="00016353">
        <w:rPr>
          <w:rFonts w:ascii="Arial Narrow" w:hAnsi="Arial Narrow"/>
          <w:b/>
          <w:sz w:val="20"/>
        </w:rPr>
        <w:instrText xml:space="preserve"> SEQ Table \* ARABIC </w:instrText>
      </w:r>
      <w:r w:rsidR="00C11BBE" w:rsidRPr="00016353">
        <w:rPr>
          <w:rFonts w:ascii="Arial Narrow" w:hAnsi="Arial Narrow"/>
          <w:b/>
          <w:sz w:val="20"/>
        </w:rPr>
        <w:fldChar w:fldCharType="separate"/>
      </w:r>
      <w:r w:rsidR="003636DE" w:rsidRPr="00016353">
        <w:rPr>
          <w:rFonts w:ascii="Arial Narrow" w:hAnsi="Arial Narrow"/>
          <w:b/>
          <w:sz w:val="20"/>
        </w:rPr>
        <w:t>2</w:t>
      </w:r>
      <w:r w:rsidR="00C11BBE" w:rsidRPr="00016353">
        <w:rPr>
          <w:rFonts w:ascii="Arial Narrow" w:hAnsi="Arial Narrow"/>
          <w:b/>
          <w:sz w:val="20"/>
        </w:rPr>
        <w:fldChar w:fldCharType="end"/>
      </w:r>
      <w:bookmarkEnd w:id="6"/>
      <w:r w:rsidRPr="00016353">
        <w:rPr>
          <w:rFonts w:ascii="Arial Narrow" w:hAnsi="Arial Narrow"/>
          <w:b/>
          <w:sz w:val="20"/>
        </w:rPr>
        <w:t xml:space="preserve"> Proposed MBS Item 36811 Descriptor</w:t>
      </w:r>
      <w:bookmarkEnd w:id="7"/>
    </w:p>
    <w:tbl>
      <w:tblPr>
        <w:tblStyle w:val="TableGrid1"/>
        <w:tblW w:w="0" w:type="auto"/>
        <w:tblLook w:val="04A0" w:firstRow="1" w:lastRow="0" w:firstColumn="1" w:lastColumn="0" w:noHBand="0" w:noVBand="1"/>
        <w:tblCaption w:val="Table 1 Proposed MBS item descriptor"/>
        <w:tblDescription w:val="This table provides a description of the wording of the item to be included in the Medicare Benefits Schedule for this technology."/>
      </w:tblPr>
      <w:tblGrid>
        <w:gridCol w:w="9111"/>
      </w:tblGrid>
      <w:tr w:rsidR="00D4501D" w:rsidRPr="000537B0" w14:paraId="5B52798B" w14:textId="77777777" w:rsidTr="00D863C8">
        <w:trPr>
          <w:cnfStyle w:val="100000000000" w:firstRow="1" w:lastRow="0" w:firstColumn="0" w:lastColumn="0" w:oddVBand="0" w:evenVBand="0" w:oddHBand="0" w:evenHBand="0" w:firstRowFirstColumn="0" w:firstRowLastColumn="0" w:lastRowFirstColumn="0" w:lastRowLastColumn="0"/>
          <w:tblHeader/>
        </w:trPr>
        <w:tc>
          <w:tcPr>
            <w:tcW w:w="9111" w:type="dxa"/>
          </w:tcPr>
          <w:p w14:paraId="03A13A9E" w14:textId="77777777" w:rsidR="00D4501D" w:rsidRPr="000537B0" w:rsidRDefault="00D4501D" w:rsidP="00D4501D">
            <w:pPr>
              <w:pStyle w:val="Tabletext"/>
            </w:pPr>
            <w:r w:rsidRPr="000537B0">
              <w:t>Category 3 – Therapeutic Procedures</w:t>
            </w:r>
          </w:p>
        </w:tc>
      </w:tr>
      <w:tr w:rsidR="00D4501D" w:rsidRPr="000537B0" w14:paraId="53FAEF04" w14:textId="77777777" w:rsidTr="00D863C8">
        <w:tc>
          <w:tcPr>
            <w:tcW w:w="9111" w:type="dxa"/>
          </w:tcPr>
          <w:p w14:paraId="060DA18A" w14:textId="77777777" w:rsidR="00D4501D" w:rsidRPr="000537B0" w:rsidRDefault="00D4501D" w:rsidP="00D4501D">
            <w:pPr>
              <w:pStyle w:val="Tabletext"/>
            </w:pPr>
            <w:r w:rsidRPr="000537B0">
              <w:t>CYSTOSCOPY with insertion of urethral prostheses</w:t>
            </w:r>
          </w:p>
        </w:tc>
      </w:tr>
      <w:tr w:rsidR="00D4501D" w:rsidRPr="000537B0" w14:paraId="74C71769" w14:textId="77777777" w:rsidTr="00D863C8">
        <w:tc>
          <w:tcPr>
            <w:tcW w:w="9111" w:type="dxa"/>
          </w:tcPr>
          <w:p w14:paraId="5CB05C05" w14:textId="77777777" w:rsidR="00D4501D" w:rsidRPr="000537B0" w:rsidRDefault="00D4501D" w:rsidP="00D4501D">
            <w:pPr>
              <w:pStyle w:val="Tabletext"/>
            </w:pPr>
            <w:r w:rsidRPr="000537B0">
              <w:t>Multiple Operation Rule</w:t>
            </w:r>
          </w:p>
        </w:tc>
      </w:tr>
      <w:tr w:rsidR="00D4501D" w:rsidRPr="000537B0" w14:paraId="0CCD0DF2" w14:textId="77777777" w:rsidTr="00D863C8">
        <w:tc>
          <w:tcPr>
            <w:tcW w:w="9111" w:type="dxa"/>
          </w:tcPr>
          <w:p w14:paraId="14DA110E" w14:textId="77777777" w:rsidR="00D4501D" w:rsidRPr="000537B0" w:rsidRDefault="00D4501D" w:rsidP="00D4501D">
            <w:pPr>
              <w:pStyle w:val="Tabletext"/>
            </w:pPr>
            <w:r w:rsidRPr="000537B0">
              <w:t>(</w:t>
            </w:r>
            <w:proofErr w:type="spellStart"/>
            <w:r w:rsidRPr="000537B0">
              <w:t>Anaes</w:t>
            </w:r>
            <w:proofErr w:type="spellEnd"/>
            <w:r w:rsidRPr="000537B0">
              <w:t>.)</w:t>
            </w:r>
          </w:p>
        </w:tc>
      </w:tr>
      <w:tr w:rsidR="00D4501D" w:rsidRPr="000537B0" w14:paraId="64445132" w14:textId="77777777" w:rsidTr="00D863C8">
        <w:tc>
          <w:tcPr>
            <w:tcW w:w="9111" w:type="dxa"/>
          </w:tcPr>
          <w:p w14:paraId="319CB7CF" w14:textId="39CFBBB6" w:rsidR="00D4501D" w:rsidRPr="000537B0" w:rsidRDefault="00D4501D" w:rsidP="00D4501D">
            <w:pPr>
              <w:pStyle w:val="Tabletext"/>
            </w:pPr>
            <w:r w:rsidRPr="000537B0">
              <w:t>Fee: $1,058.80 Benefit: 75% = $794.10</w:t>
            </w:r>
          </w:p>
        </w:tc>
      </w:tr>
    </w:tbl>
    <w:p w14:paraId="10F9D1A1" w14:textId="5BFF1CB9" w:rsidR="00D4501D" w:rsidRPr="00250C4A" w:rsidRDefault="00D4501D" w:rsidP="00C11BBE">
      <w:pPr>
        <w:pStyle w:val="Tablenotes"/>
      </w:pPr>
      <w:r>
        <w:t xml:space="preserve">Source: Table 1, p13 of the </w:t>
      </w:r>
      <w:r w:rsidR="00A91537">
        <w:t>Applicant Developed Assessment Report (</w:t>
      </w:r>
      <w:r>
        <w:t>ADAR</w:t>
      </w:r>
      <w:r w:rsidR="00A91537">
        <w:t>)</w:t>
      </w:r>
      <w:r>
        <w:t>.</w:t>
      </w:r>
    </w:p>
    <w:p w14:paraId="406BD14E" w14:textId="37CE9748" w:rsidR="00D4501D" w:rsidRPr="00406925" w:rsidRDefault="00D4501D" w:rsidP="0017406A">
      <w:pPr>
        <w:spacing w:before="240"/>
      </w:pPr>
      <w:r w:rsidRPr="00406925">
        <w:t xml:space="preserve">The commentary noted that this item is currently used for both males and </w:t>
      </w:r>
      <w:proofErr w:type="gramStart"/>
      <w:r w:rsidRPr="00406925">
        <w:t>females, and</w:t>
      </w:r>
      <w:proofErr w:type="gramEnd"/>
      <w:r w:rsidRPr="00406925">
        <w:t xml:space="preserve"> was in existence prior to the introduction of the </w:t>
      </w:r>
      <w:proofErr w:type="spellStart"/>
      <w:r w:rsidRPr="00406925">
        <w:t>UroLift</w:t>
      </w:r>
      <w:proofErr w:type="spellEnd"/>
      <w:r w:rsidRPr="00406925">
        <w:t xml:space="preserve"> system. If MSAC decide</w:t>
      </w:r>
      <w:r>
        <w:t>s to support a fee</w:t>
      </w:r>
      <w:r w:rsidRPr="00406925">
        <w:t xml:space="preserve"> increas</w:t>
      </w:r>
      <w:r>
        <w:t xml:space="preserve">e </w:t>
      </w:r>
      <w:r w:rsidRPr="00406925">
        <w:t xml:space="preserve">for PUL, </w:t>
      </w:r>
      <w:r>
        <w:t>there may be a need to create</w:t>
      </w:r>
      <w:r w:rsidRPr="00406925">
        <w:t xml:space="preserve"> a separate item specific for patients with BPH. </w:t>
      </w:r>
    </w:p>
    <w:p w14:paraId="03496100" w14:textId="40400DBF" w:rsidR="00BC1364" w:rsidRPr="00F715D1" w:rsidRDefault="00BC1364" w:rsidP="00F715D1">
      <w:pPr>
        <w:pStyle w:val="Heading1"/>
      </w:pPr>
      <w:r w:rsidRPr="00F715D1">
        <w:t xml:space="preserve">Summary of </w:t>
      </w:r>
      <w:r w:rsidR="00C06B0B">
        <w:t>public c</w:t>
      </w:r>
      <w:r w:rsidR="003D7F29" w:rsidRPr="00F715D1">
        <w:t>onsultation</w:t>
      </w:r>
      <w:r w:rsidR="00C06B0B">
        <w:t xml:space="preserve"> f</w:t>
      </w:r>
      <w:r w:rsidRPr="00F715D1">
        <w:t>eedback</w:t>
      </w:r>
      <w:r w:rsidR="00C06B0B">
        <w:t>/c</w:t>
      </w:r>
      <w:r w:rsidR="003D7F29" w:rsidRPr="00F715D1">
        <w:t>onsumer Issues</w:t>
      </w:r>
    </w:p>
    <w:p w14:paraId="56BBF14E" w14:textId="3E288BB9" w:rsidR="00B34F48" w:rsidRDefault="003B2E32" w:rsidP="00B80ADB">
      <w:r>
        <w:t>P</w:t>
      </w:r>
      <w:r w:rsidR="00D4501D">
        <w:t>ublic consultation</w:t>
      </w:r>
      <w:r>
        <w:t xml:space="preserve"> responses</w:t>
      </w:r>
      <w:r w:rsidR="00D4501D">
        <w:t xml:space="preserve"> </w:t>
      </w:r>
      <w:proofErr w:type="gramStart"/>
      <w:r w:rsidR="00D4501D">
        <w:t>was</w:t>
      </w:r>
      <w:proofErr w:type="gramEnd"/>
      <w:r w:rsidR="00D4501D">
        <w:t xml:space="preserve"> received from </w:t>
      </w:r>
      <w:r>
        <w:t xml:space="preserve">two organisations, </w:t>
      </w:r>
      <w:r w:rsidR="00D4501D">
        <w:t>the Urological Society of Australia and New Zealand</w:t>
      </w:r>
      <w:r>
        <w:t xml:space="preserve"> (</w:t>
      </w:r>
      <w:r w:rsidR="0016295D">
        <w:t xml:space="preserve">USANZ; </w:t>
      </w:r>
      <w:r>
        <w:t>healthcare specialists) and Private Healthcare Australia (</w:t>
      </w:r>
      <w:r w:rsidR="0016295D">
        <w:t xml:space="preserve">PHA; </w:t>
      </w:r>
      <w:r>
        <w:t>representative body for Pri</w:t>
      </w:r>
      <w:r w:rsidR="0016295D">
        <w:t>vate Health Insurance Industry)</w:t>
      </w:r>
      <w:r w:rsidR="00B34F48">
        <w:t>.</w:t>
      </w:r>
      <w:r w:rsidR="0016295D">
        <w:t xml:space="preserve"> </w:t>
      </w:r>
      <w:r w:rsidR="00B34F48">
        <w:t>A patient testimonial in support of PUL was also provided as part of the pre-MSAC response.</w:t>
      </w:r>
    </w:p>
    <w:p w14:paraId="7D121EF0" w14:textId="086B8B55" w:rsidR="00B34F48" w:rsidRDefault="00D4501D" w:rsidP="00C11BBE">
      <w:pPr>
        <w:spacing w:before="240"/>
      </w:pPr>
      <w:r>
        <w:t xml:space="preserve">The </w:t>
      </w:r>
      <w:r w:rsidRPr="00580B2B">
        <w:t>response</w:t>
      </w:r>
      <w:r w:rsidR="0016295D">
        <w:t xml:space="preserve"> from the USANZ </w:t>
      </w:r>
      <w:r w:rsidRPr="00580B2B">
        <w:t xml:space="preserve">noted the benefits of PUL, including the minimally invasive nature of the procedure and associated improvements in surgical duration, blood loss, hospital length of stay and preservation of sexual function. Overall, the </w:t>
      </w:r>
      <w:r w:rsidR="0016295D">
        <w:t>USANZ</w:t>
      </w:r>
      <w:r w:rsidR="0016295D" w:rsidRPr="00580B2B">
        <w:t xml:space="preserve"> </w:t>
      </w:r>
      <w:r w:rsidRPr="00580B2B">
        <w:t>w</w:t>
      </w:r>
      <w:r w:rsidR="0016295D">
        <w:t>ere</w:t>
      </w:r>
      <w:r w:rsidRPr="00580B2B">
        <w:t xml:space="preserve"> supportive of the application. However, it was noted that</w:t>
      </w:r>
      <w:r>
        <w:t xml:space="preserve">: 1) </w:t>
      </w:r>
      <w:r w:rsidRPr="00580B2B">
        <w:t>longer term outcomes in terms of sustained clinical improvement and safety remains largely unknown</w:t>
      </w:r>
      <w:r>
        <w:t>, and 2)</w:t>
      </w:r>
      <w:r w:rsidRPr="00580B2B">
        <w:t xml:space="preserve"> there is a size limit for the prostate gland, and this procedure does not change the actual prostate size.</w:t>
      </w:r>
    </w:p>
    <w:p w14:paraId="107B9309" w14:textId="5F59CF64" w:rsidR="00293E8C" w:rsidRDefault="0016295D" w:rsidP="00293E8C">
      <w:pPr>
        <w:spacing w:before="240"/>
      </w:pPr>
      <w:r>
        <w:t xml:space="preserve">The response from </w:t>
      </w:r>
      <w:r w:rsidR="00A83064">
        <w:t xml:space="preserve">the </w:t>
      </w:r>
      <w:r>
        <w:t>PHA was not supportive of the app</w:t>
      </w:r>
      <w:r w:rsidR="00B80ADB">
        <w:t>lication</w:t>
      </w:r>
      <w:r w:rsidR="00A83064">
        <w:t>.</w:t>
      </w:r>
      <w:r w:rsidR="002D22F7">
        <w:t xml:space="preserve"> </w:t>
      </w:r>
      <w:r w:rsidR="00A83064">
        <w:t>The PHA noted that</w:t>
      </w:r>
      <w:r w:rsidR="002D22F7">
        <w:t xml:space="preserve"> PUL is</w:t>
      </w:r>
      <w:r w:rsidR="00E37ED2">
        <w:t xml:space="preserve"> a minimally invasive and short procedure</w:t>
      </w:r>
      <w:r w:rsidR="00A83064">
        <w:t xml:space="preserve"> and therefore</w:t>
      </w:r>
      <w:r w:rsidR="00BD23EE">
        <w:t xml:space="preserve"> </w:t>
      </w:r>
      <w:r w:rsidR="002D22F7">
        <w:t xml:space="preserve">the fee for PUL </w:t>
      </w:r>
      <w:r w:rsidR="00E37ED2">
        <w:t xml:space="preserve">should not be equivalent to the fee for TURP, a </w:t>
      </w:r>
      <w:r w:rsidR="00A83064">
        <w:t xml:space="preserve">more </w:t>
      </w:r>
      <w:r w:rsidR="00E37ED2">
        <w:t>complex surgical procedure</w:t>
      </w:r>
      <w:r w:rsidR="002D22F7">
        <w:t xml:space="preserve">. The PHA stated that </w:t>
      </w:r>
      <w:r w:rsidR="002D22F7" w:rsidRPr="00B80ADB">
        <w:t xml:space="preserve">an average of 3.1 fixation devices are currently used per patient on </w:t>
      </w:r>
      <w:r w:rsidR="002D22F7">
        <w:t xml:space="preserve">the </w:t>
      </w:r>
      <w:r w:rsidR="002D22F7" w:rsidRPr="00B80ADB">
        <w:t>P</w:t>
      </w:r>
      <w:r w:rsidR="002D22F7">
        <w:t xml:space="preserve">rostheses </w:t>
      </w:r>
      <w:r w:rsidR="002D22F7" w:rsidRPr="00B80ADB">
        <w:t>L</w:t>
      </w:r>
      <w:r w:rsidR="002D22F7">
        <w:t xml:space="preserve">ist </w:t>
      </w:r>
      <w:r w:rsidR="002D22F7" w:rsidRPr="008D65B5">
        <w:t xml:space="preserve">and </w:t>
      </w:r>
      <w:r w:rsidR="00E37ED2" w:rsidRPr="008D65B5">
        <w:t>claimed</w:t>
      </w:r>
      <w:r w:rsidR="00B80ADB" w:rsidRPr="008D65B5">
        <w:t xml:space="preserve"> that increasing the MBS fee for PUL would make PUL the most expensive </w:t>
      </w:r>
      <w:r w:rsidR="00B80ADB" w:rsidRPr="008D65B5">
        <w:lastRenderedPageBreak/>
        <w:t>urological implant on the Prostheses List (and one of the 30 most expensive billing codes on the entire list).</w:t>
      </w:r>
      <w:r w:rsidR="00293E8C">
        <w:br w:type="page"/>
      </w:r>
    </w:p>
    <w:p w14:paraId="71A7E892" w14:textId="77777777" w:rsidR="00BC1364" w:rsidRPr="00F715D1" w:rsidRDefault="00BC1364" w:rsidP="00F715D1">
      <w:pPr>
        <w:pStyle w:val="Heading1"/>
      </w:pPr>
      <w:r w:rsidRPr="00F715D1">
        <w:lastRenderedPageBreak/>
        <w:t>Proposed intervention’s place in clinical management</w:t>
      </w:r>
    </w:p>
    <w:p w14:paraId="51921276" w14:textId="77777777" w:rsidR="00CF4E81" w:rsidRDefault="00CF4E81" w:rsidP="00D4501D">
      <w:pPr>
        <w:pStyle w:val="Heading2"/>
      </w:pPr>
      <w:r w:rsidRPr="00CF4E81">
        <w:t>Description of Proposed Intervention</w:t>
      </w:r>
    </w:p>
    <w:p w14:paraId="51B0D5A9" w14:textId="6425E99B" w:rsidR="00D4501D" w:rsidRPr="000537B0" w:rsidRDefault="00D4501D" w:rsidP="00C11BBE">
      <w:r w:rsidRPr="000537B0">
        <w:t xml:space="preserve">The PUL procedure is conducted by installing small permanent implants </w:t>
      </w:r>
      <w:proofErr w:type="spellStart"/>
      <w:r w:rsidRPr="000537B0">
        <w:t>transurethrally</w:t>
      </w:r>
      <w:proofErr w:type="spellEnd"/>
      <w:r w:rsidRPr="000537B0">
        <w:t xml:space="preserve"> under endoscopic guidance to lift apart the obstructing lateral lobes and reduce urethral obstruction. The procedural objective is to create a channel through the anterior aspect of the prostatic fossa. The implant is comprised of a monofilament with a nitinol capsular tab on one end and a </w:t>
      </w:r>
      <w:proofErr w:type="gramStart"/>
      <w:r w:rsidRPr="000537B0">
        <w:t>stainless steel</w:t>
      </w:r>
      <w:proofErr w:type="gramEnd"/>
      <w:r w:rsidRPr="000537B0">
        <w:t xml:space="preserve"> urethral end-piece on the other. </w:t>
      </w:r>
    </w:p>
    <w:p w14:paraId="42523C16" w14:textId="3ABD090D" w:rsidR="00D4501D" w:rsidRPr="00C11BBE" w:rsidRDefault="00D4501D" w:rsidP="00C11BBE">
      <w:pPr>
        <w:spacing w:before="240"/>
      </w:pPr>
      <w:r w:rsidRPr="000537B0">
        <w:t>After rigid cystoscopy, the implant delivery device (</w:t>
      </w:r>
      <w:proofErr w:type="spellStart"/>
      <w:r w:rsidRPr="000537B0">
        <w:t>UroLift</w:t>
      </w:r>
      <w:proofErr w:type="spellEnd"/>
      <w:r w:rsidRPr="000537B0">
        <w:t xml:space="preserve"> System), which houses a 2.9 mm telescope, is inserted into a 20F </w:t>
      </w:r>
      <w:proofErr w:type="gramStart"/>
      <w:r w:rsidRPr="000537B0">
        <w:t>sheath</w:t>
      </w:r>
      <w:proofErr w:type="gramEnd"/>
      <w:r w:rsidRPr="000537B0">
        <w:t xml:space="preserve"> and angled laterally (20-30 degrees) usually at the 10 and 2 o’clock position to compress the anterior third of the obstructive lobe. The delivery device laterally deploys a </w:t>
      </w:r>
      <w:proofErr w:type="gramStart"/>
      <w:r w:rsidRPr="000537B0">
        <w:t>19 gauge</w:t>
      </w:r>
      <w:proofErr w:type="gramEnd"/>
      <w:r w:rsidRPr="000537B0">
        <w:t xml:space="preserve"> needle through the lobe. As the needle is withdrawn, the capsular tab of the implant engages the prostatic capsule. The monofilament is then tensioned, cut to the specific width of the compressed lobe, and secured in place by the urethral end-piece. Thus, each implant is customized in length and location in situ based on an individual’s prostate anatomy. Because the fibromuscular capsule is less compliant than the periurethral tissue, the capsular tab holds firmly in place while the urethral end-piece holds the lobe apart to expand the urethral lumen. The narrow urethral end-piece invaginates into the urethral wall where epithelialization occurs.</w:t>
      </w:r>
    </w:p>
    <w:p w14:paraId="67D7E2FE" w14:textId="77777777" w:rsidR="00CF4E81" w:rsidRPr="00CF4E81" w:rsidRDefault="00CF4E81" w:rsidP="00C11BBE">
      <w:pPr>
        <w:pStyle w:val="Heading2"/>
        <w:spacing w:before="240"/>
      </w:pPr>
      <w:r w:rsidRPr="00CF4E81">
        <w:t>Description of Medi</w:t>
      </w:r>
      <w:r w:rsidR="00D4501D">
        <w:t>cal Condition</w:t>
      </w:r>
    </w:p>
    <w:p w14:paraId="1860C7C3" w14:textId="1D3DD1C2" w:rsidR="00D4501D" w:rsidRDefault="00D4501D" w:rsidP="00C11BBE">
      <w:pPr>
        <w:spacing w:after="240"/>
      </w:pPr>
      <w:r w:rsidRPr="00323C66">
        <w:t xml:space="preserve">BPH, also called prostate enlargement, </w:t>
      </w:r>
      <w:r w:rsidR="00802D61" w:rsidRPr="00333C86">
        <w:t>is a non-cancerous enlargement of the prostate gland, in which smooth muscle and epithelial cells proliferate, which occ</w:t>
      </w:r>
      <w:r w:rsidR="00802D61">
        <w:t>urs as a natural part of ageing</w:t>
      </w:r>
      <w:r w:rsidRPr="00323C66">
        <w:t>. Symptoms may include frequent urination, trouble starting to urinate, weak stream, inability to urinate, or loss of bladder control.</w:t>
      </w:r>
      <w:r>
        <w:t xml:space="preserve"> It is estimated </w:t>
      </w:r>
      <w:r w:rsidRPr="00323C66">
        <w:t xml:space="preserve">2.4 million Australian men over the aged of 50 suffer from </w:t>
      </w:r>
      <w:r>
        <w:t xml:space="preserve">an </w:t>
      </w:r>
      <w:r w:rsidRPr="00323C66">
        <w:t xml:space="preserve">enlarged prostate or </w:t>
      </w:r>
      <w:r>
        <w:t>B</w:t>
      </w:r>
      <w:r w:rsidRPr="00323C66">
        <w:t>PH. More than 50% of men over the age of 60 are diagnosed with BPH and by 85 the number climbs to 90%.</w:t>
      </w:r>
    </w:p>
    <w:p w14:paraId="53DC549D" w14:textId="77777777" w:rsidR="00D4501D" w:rsidRDefault="00D4501D" w:rsidP="00C11BBE">
      <w:pPr>
        <w:spacing w:before="240"/>
        <w:contextualSpacing/>
        <w:jc w:val="both"/>
      </w:pPr>
      <w:r>
        <w:t>Patients proposed to be eligible for the proposed medical service would have the following:</w:t>
      </w:r>
    </w:p>
    <w:p w14:paraId="46A6DD88" w14:textId="77777777" w:rsidR="00D4501D" w:rsidRDefault="00D4501D" w:rsidP="00D4501D">
      <w:pPr>
        <w:ind w:firstLine="426"/>
        <w:contextualSpacing/>
        <w:jc w:val="both"/>
      </w:pPr>
      <w:r>
        <w:t>•</w:t>
      </w:r>
      <w:r>
        <w:tab/>
        <w:t>Age &gt; 50 years</w:t>
      </w:r>
    </w:p>
    <w:p w14:paraId="0A8D83B9" w14:textId="77777777" w:rsidR="00D4501D" w:rsidRDefault="00D4501D" w:rsidP="00D4501D">
      <w:pPr>
        <w:ind w:firstLine="426"/>
        <w:contextualSpacing/>
        <w:jc w:val="both"/>
      </w:pPr>
      <w:r>
        <w:t>•</w:t>
      </w:r>
      <w:r>
        <w:tab/>
        <w:t>Prostate volume &lt;100mL</w:t>
      </w:r>
    </w:p>
    <w:p w14:paraId="3C457013" w14:textId="31E1F6C9" w:rsidR="00D4501D" w:rsidRPr="00C11BBE" w:rsidRDefault="00D4501D" w:rsidP="00C11BBE">
      <w:pPr>
        <w:ind w:firstLine="426"/>
        <w:contextualSpacing/>
        <w:jc w:val="both"/>
      </w:pPr>
      <w:r>
        <w:t>•</w:t>
      </w:r>
      <w:r>
        <w:tab/>
        <w:t>International Prostate Symptom Score (IPSS) &gt; 12.</w:t>
      </w:r>
    </w:p>
    <w:p w14:paraId="760CA603" w14:textId="5F35FA26" w:rsidR="0017406A" w:rsidRDefault="00D4501D" w:rsidP="0017406A">
      <w:pPr>
        <w:spacing w:before="240" w:after="240"/>
      </w:pPr>
      <w:r w:rsidRPr="00A95C91">
        <w:t xml:space="preserve">The clinical management algorithm and the proposed place of PUL is </w:t>
      </w:r>
      <w:r w:rsidRPr="00DB53F6">
        <w:t xml:space="preserve">presented </w:t>
      </w:r>
      <w:bookmarkStart w:id="8" w:name="_Ref40796612"/>
      <w:bookmarkStart w:id="9" w:name="_Toc40172858"/>
      <w:r w:rsidR="0017406A" w:rsidRPr="00DB53F6">
        <w:t>in Figure 1</w:t>
      </w:r>
      <w:r w:rsidR="0017406A">
        <w:t>.</w:t>
      </w:r>
      <w:r w:rsidR="0017406A">
        <w:br w:type="page"/>
      </w:r>
    </w:p>
    <w:p w14:paraId="3EF1934A" w14:textId="6BDAF476" w:rsidR="00250EF2" w:rsidRPr="00250EF2" w:rsidRDefault="00250EF2" w:rsidP="00250EF2">
      <w:r>
        <w:rPr>
          <w:noProof/>
        </w:rPr>
        <w:lastRenderedPageBreak/>
        <w:drawing>
          <wp:inline distT="0" distB="0" distL="0" distR="0" wp14:anchorId="7A972862" wp14:editId="3BA3C6DC">
            <wp:extent cx="5372100" cy="5848350"/>
            <wp:effectExtent l="0" t="0" r="0" b="0"/>
            <wp:docPr id="1" name="Picture 1" descr="Clinical management algorithm for PUL relative to TURP or VL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372100" cy="5848350"/>
                    </a:xfrm>
                    <a:prstGeom prst="rect">
                      <a:avLst/>
                    </a:prstGeom>
                  </pic:spPr>
                </pic:pic>
              </a:graphicData>
            </a:graphic>
          </wp:inline>
        </w:drawing>
      </w:r>
    </w:p>
    <w:p w14:paraId="0DABDA20" w14:textId="43F30816" w:rsidR="00D4501D" w:rsidRPr="00016353" w:rsidRDefault="00D4501D" w:rsidP="0017406A">
      <w:pPr>
        <w:spacing w:before="240"/>
        <w:rPr>
          <w:rFonts w:ascii="Arial Narrow" w:hAnsi="Arial Narrow"/>
          <w:b/>
          <w:sz w:val="20"/>
        </w:rPr>
      </w:pPr>
      <w:r w:rsidRPr="00016353">
        <w:rPr>
          <w:rFonts w:ascii="Arial Narrow" w:hAnsi="Arial Narrow"/>
          <w:b/>
          <w:sz w:val="20"/>
        </w:rPr>
        <w:t xml:space="preserve">Figure </w:t>
      </w:r>
      <w:r w:rsidR="00C11BBE" w:rsidRPr="00016353">
        <w:rPr>
          <w:rFonts w:ascii="Arial Narrow" w:hAnsi="Arial Narrow"/>
          <w:b/>
          <w:sz w:val="20"/>
        </w:rPr>
        <w:fldChar w:fldCharType="begin"/>
      </w:r>
      <w:r w:rsidR="00C11BBE" w:rsidRPr="00016353">
        <w:rPr>
          <w:rFonts w:ascii="Arial Narrow" w:hAnsi="Arial Narrow"/>
          <w:b/>
          <w:sz w:val="20"/>
        </w:rPr>
        <w:instrText xml:space="preserve"> SEQ Figure \* ARABIC </w:instrText>
      </w:r>
      <w:r w:rsidR="00C11BBE" w:rsidRPr="00016353">
        <w:rPr>
          <w:rFonts w:ascii="Arial Narrow" w:hAnsi="Arial Narrow"/>
          <w:b/>
          <w:sz w:val="20"/>
        </w:rPr>
        <w:fldChar w:fldCharType="separate"/>
      </w:r>
      <w:r w:rsidRPr="00016353">
        <w:rPr>
          <w:rFonts w:ascii="Arial Narrow" w:hAnsi="Arial Narrow"/>
          <w:b/>
          <w:sz w:val="20"/>
        </w:rPr>
        <w:t>1</w:t>
      </w:r>
      <w:r w:rsidR="00C11BBE" w:rsidRPr="00016353">
        <w:rPr>
          <w:rFonts w:ascii="Arial Narrow" w:hAnsi="Arial Narrow"/>
          <w:b/>
          <w:sz w:val="20"/>
        </w:rPr>
        <w:fldChar w:fldCharType="end"/>
      </w:r>
      <w:bookmarkEnd w:id="8"/>
      <w:r w:rsidRPr="00016353">
        <w:rPr>
          <w:rFonts w:ascii="Arial Narrow" w:hAnsi="Arial Narrow"/>
          <w:b/>
          <w:sz w:val="20"/>
        </w:rPr>
        <w:t xml:space="preserve"> Clinical management algorithm for PUL relative to TURP or VLAP</w:t>
      </w:r>
      <w:bookmarkEnd w:id="9"/>
    </w:p>
    <w:p w14:paraId="14DBBB4B" w14:textId="77777777" w:rsidR="00D4501D" w:rsidRDefault="00D4501D" w:rsidP="00C11BBE">
      <w:pPr>
        <w:pStyle w:val="Tablenotes"/>
      </w:pPr>
      <w:r>
        <w:t xml:space="preserve">Abbreviations: </w:t>
      </w:r>
      <w:proofErr w:type="spellStart"/>
      <w:r w:rsidRPr="00A95C91">
        <w:t>HoLEP</w:t>
      </w:r>
      <w:proofErr w:type="spellEnd"/>
      <w:r w:rsidRPr="00A95C91">
        <w:t xml:space="preserve"> = Holmium laser enucleation of the prostate; LUTS = lower urinary tract symptoms; OP = open prostatectomy; PUL = prostatic urethral lift; TUMT = transurethral microwave thermotherapy; TURP = transurethral resection of the prostate; TUWA = transurethral water ablation; VLAP = visual laser ablation of the prostate</w:t>
      </w:r>
      <w:r>
        <w:t>.</w:t>
      </w:r>
    </w:p>
    <w:p w14:paraId="21E10D6C" w14:textId="232141A3" w:rsidR="00D4501D" w:rsidRDefault="00D4501D" w:rsidP="00C11BBE">
      <w:pPr>
        <w:pStyle w:val="Tablenotes"/>
      </w:pPr>
      <w:r>
        <w:t>Source: Figure 1, p28 of the ADAR.</w:t>
      </w:r>
    </w:p>
    <w:p w14:paraId="31A3C51C" w14:textId="1CA2D8E3" w:rsidR="00D4501D" w:rsidRPr="00C11BBE" w:rsidRDefault="00D4501D" w:rsidP="00C11BBE">
      <w:pPr>
        <w:spacing w:before="240"/>
        <w:rPr>
          <w:i/>
          <w:color w:val="FF0000"/>
        </w:rPr>
      </w:pPr>
      <w:r>
        <w:t xml:space="preserve">The commentary noted that </w:t>
      </w:r>
      <w:r w:rsidRPr="00250C4A">
        <w:t>the</w:t>
      </w:r>
      <w:r>
        <w:t xml:space="preserve"> ADAR had used the</w:t>
      </w:r>
      <w:r w:rsidRPr="00250C4A">
        <w:t xml:space="preserve"> clinical management algorithm from MSAC assessment 1518</w:t>
      </w:r>
      <w:r>
        <w:t xml:space="preserve"> even though this</w:t>
      </w:r>
      <w:r w:rsidRPr="00250C4A">
        <w:t xml:space="preserve"> was inconsistent with the proposed indications for use of PUL. The clinical management algorithm suggests that only patients with severe or high impact symptoms of BPH would be referred to a urologist for PUL, TURP, or </w:t>
      </w:r>
      <w:r w:rsidRPr="00EA713E">
        <w:t>visual laser ablation of the prostate</w:t>
      </w:r>
      <w:r>
        <w:t xml:space="preserve"> (</w:t>
      </w:r>
      <w:r w:rsidRPr="00250C4A">
        <w:t>VLAP</w:t>
      </w:r>
      <w:r>
        <w:t>)</w:t>
      </w:r>
      <w:r w:rsidRPr="00250C4A">
        <w:t xml:space="preserve">, whereas the indications for PUL suggest that patients with moderate to severe symptoms (based on a score of &gt;12 on the IPSS) would be eligible. </w:t>
      </w:r>
    </w:p>
    <w:p w14:paraId="52B488CA" w14:textId="63654248" w:rsidR="00D4501D" w:rsidRPr="00C11BBE" w:rsidRDefault="00D4501D" w:rsidP="00C11BBE">
      <w:pPr>
        <w:spacing w:before="240" w:after="240"/>
      </w:pPr>
      <w:r>
        <w:t>The commentary</w:t>
      </w:r>
      <w:r w:rsidRPr="00A95C91">
        <w:t xml:space="preserve"> presented an alternative clinical algorithm </w:t>
      </w:r>
      <w:r w:rsidRPr="00DB53F6">
        <w:t>(</w:t>
      </w:r>
      <w:r w:rsidR="00EF57C4" w:rsidRPr="00DB53F6">
        <w:t>Figure 2)</w:t>
      </w:r>
      <w:r>
        <w:t xml:space="preserve"> </w:t>
      </w:r>
      <w:r w:rsidRPr="00A95C91">
        <w:t>adapted</w:t>
      </w:r>
      <w:r w:rsidRPr="000537B0">
        <w:t xml:space="preserve"> from the Canadian Urological Association guidelines (adapted to remove techniques not listed on the MBS) </w:t>
      </w:r>
      <w:r>
        <w:fldChar w:fldCharType="begin"/>
      </w:r>
      <w:r>
        <w:instrText xml:space="preserve"> ADDIN EN.CITE &lt;EndNote&gt;&lt;Cite&gt;&lt;Author&gt;Nickel&lt;/Author&gt;&lt;Year&gt;2018&lt;/Year&gt;&lt;RecNum&gt;93&lt;/RecNum&gt;&lt;DisplayText&gt;(Nickel et al. 2018)&lt;/DisplayText&gt;&lt;record&gt;&lt;rec-number&gt;93&lt;/rec-number&gt;&lt;foreign-keys&gt;&lt;key app="EN" db-id="v22se2psdzpe0sezdw8xrsf2rptrz0ezf2a5" </w:instrText>
      </w:r>
      <w:r>
        <w:lastRenderedPageBreak/>
        <w:instrText>timestamp="1585536503"&gt;93&lt;/key&gt;&lt;/foreign-keys&gt;&lt;ref-type name="Journal Article"&gt;17&lt;/ref-type&gt;&lt;contributors&gt;&lt;authors&gt;&lt;author&gt;Nickel, J.C.&lt;/author&gt;&lt;author&gt;Aaron, L..&lt;/author&gt;&lt;author&gt;Barkin, J.&lt;/author&gt;&lt;author&gt;Elterman, D.&lt;/author&gt;&lt;author&gt;Nachabe, M.&lt;/author&gt;&lt;author&gt;Zorn, K.C.&lt;/author&gt;&lt;/authors&gt;&lt;/contributors&gt;&lt;titles&gt;&lt;title&gt;Canadian Urological Association guideline on male lower urinary tract symptoms/ benign prostatic hyperplasia (MLUTS/BPH): 2018 update&lt;/title&gt;&lt;secondary-title&gt;Can Urol Assoc J&lt;/secondary-title&gt;&lt;/titles&gt;&lt;periodical&gt;&lt;full-title&gt;Can Urol Assoc J&lt;/full-title&gt;&lt;/periodical&gt;&lt;pages&gt;303-12&lt;/pages&gt;&lt;volume&gt;12&lt;/volume&gt;&lt;number&gt;10&lt;/number&gt;&lt;dates&gt;&lt;year&gt;2018&lt;/year&gt;&lt;/dates&gt;&lt;urls&gt;&lt;/urls&gt;&lt;/record&gt;&lt;/Cite&gt;&lt;/EndNote&gt;</w:instrText>
      </w:r>
      <w:r>
        <w:fldChar w:fldCharType="separate"/>
      </w:r>
      <w:r>
        <w:rPr>
          <w:noProof/>
        </w:rPr>
        <w:t>(</w:t>
      </w:r>
      <w:hyperlink w:anchor="_ENREF_14" w:tooltip="Nickel, 2018 #93" w:history="1">
        <w:r>
          <w:rPr>
            <w:noProof/>
          </w:rPr>
          <w:t>Nickel et al. 2018</w:t>
        </w:r>
      </w:hyperlink>
      <w:r>
        <w:rPr>
          <w:rStyle w:val="FootnoteReference"/>
          <w:noProof/>
        </w:rPr>
        <w:footnoteReference w:id="1"/>
      </w:r>
      <w:r>
        <w:rPr>
          <w:noProof/>
        </w:rPr>
        <w:t>)</w:t>
      </w:r>
      <w:r>
        <w:fldChar w:fldCharType="end"/>
      </w:r>
      <w:r w:rsidRPr="000537B0">
        <w:t xml:space="preserve">. </w:t>
      </w:r>
      <w:r>
        <w:t xml:space="preserve">This is the same clinical algorithm in the European guidelines, which has been endorsed by the Urological Society of Australia and New Zealand. In this </w:t>
      </w:r>
      <w:r w:rsidRPr="00C84426">
        <w:t xml:space="preserve">algorithm the options recommended differ depending on prostate size and ability to tolerate anaesthesia and stop antiplatelet and anticoagulants. </w:t>
      </w:r>
      <w:r>
        <w:t xml:space="preserve">The treatment listed first in each box is the current standard/first choice in Canada for the respective subgroup.  </w:t>
      </w:r>
      <w:r w:rsidRPr="000537B0">
        <w:t xml:space="preserve">In the subpopulation of men who cannot tolerate anaesthesia, transurethral microwave thermotherapy (TUMT) </w:t>
      </w:r>
      <w:r>
        <w:t xml:space="preserve">or transurethral water vapour ablation (TUWA) may </w:t>
      </w:r>
      <w:r w:rsidRPr="000537B0">
        <w:t>be more appropriate comparator</w:t>
      </w:r>
      <w:r>
        <w:t>s</w:t>
      </w:r>
      <w:r w:rsidRPr="000537B0">
        <w:t xml:space="preserve"> than TURP. </w:t>
      </w:r>
    </w:p>
    <w:p w14:paraId="72F09827" w14:textId="77777777" w:rsidR="00D4501D" w:rsidRDefault="00D4501D" w:rsidP="00D4501D">
      <w:pPr>
        <w:keepNext/>
      </w:pPr>
      <w:r w:rsidRPr="00B07131">
        <w:rPr>
          <w:i/>
          <w:noProof/>
          <w:color w:val="FF0000"/>
        </w:rPr>
        <w:drawing>
          <wp:inline distT="0" distB="0" distL="0" distR="0" wp14:anchorId="7191CD68" wp14:editId="73A343B9">
            <wp:extent cx="5733415" cy="4186555"/>
            <wp:effectExtent l="0" t="0" r="635" b="4445"/>
            <wp:docPr id="60" name="Picture 60" descr="Clinical management algorithm adapted from Canadian Urological Association guideline on male lower urinary tract symptoms/benign prostatic hyperplasia (MLUTS/BPH): 2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33415" cy="4186555"/>
                    </a:xfrm>
                    <a:prstGeom prst="rect">
                      <a:avLst/>
                    </a:prstGeom>
                  </pic:spPr>
                </pic:pic>
              </a:graphicData>
            </a:graphic>
          </wp:inline>
        </w:drawing>
      </w:r>
    </w:p>
    <w:p w14:paraId="130A0A27" w14:textId="77777777" w:rsidR="00D4501D" w:rsidRPr="00250EF2" w:rsidRDefault="00D4501D" w:rsidP="00250EF2">
      <w:pPr>
        <w:spacing w:before="240"/>
        <w:rPr>
          <w:rFonts w:ascii="Arial Narrow" w:hAnsi="Arial Narrow"/>
          <w:b/>
          <w:sz w:val="20"/>
        </w:rPr>
      </w:pPr>
      <w:bookmarkStart w:id="10" w:name="_Ref40849955"/>
      <w:r w:rsidRPr="00250EF2">
        <w:rPr>
          <w:rFonts w:ascii="Arial Narrow" w:hAnsi="Arial Narrow"/>
          <w:b/>
          <w:sz w:val="20"/>
        </w:rPr>
        <w:t xml:space="preserve">Figure </w:t>
      </w:r>
      <w:r w:rsidR="00C11BBE" w:rsidRPr="00250EF2">
        <w:rPr>
          <w:rFonts w:ascii="Arial Narrow" w:hAnsi="Arial Narrow"/>
          <w:b/>
          <w:sz w:val="20"/>
        </w:rPr>
        <w:fldChar w:fldCharType="begin"/>
      </w:r>
      <w:r w:rsidR="00C11BBE" w:rsidRPr="00250EF2">
        <w:rPr>
          <w:rFonts w:ascii="Arial Narrow" w:hAnsi="Arial Narrow"/>
          <w:b/>
          <w:sz w:val="20"/>
        </w:rPr>
        <w:instrText xml:space="preserve"> SEQ Figure \* ARABIC </w:instrText>
      </w:r>
      <w:r w:rsidR="00C11BBE" w:rsidRPr="00250EF2">
        <w:rPr>
          <w:rFonts w:ascii="Arial Narrow" w:hAnsi="Arial Narrow"/>
          <w:b/>
          <w:sz w:val="20"/>
        </w:rPr>
        <w:fldChar w:fldCharType="separate"/>
      </w:r>
      <w:r w:rsidRPr="00250EF2">
        <w:rPr>
          <w:rFonts w:ascii="Arial Narrow" w:hAnsi="Arial Narrow"/>
          <w:b/>
          <w:sz w:val="20"/>
        </w:rPr>
        <w:t>2</w:t>
      </w:r>
      <w:r w:rsidR="00C11BBE" w:rsidRPr="00250EF2">
        <w:rPr>
          <w:rFonts w:ascii="Arial Narrow" w:hAnsi="Arial Narrow"/>
          <w:b/>
          <w:sz w:val="20"/>
        </w:rPr>
        <w:fldChar w:fldCharType="end"/>
      </w:r>
      <w:bookmarkEnd w:id="10"/>
      <w:r w:rsidRPr="00250EF2">
        <w:rPr>
          <w:rFonts w:ascii="Arial Narrow" w:hAnsi="Arial Narrow"/>
          <w:b/>
          <w:sz w:val="20"/>
        </w:rPr>
        <w:t>: Clinical management algorithm adapted from Canadian Urological Association guideline on male lower urinary tract symptoms/benign prostatic hyperplasia (MLUTS/BPH): 2018</w:t>
      </w:r>
    </w:p>
    <w:p w14:paraId="033448EC" w14:textId="77777777" w:rsidR="00D4501D" w:rsidRDefault="00D4501D" w:rsidP="00C11BBE">
      <w:pPr>
        <w:pStyle w:val="Tablenotes"/>
      </w:pPr>
      <w:r>
        <w:t>Abbreviations</w:t>
      </w:r>
      <w:r w:rsidRPr="000537B0">
        <w:t xml:space="preserve">: </w:t>
      </w:r>
      <w:proofErr w:type="spellStart"/>
      <w:r w:rsidRPr="000537B0">
        <w:t>HoLEP</w:t>
      </w:r>
      <w:proofErr w:type="spellEnd"/>
      <w:r w:rsidRPr="000537B0">
        <w:t xml:space="preserve"> = Holmium laser enucleation of the prostate; LUTS = lower urinary tract symptoms; OP = open prostatectomy; PUL = prostatic urethral lift; TUMT = transurethral microwave thermotherapy; TURP = transurethral resection of the prostate; </w:t>
      </w:r>
      <w:r>
        <w:t xml:space="preserve">TUWA = transurethral water ablation; </w:t>
      </w:r>
      <w:r w:rsidRPr="000537B0">
        <w:t>VLAP = visual laser ablation of the prostate</w:t>
      </w:r>
      <w:r>
        <w:t>.</w:t>
      </w:r>
    </w:p>
    <w:p w14:paraId="07DE358B" w14:textId="77777777" w:rsidR="00CF4E81" w:rsidRPr="00D4501D" w:rsidRDefault="00D4501D" w:rsidP="00C11BBE">
      <w:pPr>
        <w:pStyle w:val="Tablenotes"/>
      </w:pPr>
      <w:r>
        <w:t>Source: Figure 2, p45 of the commentary.</w:t>
      </w:r>
    </w:p>
    <w:p w14:paraId="72B8C4A0" w14:textId="77777777" w:rsidR="00BC1364" w:rsidRPr="00F715D1" w:rsidRDefault="00BC1364" w:rsidP="00F715D1">
      <w:pPr>
        <w:pStyle w:val="Heading1"/>
      </w:pPr>
      <w:r w:rsidRPr="00F715D1">
        <w:lastRenderedPageBreak/>
        <w:t xml:space="preserve">Comparator </w:t>
      </w:r>
    </w:p>
    <w:p w14:paraId="355C28A0" w14:textId="77777777" w:rsidR="00D4501D" w:rsidRPr="00D863C8" w:rsidRDefault="00D4501D" w:rsidP="00D863C8">
      <w:pPr>
        <w:rPr>
          <w:u w:val="single"/>
        </w:rPr>
      </w:pPr>
      <w:r w:rsidRPr="00D863C8">
        <w:rPr>
          <w:u w:val="single"/>
        </w:rPr>
        <w:t>TURP</w:t>
      </w:r>
    </w:p>
    <w:p w14:paraId="33667FD2" w14:textId="0B4A3281" w:rsidR="00D4501D" w:rsidRDefault="00D4501D" w:rsidP="00D4501D">
      <w:r w:rsidRPr="008F3C2C">
        <w:t>The</w:t>
      </w:r>
      <w:r>
        <w:t xml:space="preserve"> applicant propose</w:t>
      </w:r>
      <w:r w:rsidR="00802D61">
        <w:t>d</w:t>
      </w:r>
      <w:r>
        <w:t xml:space="preserve"> the</w:t>
      </w:r>
      <w:r w:rsidRPr="008F3C2C">
        <w:t xml:space="preserve"> main comparator to </w:t>
      </w:r>
      <w:r>
        <w:t xml:space="preserve">PUL </w:t>
      </w:r>
      <w:r w:rsidRPr="008F3C2C">
        <w:t>is TURP</w:t>
      </w:r>
      <w:r>
        <w:t xml:space="preserve">. </w:t>
      </w:r>
      <w:r w:rsidRPr="000537B0">
        <w:t>TURP is considered the gold standard procedure by many authors for BPH patients when a reduction of prostate tissue is necessary (Teo, Lee &amp; Ho 2017</w:t>
      </w:r>
      <w:r>
        <w:rPr>
          <w:rStyle w:val="FootnoteReference"/>
        </w:rPr>
        <w:footnoteReference w:id="2"/>
      </w:r>
      <w:r w:rsidRPr="000537B0">
        <w:t xml:space="preserve">). In Australia, the practise of TURP is not restricted to prostates of any </w:t>
      </w:r>
      <w:proofErr w:type="gramStart"/>
      <w:r w:rsidRPr="000537B0">
        <w:t>particular size</w:t>
      </w:r>
      <w:proofErr w:type="gramEnd"/>
      <w:r w:rsidRPr="000537B0">
        <w:t>. There are two forms – monopolar</w:t>
      </w:r>
      <w:r w:rsidR="00C11BBE">
        <w:t xml:space="preserve"> (M-TURP) and bipolar (B-TURP).</w:t>
      </w:r>
    </w:p>
    <w:p w14:paraId="55359470" w14:textId="0ACB7BC7" w:rsidR="00D4501D" w:rsidRPr="000537B0" w:rsidRDefault="00D4501D" w:rsidP="00C11BBE">
      <w:pPr>
        <w:spacing w:before="240"/>
      </w:pPr>
      <w:r w:rsidRPr="000537B0">
        <w:t xml:space="preserve">In the monopolar procedure, a high frequency current from a generator is passed through an active electrode, enabling electro-resection via a resectoscope. Lighting and irrigation enable vision for the surgeon while </w:t>
      </w:r>
      <w:proofErr w:type="spellStart"/>
      <w:r w:rsidRPr="000537B0">
        <w:t>resecting</w:t>
      </w:r>
      <w:proofErr w:type="spellEnd"/>
      <w:r w:rsidRPr="000537B0">
        <w:t xml:space="preserve"> the vascular organ. Pieces of tissue separated from the prostate are flushed into the bladder and then from the body. Bleeding is a common event occurring with incidence of bleeding requiring transfusion of 0.4%-7.1% (Teo, Lee &amp; Ho 2017).</w:t>
      </w:r>
    </w:p>
    <w:p w14:paraId="3CD01482" w14:textId="0B10DA8D" w:rsidR="00D4501D" w:rsidRPr="000537B0" w:rsidRDefault="00D4501D" w:rsidP="00C11BBE">
      <w:pPr>
        <w:spacing w:before="240"/>
      </w:pPr>
      <w:r w:rsidRPr="000537B0">
        <w:t>Bipolar TURP, although less frequently practised in Australia, was introduced as an alternative to help reduce side effect</w:t>
      </w:r>
      <w:r w:rsidR="007A0856">
        <w:t>s</w:t>
      </w:r>
      <w:r w:rsidRPr="000537B0">
        <w:t xml:space="preserve"> of M-TURP. It induces tissue disintegration through molecular dissociation with a high frequency energy. One advantage of the technique is that is can be used with saline irrigation. Placement of active and return electrodes mean high current densities are local and thermal damage to surrounding tissue is reduced. Although trial outcomes have been mixed, it is possible that blood loss is likely to be smaller with B-TURP compared to M-TURP (EAU 2016</w:t>
      </w:r>
      <w:r>
        <w:rPr>
          <w:rStyle w:val="FootnoteReference"/>
        </w:rPr>
        <w:footnoteReference w:id="3"/>
      </w:r>
      <w:r w:rsidRPr="000537B0">
        <w:t>; Teo, Lee &amp; Ho 2017).</w:t>
      </w:r>
    </w:p>
    <w:p w14:paraId="0B98BDF9" w14:textId="57163956" w:rsidR="00D4501D" w:rsidRPr="000537B0" w:rsidRDefault="00D4501D" w:rsidP="00C11BBE">
      <w:pPr>
        <w:spacing w:before="240"/>
      </w:pPr>
      <w:r w:rsidRPr="000537B0">
        <w:t xml:space="preserve">TURP syndrome is a serious complication which can occur with TURP. It is thought to be caused </w:t>
      </w:r>
      <w:proofErr w:type="gramStart"/>
      <w:r w:rsidRPr="000537B0">
        <w:t>by the use of</w:t>
      </w:r>
      <w:proofErr w:type="gramEnd"/>
      <w:r w:rsidRPr="000537B0">
        <w:t xml:space="preserve"> irrigation fluids of lower osmolality than serum during the procedure. Perforation of capsular veins and sinuses may occur as a result. TURP syndrome is characterised by mental confusion, nausea, vomiting, </w:t>
      </w:r>
      <w:proofErr w:type="gramStart"/>
      <w:r w:rsidRPr="000537B0">
        <w:t>hypertension</w:t>
      </w:r>
      <w:proofErr w:type="gramEnd"/>
      <w:r w:rsidRPr="000537B0">
        <w:t xml:space="preserve"> and bradycardia, and can lead to cerebral oedema and sometimes death. Preventative measures should be taken to avoid this side effect.</w:t>
      </w:r>
    </w:p>
    <w:p w14:paraId="4B908F7E" w14:textId="04AD9BD9" w:rsidR="00D4501D" w:rsidRDefault="00D4501D" w:rsidP="00C11BBE">
      <w:pPr>
        <w:spacing w:before="240"/>
      </w:pPr>
      <w:r w:rsidRPr="000537B0">
        <w:t>TURP can provide a sample of prostatic tissue for histology analysis, which occasionally identifies tumour cells.</w:t>
      </w:r>
    </w:p>
    <w:p w14:paraId="6D8E6B87" w14:textId="6EB4B957" w:rsidR="00D4501D" w:rsidRDefault="00D4501D" w:rsidP="00C11BBE">
      <w:pPr>
        <w:spacing w:before="240"/>
      </w:pPr>
      <w:r>
        <w:t>The commentary considered TURP an appropriate main comparator for patients who are fit enough to undergo a general or spinal anaesthesia, and able to discontinue antiplatelet o</w:t>
      </w:r>
      <w:r w:rsidR="00C11BBE">
        <w:t>r anticoagulation medications.</w:t>
      </w:r>
    </w:p>
    <w:p w14:paraId="626883E4" w14:textId="37AB12F3" w:rsidR="00D4501D" w:rsidRPr="00DB53F6" w:rsidRDefault="00D4501D" w:rsidP="00C11BBE">
      <w:pPr>
        <w:spacing w:before="240" w:after="240"/>
        <w:jc w:val="both"/>
      </w:pPr>
      <w:r w:rsidRPr="00183E4D">
        <w:t xml:space="preserve">The MBS item descriptor for </w:t>
      </w:r>
      <w:r>
        <w:t>TURP</w:t>
      </w:r>
      <w:r w:rsidRPr="00183E4D">
        <w:t xml:space="preserve"> is</w:t>
      </w:r>
      <w:r>
        <w:t xml:space="preserve"> shown </w:t>
      </w:r>
      <w:r w:rsidRPr="00DB53F6">
        <w:t xml:space="preserve">in </w:t>
      </w:r>
      <w:r w:rsidR="00EF57C4" w:rsidRPr="00DB53F6">
        <w:t>Table 3</w:t>
      </w:r>
      <w:r w:rsidRPr="00DB53F6">
        <w:t>.</w:t>
      </w:r>
    </w:p>
    <w:p w14:paraId="5E98BC1C" w14:textId="4C64D236" w:rsidR="00D4501D" w:rsidRPr="00D863C8" w:rsidRDefault="00D4501D" w:rsidP="00D863C8">
      <w:pPr>
        <w:rPr>
          <w:rFonts w:ascii="Arial Narrow" w:hAnsi="Arial Narrow"/>
          <w:b/>
          <w:sz w:val="20"/>
        </w:rPr>
      </w:pPr>
      <w:bookmarkStart w:id="11" w:name="_Ref40977722"/>
      <w:bookmarkStart w:id="12" w:name="_Ref350151231"/>
      <w:bookmarkStart w:id="13" w:name="_Toc350258536"/>
      <w:bookmarkStart w:id="14" w:name="_Toc381969860"/>
      <w:r w:rsidRPr="00D863C8">
        <w:rPr>
          <w:rFonts w:ascii="Arial Narrow" w:hAnsi="Arial Narrow"/>
          <w:b/>
          <w:sz w:val="20"/>
        </w:rPr>
        <w:t xml:space="preserve">Table </w:t>
      </w:r>
      <w:r w:rsidR="00C11BBE" w:rsidRPr="00D863C8">
        <w:rPr>
          <w:rFonts w:ascii="Arial Narrow" w:hAnsi="Arial Narrow"/>
          <w:b/>
          <w:sz w:val="20"/>
        </w:rPr>
        <w:fldChar w:fldCharType="begin"/>
      </w:r>
      <w:r w:rsidR="00C11BBE" w:rsidRPr="00D863C8">
        <w:rPr>
          <w:rFonts w:ascii="Arial Narrow" w:hAnsi="Arial Narrow"/>
          <w:b/>
          <w:sz w:val="20"/>
        </w:rPr>
        <w:instrText xml:space="preserve"> SEQ Table \* ARABIC </w:instrText>
      </w:r>
      <w:r w:rsidR="00C11BBE" w:rsidRPr="00D863C8">
        <w:rPr>
          <w:rFonts w:ascii="Arial Narrow" w:hAnsi="Arial Narrow"/>
          <w:b/>
          <w:sz w:val="20"/>
        </w:rPr>
        <w:fldChar w:fldCharType="separate"/>
      </w:r>
      <w:r w:rsidR="003636DE" w:rsidRPr="00D863C8">
        <w:rPr>
          <w:rFonts w:ascii="Arial Narrow" w:hAnsi="Arial Narrow"/>
          <w:b/>
          <w:sz w:val="20"/>
        </w:rPr>
        <w:t>3</w:t>
      </w:r>
      <w:r w:rsidR="00C11BBE" w:rsidRPr="00D863C8">
        <w:rPr>
          <w:rFonts w:ascii="Arial Narrow" w:hAnsi="Arial Narrow"/>
          <w:b/>
          <w:sz w:val="20"/>
        </w:rPr>
        <w:fldChar w:fldCharType="end"/>
      </w:r>
      <w:bookmarkEnd w:id="11"/>
      <w:r w:rsidRPr="00D863C8">
        <w:rPr>
          <w:rFonts w:ascii="Arial Narrow" w:hAnsi="Arial Narrow"/>
          <w:b/>
          <w:sz w:val="20"/>
        </w:rPr>
        <w:t xml:space="preserve"> Relevant MBS item for the </w:t>
      </w:r>
      <w:bookmarkEnd w:id="12"/>
      <w:bookmarkEnd w:id="13"/>
      <w:r w:rsidRPr="00D863C8">
        <w:rPr>
          <w:rFonts w:ascii="Arial Narrow" w:hAnsi="Arial Narrow"/>
          <w:b/>
          <w:sz w:val="20"/>
        </w:rPr>
        <w:t>comparator</w:t>
      </w:r>
      <w:bookmarkEnd w:id="14"/>
      <w:r w:rsidRPr="00D863C8">
        <w:rPr>
          <w:rFonts w:ascii="Arial Narrow" w:hAnsi="Arial Narrow"/>
          <w:b/>
          <w:sz w:val="20"/>
        </w:rPr>
        <w:t>, TURP</w:t>
      </w:r>
    </w:p>
    <w:tbl>
      <w:tblPr>
        <w:tblStyle w:val="TableGrid1"/>
        <w:tblW w:w="0" w:type="auto"/>
        <w:tblLook w:val="04A0" w:firstRow="1" w:lastRow="0" w:firstColumn="1" w:lastColumn="0" w:noHBand="0" w:noVBand="1"/>
        <w:tblCaption w:val="Table 12 Relevant MBS item for the comparator"/>
        <w:tblDescription w:val="This table describes the current item descriptor in the Medicare Benefits Schedule for the main comparator technology."/>
      </w:tblPr>
      <w:tblGrid>
        <w:gridCol w:w="9072"/>
      </w:tblGrid>
      <w:tr w:rsidR="00D4501D" w:rsidRPr="000537B0" w14:paraId="47421FCB" w14:textId="77777777" w:rsidTr="00D863C8">
        <w:trPr>
          <w:cnfStyle w:val="100000000000" w:firstRow="1" w:lastRow="0" w:firstColumn="0" w:lastColumn="0" w:oddVBand="0" w:evenVBand="0" w:oddHBand="0" w:evenHBand="0" w:firstRowFirstColumn="0" w:firstRowLastColumn="0" w:lastRowFirstColumn="0" w:lastRowLastColumn="0"/>
          <w:trHeight w:val="335"/>
          <w:tblHeader/>
        </w:trPr>
        <w:tc>
          <w:tcPr>
            <w:tcW w:w="9072" w:type="dxa"/>
          </w:tcPr>
          <w:p w14:paraId="247568CC" w14:textId="77777777" w:rsidR="00D4501D" w:rsidRPr="00EA713E" w:rsidRDefault="00D4501D" w:rsidP="00D4501D">
            <w:pPr>
              <w:pStyle w:val="Tabletext"/>
            </w:pPr>
            <w:r w:rsidRPr="00EA713E">
              <w:t>Category 3 – Therapeutic Procedures</w:t>
            </w:r>
          </w:p>
        </w:tc>
      </w:tr>
      <w:tr w:rsidR="00D4501D" w:rsidRPr="000537B0" w14:paraId="37F0A16E" w14:textId="77777777" w:rsidTr="00D863C8">
        <w:tc>
          <w:tcPr>
            <w:tcW w:w="9072" w:type="dxa"/>
          </w:tcPr>
          <w:p w14:paraId="4ECA85BD" w14:textId="77777777" w:rsidR="00D4501D" w:rsidRPr="00EA713E" w:rsidRDefault="00D4501D" w:rsidP="00D4501D">
            <w:pPr>
              <w:pStyle w:val="Tabletext"/>
            </w:pPr>
            <w:r w:rsidRPr="00EA713E">
              <w:t>MBS Item 37203</w:t>
            </w:r>
          </w:p>
          <w:p w14:paraId="4A797914" w14:textId="77777777" w:rsidR="00D4501D" w:rsidRPr="00EA713E" w:rsidRDefault="00D4501D" w:rsidP="00D4501D">
            <w:pPr>
              <w:pStyle w:val="Tabletext"/>
            </w:pPr>
            <w:r w:rsidRPr="00EA713E">
              <w:t>PROSTATECTOMY (endoscopic, using diathermy or cold punch), with or without cystoscopy and with or without urethroscopy, and including services to which item 36854, 37201, 37202, 37207, 37208, 37245, 37303, 37321 or 37324 applies</w:t>
            </w:r>
          </w:p>
          <w:p w14:paraId="3126D0CE" w14:textId="77777777" w:rsidR="00D4501D" w:rsidRPr="00EA713E" w:rsidRDefault="00D4501D" w:rsidP="00D4501D">
            <w:pPr>
              <w:pStyle w:val="Tabletext"/>
            </w:pPr>
            <w:r w:rsidRPr="00EA713E">
              <w:t>Multiple Operation Rule</w:t>
            </w:r>
          </w:p>
          <w:p w14:paraId="39252ED3" w14:textId="77777777" w:rsidR="00D4501D" w:rsidRPr="00EA713E" w:rsidRDefault="00D4501D" w:rsidP="00D4501D">
            <w:pPr>
              <w:pStyle w:val="Tabletext"/>
            </w:pPr>
            <w:r w:rsidRPr="00EA713E">
              <w:t>(</w:t>
            </w:r>
            <w:proofErr w:type="spellStart"/>
            <w:r w:rsidRPr="00EA713E">
              <w:t>Anaes</w:t>
            </w:r>
            <w:proofErr w:type="spellEnd"/>
            <w:r w:rsidRPr="00EA713E">
              <w:t>.)</w:t>
            </w:r>
          </w:p>
          <w:p w14:paraId="62823323" w14:textId="77777777" w:rsidR="00D4501D" w:rsidRPr="00EA713E" w:rsidRDefault="00D4501D" w:rsidP="00D4501D">
            <w:pPr>
              <w:pStyle w:val="Tabletext"/>
            </w:pPr>
            <w:r w:rsidRPr="00EA713E">
              <w:t>Fee: $1,058.80 Benefit: 75% = $794.10</w:t>
            </w:r>
          </w:p>
        </w:tc>
      </w:tr>
    </w:tbl>
    <w:p w14:paraId="7D6000A1" w14:textId="006495DE" w:rsidR="00D4501D" w:rsidRDefault="00D4501D" w:rsidP="00C11BBE">
      <w:pPr>
        <w:pStyle w:val="Tablenotes"/>
      </w:pPr>
      <w:r>
        <w:t>Source: Table 14, p27 of the ADAR.</w:t>
      </w:r>
    </w:p>
    <w:p w14:paraId="67051E71" w14:textId="77777777" w:rsidR="00D4501D" w:rsidRPr="00D863C8" w:rsidRDefault="00D4501D" w:rsidP="00D863C8">
      <w:pPr>
        <w:rPr>
          <w:u w:val="single"/>
        </w:rPr>
      </w:pPr>
      <w:r w:rsidRPr="00D863C8">
        <w:rPr>
          <w:u w:val="single"/>
        </w:rPr>
        <w:lastRenderedPageBreak/>
        <w:t>VLAP</w:t>
      </w:r>
    </w:p>
    <w:p w14:paraId="6ECF5BFF" w14:textId="44EFE341" w:rsidR="00D4501D" w:rsidRDefault="00D4501D" w:rsidP="00D4501D">
      <w:r>
        <w:t xml:space="preserve">The MSAC Executive specifically requested that </w:t>
      </w:r>
      <w:r w:rsidRPr="005506D3">
        <w:t>this application include VLAP as an alternative comparator.</w:t>
      </w:r>
      <w:r>
        <w:t xml:space="preserve"> An application for a fee </w:t>
      </w:r>
      <w:proofErr w:type="gramStart"/>
      <w:r>
        <w:t>increase</w:t>
      </w:r>
      <w:proofErr w:type="gramEnd"/>
      <w:r>
        <w:t xml:space="preserve"> to the same level as TURP for VLAP was recently recommended by MSAC (</w:t>
      </w:r>
      <w:hyperlink r:id="rId15" w:history="1">
        <w:r w:rsidRPr="00CF3440">
          <w:rPr>
            <w:rStyle w:val="Hyperlink"/>
          </w:rPr>
          <w:t>Application 1518</w:t>
        </w:r>
      </w:hyperlink>
      <w:r>
        <w:t>).</w:t>
      </w:r>
    </w:p>
    <w:p w14:paraId="0EBE496A" w14:textId="57B8E5FB" w:rsidR="00D4501D" w:rsidRDefault="00D4501D" w:rsidP="00C11BBE">
      <w:pPr>
        <w:spacing w:before="240"/>
      </w:pPr>
      <w:r>
        <w:t>V</w:t>
      </w:r>
      <w:r w:rsidRPr="00EE47CB">
        <w:t>LAP</w:t>
      </w:r>
      <w:r>
        <w:t>,</w:t>
      </w:r>
      <w:r w:rsidRPr="00EE47CB">
        <w:t xml:space="preserve"> also called </w:t>
      </w:r>
      <w:proofErr w:type="spellStart"/>
      <w:r w:rsidRPr="00EE47CB">
        <w:t>photoselectiv</w:t>
      </w:r>
      <w:r>
        <w:t>e</w:t>
      </w:r>
      <w:proofErr w:type="spellEnd"/>
      <w:r>
        <w:t xml:space="preserve"> vaporisation of the prostate (</w:t>
      </w:r>
      <w:r w:rsidRPr="00EE47CB">
        <w:t>PVP)</w:t>
      </w:r>
      <w:r w:rsidR="001D312B">
        <w:t>,</w:t>
      </w:r>
      <w:r w:rsidRPr="00EE47CB">
        <w:t xml:space="preserve"> can be performed using </w:t>
      </w:r>
      <w:proofErr w:type="gramStart"/>
      <w:r w:rsidRPr="00EE47CB">
        <w:t>a number of</w:t>
      </w:r>
      <w:proofErr w:type="gramEnd"/>
      <w:r w:rsidRPr="00EE47CB">
        <w:t xml:space="preserve"> laser systems which have the capability of being focused and selectively coagulating or vaporising prostate tissue. The laser systems use a side-firing technique and can be used with an endoscope through the urethra. Ablation of the prostate by VLAP is practised in Australia on enlarged prostates of any size.</w:t>
      </w:r>
    </w:p>
    <w:p w14:paraId="351314EA" w14:textId="77777777" w:rsidR="00D4501D" w:rsidRDefault="00D4501D" w:rsidP="00C11BBE">
      <w:pPr>
        <w:spacing w:before="240"/>
        <w:jc w:val="both"/>
      </w:pPr>
      <w:r w:rsidRPr="00EE47CB">
        <w:t>VLAP is not a treatment for prostate cancer, and if a malignancy is suspected, a biopsy of the prostate is conducted as a separate procedure to VLAP.</w:t>
      </w:r>
    </w:p>
    <w:p w14:paraId="4F304219" w14:textId="43538568" w:rsidR="00D4501D" w:rsidRPr="00DB53F6" w:rsidRDefault="00D4501D" w:rsidP="00C11BBE">
      <w:pPr>
        <w:spacing w:after="240"/>
        <w:jc w:val="both"/>
      </w:pPr>
      <w:r w:rsidRPr="00183E4D">
        <w:t xml:space="preserve">The MBS item descriptor for </w:t>
      </w:r>
      <w:r>
        <w:t>VLAP</w:t>
      </w:r>
      <w:r w:rsidRPr="00183E4D">
        <w:t xml:space="preserve"> is</w:t>
      </w:r>
      <w:r>
        <w:t xml:space="preserve"> </w:t>
      </w:r>
      <w:r w:rsidRPr="00DB53F6">
        <w:t xml:space="preserve">shown in </w:t>
      </w:r>
      <w:r w:rsidR="00EF57C4" w:rsidRPr="00DB53F6">
        <w:t>Table 4</w:t>
      </w:r>
      <w:r w:rsidRPr="00DB53F6">
        <w:t>.</w:t>
      </w:r>
    </w:p>
    <w:p w14:paraId="0964958C" w14:textId="69071983" w:rsidR="00D4501D" w:rsidRPr="00D863C8" w:rsidRDefault="00D4501D" w:rsidP="00D863C8">
      <w:pPr>
        <w:rPr>
          <w:rFonts w:ascii="Arial Narrow" w:hAnsi="Arial Narrow"/>
          <w:b/>
          <w:sz w:val="20"/>
        </w:rPr>
      </w:pPr>
      <w:bookmarkStart w:id="15" w:name="_Ref40977761"/>
      <w:r w:rsidRPr="00D863C8">
        <w:rPr>
          <w:rFonts w:ascii="Arial Narrow" w:hAnsi="Arial Narrow"/>
          <w:b/>
          <w:sz w:val="20"/>
        </w:rPr>
        <w:t xml:space="preserve">Table </w:t>
      </w:r>
      <w:r w:rsidR="00C11BBE" w:rsidRPr="00D863C8">
        <w:rPr>
          <w:rFonts w:ascii="Arial Narrow" w:hAnsi="Arial Narrow"/>
          <w:b/>
          <w:sz w:val="20"/>
        </w:rPr>
        <w:fldChar w:fldCharType="begin"/>
      </w:r>
      <w:r w:rsidR="00C11BBE" w:rsidRPr="00D863C8">
        <w:rPr>
          <w:rFonts w:ascii="Arial Narrow" w:hAnsi="Arial Narrow"/>
          <w:b/>
          <w:sz w:val="20"/>
        </w:rPr>
        <w:instrText xml:space="preserve"> SEQ Table \* ARABIC </w:instrText>
      </w:r>
      <w:r w:rsidR="00C11BBE" w:rsidRPr="00D863C8">
        <w:rPr>
          <w:rFonts w:ascii="Arial Narrow" w:hAnsi="Arial Narrow"/>
          <w:b/>
          <w:sz w:val="20"/>
        </w:rPr>
        <w:fldChar w:fldCharType="separate"/>
      </w:r>
      <w:r w:rsidR="00D863C8" w:rsidRPr="00D863C8">
        <w:rPr>
          <w:rFonts w:ascii="Arial Narrow" w:hAnsi="Arial Narrow"/>
          <w:b/>
          <w:sz w:val="20"/>
        </w:rPr>
        <w:t>4</w:t>
      </w:r>
      <w:r w:rsidR="00C11BBE" w:rsidRPr="00D863C8">
        <w:rPr>
          <w:rFonts w:ascii="Arial Narrow" w:hAnsi="Arial Narrow"/>
          <w:b/>
          <w:sz w:val="20"/>
        </w:rPr>
        <w:fldChar w:fldCharType="end"/>
      </w:r>
      <w:bookmarkEnd w:id="15"/>
      <w:r w:rsidRPr="00D863C8">
        <w:rPr>
          <w:rFonts w:ascii="Arial Narrow" w:hAnsi="Arial Narrow"/>
          <w:b/>
          <w:sz w:val="20"/>
        </w:rPr>
        <w:t xml:space="preserve"> Relevant MBS item for the alternative comparator, VLAP</w:t>
      </w:r>
    </w:p>
    <w:tbl>
      <w:tblPr>
        <w:tblStyle w:val="TableGrid1"/>
        <w:tblW w:w="0" w:type="auto"/>
        <w:tblLook w:val="04A0" w:firstRow="1" w:lastRow="0" w:firstColumn="1" w:lastColumn="0" w:noHBand="0" w:noVBand="1"/>
        <w:tblCaption w:val="Table 12 Relevant MBS item for the comparator"/>
        <w:tblDescription w:val="This table describes the current item descriptor in the Medicare Benefits Schedule for the main comparator technology."/>
      </w:tblPr>
      <w:tblGrid>
        <w:gridCol w:w="9072"/>
      </w:tblGrid>
      <w:tr w:rsidR="00D4501D" w:rsidRPr="00265ACA" w14:paraId="43F89E58" w14:textId="77777777" w:rsidTr="00D863C8">
        <w:trPr>
          <w:cnfStyle w:val="100000000000" w:firstRow="1" w:lastRow="0" w:firstColumn="0" w:lastColumn="0" w:oddVBand="0" w:evenVBand="0" w:oddHBand="0" w:evenHBand="0" w:firstRowFirstColumn="0" w:firstRowLastColumn="0" w:lastRowFirstColumn="0" w:lastRowLastColumn="0"/>
          <w:trHeight w:val="335"/>
          <w:tblHeader/>
        </w:trPr>
        <w:tc>
          <w:tcPr>
            <w:tcW w:w="9072" w:type="dxa"/>
          </w:tcPr>
          <w:p w14:paraId="72C9D4E1" w14:textId="77777777" w:rsidR="00D4501D" w:rsidRPr="00265ACA" w:rsidRDefault="00D4501D" w:rsidP="00D4501D">
            <w:pPr>
              <w:pStyle w:val="Tabletext"/>
            </w:pPr>
            <w:r w:rsidRPr="00265ACA">
              <w:t>Category 3 – Therapeutic Procedures</w:t>
            </w:r>
          </w:p>
        </w:tc>
      </w:tr>
      <w:tr w:rsidR="00D4501D" w:rsidRPr="00265ACA" w14:paraId="2F01B5C6" w14:textId="77777777" w:rsidTr="00D863C8">
        <w:tc>
          <w:tcPr>
            <w:tcW w:w="9072" w:type="dxa"/>
          </w:tcPr>
          <w:p w14:paraId="33DF714F" w14:textId="77777777" w:rsidR="00D4501D" w:rsidRPr="0086735C" w:rsidRDefault="00D4501D" w:rsidP="00D4501D">
            <w:pPr>
              <w:pStyle w:val="Tabletext"/>
            </w:pPr>
            <w:r>
              <w:t xml:space="preserve">MBS Item </w:t>
            </w:r>
            <w:r w:rsidRPr="0086735C">
              <w:t>37207</w:t>
            </w:r>
          </w:p>
          <w:p w14:paraId="1E0AA749" w14:textId="77777777" w:rsidR="00D4501D" w:rsidRPr="0086735C" w:rsidRDefault="00D4501D" w:rsidP="00D4501D">
            <w:pPr>
              <w:pStyle w:val="Tabletext"/>
            </w:pPr>
            <w:r w:rsidRPr="0086735C">
              <w:t xml:space="preserve">PROSTATE, endoscopic non-contact (side firing) visual laser ablation, with or without cystoscopy and with or without urethroscopy, and including services to which items 36854, 37201, 37202, 37203, 37206, 37245, 37321 or 37324 applies </w:t>
            </w:r>
          </w:p>
          <w:p w14:paraId="19C06F38" w14:textId="77777777" w:rsidR="00D4501D" w:rsidRPr="0086735C" w:rsidRDefault="00D4501D" w:rsidP="00D4501D">
            <w:pPr>
              <w:pStyle w:val="Tabletext"/>
              <w:rPr>
                <w:i/>
              </w:rPr>
            </w:pPr>
            <w:r w:rsidRPr="0086735C">
              <w:rPr>
                <w:i/>
              </w:rPr>
              <w:t>Multiple services rule</w:t>
            </w:r>
          </w:p>
          <w:p w14:paraId="067766B4" w14:textId="77777777" w:rsidR="00D4501D" w:rsidRPr="0086735C" w:rsidRDefault="00D4501D" w:rsidP="00D4501D">
            <w:pPr>
              <w:pStyle w:val="Tabletext"/>
            </w:pPr>
            <w:r w:rsidRPr="0086735C">
              <w:t>(</w:t>
            </w:r>
            <w:proofErr w:type="spellStart"/>
            <w:r w:rsidRPr="0086735C">
              <w:t>Anaes</w:t>
            </w:r>
            <w:proofErr w:type="spellEnd"/>
            <w:r w:rsidRPr="0086735C">
              <w:t>.)</w:t>
            </w:r>
          </w:p>
          <w:p w14:paraId="2DABB313" w14:textId="77777777" w:rsidR="00D4501D" w:rsidRPr="00265ACA" w:rsidRDefault="00D4501D" w:rsidP="00D4501D">
            <w:pPr>
              <w:pStyle w:val="Tabletext"/>
            </w:pPr>
            <w:r w:rsidRPr="00265ACA">
              <w:t>Fee: $1,058.80 Benefit: 75% = $794.10</w:t>
            </w:r>
          </w:p>
        </w:tc>
      </w:tr>
    </w:tbl>
    <w:p w14:paraId="7A7EBCD8" w14:textId="1DD363A8" w:rsidR="00D4501D" w:rsidRDefault="00D4501D" w:rsidP="00C11BBE">
      <w:pPr>
        <w:pStyle w:val="Tablenotes"/>
      </w:pPr>
      <w:r>
        <w:t>Source: Table 15, p27 of the ADAR.</w:t>
      </w:r>
    </w:p>
    <w:p w14:paraId="6B1FB190" w14:textId="77777777" w:rsidR="00D4501D" w:rsidRPr="00D863C8" w:rsidRDefault="00D4501D" w:rsidP="00D863C8">
      <w:pPr>
        <w:rPr>
          <w:u w:val="single"/>
        </w:rPr>
      </w:pPr>
      <w:r w:rsidRPr="00D863C8">
        <w:rPr>
          <w:u w:val="single"/>
        </w:rPr>
        <w:t>Additional comparators</w:t>
      </w:r>
    </w:p>
    <w:p w14:paraId="265777CF" w14:textId="22BB9264" w:rsidR="00D4501D" w:rsidRPr="00340814" w:rsidRDefault="00D4501D" w:rsidP="00D4501D">
      <w:r>
        <w:t xml:space="preserve">The commentary noted that in patients who cannot tolerate general or spinal anaesthesia, transurethral microwave thermotherapy (TUMT; MBS item 37230, fee $1,058.80) or TUWA (for which MBS claims are currently being accepted under MBS item 37201 for </w:t>
      </w:r>
      <w:r w:rsidRPr="00317895">
        <w:t xml:space="preserve">transurethral radio-frequency needle ablation </w:t>
      </w:r>
      <w:r>
        <w:t xml:space="preserve">(TUNA), fee $842.10) may be used. The clinical management algorithm </w:t>
      </w:r>
      <w:r w:rsidRPr="00DB53F6">
        <w:t>show</w:t>
      </w:r>
      <w:r w:rsidR="00DB53F6" w:rsidRPr="00DB53F6">
        <w:t xml:space="preserve">n in Figure 2 </w:t>
      </w:r>
      <w:r w:rsidRPr="00DB53F6">
        <w:t>in</w:t>
      </w:r>
      <w:r>
        <w:t xml:space="preserve"> section 6 shows that these would be appropriate comparators to PUL for this subpopulation. TUNA is also listed for use in patients who are not medically fit for TURP (MBS item 37201, fee $842.10). For the broader population of patients with BPH, the TUMT and TUNA procedures are not considered best practice in Australia, and are rarely used (PICO confirmation for </w:t>
      </w:r>
      <w:hyperlink r:id="rId16" w:history="1">
        <w:r w:rsidRPr="00CF3440">
          <w:rPr>
            <w:rStyle w:val="Hyperlink"/>
          </w:rPr>
          <w:t>MSAC application 1518</w:t>
        </w:r>
      </w:hyperlink>
      <w:r>
        <w:t xml:space="preserve">).  </w:t>
      </w:r>
    </w:p>
    <w:p w14:paraId="049C0D61" w14:textId="2198E93E" w:rsidR="00D4501D" w:rsidRPr="000537B0" w:rsidRDefault="00D4501D" w:rsidP="00C11BBE">
      <w:pPr>
        <w:spacing w:before="240"/>
      </w:pPr>
      <w:r w:rsidRPr="000537B0">
        <w:t xml:space="preserve">Other minimally invasive techniques for treating BPH </w:t>
      </w:r>
      <w:proofErr w:type="gramStart"/>
      <w:r w:rsidRPr="000537B0">
        <w:t>exist, but</w:t>
      </w:r>
      <w:proofErr w:type="gramEnd"/>
      <w:r w:rsidRPr="000537B0">
        <w:t xml:space="preserve"> have not been able to use pre-existing MBS items. Given the lack of MBS items, it </w:t>
      </w:r>
      <w:r>
        <w:t>may be</w:t>
      </w:r>
      <w:r w:rsidRPr="000537B0">
        <w:t xml:space="preserve"> appropriate that they weren’t considered comparators</w:t>
      </w:r>
      <w:r>
        <w:t xml:space="preserve"> for this application</w:t>
      </w:r>
      <w:r w:rsidRPr="000537B0">
        <w:t xml:space="preserve">. </w:t>
      </w:r>
    </w:p>
    <w:p w14:paraId="71B9F928" w14:textId="77777777" w:rsidR="00BC1364" w:rsidRPr="00F715D1" w:rsidRDefault="00BC1364" w:rsidP="00F715D1">
      <w:pPr>
        <w:pStyle w:val="Heading1"/>
      </w:pPr>
      <w:r w:rsidRPr="00F715D1">
        <w:t>Comparative safety</w:t>
      </w:r>
    </w:p>
    <w:p w14:paraId="226E9B88" w14:textId="5176207B" w:rsidR="00D4501D" w:rsidRDefault="00D4501D" w:rsidP="00D4501D">
      <w:r>
        <w:t>The ADAR included 13 citations that reported on two comparative clinical trials (BPH6</w:t>
      </w:r>
      <w:r w:rsidRPr="007713F3">
        <w:rPr>
          <w:rStyle w:val="FootnoteReference"/>
        </w:rPr>
        <w:footnoteReference w:id="4"/>
      </w:r>
      <w:r>
        <w:t xml:space="preserve"> and L.I.</w:t>
      </w:r>
      <w:proofErr w:type="gramStart"/>
      <w:r>
        <w:t>F.T</w:t>
      </w:r>
      <w:proofErr w:type="gramEnd"/>
      <w:r>
        <w:rPr>
          <w:rStyle w:val="FootnoteReference"/>
        </w:rPr>
        <w:footnoteReference w:id="5"/>
      </w:r>
      <w:r>
        <w:t xml:space="preserve"> studies) and four non-comparative studies relevant to PUL. The BPH6 study directly compared PUL </w:t>
      </w:r>
      <w:r w:rsidRPr="000537B0">
        <w:t>to the main comparator, TURP</w:t>
      </w:r>
      <w:r>
        <w:t>, while the L.I.F.T study compared PUL to a sham procedure</w:t>
      </w:r>
      <w:r w:rsidRPr="00D77A6C">
        <w:t xml:space="preserve">. </w:t>
      </w:r>
    </w:p>
    <w:p w14:paraId="36493D13" w14:textId="7AE7AEA3" w:rsidR="00D4501D" w:rsidRDefault="00D4501D" w:rsidP="00C11BBE">
      <w:pPr>
        <w:spacing w:before="240"/>
      </w:pPr>
      <w:r w:rsidRPr="00D4537A">
        <w:lastRenderedPageBreak/>
        <w:t>No clinical trials or case studies were identified</w:t>
      </w:r>
      <w:r>
        <w:t xml:space="preserve"> in the ADAR literature search</w:t>
      </w:r>
      <w:r w:rsidRPr="00D4537A">
        <w:t xml:space="preserve"> that directly compared PUL to VLAP. However, the ADAR included the GOLIATH</w:t>
      </w:r>
      <w:r w:rsidRPr="00D4537A">
        <w:rPr>
          <w:rStyle w:val="FootnoteReference"/>
        </w:rPr>
        <w:footnoteReference w:id="6"/>
      </w:r>
      <w:r w:rsidRPr="00D4537A">
        <w:t xml:space="preserve"> study</w:t>
      </w:r>
      <w:r>
        <w:t xml:space="preserve"> </w:t>
      </w:r>
      <w:r w:rsidRPr="00D4537A">
        <w:t>for the clinical comparison between VLAP and TURP</w:t>
      </w:r>
      <w:r w:rsidRPr="000537B0">
        <w:t xml:space="preserve">. </w:t>
      </w:r>
    </w:p>
    <w:p w14:paraId="32B8D91F" w14:textId="77777777" w:rsidR="00D4501D" w:rsidRDefault="00D4501D" w:rsidP="00C11BBE">
      <w:pPr>
        <w:spacing w:before="240"/>
      </w:pPr>
      <w:r>
        <w:t>The commentary noted that d</w:t>
      </w:r>
      <w:r w:rsidRPr="000537B0">
        <w:t xml:space="preserve">espite 13 citations being listed as ‘included’, only the results of a single trial (from two articles) were provided on the comparison of PUL and TURP. The justification for restricting the evidence to randomised trials was not provided. </w:t>
      </w:r>
      <w:r>
        <w:t xml:space="preserve">No information was provided on how PUL compares against other minimally invasive techniques in patients not eligible for TURP (those who cannot tolerate anaesthesia or stop anticoagulants or antiplatelet medication). </w:t>
      </w:r>
    </w:p>
    <w:p w14:paraId="51A0FF5D" w14:textId="2AE9DFD4" w:rsidR="00D4501D" w:rsidRDefault="00D4501D" w:rsidP="00D4501D">
      <w:r>
        <w:t>The commentary also noted that the GOLIATH study</w:t>
      </w:r>
      <w:r w:rsidRPr="000537B0">
        <w:t xml:space="preserve"> was not retrieved as part of the ADAR </w:t>
      </w:r>
      <w:r>
        <w:t xml:space="preserve">literature </w:t>
      </w:r>
      <w:r w:rsidRPr="000537B0">
        <w:t>search. It is unclear how this paper was retrieved.</w:t>
      </w:r>
    </w:p>
    <w:p w14:paraId="239499F6" w14:textId="2D2DDB09" w:rsidR="00D4501D" w:rsidRDefault="00D4501D" w:rsidP="00C11BBE">
      <w:pPr>
        <w:spacing w:before="240"/>
      </w:pPr>
      <w:r>
        <w:t xml:space="preserve">The pre-ESC response clarified that </w:t>
      </w:r>
      <w:r w:rsidRPr="000120B3">
        <w:t>the BPH6 study</w:t>
      </w:r>
      <w:r w:rsidR="00CF3440">
        <w:t xml:space="preserve"> (two citations)</w:t>
      </w:r>
      <w:r w:rsidRPr="000120B3">
        <w:t xml:space="preserve"> is the only study that directly compared PUL to TURP.  The other eleven studies were mainly used to support the economic/financial evaluation.</w:t>
      </w:r>
      <w:r>
        <w:t xml:space="preserve"> The applicant also provided the</w:t>
      </w:r>
      <w:r w:rsidRPr="00C2612A">
        <w:t xml:space="preserve"> abstract </w:t>
      </w:r>
      <w:r>
        <w:t>of Patel et al (2019)</w:t>
      </w:r>
      <w:r>
        <w:rPr>
          <w:rStyle w:val="FootnoteReference"/>
        </w:rPr>
        <w:footnoteReference w:id="7"/>
      </w:r>
      <w:r>
        <w:t xml:space="preserve"> which reviewed</w:t>
      </w:r>
      <w:r w:rsidRPr="00C2612A">
        <w:t xml:space="preserve"> the Manufacturer and User Facility Device Experience Database. T</w:t>
      </w:r>
      <w:r>
        <w:t>he applicant stated that this</w:t>
      </w:r>
      <w:r w:rsidRPr="00C2612A">
        <w:t xml:space="preserve"> paper concluded that ‘each BPH modality investigated (TURP, PUL, </w:t>
      </w:r>
      <w:proofErr w:type="spellStart"/>
      <w:r w:rsidRPr="00C2612A">
        <w:t>HoLEP</w:t>
      </w:r>
      <w:proofErr w:type="spellEnd"/>
      <w:r w:rsidRPr="00C2612A">
        <w:t>, VLAP) had minimal patient harm with over 99% of patients experiencing no complicat</w:t>
      </w:r>
      <w:r w:rsidR="00C11BBE">
        <w:t>ion after device malfunction’.</w:t>
      </w:r>
    </w:p>
    <w:p w14:paraId="16E338CD" w14:textId="77777777" w:rsidR="00D4501D" w:rsidRPr="00D863C8" w:rsidRDefault="00D4501D" w:rsidP="00D863C8">
      <w:pPr>
        <w:spacing w:before="240"/>
        <w:rPr>
          <w:u w:val="single"/>
        </w:rPr>
      </w:pPr>
      <w:r w:rsidRPr="00D863C8">
        <w:rPr>
          <w:u w:val="single"/>
        </w:rPr>
        <w:t>PUL versus TURP</w:t>
      </w:r>
    </w:p>
    <w:p w14:paraId="2606E06C" w14:textId="1424CC0A" w:rsidR="00D4501D" w:rsidRDefault="00D4501D" w:rsidP="00164DA5">
      <w:r w:rsidRPr="000537B0">
        <w:t xml:space="preserve">The main evidence for </w:t>
      </w:r>
      <w:r>
        <w:t>the comparison of safety between PUL (n=45) and TURP (n=35)</w:t>
      </w:r>
      <w:r w:rsidRPr="000537B0">
        <w:t xml:space="preserve"> </w:t>
      </w:r>
      <w:r>
        <w:t>came</w:t>
      </w:r>
      <w:r w:rsidRPr="000537B0">
        <w:t xml:space="preserve"> from the BPH6 s</w:t>
      </w:r>
      <w:r>
        <w:t xml:space="preserve">tudy which was reported at 12 and 24 </w:t>
      </w:r>
      <w:r w:rsidRPr="00DB53F6">
        <w:t>months (show</w:t>
      </w:r>
      <w:r w:rsidR="00DB53F6" w:rsidRPr="00DB53F6">
        <w:t>n in Figure 5</w:t>
      </w:r>
      <w:r w:rsidRPr="00DB53F6">
        <w:t>).</w:t>
      </w:r>
      <w:r>
        <w:t xml:space="preserve"> </w:t>
      </w:r>
      <w:r w:rsidRPr="000537B0">
        <w:t xml:space="preserve">Although the </w:t>
      </w:r>
      <w:r>
        <w:t xml:space="preserve">BPH6 </w:t>
      </w:r>
      <w:r w:rsidRPr="000537B0">
        <w:t xml:space="preserve">study was randomised, ten patients randomised to the TURP arm declined treatment.  This study was not </w:t>
      </w:r>
      <w:proofErr w:type="gramStart"/>
      <w:r w:rsidRPr="000537B0">
        <w:t>blinded</w:t>
      </w:r>
      <w:proofErr w:type="gramEnd"/>
      <w:r w:rsidRPr="000537B0">
        <w:t xml:space="preserve"> and the outcome </w:t>
      </w:r>
      <w:r>
        <w:t>measure was a composite endpoint made up of:</w:t>
      </w:r>
    </w:p>
    <w:p w14:paraId="70DC61CD" w14:textId="77777777" w:rsidR="00D4501D" w:rsidRDefault="00D4501D" w:rsidP="00B34F48">
      <w:pPr>
        <w:pStyle w:val="ListParagraph"/>
        <w:numPr>
          <w:ilvl w:val="0"/>
          <w:numId w:val="3"/>
        </w:numPr>
        <w:ind w:left="714" w:hanging="357"/>
        <w:jc w:val="both"/>
      </w:pPr>
      <w:r>
        <w:t>LUTS relief – reduction of ≥ 30% in IPSS at 12 months compared to baseline</w:t>
      </w:r>
    </w:p>
    <w:p w14:paraId="51A0FC1E" w14:textId="77777777" w:rsidR="00D4501D" w:rsidRDefault="00D4501D" w:rsidP="00B34F48">
      <w:pPr>
        <w:pStyle w:val="ListParagraph"/>
        <w:numPr>
          <w:ilvl w:val="0"/>
          <w:numId w:val="3"/>
        </w:numPr>
        <w:ind w:left="714" w:hanging="357"/>
        <w:jc w:val="both"/>
      </w:pPr>
      <w:r>
        <w:t xml:space="preserve">Recovery experience – </w:t>
      </w:r>
      <w:proofErr w:type="spellStart"/>
      <w:r>
        <w:t>QoR</w:t>
      </w:r>
      <w:proofErr w:type="spellEnd"/>
      <w:r>
        <w:t xml:space="preserve"> VAS ≥ 70 by 1 month</w:t>
      </w:r>
    </w:p>
    <w:p w14:paraId="27F4F479" w14:textId="77777777" w:rsidR="00D4501D" w:rsidRDefault="00D4501D" w:rsidP="00B34F48">
      <w:pPr>
        <w:pStyle w:val="ListParagraph"/>
        <w:numPr>
          <w:ilvl w:val="0"/>
          <w:numId w:val="3"/>
        </w:numPr>
        <w:ind w:left="714" w:hanging="357"/>
        <w:jc w:val="both"/>
      </w:pPr>
      <w:r>
        <w:t xml:space="preserve">Erectile function – reduction of ≤ 6 points for SHIM </w:t>
      </w:r>
      <w:proofErr w:type="gramStart"/>
      <w:r>
        <w:t>during</w:t>
      </w:r>
      <w:proofErr w:type="gramEnd"/>
      <w:r>
        <w:t xml:space="preserve"> 12 months follow-up</w:t>
      </w:r>
    </w:p>
    <w:p w14:paraId="7B539D2C" w14:textId="77777777" w:rsidR="00D4501D" w:rsidRDefault="00D4501D" w:rsidP="00B34F48">
      <w:pPr>
        <w:pStyle w:val="ListParagraph"/>
        <w:numPr>
          <w:ilvl w:val="0"/>
          <w:numId w:val="3"/>
        </w:numPr>
        <w:ind w:left="714" w:hanging="357"/>
        <w:jc w:val="both"/>
      </w:pPr>
      <w:r>
        <w:t>Ejaculation function – response to MSHQ-</w:t>
      </w:r>
      <w:proofErr w:type="spellStart"/>
      <w:r>
        <w:t>EjD</w:t>
      </w:r>
      <w:proofErr w:type="spellEnd"/>
    </w:p>
    <w:p w14:paraId="51C18B4F" w14:textId="77777777" w:rsidR="00D4501D" w:rsidRDefault="00D4501D" w:rsidP="00B34F48">
      <w:pPr>
        <w:pStyle w:val="ListParagraph"/>
        <w:numPr>
          <w:ilvl w:val="0"/>
          <w:numId w:val="3"/>
        </w:numPr>
        <w:ind w:left="714" w:hanging="357"/>
        <w:jc w:val="both"/>
      </w:pPr>
      <w:r>
        <w:t>Continence preservation – ISI score of ≤4 points at all follow-up intervals</w:t>
      </w:r>
    </w:p>
    <w:p w14:paraId="655EA35B" w14:textId="0BF5147B" w:rsidR="00D4501D" w:rsidRDefault="00D4501D" w:rsidP="00C11BBE">
      <w:pPr>
        <w:pStyle w:val="ListParagraph"/>
        <w:numPr>
          <w:ilvl w:val="0"/>
          <w:numId w:val="3"/>
        </w:numPr>
        <w:ind w:left="714" w:hanging="357"/>
        <w:jc w:val="both"/>
      </w:pPr>
      <w:r>
        <w:t xml:space="preserve">Safety – no treatment adverse events &gt; grade 1 on the </w:t>
      </w:r>
      <w:proofErr w:type="spellStart"/>
      <w:r>
        <w:t>Clavien-Dindo</w:t>
      </w:r>
      <w:proofErr w:type="spellEnd"/>
      <w:r>
        <w:t xml:space="preserve"> classification system at any time during the procedure or follow-up.</w:t>
      </w:r>
    </w:p>
    <w:p w14:paraId="7919DF57" w14:textId="753BBE35" w:rsidR="00D4501D" w:rsidRDefault="00D4501D" w:rsidP="00C11BBE">
      <w:pPr>
        <w:spacing w:before="240"/>
      </w:pPr>
      <w:proofErr w:type="gramStart"/>
      <w:r>
        <w:t>I</w:t>
      </w:r>
      <w:r w:rsidRPr="00EC65A6">
        <w:t>n order to</w:t>
      </w:r>
      <w:proofErr w:type="gramEnd"/>
      <w:r w:rsidRPr="00EC65A6">
        <w:t xml:space="preserve"> meet responder status, it was required that patients experienced no treatment</w:t>
      </w:r>
      <w:r w:rsidRPr="000537B0">
        <w:t xml:space="preserve">-related adverse event greater than grade I on the </w:t>
      </w:r>
      <w:proofErr w:type="spellStart"/>
      <w:r w:rsidRPr="000537B0">
        <w:t>Clavien-Dindo</w:t>
      </w:r>
      <w:proofErr w:type="spellEnd"/>
      <w:r w:rsidRPr="000537B0">
        <w:t xml:space="preserve"> classification system at any time during the procedure or follow up</w:t>
      </w:r>
      <w:r>
        <w:t>.</w:t>
      </w:r>
      <w:r w:rsidRPr="00EC65A6">
        <w:t xml:space="preserve"> </w:t>
      </w:r>
      <w:r w:rsidRPr="000537B0">
        <w:t>In the BHP6 study a threshold of grade II+ was selected to account for events that might significantly affect a patient’s postoperative course, such as those requiring surgery, endoscopy, radiology, or supranormal pharmacology. If a patient pursues secondary treatment, the failure to respond is captured in the effectiveness element (#1) and not the safety element (#6); the patient is therefore censored from the safety element analysis at all subsequent time points</w:t>
      </w:r>
      <w:r>
        <w:t>.</w:t>
      </w:r>
    </w:p>
    <w:p w14:paraId="5D5DDBD0" w14:textId="61FF1CCC" w:rsidR="00D4501D" w:rsidRPr="000537B0" w:rsidRDefault="00D4501D" w:rsidP="00C11BBE">
      <w:pPr>
        <w:spacing w:before="240"/>
      </w:pPr>
      <w:r>
        <w:t>The commentary noted that t</w:t>
      </w:r>
      <w:r w:rsidRPr="00340814">
        <w:t xml:space="preserve">he </w:t>
      </w:r>
      <w:proofErr w:type="spellStart"/>
      <w:r w:rsidRPr="00340814">
        <w:t>Clavien-Dindo</w:t>
      </w:r>
      <w:proofErr w:type="spellEnd"/>
      <w:r w:rsidRPr="00340814">
        <w:t xml:space="preserve"> c</w:t>
      </w:r>
      <w:r>
        <w:t>lassification system was</w:t>
      </w:r>
      <w:r w:rsidRPr="00340814">
        <w:t xml:space="preserve"> developed to assess surgical</w:t>
      </w:r>
      <w:r>
        <w:t xml:space="preserve"> complications</w:t>
      </w:r>
      <w:r w:rsidRPr="00340814">
        <w:t xml:space="preserve">, rather than prostheses-related adverse events. This may therefore bias </w:t>
      </w:r>
      <w:r w:rsidRPr="00340814">
        <w:lastRenderedPageBreak/>
        <w:t>the safety results in favour of PUL</w:t>
      </w:r>
      <w:r>
        <w:t xml:space="preserve"> (as prostheses-related adverse events are</w:t>
      </w:r>
      <w:r w:rsidR="00C11BBE">
        <w:t xml:space="preserve"> relevant to PUL but not TURP).</w:t>
      </w:r>
    </w:p>
    <w:p w14:paraId="54AC8A04" w14:textId="6EE9B89B" w:rsidR="00C11BBE" w:rsidRPr="008D65B5" w:rsidRDefault="00D4501D" w:rsidP="00C11BBE">
      <w:pPr>
        <w:spacing w:before="240" w:after="240"/>
      </w:pPr>
      <w:r>
        <w:t>The commentary noted that the safety of the procedures can be stratified as relating to function (</w:t>
      </w:r>
      <w:proofErr w:type="gramStart"/>
      <w:r>
        <w:t>e.g.</w:t>
      </w:r>
      <w:proofErr w:type="gramEnd"/>
      <w:r>
        <w:t xml:space="preserve"> ejaculation), surgery (e.g. post-operative complications), and prosthesis-related (e.g. device fragmentation). The BPH6 study only reported on the first two types of safety outcomes. </w:t>
      </w:r>
      <w:r w:rsidRPr="00F240DC">
        <w:t xml:space="preserve">Rates of </w:t>
      </w:r>
      <w:r>
        <w:t xml:space="preserve">most types of </w:t>
      </w:r>
      <w:r w:rsidRPr="00F240DC">
        <w:t xml:space="preserve">adverse events were </w:t>
      </w:r>
      <w:r>
        <w:t xml:space="preserve">non-significantly different between PUL and TURP, however, urinary incontinence and retrograde ejaculation were significantly more common in patients who underwent TURP than PUL. </w:t>
      </w:r>
      <w:r w:rsidRPr="008D65B5">
        <w:t>However, it is unknown how frequently prosthesis-related adverse events occur after PUL (this type of adverse event is not applicable to TURP).</w:t>
      </w:r>
      <w:bookmarkStart w:id="16" w:name="_Ref40870706"/>
      <w:r w:rsidR="00C11BBE" w:rsidRPr="008D65B5">
        <w:br w:type="page"/>
      </w:r>
    </w:p>
    <w:p w14:paraId="35A8EE56" w14:textId="6C35528B" w:rsidR="00D4501D" w:rsidRPr="00250EF2" w:rsidRDefault="00D4501D" w:rsidP="00250EF2">
      <w:pPr>
        <w:rPr>
          <w:rFonts w:ascii="Arial Narrow" w:hAnsi="Arial Narrow"/>
          <w:b/>
          <w:sz w:val="20"/>
        </w:rPr>
      </w:pPr>
      <w:bookmarkStart w:id="17" w:name="_Ref116378130"/>
      <w:r w:rsidRPr="00250EF2">
        <w:rPr>
          <w:rFonts w:ascii="Arial Narrow" w:hAnsi="Arial Narrow"/>
          <w:b/>
          <w:sz w:val="20"/>
        </w:rPr>
        <w:lastRenderedPageBreak/>
        <w:t xml:space="preserve">Table </w:t>
      </w:r>
      <w:r w:rsidR="00C11BBE" w:rsidRPr="00250EF2">
        <w:rPr>
          <w:rFonts w:ascii="Arial Narrow" w:hAnsi="Arial Narrow"/>
          <w:b/>
          <w:sz w:val="20"/>
        </w:rPr>
        <w:fldChar w:fldCharType="begin"/>
      </w:r>
      <w:r w:rsidR="00C11BBE" w:rsidRPr="00250EF2">
        <w:rPr>
          <w:rFonts w:ascii="Arial Narrow" w:hAnsi="Arial Narrow"/>
          <w:b/>
          <w:sz w:val="20"/>
        </w:rPr>
        <w:instrText xml:space="preserve"> SEQ Table \* ARABIC </w:instrText>
      </w:r>
      <w:r w:rsidR="00C11BBE" w:rsidRPr="00250EF2">
        <w:rPr>
          <w:rFonts w:ascii="Arial Narrow" w:hAnsi="Arial Narrow"/>
          <w:b/>
          <w:sz w:val="20"/>
        </w:rPr>
        <w:fldChar w:fldCharType="separate"/>
      </w:r>
      <w:r w:rsidR="003636DE" w:rsidRPr="00250EF2">
        <w:rPr>
          <w:rFonts w:ascii="Arial Narrow" w:hAnsi="Arial Narrow"/>
          <w:b/>
          <w:sz w:val="20"/>
        </w:rPr>
        <w:t>5</w:t>
      </w:r>
      <w:r w:rsidR="00C11BBE" w:rsidRPr="00250EF2">
        <w:rPr>
          <w:rFonts w:ascii="Arial Narrow" w:hAnsi="Arial Narrow"/>
          <w:b/>
          <w:sz w:val="20"/>
        </w:rPr>
        <w:fldChar w:fldCharType="end"/>
      </w:r>
      <w:bookmarkEnd w:id="16"/>
      <w:bookmarkEnd w:id="17"/>
      <w:r w:rsidRPr="00250EF2">
        <w:rPr>
          <w:rFonts w:ascii="Arial Narrow" w:hAnsi="Arial Narrow"/>
          <w:b/>
          <w:sz w:val="20"/>
        </w:rPr>
        <w:t xml:space="preserve"> Key features of the included evidence (BPH6 study) comparing PUL with TURP</w:t>
      </w:r>
    </w:p>
    <w:tbl>
      <w:tblPr>
        <w:tblStyle w:val="TableGrid"/>
        <w:tblW w:w="9181" w:type="dxa"/>
        <w:tblLayout w:type="fixed"/>
        <w:tblLook w:val="04A0" w:firstRow="1" w:lastRow="0" w:firstColumn="1" w:lastColumn="0" w:noHBand="0" w:noVBand="1"/>
        <w:tblDescription w:val="5 Key features of the included evidence (BPH6 study) comparing PUL with TURP"/>
      </w:tblPr>
      <w:tblGrid>
        <w:gridCol w:w="1809"/>
        <w:gridCol w:w="3686"/>
        <w:gridCol w:w="3686"/>
      </w:tblGrid>
      <w:tr w:rsidR="00D4501D" w:rsidRPr="000537B0" w14:paraId="3DDDEABE" w14:textId="77777777" w:rsidTr="00D4501D">
        <w:trPr>
          <w:tblHeader/>
        </w:trPr>
        <w:tc>
          <w:tcPr>
            <w:tcW w:w="1809" w:type="dxa"/>
          </w:tcPr>
          <w:p w14:paraId="2CCC2586" w14:textId="77777777" w:rsidR="00D4501D" w:rsidRPr="000537B0" w:rsidRDefault="00D4501D" w:rsidP="00D4501D">
            <w:pPr>
              <w:pStyle w:val="Tabletextboldleft"/>
            </w:pPr>
            <w:r w:rsidRPr="000537B0">
              <w:t>Author</w:t>
            </w:r>
          </w:p>
        </w:tc>
        <w:tc>
          <w:tcPr>
            <w:tcW w:w="3686" w:type="dxa"/>
          </w:tcPr>
          <w:p w14:paraId="2EC84CB7" w14:textId="77777777" w:rsidR="00D4501D" w:rsidRPr="000537B0" w:rsidRDefault="00D4501D" w:rsidP="00D4501D">
            <w:pPr>
              <w:pStyle w:val="Tabletextboldleft"/>
            </w:pPr>
            <w:proofErr w:type="spellStart"/>
            <w:r w:rsidRPr="000537B0">
              <w:t>Sønksen</w:t>
            </w:r>
            <w:proofErr w:type="spellEnd"/>
            <w:r w:rsidRPr="000537B0">
              <w:t xml:space="preserve"> et al</w:t>
            </w:r>
          </w:p>
        </w:tc>
        <w:tc>
          <w:tcPr>
            <w:tcW w:w="3686" w:type="dxa"/>
          </w:tcPr>
          <w:p w14:paraId="5533C373" w14:textId="77777777" w:rsidR="00D4501D" w:rsidRPr="000537B0" w:rsidRDefault="00D4501D" w:rsidP="00D4501D">
            <w:pPr>
              <w:pStyle w:val="Tabletextboldleft"/>
            </w:pPr>
            <w:proofErr w:type="spellStart"/>
            <w:r w:rsidRPr="000537B0">
              <w:t>Gratzke</w:t>
            </w:r>
            <w:proofErr w:type="spellEnd"/>
            <w:r w:rsidRPr="000537B0">
              <w:t xml:space="preserve"> et al</w:t>
            </w:r>
          </w:p>
        </w:tc>
      </w:tr>
      <w:tr w:rsidR="00D4501D" w:rsidRPr="000537B0" w14:paraId="79C10576" w14:textId="77777777" w:rsidTr="00D4501D">
        <w:tc>
          <w:tcPr>
            <w:tcW w:w="1809" w:type="dxa"/>
          </w:tcPr>
          <w:p w14:paraId="05835E4F" w14:textId="77777777" w:rsidR="00D4501D" w:rsidRPr="00951C27" w:rsidRDefault="00D4501D" w:rsidP="00D4501D">
            <w:pPr>
              <w:pStyle w:val="Tabletext"/>
            </w:pPr>
            <w:r w:rsidRPr="00951C27">
              <w:t>PMID</w:t>
            </w:r>
          </w:p>
        </w:tc>
        <w:tc>
          <w:tcPr>
            <w:tcW w:w="3686" w:type="dxa"/>
          </w:tcPr>
          <w:p w14:paraId="1BC5A3AA" w14:textId="77777777" w:rsidR="00D4501D" w:rsidRPr="00951C27" w:rsidRDefault="00D4501D" w:rsidP="00D4501D">
            <w:pPr>
              <w:pStyle w:val="Tabletext"/>
            </w:pPr>
            <w:r w:rsidRPr="00951C27">
              <w:t>25937539</w:t>
            </w:r>
          </w:p>
        </w:tc>
        <w:tc>
          <w:tcPr>
            <w:tcW w:w="3686" w:type="dxa"/>
          </w:tcPr>
          <w:p w14:paraId="0824759F" w14:textId="77777777" w:rsidR="00D4501D" w:rsidRPr="00951C27" w:rsidRDefault="00D4501D" w:rsidP="00D4501D">
            <w:pPr>
              <w:pStyle w:val="Tabletext"/>
            </w:pPr>
            <w:r w:rsidRPr="00951C27">
              <w:t>27862831</w:t>
            </w:r>
          </w:p>
        </w:tc>
      </w:tr>
      <w:tr w:rsidR="00D4501D" w:rsidRPr="000537B0" w14:paraId="0866BC9C" w14:textId="77777777" w:rsidTr="00D4501D">
        <w:tc>
          <w:tcPr>
            <w:tcW w:w="1809" w:type="dxa"/>
          </w:tcPr>
          <w:p w14:paraId="7CFB829D" w14:textId="77777777" w:rsidR="00D4501D" w:rsidRPr="00951C27" w:rsidRDefault="00D4501D" w:rsidP="00D4501D">
            <w:pPr>
              <w:pStyle w:val="Tabletext"/>
            </w:pPr>
            <w:r w:rsidRPr="00951C27">
              <w:t>Pub Year</w:t>
            </w:r>
          </w:p>
        </w:tc>
        <w:tc>
          <w:tcPr>
            <w:tcW w:w="3686" w:type="dxa"/>
          </w:tcPr>
          <w:p w14:paraId="57CEBFE3" w14:textId="77777777" w:rsidR="00D4501D" w:rsidRPr="00951C27" w:rsidRDefault="00D4501D" w:rsidP="00D4501D">
            <w:pPr>
              <w:pStyle w:val="Tabletext"/>
            </w:pPr>
            <w:r w:rsidRPr="00951C27">
              <w:t>2015</w:t>
            </w:r>
          </w:p>
        </w:tc>
        <w:tc>
          <w:tcPr>
            <w:tcW w:w="3686" w:type="dxa"/>
          </w:tcPr>
          <w:p w14:paraId="31A4553C" w14:textId="77777777" w:rsidR="00D4501D" w:rsidRPr="00951C27" w:rsidRDefault="00D4501D" w:rsidP="00D4501D">
            <w:pPr>
              <w:pStyle w:val="Tabletext"/>
            </w:pPr>
            <w:r w:rsidRPr="00951C27">
              <w:t>2017</w:t>
            </w:r>
          </w:p>
        </w:tc>
      </w:tr>
      <w:tr w:rsidR="00D4501D" w:rsidRPr="000537B0" w14:paraId="5DA73754" w14:textId="77777777" w:rsidTr="00D4501D">
        <w:tc>
          <w:tcPr>
            <w:tcW w:w="1809" w:type="dxa"/>
          </w:tcPr>
          <w:p w14:paraId="685E7008" w14:textId="77777777" w:rsidR="00D4501D" w:rsidRPr="00951C27" w:rsidRDefault="00D4501D" w:rsidP="00D4501D">
            <w:pPr>
              <w:pStyle w:val="Tabletext"/>
            </w:pPr>
            <w:r w:rsidRPr="00951C27">
              <w:t>Study Design</w:t>
            </w:r>
          </w:p>
        </w:tc>
        <w:tc>
          <w:tcPr>
            <w:tcW w:w="3686" w:type="dxa"/>
          </w:tcPr>
          <w:p w14:paraId="09FCC810" w14:textId="77777777" w:rsidR="00D4501D" w:rsidRPr="00951C27" w:rsidRDefault="00D4501D" w:rsidP="00D4501D">
            <w:pPr>
              <w:pStyle w:val="Tabletext"/>
            </w:pPr>
            <w:r w:rsidRPr="00951C27">
              <w:t>Prospective, randomized, multinational, controlled, non-blinded study (BPH6)</w:t>
            </w:r>
          </w:p>
        </w:tc>
        <w:tc>
          <w:tcPr>
            <w:tcW w:w="3686" w:type="dxa"/>
          </w:tcPr>
          <w:p w14:paraId="4193C988" w14:textId="77777777" w:rsidR="00D4501D" w:rsidRPr="00951C27" w:rsidRDefault="00D4501D" w:rsidP="00D4501D">
            <w:pPr>
              <w:pStyle w:val="Tabletext"/>
            </w:pPr>
            <w:r w:rsidRPr="00951C27">
              <w:t>Prospective, randomized, multinational, controlled, non-blinded study (BPH6)</w:t>
            </w:r>
          </w:p>
        </w:tc>
      </w:tr>
      <w:tr w:rsidR="00D4501D" w:rsidRPr="000537B0" w14:paraId="43366D3E" w14:textId="77777777" w:rsidTr="00D4501D">
        <w:tc>
          <w:tcPr>
            <w:tcW w:w="1809" w:type="dxa"/>
          </w:tcPr>
          <w:p w14:paraId="730271F2" w14:textId="77777777" w:rsidR="00D4501D" w:rsidRPr="00951C27" w:rsidRDefault="00D4501D" w:rsidP="00D4501D">
            <w:pPr>
              <w:pStyle w:val="Tabletext"/>
            </w:pPr>
            <w:r w:rsidRPr="00951C27">
              <w:t>Location</w:t>
            </w:r>
          </w:p>
        </w:tc>
        <w:tc>
          <w:tcPr>
            <w:tcW w:w="3686" w:type="dxa"/>
          </w:tcPr>
          <w:p w14:paraId="3FDA485A" w14:textId="77777777" w:rsidR="00D4501D" w:rsidRPr="00951C27" w:rsidRDefault="00D4501D" w:rsidP="00D4501D">
            <w:pPr>
              <w:pStyle w:val="Tabletext"/>
            </w:pPr>
            <w:r w:rsidRPr="00951C27">
              <w:t>Denmark, UK, Italy, Germany</w:t>
            </w:r>
            <w:r w:rsidRPr="00951C27">
              <w:br/>
              <w:t xml:space="preserve">No centres in Italy were included, only Denmark, </w:t>
            </w:r>
            <w:proofErr w:type="gramStart"/>
            <w:r w:rsidRPr="00951C27">
              <w:t>UK</w:t>
            </w:r>
            <w:proofErr w:type="gramEnd"/>
            <w:r w:rsidRPr="00951C27">
              <w:t xml:space="preserve"> and Germany</w:t>
            </w:r>
          </w:p>
        </w:tc>
        <w:tc>
          <w:tcPr>
            <w:tcW w:w="3686" w:type="dxa"/>
          </w:tcPr>
          <w:p w14:paraId="34166CDA" w14:textId="77777777" w:rsidR="00D4501D" w:rsidRPr="00951C27" w:rsidRDefault="00D4501D" w:rsidP="00D4501D">
            <w:pPr>
              <w:pStyle w:val="Tabletext"/>
            </w:pPr>
            <w:r w:rsidRPr="00951C27">
              <w:t>Denmark, UK, Italy, Germany</w:t>
            </w:r>
          </w:p>
          <w:p w14:paraId="5B5ABDF6" w14:textId="77777777" w:rsidR="00D4501D" w:rsidRPr="00951C27" w:rsidRDefault="00D4501D" w:rsidP="00D4501D">
            <w:pPr>
              <w:pStyle w:val="Tabletext"/>
            </w:pPr>
            <w:r w:rsidRPr="00951C27">
              <w:t xml:space="preserve">No centres in Italy were included, only Denmark, </w:t>
            </w:r>
            <w:proofErr w:type="gramStart"/>
            <w:r w:rsidRPr="00951C27">
              <w:t>UK</w:t>
            </w:r>
            <w:proofErr w:type="gramEnd"/>
            <w:r w:rsidRPr="00951C27">
              <w:t xml:space="preserve"> and Germany</w:t>
            </w:r>
          </w:p>
        </w:tc>
      </w:tr>
      <w:tr w:rsidR="00D4501D" w:rsidRPr="000537B0" w14:paraId="7AE08F2B" w14:textId="77777777" w:rsidTr="00D4501D">
        <w:tc>
          <w:tcPr>
            <w:tcW w:w="1809" w:type="dxa"/>
          </w:tcPr>
          <w:p w14:paraId="1A09CC6D" w14:textId="77777777" w:rsidR="00D4501D" w:rsidRPr="00951C27" w:rsidRDefault="00D4501D" w:rsidP="00D4501D">
            <w:pPr>
              <w:pStyle w:val="Tabletext"/>
            </w:pPr>
            <w:r w:rsidRPr="00951C27">
              <w:t>Follow-up</w:t>
            </w:r>
          </w:p>
        </w:tc>
        <w:tc>
          <w:tcPr>
            <w:tcW w:w="3686" w:type="dxa"/>
          </w:tcPr>
          <w:p w14:paraId="04F43077" w14:textId="77777777" w:rsidR="00D4501D" w:rsidRPr="00951C27" w:rsidRDefault="00D4501D" w:rsidP="00D4501D">
            <w:pPr>
              <w:pStyle w:val="Tabletext"/>
            </w:pPr>
            <w:r w:rsidRPr="00951C27">
              <w:t>12 months</w:t>
            </w:r>
          </w:p>
        </w:tc>
        <w:tc>
          <w:tcPr>
            <w:tcW w:w="3686" w:type="dxa"/>
          </w:tcPr>
          <w:p w14:paraId="26F407EB" w14:textId="77777777" w:rsidR="00D4501D" w:rsidRPr="00951C27" w:rsidRDefault="00D4501D" w:rsidP="00D4501D">
            <w:pPr>
              <w:pStyle w:val="Tabletext"/>
            </w:pPr>
            <w:r w:rsidRPr="00951C27">
              <w:t>24 months</w:t>
            </w:r>
          </w:p>
        </w:tc>
      </w:tr>
      <w:tr w:rsidR="00D4501D" w:rsidRPr="000537B0" w14:paraId="00FB2E95" w14:textId="77777777" w:rsidTr="00D4501D">
        <w:tc>
          <w:tcPr>
            <w:tcW w:w="1809" w:type="dxa"/>
          </w:tcPr>
          <w:p w14:paraId="13E16BCB" w14:textId="77777777" w:rsidR="00D4501D" w:rsidRPr="00951C27" w:rsidRDefault="00D4501D" w:rsidP="00D4501D">
            <w:pPr>
              <w:pStyle w:val="Tabletext"/>
            </w:pPr>
            <w:r w:rsidRPr="00951C27">
              <w:t>Study Population</w:t>
            </w:r>
          </w:p>
        </w:tc>
        <w:tc>
          <w:tcPr>
            <w:tcW w:w="3686" w:type="dxa"/>
          </w:tcPr>
          <w:p w14:paraId="49F1184C" w14:textId="77777777" w:rsidR="00D4501D" w:rsidRPr="00951C27" w:rsidRDefault="00D4501D" w:rsidP="00D4501D">
            <w:pPr>
              <w:pStyle w:val="Tabletext"/>
            </w:pPr>
            <w:r w:rsidRPr="00951C27">
              <w:t>Men ≥</w:t>
            </w:r>
            <w:proofErr w:type="gramStart"/>
            <w:r w:rsidRPr="00951C27">
              <w:t>aged  50</w:t>
            </w:r>
            <w:proofErr w:type="gramEnd"/>
            <w:r w:rsidRPr="00951C27">
              <w:t xml:space="preserve"> </w:t>
            </w:r>
            <w:proofErr w:type="spellStart"/>
            <w:r w:rsidRPr="00951C27">
              <w:t>yr</w:t>
            </w:r>
            <w:proofErr w:type="spellEnd"/>
            <w:r w:rsidRPr="00951C27">
              <w:t xml:space="preserve">, IPSS &gt; 12, Prostate volume ≤  60 cm3, </w:t>
            </w:r>
            <w:proofErr w:type="spellStart"/>
            <w:r w:rsidRPr="00951C27">
              <w:t>Qmax</w:t>
            </w:r>
            <w:proofErr w:type="spellEnd"/>
            <w:r w:rsidRPr="00951C27">
              <w:t xml:space="preserve">  15 ml/s for 125-ml voided volume, sexually active within 6 months before the index procedure, SHIM score &gt; 6, ISI score ≤ 4, positive response to MSHQ-</w:t>
            </w:r>
            <w:proofErr w:type="spellStart"/>
            <w:r w:rsidRPr="00951C27">
              <w:t>EjD</w:t>
            </w:r>
            <w:proofErr w:type="spellEnd"/>
            <w:r w:rsidRPr="00951C27">
              <w:t xml:space="preserve"> (excluding the response “could not ejaculate”)</w:t>
            </w:r>
          </w:p>
        </w:tc>
        <w:tc>
          <w:tcPr>
            <w:tcW w:w="3686" w:type="dxa"/>
          </w:tcPr>
          <w:p w14:paraId="413DF560" w14:textId="77777777" w:rsidR="00D4501D" w:rsidRPr="00951C27" w:rsidRDefault="00D4501D" w:rsidP="00D4501D">
            <w:pPr>
              <w:pStyle w:val="Tabletext"/>
            </w:pPr>
            <w:r w:rsidRPr="00951C27">
              <w:t>Men ≥</w:t>
            </w:r>
            <w:proofErr w:type="gramStart"/>
            <w:r w:rsidRPr="00951C27">
              <w:t>aged  50</w:t>
            </w:r>
            <w:proofErr w:type="gramEnd"/>
            <w:r w:rsidRPr="00951C27">
              <w:t xml:space="preserve"> </w:t>
            </w:r>
            <w:proofErr w:type="spellStart"/>
            <w:r w:rsidRPr="00951C27">
              <w:t>yr</w:t>
            </w:r>
            <w:proofErr w:type="spellEnd"/>
            <w:r w:rsidRPr="00951C27">
              <w:t xml:space="preserve">, IPSS &gt; 12, Prostate volume ≤  60 cm3, </w:t>
            </w:r>
            <w:proofErr w:type="spellStart"/>
            <w:r w:rsidRPr="00951C27">
              <w:t>Qmax</w:t>
            </w:r>
            <w:proofErr w:type="spellEnd"/>
            <w:r w:rsidRPr="00951C27">
              <w:t xml:space="preserve">  15 ml/s for 125-ml voided volume, sexually active within 6 months before the index procedure, SHIM score &gt; 6, ISI score ≤ 4, positive response to MSHQ-</w:t>
            </w:r>
            <w:proofErr w:type="spellStart"/>
            <w:r w:rsidRPr="00951C27">
              <w:t>EjD</w:t>
            </w:r>
            <w:proofErr w:type="spellEnd"/>
            <w:r w:rsidRPr="00951C27">
              <w:t xml:space="preserve"> (excluding the response “could not ejaculate”)</w:t>
            </w:r>
          </w:p>
        </w:tc>
      </w:tr>
      <w:tr w:rsidR="00D4501D" w:rsidRPr="000537B0" w14:paraId="04742DC8" w14:textId="77777777" w:rsidTr="00D4501D">
        <w:tc>
          <w:tcPr>
            <w:tcW w:w="1809" w:type="dxa"/>
          </w:tcPr>
          <w:p w14:paraId="3F36C147" w14:textId="77777777" w:rsidR="00D4501D" w:rsidRPr="00951C27" w:rsidRDefault="00D4501D" w:rsidP="00D4501D">
            <w:pPr>
              <w:pStyle w:val="Tabletext"/>
            </w:pPr>
            <w:r w:rsidRPr="00951C27">
              <w:t>Exclusion criteria</w:t>
            </w:r>
          </w:p>
        </w:tc>
        <w:tc>
          <w:tcPr>
            <w:tcW w:w="7372" w:type="dxa"/>
            <w:gridSpan w:val="2"/>
          </w:tcPr>
          <w:p w14:paraId="32A18EA5" w14:textId="77777777" w:rsidR="00D4501D" w:rsidRPr="00951C27" w:rsidRDefault="00D4501D" w:rsidP="00D4501D">
            <w:pPr>
              <w:pStyle w:val="Tabletext"/>
            </w:pPr>
            <w:r w:rsidRPr="00951C27">
              <w:t xml:space="preserve">Active urinary tract infection at time of treatment, bacterial prostatitis within 1yr of the index procedure, cystolithiasis within 3mo of the index procedure, obstructive median lobe, current urinary retention, urethral condition that may prevent insertion of a rigid 20F cystoscope, previous TURP or laser procedure, pelvic surgery or irradiation, prostate-specific antigen ≥10ng/L, history of prostate or bladder cancer, severe cardiac comorbidities, anticoagulants within 3d of the index procedure, other medical condition or co-morbidity contraindicative for TURP or PUL, unwilling to report sexual function. </w:t>
            </w:r>
          </w:p>
          <w:p w14:paraId="7AEA2AAD" w14:textId="77777777" w:rsidR="00D4501D" w:rsidRPr="00951C27" w:rsidRDefault="00D4501D" w:rsidP="00D4501D">
            <w:pPr>
              <w:pStyle w:val="Tabletext"/>
            </w:pPr>
            <w:r w:rsidRPr="00951C27">
              <w:t>Declined treatment</w:t>
            </w:r>
          </w:p>
        </w:tc>
      </w:tr>
      <w:tr w:rsidR="00D4501D" w:rsidRPr="000537B0" w14:paraId="382D0630" w14:textId="77777777" w:rsidTr="00D4501D">
        <w:tc>
          <w:tcPr>
            <w:tcW w:w="1809" w:type="dxa"/>
          </w:tcPr>
          <w:p w14:paraId="780CF9BD" w14:textId="77777777" w:rsidR="00D4501D" w:rsidRPr="00951C27" w:rsidRDefault="00D4501D" w:rsidP="00D4501D">
            <w:pPr>
              <w:pStyle w:val="Tabletext"/>
            </w:pPr>
            <w:r w:rsidRPr="00951C27">
              <w:t>Population size</w:t>
            </w:r>
          </w:p>
        </w:tc>
        <w:tc>
          <w:tcPr>
            <w:tcW w:w="3686" w:type="dxa"/>
          </w:tcPr>
          <w:p w14:paraId="24D5CEAF" w14:textId="77777777" w:rsidR="00D4501D" w:rsidRPr="00951C27" w:rsidRDefault="00D4501D" w:rsidP="00D4501D">
            <w:pPr>
              <w:pStyle w:val="Tabletext"/>
            </w:pPr>
            <w:r w:rsidRPr="00951C27">
              <w:t>80 men</w:t>
            </w:r>
          </w:p>
        </w:tc>
        <w:tc>
          <w:tcPr>
            <w:tcW w:w="3686" w:type="dxa"/>
          </w:tcPr>
          <w:p w14:paraId="3966CF57" w14:textId="77777777" w:rsidR="00D4501D" w:rsidRPr="00951C27" w:rsidRDefault="00D4501D" w:rsidP="00D4501D">
            <w:pPr>
              <w:pStyle w:val="Tabletext"/>
            </w:pPr>
            <w:r w:rsidRPr="00951C27">
              <w:t>80 men</w:t>
            </w:r>
          </w:p>
        </w:tc>
      </w:tr>
      <w:tr w:rsidR="00D4501D" w:rsidRPr="000537B0" w14:paraId="3A14F0B2" w14:textId="77777777" w:rsidTr="00D4501D">
        <w:tc>
          <w:tcPr>
            <w:tcW w:w="1809" w:type="dxa"/>
          </w:tcPr>
          <w:p w14:paraId="32532127" w14:textId="77777777" w:rsidR="00D4501D" w:rsidRPr="00951C27" w:rsidRDefault="00D4501D" w:rsidP="00D4501D">
            <w:pPr>
              <w:pStyle w:val="Tabletext"/>
            </w:pPr>
            <w:r w:rsidRPr="00951C27">
              <w:t>Intervention</w:t>
            </w:r>
          </w:p>
        </w:tc>
        <w:tc>
          <w:tcPr>
            <w:tcW w:w="3686" w:type="dxa"/>
          </w:tcPr>
          <w:p w14:paraId="3A2B941C" w14:textId="77777777" w:rsidR="00D4501D" w:rsidRPr="00951C27" w:rsidRDefault="00D4501D" w:rsidP="00D4501D">
            <w:pPr>
              <w:pStyle w:val="Tabletext"/>
            </w:pPr>
            <w:r w:rsidRPr="00951C27">
              <w:t>Prostatic urethral lift</w:t>
            </w:r>
          </w:p>
        </w:tc>
        <w:tc>
          <w:tcPr>
            <w:tcW w:w="3686" w:type="dxa"/>
          </w:tcPr>
          <w:p w14:paraId="34DDBFD4" w14:textId="77777777" w:rsidR="00D4501D" w:rsidRPr="00951C27" w:rsidRDefault="00D4501D" w:rsidP="00D4501D">
            <w:pPr>
              <w:pStyle w:val="Tabletext"/>
            </w:pPr>
            <w:r w:rsidRPr="00951C27">
              <w:t>Prostatic urethral lift</w:t>
            </w:r>
          </w:p>
        </w:tc>
      </w:tr>
      <w:tr w:rsidR="00D4501D" w:rsidRPr="000537B0" w14:paraId="42394811" w14:textId="77777777" w:rsidTr="00D4501D">
        <w:tc>
          <w:tcPr>
            <w:tcW w:w="1809" w:type="dxa"/>
          </w:tcPr>
          <w:p w14:paraId="5062BDD8" w14:textId="77777777" w:rsidR="00D4501D" w:rsidRPr="00951C27" w:rsidRDefault="00D4501D" w:rsidP="00D4501D">
            <w:pPr>
              <w:pStyle w:val="Tabletext"/>
            </w:pPr>
            <w:r w:rsidRPr="00951C27">
              <w:t>Comparator</w:t>
            </w:r>
          </w:p>
        </w:tc>
        <w:tc>
          <w:tcPr>
            <w:tcW w:w="3686" w:type="dxa"/>
          </w:tcPr>
          <w:p w14:paraId="7719F7DC" w14:textId="77777777" w:rsidR="00D4501D" w:rsidRPr="00951C27" w:rsidRDefault="00D4501D" w:rsidP="00D4501D">
            <w:pPr>
              <w:pStyle w:val="Tabletext"/>
            </w:pPr>
            <w:r w:rsidRPr="00951C27">
              <w:t>TURP</w:t>
            </w:r>
          </w:p>
        </w:tc>
        <w:tc>
          <w:tcPr>
            <w:tcW w:w="3686" w:type="dxa"/>
          </w:tcPr>
          <w:p w14:paraId="3A469E72" w14:textId="77777777" w:rsidR="00D4501D" w:rsidRPr="00951C27" w:rsidRDefault="00D4501D" w:rsidP="00D4501D">
            <w:pPr>
              <w:pStyle w:val="Tabletext"/>
            </w:pPr>
            <w:r w:rsidRPr="00951C27">
              <w:t>TURP</w:t>
            </w:r>
          </w:p>
        </w:tc>
      </w:tr>
      <w:tr w:rsidR="00D4501D" w:rsidRPr="000537B0" w14:paraId="147BFED3" w14:textId="77777777" w:rsidTr="00D4501D">
        <w:tc>
          <w:tcPr>
            <w:tcW w:w="1809" w:type="dxa"/>
          </w:tcPr>
          <w:p w14:paraId="2A8E870C" w14:textId="77777777" w:rsidR="00D4501D" w:rsidRPr="00951C27" w:rsidRDefault="00D4501D" w:rsidP="00D4501D">
            <w:pPr>
              <w:pStyle w:val="Tabletext"/>
            </w:pPr>
            <w:r w:rsidRPr="00951C27">
              <w:t>Outcomes</w:t>
            </w:r>
          </w:p>
        </w:tc>
        <w:tc>
          <w:tcPr>
            <w:tcW w:w="3686" w:type="dxa"/>
          </w:tcPr>
          <w:p w14:paraId="38DFAD27" w14:textId="77777777" w:rsidR="00D4501D" w:rsidRPr="00951C27" w:rsidRDefault="00D4501D" w:rsidP="00D4501D">
            <w:pPr>
              <w:pStyle w:val="Tabletext"/>
            </w:pPr>
            <w:r w:rsidRPr="00951C27">
              <w:t xml:space="preserve">The BPH6 responder endpoint assesses symptom relief, quality of recovery, erectile function preservation, ejaculatory function preservation, continence preservation, and safety. Preservation of ejaculation and quality of recovery were superior with PUL (p&lt;0.01). Significant symptom relief was achieved in both treatment arms. The study demonstrated not only non-inferiority but also superiority of PUL over TURP on the BPH6 endpoint. </w:t>
            </w:r>
          </w:p>
        </w:tc>
        <w:tc>
          <w:tcPr>
            <w:tcW w:w="3686" w:type="dxa"/>
          </w:tcPr>
          <w:p w14:paraId="78028A2E" w14:textId="77777777" w:rsidR="00D4501D" w:rsidRPr="00951C27" w:rsidRDefault="00D4501D" w:rsidP="00D4501D">
            <w:pPr>
              <w:pStyle w:val="Tabletext"/>
            </w:pPr>
            <w:r w:rsidRPr="00951C27">
              <w:t xml:space="preserve">Change in IPSS and </w:t>
            </w:r>
            <w:proofErr w:type="spellStart"/>
            <w:r w:rsidRPr="00951C27">
              <w:t>Qmax</w:t>
            </w:r>
            <w:proofErr w:type="spellEnd"/>
            <w:r w:rsidRPr="00951C27">
              <w:t xml:space="preserve"> in the TURP arm were superior to the PUL arm. Improvements in IPSS QoL and BPHII score were not statistically different between the study arms. PUL resulted in superior quality of recovery, ejaculatory function preservation and performance on the composite BPH6 index. Ejaculatory function bother scores did not change significantly in either treatment arm. Only PUL resulted in statistically significant improvement in sleep.</w:t>
            </w:r>
          </w:p>
        </w:tc>
      </w:tr>
      <w:tr w:rsidR="00D4501D" w:rsidRPr="000537B0" w14:paraId="5E57A4E4" w14:textId="77777777" w:rsidTr="00D4501D">
        <w:tc>
          <w:tcPr>
            <w:tcW w:w="1809" w:type="dxa"/>
          </w:tcPr>
          <w:p w14:paraId="73EB9EB8" w14:textId="77777777" w:rsidR="00D4501D" w:rsidRPr="00951C27" w:rsidRDefault="00D4501D" w:rsidP="00D4501D">
            <w:pPr>
              <w:pStyle w:val="Tabletext"/>
            </w:pPr>
            <w:r w:rsidRPr="00951C27">
              <w:t>Reintervention</w:t>
            </w:r>
          </w:p>
        </w:tc>
        <w:tc>
          <w:tcPr>
            <w:tcW w:w="3686" w:type="dxa"/>
          </w:tcPr>
          <w:p w14:paraId="56F2C250" w14:textId="2AEDFAD5" w:rsidR="00D4501D" w:rsidRPr="00951C27" w:rsidRDefault="00D4501D" w:rsidP="00D4501D">
            <w:pPr>
              <w:pStyle w:val="Tabletext"/>
            </w:pPr>
            <w:r w:rsidRPr="00951C27">
              <w:t xml:space="preserve">Reintervention for failure to </w:t>
            </w:r>
            <w:r w:rsidR="000A560A" w:rsidRPr="00951C27">
              <w:t>cure occurred</w:t>
            </w:r>
            <w:r w:rsidRPr="00951C27">
              <w:t xml:space="preserve"> in 6.8% (3/44) of PUL and 5.7% (2/35) of TURP patients (not significant).</w:t>
            </w:r>
          </w:p>
        </w:tc>
        <w:tc>
          <w:tcPr>
            <w:tcW w:w="3686" w:type="dxa"/>
          </w:tcPr>
          <w:p w14:paraId="3A154DD5" w14:textId="77777777" w:rsidR="00D4501D" w:rsidRPr="00951C27" w:rsidRDefault="00D4501D" w:rsidP="00D4501D">
            <w:pPr>
              <w:pStyle w:val="Tabletext"/>
            </w:pPr>
            <w:r w:rsidRPr="00951C27">
              <w:t>At 2 years PUL had 13.6% retreatment. TURP had 5.7%.</w:t>
            </w:r>
          </w:p>
        </w:tc>
      </w:tr>
    </w:tbl>
    <w:p w14:paraId="635DA7BA" w14:textId="77777777" w:rsidR="00D4501D" w:rsidRDefault="00D4501D" w:rsidP="00D4501D">
      <w:pPr>
        <w:pStyle w:val="Tablenotes1"/>
      </w:pPr>
      <w:r>
        <w:t>Abbreviations: IPSS = I</w:t>
      </w:r>
      <w:r w:rsidRPr="000537B0">
        <w:t>nternational Prostate Symptom Score; SHIM = Sexual Health Inventory for Men; ISI = Incontinence Severity Score; MSHC-</w:t>
      </w:r>
      <w:proofErr w:type="spellStart"/>
      <w:r w:rsidRPr="000537B0">
        <w:t>EjD</w:t>
      </w:r>
      <w:proofErr w:type="spellEnd"/>
      <w:r w:rsidRPr="000537B0">
        <w:t xml:space="preserve"> = Male Sexual Health Questionnaire for Ejaculatory Dysfunction; TURP = transurethral resection of the prostate; PUL = prostatic urethral lift</w:t>
      </w:r>
      <w:r>
        <w:t xml:space="preserve">. </w:t>
      </w:r>
    </w:p>
    <w:p w14:paraId="1AF86FCD" w14:textId="77777777" w:rsidR="00D4501D" w:rsidRPr="003D0749" w:rsidRDefault="00D4501D" w:rsidP="00D4501D">
      <w:pPr>
        <w:pStyle w:val="Tablenotes1"/>
      </w:pPr>
      <w:r>
        <w:t>Source: Table 17, p57 of the commentary.</w:t>
      </w:r>
    </w:p>
    <w:p w14:paraId="47E5CE29" w14:textId="77777777" w:rsidR="00D4501D" w:rsidRPr="00D863C8" w:rsidRDefault="00D4501D" w:rsidP="00D863C8">
      <w:pPr>
        <w:rPr>
          <w:u w:val="single"/>
        </w:rPr>
      </w:pPr>
      <w:r w:rsidRPr="00D863C8">
        <w:rPr>
          <w:u w:val="single"/>
        </w:rPr>
        <w:t>VLAP versus TURP</w:t>
      </w:r>
    </w:p>
    <w:p w14:paraId="0F53D87A" w14:textId="08979409" w:rsidR="00D4501D" w:rsidRDefault="00D4501D" w:rsidP="00C11BBE">
      <w:r w:rsidRPr="000537B0">
        <w:t>No clinical tri</w:t>
      </w:r>
      <w:r>
        <w:t>als or case studies were identified</w:t>
      </w:r>
      <w:r w:rsidRPr="000537B0">
        <w:t xml:space="preserve"> </w:t>
      </w:r>
      <w:r>
        <w:t xml:space="preserve">by the ADAR </w:t>
      </w:r>
      <w:r w:rsidRPr="000537B0">
        <w:t xml:space="preserve">that directly compared </w:t>
      </w:r>
      <w:r>
        <w:t xml:space="preserve">the intervention </w:t>
      </w:r>
      <w:r w:rsidRPr="000537B0">
        <w:t xml:space="preserve">PUL to </w:t>
      </w:r>
      <w:r>
        <w:t xml:space="preserve">the additional comparator </w:t>
      </w:r>
      <w:r w:rsidRPr="000537B0">
        <w:t>VLAP.</w:t>
      </w:r>
    </w:p>
    <w:p w14:paraId="2423BFFE" w14:textId="3EB9DFBA" w:rsidR="00D4501D" w:rsidRDefault="00D4501D" w:rsidP="00C11BBE">
      <w:pPr>
        <w:spacing w:before="240"/>
        <w:jc w:val="both"/>
      </w:pPr>
      <w:r>
        <w:t>As such the safety of PUL compared to VLAP is unknown.</w:t>
      </w:r>
    </w:p>
    <w:p w14:paraId="0A893DFB" w14:textId="6E1C29D5" w:rsidR="00DB5833" w:rsidRPr="005A4362" w:rsidRDefault="00D4501D" w:rsidP="00C11BBE">
      <w:pPr>
        <w:tabs>
          <w:tab w:val="left" w:pos="720"/>
          <w:tab w:val="left" w:pos="1140"/>
        </w:tabs>
        <w:spacing w:before="240" w:after="240"/>
        <w:rPr>
          <w:i/>
          <w:szCs w:val="24"/>
        </w:rPr>
      </w:pPr>
      <w:r w:rsidRPr="007C5FF7">
        <w:t>However, the ADAR included the GOLIATH study for the</w:t>
      </w:r>
      <w:r>
        <w:rPr>
          <w:b/>
        </w:rPr>
        <w:t xml:space="preserve"> </w:t>
      </w:r>
      <w:r w:rsidRPr="000537B0">
        <w:t xml:space="preserve">clinical comparison between VLAP and TURP. </w:t>
      </w:r>
      <w:r>
        <w:t>The GOLIATH study (N=281) was a p</w:t>
      </w:r>
      <w:r w:rsidRPr="000537B0">
        <w:t>rospective</w:t>
      </w:r>
      <w:r>
        <w:t>,</w:t>
      </w:r>
      <w:r w:rsidRPr="000537B0">
        <w:t xml:space="preserve"> randomized</w:t>
      </w:r>
      <w:r>
        <w:t>, non</w:t>
      </w:r>
      <w:r w:rsidR="000A560A">
        <w:noBreakHyphen/>
      </w:r>
      <w:r>
        <w:t>blinded</w:t>
      </w:r>
      <w:r w:rsidRPr="000537B0">
        <w:t xml:space="preserve"> controlled trial with </w:t>
      </w:r>
      <w:r>
        <w:t>a 24 month follow up.</w:t>
      </w:r>
      <w:r w:rsidRPr="000537B0">
        <w:t xml:space="preserve"> The primary outcome was the </w:t>
      </w:r>
      <w:r>
        <w:t xml:space="preserve">IPSS </w:t>
      </w:r>
      <w:r w:rsidRPr="000537B0">
        <w:t xml:space="preserve">for which a margin of three was used to evaluate the non-inferiority of </w:t>
      </w:r>
      <w:r>
        <w:t>VLAP to TURP</w:t>
      </w:r>
      <w:r w:rsidRPr="000537B0">
        <w:t xml:space="preserve">. </w:t>
      </w:r>
      <w:r w:rsidRPr="000537B0">
        <w:lastRenderedPageBreak/>
        <w:t xml:space="preserve">Secondary outcomes included </w:t>
      </w:r>
      <w:proofErr w:type="spellStart"/>
      <w:r w:rsidRPr="000537B0">
        <w:t>Qmax</w:t>
      </w:r>
      <w:proofErr w:type="spellEnd"/>
      <w:r w:rsidRPr="000537B0">
        <w:t>, prostate volume, prostate specific antigen, Overactive Bladder Questionnaire Short Form, International Consultation on Incontinence Questionnaire Short Form, occurrence of surgical retreatment and freedom from complications.</w:t>
      </w:r>
      <w:r w:rsidR="00DB5833" w:rsidRPr="005A4362">
        <w:rPr>
          <w:i/>
          <w:szCs w:val="24"/>
        </w:rPr>
        <w:t xml:space="preserve"> </w:t>
      </w:r>
    </w:p>
    <w:p w14:paraId="4E1B7D55" w14:textId="77777777" w:rsidR="00BC1364" w:rsidRPr="00F715D1" w:rsidRDefault="00BC1364" w:rsidP="00F715D1">
      <w:pPr>
        <w:pStyle w:val="Heading1"/>
      </w:pPr>
      <w:r w:rsidRPr="00F715D1">
        <w:t>Comparative effectiveness</w:t>
      </w:r>
    </w:p>
    <w:p w14:paraId="0FA3F3BC" w14:textId="77777777" w:rsidR="00D4501D" w:rsidRPr="00D863C8" w:rsidRDefault="00D4501D" w:rsidP="00D863C8">
      <w:pPr>
        <w:rPr>
          <w:u w:val="single"/>
        </w:rPr>
      </w:pPr>
      <w:r w:rsidRPr="00D863C8">
        <w:rPr>
          <w:u w:val="single"/>
        </w:rPr>
        <w:t>PUL versus TURP</w:t>
      </w:r>
    </w:p>
    <w:p w14:paraId="27A8FDD7" w14:textId="6310D9AD" w:rsidR="00D4501D" w:rsidRDefault="00D4501D" w:rsidP="00C11BBE">
      <w:pPr>
        <w:spacing w:after="240"/>
      </w:pPr>
      <w:r w:rsidRPr="00C33331">
        <w:t>The comparative clinical effective</w:t>
      </w:r>
      <w:r>
        <w:t>ness of PUL versus TURP</w:t>
      </w:r>
      <w:r w:rsidRPr="00C33331">
        <w:t xml:space="preserve"> is based on the </w:t>
      </w:r>
      <w:proofErr w:type="gramStart"/>
      <w:r w:rsidRPr="00C33331">
        <w:t>two year</w:t>
      </w:r>
      <w:proofErr w:type="gramEnd"/>
      <w:r w:rsidRPr="00C33331">
        <w:t xml:space="preserve"> results of the BHP6 trial that used the composite BPH6 index as the endpoint.  </w:t>
      </w:r>
      <w:r w:rsidRPr="000537B0">
        <w:t>The summary of findings from t</w:t>
      </w:r>
      <w:r>
        <w:t xml:space="preserve">he BPH6 study is </w:t>
      </w:r>
      <w:r w:rsidRPr="00DB53F6">
        <w:t>show</w:t>
      </w:r>
      <w:r w:rsidR="00DB53F6" w:rsidRPr="00DB53F6">
        <w:t>n in Table 6</w:t>
      </w:r>
      <w:r w:rsidRPr="00DB53F6">
        <w:t>. The proportion</w:t>
      </w:r>
      <w:r w:rsidRPr="00C33331">
        <w:t xml:space="preserve"> of patients who met the BPH6 primary endpoint was found to favour PUL vs TURP (non-inferiority P = 0.0002, superiority P = 0.006</w:t>
      </w:r>
      <w:r>
        <w:t>).</w:t>
      </w:r>
    </w:p>
    <w:p w14:paraId="4F9480E0" w14:textId="490A54C6" w:rsidR="00D4501D" w:rsidRPr="00C11BBE" w:rsidRDefault="00D4501D" w:rsidP="00C11BBE">
      <w:pPr>
        <w:spacing w:before="120" w:after="240"/>
        <w:jc w:val="both"/>
      </w:pPr>
      <w:r w:rsidRPr="000537B0">
        <w:t>On the basis of the benefits and harms reported in the evidence base (summarise</w:t>
      </w:r>
      <w:r>
        <w:t>d below</w:t>
      </w:r>
      <w:r w:rsidRPr="00951C27">
        <w:t xml:space="preserve">), the ADAR suggested </w:t>
      </w:r>
      <w:proofErr w:type="gramStart"/>
      <w:r w:rsidRPr="00951C27">
        <w:t>that,</w:t>
      </w:r>
      <w:proofErr w:type="gramEnd"/>
      <w:r w:rsidRPr="00951C27">
        <w:t xml:space="preserve"> relative to TURP, PUL has non-inferior safety and effectiveness.</w:t>
      </w:r>
    </w:p>
    <w:p w14:paraId="0F210152" w14:textId="4FAEC720" w:rsidR="00D4501D" w:rsidRPr="00250EF2" w:rsidRDefault="00D4501D" w:rsidP="00250EF2">
      <w:pPr>
        <w:rPr>
          <w:rFonts w:ascii="Arial Narrow" w:hAnsi="Arial Narrow"/>
          <w:b/>
          <w:sz w:val="20"/>
        </w:rPr>
      </w:pPr>
      <w:bookmarkStart w:id="18" w:name="_Ref421184437"/>
      <w:bookmarkStart w:id="19" w:name="_Toc40172854"/>
      <w:r w:rsidRPr="00250EF2">
        <w:rPr>
          <w:rFonts w:ascii="Arial Narrow" w:hAnsi="Arial Narrow"/>
          <w:b/>
          <w:sz w:val="20"/>
        </w:rPr>
        <w:t xml:space="preserve">Table </w:t>
      </w:r>
      <w:r w:rsidR="00C11BBE" w:rsidRPr="00250EF2">
        <w:rPr>
          <w:rFonts w:ascii="Arial Narrow" w:hAnsi="Arial Narrow"/>
          <w:b/>
          <w:sz w:val="20"/>
        </w:rPr>
        <w:fldChar w:fldCharType="begin"/>
      </w:r>
      <w:r w:rsidR="00C11BBE" w:rsidRPr="00250EF2">
        <w:rPr>
          <w:rFonts w:ascii="Arial Narrow" w:hAnsi="Arial Narrow"/>
          <w:b/>
          <w:sz w:val="20"/>
        </w:rPr>
        <w:instrText xml:space="preserve"> SEQ Table \* ARABIC </w:instrText>
      </w:r>
      <w:r w:rsidR="00C11BBE" w:rsidRPr="00250EF2">
        <w:rPr>
          <w:rFonts w:ascii="Arial Narrow" w:hAnsi="Arial Narrow"/>
          <w:b/>
          <w:sz w:val="20"/>
        </w:rPr>
        <w:fldChar w:fldCharType="separate"/>
      </w:r>
      <w:r w:rsidR="003636DE" w:rsidRPr="00250EF2">
        <w:rPr>
          <w:rFonts w:ascii="Arial Narrow" w:hAnsi="Arial Narrow"/>
          <w:b/>
          <w:sz w:val="20"/>
        </w:rPr>
        <w:t>6</w:t>
      </w:r>
      <w:r w:rsidR="00C11BBE" w:rsidRPr="00250EF2">
        <w:rPr>
          <w:rFonts w:ascii="Arial Narrow" w:hAnsi="Arial Narrow"/>
          <w:b/>
          <w:sz w:val="20"/>
        </w:rPr>
        <w:fldChar w:fldCharType="end"/>
      </w:r>
      <w:bookmarkEnd w:id="18"/>
      <w:r w:rsidRPr="00250EF2">
        <w:rPr>
          <w:rFonts w:ascii="Arial Narrow" w:hAnsi="Arial Narrow"/>
          <w:b/>
          <w:sz w:val="20"/>
        </w:rPr>
        <w:t xml:space="preserve"> Balance of clinical benefits and harms of PUL, relative to TURP, and as measured by the critical patient-relevant outcomes in the key study – BPH6 at 24 months</w:t>
      </w:r>
      <w:bookmarkEnd w:id="19"/>
      <w:r w:rsidRPr="00250EF2">
        <w:rPr>
          <w:rFonts w:ascii="Arial Narrow" w:hAnsi="Arial Narrow"/>
          <w:b/>
          <w:sz w:val="20"/>
        </w:rPr>
        <w:t xml:space="preserve"> </w:t>
      </w:r>
    </w:p>
    <w:tbl>
      <w:tblPr>
        <w:tblStyle w:val="TableGrid14"/>
        <w:tblW w:w="0" w:type="auto"/>
        <w:tblLook w:val="04A0" w:firstRow="1" w:lastRow="0" w:firstColumn="1" w:lastColumn="0" w:noHBand="0" w:noVBand="1"/>
        <w:tblCaption w:val="Key results from BPH6 study"/>
        <w:tblDescription w:val="PUL was inferior to TURP on effectiveness outcomes, but superior in terms of ejaculation outcomes"/>
      </w:tblPr>
      <w:tblGrid>
        <w:gridCol w:w="1668"/>
        <w:gridCol w:w="1276"/>
        <w:gridCol w:w="1275"/>
        <w:gridCol w:w="1418"/>
        <w:gridCol w:w="1560"/>
        <w:gridCol w:w="1560"/>
      </w:tblGrid>
      <w:tr w:rsidR="00D4501D" w:rsidRPr="000537B0" w14:paraId="2305DD2B" w14:textId="77777777" w:rsidTr="00221228">
        <w:trPr>
          <w:tblHeader/>
        </w:trPr>
        <w:tc>
          <w:tcPr>
            <w:tcW w:w="1668" w:type="dxa"/>
          </w:tcPr>
          <w:p w14:paraId="003C6881" w14:textId="77777777" w:rsidR="00D4501D" w:rsidRPr="000537B0" w:rsidRDefault="00D4501D" w:rsidP="00D4501D">
            <w:pPr>
              <w:spacing w:before="60" w:after="60"/>
              <w:rPr>
                <w:b/>
                <w:sz w:val="20"/>
              </w:rPr>
            </w:pPr>
            <w:r w:rsidRPr="000537B0">
              <w:rPr>
                <w:b/>
                <w:sz w:val="20"/>
              </w:rPr>
              <w:t>Endpoint</w:t>
            </w:r>
          </w:p>
        </w:tc>
        <w:tc>
          <w:tcPr>
            <w:tcW w:w="1276" w:type="dxa"/>
          </w:tcPr>
          <w:p w14:paraId="2881DBCE" w14:textId="77777777" w:rsidR="00D4501D" w:rsidRPr="000537B0" w:rsidRDefault="00D4501D" w:rsidP="00D4501D">
            <w:pPr>
              <w:spacing w:before="60" w:after="60"/>
              <w:rPr>
                <w:b/>
                <w:sz w:val="20"/>
              </w:rPr>
            </w:pPr>
          </w:p>
        </w:tc>
        <w:tc>
          <w:tcPr>
            <w:tcW w:w="1275" w:type="dxa"/>
          </w:tcPr>
          <w:p w14:paraId="18DA377F" w14:textId="77777777" w:rsidR="00D4501D" w:rsidRPr="000537B0" w:rsidRDefault="00D4501D" w:rsidP="00D4501D">
            <w:pPr>
              <w:spacing w:before="60" w:after="60"/>
              <w:rPr>
                <w:b/>
                <w:sz w:val="20"/>
              </w:rPr>
            </w:pPr>
            <w:r w:rsidRPr="000537B0">
              <w:rPr>
                <w:b/>
                <w:sz w:val="20"/>
              </w:rPr>
              <w:t>PUL (SD)</w:t>
            </w:r>
          </w:p>
        </w:tc>
        <w:tc>
          <w:tcPr>
            <w:tcW w:w="1418" w:type="dxa"/>
          </w:tcPr>
          <w:p w14:paraId="068FB3D8" w14:textId="77777777" w:rsidR="00D4501D" w:rsidRPr="000537B0" w:rsidRDefault="00D4501D" w:rsidP="00D4501D">
            <w:pPr>
              <w:spacing w:before="60" w:after="60"/>
              <w:rPr>
                <w:b/>
                <w:sz w:val="20"/>
              </w:rPr>
            </w:pPr>
            <w:r w:rsidRPr="000537B0">
              <w:rPr>
                <w:b/>
                <w:sz w:val="20"/>
              </w:rPr>
              <w:t>TURP (SD)</w:t>
            </w:r>
          </w:p>
        </w:tc>
        <w:tc>
          <w:tcPr>
            <w:tcW w:w="1560" w:type="dxa"/>
          </w:tcPr>
          <w:p w14:paraId="51F31B7E" w14:textId="77777777" w:rsidR="00D4501D" w:rsidRPr="000537B0" w:rsidRDefault="00D4501D" w:rsidP="00D4501D">
            <w:pPr>
              <w:spacing w:before="60" w:after="60"/>
              <w:rPr>
                <w:b/>
                <w:sz w:val="20"/>
              </w:rPr>
            </w:pPr>
            <w:r w:rsidRPr="000537B0">
              <w:rPr>
                <w:b/>
                <w:sz w:val="20"/>
              </w:rPr>
              <w:t>Difference</w:t>
            </w:r>
          </w:p>
        </w:tc>
        <w:tc>
          <w:tcPr>
            <w:tcW w:w="1560" w:type="dxa"/>
          </w:tcPr>
          <w:p w14:paraId="76728930" w14:textId="77777777" w:rsidR="00D4501D" w:rsidRPr="000537B0" w:rsidRDefault="00D4501D" w:rsidP="00D4501D">
            <w:pPr>
              <w:spacing w:before="60" w:after="60"/>
              <w:rPr>
                <w:b/>
                <w:sz w:val="20"/>
              </w:rPr>
            </w:pPr>
          </w:p>
        </w:tc>
      </w:tr>
      <w:tr w:rsidR="00D4501D" w:rsidRPr="000537B0" w14:paraId="74196B5C" w14:textId="77777777" w:rsidTr="00D4501D">
        <w:tc>
          <w:tcPr>
            <w:tcW w:w="1668" w:type="dxa"/>
          </w:tcPr>
          <w:p w14:paraId="33026F4C" w14:textId="77777777" w:rsidR="00D4501D" w:rsidRPr="00FC2D93" w:rsidRDefault="00D4501D" w:rsidP="00D4501D">
            <w:pPr>
              <w:pStyle w:val="Tabletext"/>
            </w:pPr>
            <w:r w:rsidRPr="00FC2D93">
              <w:t>IPSS Score</w:t>
            </w:r>
          </w:p>
        </w:tc>
        <w:tc>
          <w:tcPr>
            <w:tcW w:w="1276" w:type="dxa"/>
          </w:tcPr>
          <w:p w14:paraId="7F7484AE" w14:textId="77777777" w:rsidR="00D4501D" w:rsidRPr="00FC2D93" w:rsidRDefault="00D4501D" w:rsidP="00D4501D">
            <w:pPr>
              <w:pStyle w:val="Tabletext"/>
            </w:pPr>
            <w:r w:rsidRPr="00FC2D93">
              <w:t>Baseline</w:t>
            </w:r>
          </w:p>
        </w:tc>
        <w:tc>
          <w:tcPr>
            <w:tcW w:w="1275" w:type="dxa"/>
          </w:tcPr>
          <w:p w14:paraId="341311C1" w14:textId="77777777" w:rsidR="00D4501D" w:rsidRPr="00FC2D93" w:rsidRDefault="00D4501D" w:rsidP="00D4501D">
            <w:pPr>
              <w:pStyle w:val="Tabletext"/>
            </w:pPr>
            <w:r w:rsidRPr="00FC2D93">
              <w:t>21.4 (5.5)</w:t>
            </w:r>
          </w:p>
        </w:tc>
        <w:tc>
          <w:tcPr>
            <w:tcW w:w="1418" w:type="dxa"/>
          </w:tcPr>
          <w:p w14:paraId="5A9CED68" w14:textId="77777777" w:rsidR="00D4501D" w:rsidRPr="00FC2D93" w:rsidRDefault="00D4501D" w:rsidP="00D4501D">
            <w:pPr>
              <w:pStyle w:val="Tabletext"/>
            </w:pPr>
            <w:r w:rsidRPr="00FC2D93">
              <w:t>22.8 (5.9)</w:t>
            </w:r>
          </w:p>
        </w:tc>
        <w:tc>
          <w:tcPr>
            <w:tcW w:w="1560" w:type="dxa"/>
          </w:tcPr>
          <w:p w14:paraId="514C95E2" w14:textId="77777777" w:rsidR="00D4501D" w:rsidRPr="00FC2D93" w:rsidRDefault="00D4501D" w:rsidP="00D4501D">
            <w:pPr>
              <w:pStyle w:val="Tabletext"/>
            </w:pPr>
          </w:p>
        </w:tc>
        <w:tc>
          <w:tcPr>
            <w:tcW w:w="1560" w:type="dxa"/>
          </w:tcPr>
          <w:p w14:paraId="021ED68C" w14:textId="77777777" w:rsidR="00D4501D" w:rsidRPr="00FC2D93" w:rsidRDefault="00D4501D" w:rsidP="00D4501D">
            <w:pPr>
              <w:pStyle w:val="Tabletext"/>
            </w:pPr>
          </w:p>
        </w:tc>
      </w:tr>
      <w:tr w:rsidR="00D4501D" w:rsidRPr="000537B0" w14:paraId="23C26AF7" w14:textId="77777777" w:rsidTr="00D4501D">
        <w:tc>
          <w:tcPr>
            <w:tcW w:w="1668" w:type="dxa"/>
          </w:tcPr>
          <w:p w14:paraId="0E38929A" w14:textId="77777777" w:rsidR="00D4501D" w:rsidRPr="00FC2D93" w:rsidRDefault="00D4501D" w:rsidP="00D4501D">
            <w:pPr>
              <w:pStyle w:val="Tabletext"/>
            </w:pPr>
          </w:p>
        </w:tc>
        <w:tc>
          <w:tcPr>
            <w:tcW w:w="1276" w:type="dxa"/>
          </w:tcPr>
          <w:p w14:paraId="2B5CD0D3" w14:textId="77777777" w:rsidR="00D4501D" w:rsidRPr="00FC2D93" w:rsidRDefault="00D4501D" w:rsidP="00D4501D">
            <w:pPr>
              <w:pStyle w:val="Tabletext"/>
            </w:pPr>
            <w:r w:rsidRPr="00FC2D93">
              <w:t>24 months change</w:t>
            </w:r>
          </w:p>
        </w:tc>
        <w:tc>
          <w:tcPr>
            <w:tcW w:w="1275" w:type="dxa"/>
          </w:tcPr>
          <w:p w14:paraId="22C3EEF1" w14:textId="77777777" w:rsidR="00D4501D" w:rsidRPr="00FC2D93" w:rsidRDefault="00D4501D" w:rsidP="00D4501D">
            <w:pPr>
              <w:pStyle w:val="Tabletext"/>
            </w:pPr>
            <w:r w:rsidRPr="00FC2D93">
              <w:t>-9.2 (</w:t>
            </w:r>
            <w:proofErr w:type="gramStart"/>
            <w:r w:rsidRPr="00FC2D93">
              <w:t>9.2)*</w:t>
            </w:r>
            <w:proofErr w:type="gramEnd"/>
          </w:p>
          <w:p w14:paraId="51B2678B" w14:textId="77777777" w:rsidR="00D4501D" w:rsidRPr="00FC2D93" w:rsidRDefault="00D4501D" w:rsidP="00D4501D">
            <w:pPr>
              <w:pStyle w:val="Tabletext"/>
            </w:pPr>
            <w:r w:rsidRPr="00FC2D93">
              <w:t>significant improvement</w:t>
            </w:r>
          </w:p>
        </w:tc>
        <w:tc>
          <w:tcPr>
            <w:tcW w:w="1418" w:type="dxa"/>
          </w:tcPr>
          <w:p w14:paraId="443B3116" w14:textId="77777777" w:rsidR="00D4501D" w:rsidRPr="00FC2D93" w:rsidRDefault="00D4501D" w:rsidP="00D4501D">
            <w:pPr>
              <w:pStyle w:val="Tabletext"/>
            </w:pPr>
            <w:r w:rsidRPr="00FC2D93">
              <w:t>-15.3 (</w:t>
            </w:r>
            <w:proofErr w:type="gramStart"/>
            <w:r w:rsidRPr="00FC2D93">
              <w:t>7.5)*</w:t>
            </w:r>
            <w:proofErr w:type="gramEnd"/>
          </w:p>
          <w:p w14:paraId="2DD700EB" w14:textId="77777777" w:rsidR="00D4501D" w:rsidRPr="00FC2D93" w:rsidRDefault="00D4501D" w:rsidP="00D4501D">
            <w:pPr>
              <w:pStyle w:val="Tabletext"/>
            </w:pPr>
            <w:r w:rsidRPr="00FC2D93">
              <w:t>significant improvement</w:t>
            </w:r>
          </w:p>
        </w:tc>
        <w:tc>
          <w:tcPr>
            <w:tcW w:w="1560" w:type="dxa"/>
          </w:tcPr>
          <w:p w14:paraId="2C4B0EBD" w14:textId="77777777" w:rsidR="00D4501D" w:rsidRPr="00FC2D93" w:rsidRDefault="00D4501D" w:rsidP="00D4501D">
            <w:pPr>
              <w:pStyle w:val="Tabletext"/>
            </w:pPr>
            <w:r w:rsidRPr="00FC2D93">
              <w:t>P value 0.004</w:t>
            </w:r>
          </w:p>
        </w:tc>
        <w:tc>
          <w:tcPr>
            <w:tcW w:w="1560" w:type="dxa"/>
          </w:tcPr>
          <w:p w14:paraId="56813A8E" w14:textId="77777777" w:rsidR="00D4501D" w:rsidRPr="00FC2D93" w:rsidRDefault="00D4501D" w:rsidP="00D4501D">
            <w:pPr>
              <w:pStyle w:val="Tabletext"/>
            </w:pPr>
            <w:r w:rsidRPr="00FC2D93">
              <w:t xml:space="preserve">Significant </w:t>
            </w:r>
          </w:p>
          <w:p w14:paraId="36B047E2" w14:textId="77777777" w:rsidR="00D4501D" w:rsidRPr="00FC2D93" w:rsidRDefault="00D4501D" w:rsidP="00D4501D">
            <w:pPr>
              <w:pStyle w:val="Tabletext"/>
            </w:pPr>
            <w:r w:rsidRPr="00FC2D93">
              <w:t>favours TURP</w:t>
            </w:r>
          </w:p>
        </w:tc>
      </w:tr>
      <w:tr w:rsidR="00D4501D" w:rsidRPr="000537B0" w14:paraId="13D5FA4E" w14:textId="77777777" w:rsidTr="00D4501D">
        <w:tc>
          <w:tcPr>
            <w:tcW w:w="1668" w:type="dxa"/>
          </w:tcPr>
          <w:p w14:paraId="748E529B" w14:textId="77777777" w:rsidR="00D4501D" w:rsidRPr="00FC2D93" w:rsidRDefault="00D4501D" w:rsidP="00D4501D">
            <w:pPr>
              <w:pStyle w:val="Tabletext"/>
            </w:pPr>
            <w:proofErr w:type="spellStart"/>
            <w:r w:rsidRPr="00FC2D93">
              <w:t>Qmax</w:t>
            </w:r>
            <w:proofErr w:type="spellEnd"/>
            <w:r w:rsidRPr="00FC2D93">
              <w:t xml:space="preserve"> (ml/s)</w:t>
            </w:r>
          </w:p>
        </w:tc>
        <w:tc>
          <w:tcPr>
            <w:tcW w:w="1276" w:type="dxa"/>
          </w:tcPr>
          <w:p w14:paraId="1303EC16" w14:textId="77777777" w:rsidR="00D4501D" w:rsidRPr="00FC2D93" w:rsidRDefault="00D4501D" w:rsidP="00D4501D">
            <w:pPr>
              <w:pStyle w:val="Tabletext"/>
            </w:pPr>
            <w:r w:rsidRPr="00FC2D93">
              <w:t>Baseline</w:t>
            </w:r>
          </w:p>
        </w:tc>
        <w:tc>
          <w:tcPr>
            <w:tcW w:w="1275" w:type="dxa"/>
          </w:tcPr>
          <w:p w14:paraId="1884D180" w14:textId="77777777" w:rsidR="00D4501D" w:rsidRPr="00FC2D93" w:rsidRDefault="00D4501D" w:rsidP="00D4501D">
            <w:pPr>
              <w:pStyle w:val="Tabletext"/>
            </w:pPr>
            <w:r w:rsidRPr="00FC2D93">
              <w:t>9.3 (3.4)</w:t>
            </w:r>
          </w:p>
        </w:tc>
        <w:tc>
          <w:tcPr>
            <w:tcW w:w="1418" w:type="dxa"/>
          </w:tcPr>
          <w:p w14:paraId="3A65D63F" w14:textId="77777777" w:rsidR="00D4501D" w:rsidRPr="00FC2D93" w:rsidRDefault="00D4501D" w:rsidP="00D4501D">
            <w:pPr>
              <w:pStyle w:val="Tabletext"/>
            </w:pPr>
            <w:r w:rsidRPr="00FC2D93">
              <w:t>9.6 (3.4)</w:t>
            </w:r>
          </w:p>
        </w:tc>
        <w:tc>
          <w:tcPr>
            <w:tcW w:w="1560" w:type="dxa"/>
          </w:tcPr>
          <w:p w14:paraId="6FD8F1F2" w14:textId="77777777" w:rsidR="00D4501D" w:rsidRPr="00FC2D93" w:rsidRDefault="00D4501D" w:rsidP="00D4501D">
            <w:pPr>
              <w:pStyle w:val="Tabletext"/>
            </w:pPr>
          </w:p>
        </w:tc>
        <w:tc>
          <w:tcPr>
            <w:tcW w:w="1560" w:type="dxa"/>
          </w:tcPr>
          <w:p w14:paraId="70C6C08E" w14:textId="77777777" w:rsidR="00D4501D" w:rsidRPr="00FC2D93" w:rsidRDefault="00D4501D" w:rsidP="00D4501D">
            <w:pPr>
              <w:pStyle w:val="Tabletext"/>
            </w:pPr>
          </w:p>
        </w:tc>
      </w:tr>
      <w:tr w:rsidR="00D4501D" w:rsidRPr="000537B0" w14:paraId="4282720F" w14:textId="77777777" w:rsidTr="00D4501D">
        <w:tc>
          <w:tcPr>
            <w:tcW w:w="1668" w:type="dxa"/>
          </w:tcPr>
          <w:p w14:paraId="12F03969" w14:textId="77777777" w:rsidR="00D4501D" w:rsidRPr="00FC2D93" w:rsidRDefault="00D4501D" w:rsidP="00D4501D">
            <w:pPr>
              <w:pStyle w:val="Tabletext"/>
            </w:pPr>
          </w:p>
        </w:tc>
        <w:tc>
          <w:tcPr>
            <w:tcW w:w="1276" w:type="dxa"/>
          </w:tcPr>
          <w:p w14:paraId="24D73807" w14:textId="77777777" w:rsidR="00D4501D" w:rsidRPr="00FC2D93" w:rsidRDefault="00D4501D" w:rsidP="00D4501D">
            <w:pPr>
              <w:pStyle w:val="Tabletext"/>
            </w:pPr>
            <w:r w:rsidRPr="00FC2D93">
              <w:t>24 months change</w:t>
            </w:r>
          </w:p>
        </w:tc>
        <w:tc>
          <w:tcPr>
            <w:tcW w:w="1275" w:type="dxa"/>
          </w:tcPr>
          <w:p w14:paraId="6F8D37F0" w14:textId="77777777" w:rsidR="00D4501D" w:rsidRPr="00FC2D93" w:rsidRDefault="00D4501D" w:rsidP="00D4501D">
            <w:pPr>
              <w:pStyle w:val="Tabletext"/>
            </w:pPr>
            <w:r w:rsidRPr="00FC2D93">
              <w:t>14.3 (</w:t>
            </w:r>
            <w:proofErr w:type="gramStart"/>
            <w:r w:rsidRPr="00FC2D93">
              <w:t>5.3)*</w:t>
            </w:r>
            <w:proofErr w:type="gramEnd"/>
          </w:p>
          <w:p w14:paraId="17A7D266" w14:textId="77777777" w:rsidR="00D4501D" w:rsidRPr="00FC2D93" w:rsidRDefault="00D4501D" w:rsidP="00D4501D">
            <w:pPr>
              <w:pStyle w:val="Tabletext"/>
            </w:pPr>
            <w:r w:rsidRPr="00FC2D93">
              <w:t>significant improvement</w:t>
            </w:r>
          </w:p>
        </w:tc>
        <w:tc>
          <w:tcPr>
            <w:tcW w:w="1418" w:type="dxa"/>
          </w:tcPr>
          <w:p w14:paraId="1C3F4F3A" w14:textId="77777777" w:rsidR="00D4501D" w:rsidRPr="00FC2D93" w:rsidRDefault="00D4501D" w:rsidP="00D4501D">
            <w:pPr>
              <w:pStyle w:val="Tabletext"/>
            </w:pPr>
            <w:r w:rsidRPr="00FC2D93">
              <w:t>25.5 (</w:t>
            </w:r>
            <w:proofErr w:type="gramStart"/>
            <w:r w:rsidRPr="00FC2D93">
              <w:t>17.2)*</w:t>
            </w:r>
            <w:proofErr w:type="gramEnd"/>
          </w:p>
          <w:p w14:paraId="43CF1214" w14:textId="77777777" w:rsidR="00D4501D" w:rsidRPr="00FC2D93" w:rsidRDefault="00D4501D" w:rsidP="00D4501D">
            <w:pPr>
              <w:pStyle w:val="Tabletext"/>
            </w:pPr>
            <w:r w:rsidRPr="00FC2D93">
              <w:t>significant improvement</w:t>
            </w:r>
          </w:p>
        </w:tc>
        <w:tc>
          <w:tcPr>
            <w:tcW w:w="1560" w:type="dxa"/>
          </w:tcPr>
          <w:p w14:paraId="79F550F8" w14:textId="77777777" w:rsidR="00D4501D" w:rsidRPr="00FC2D93" w:rsidRDefault="00D4501D" w:rsidP="00D4501D">
            <w:pPr>
              <w:pStyle w:val="Tabletext"/>
            </w:pPr>
            <w:r w:rsidRPr="00FC2D93">
              <w:t>P value 0.002</w:t>
            </w:r>
          </w:p>
        </w:tc>
        <w:tc>
          <w:tcPr>
            <w:tcW w:w="1560" w:type="dxa"/>
          </w:tcPr>
          <w:p w14:paraId="533033C7" w14:textId="77777777" w:rsidR="00D4501D" w:rsidRPr="00FC2D93" w:rsidRDefault="00D4501D" w:rsidP="00D4501D">
            <w:pPr>
              <w:pStyle w:val="Tabletext"/>
            </w:pPr>
            <w:r w:rsidRPr="00FC2D93">
              <w:t>Significant</w:t>
            </w:r>
          </w:p>
          <w:p w14:paraId="7B3F3287" w14:textId="77777777" w:rsidR="00D4501D" w:rsidRPr="00FC2D93" w:rsidRDefault="00D4501D" w:rsidP="00D4501D">
            <w:pPr>
              <w:pStyle w:val="Tabletext"/>
            </w:pPr>
            <w:r w:rsidRPr="00FC2D93">
              <w:t>favours TURP</w:t>
            </w:r>
          </w:p>
        </w:tc>
      </w:tr>
      <w:tr w:rsidR="00D4501D" w:rsidRPr="000537B0" w14:paraId="5C02EEE2" w14:textId="77777777" w:rsidTr="00D4501D">
        <w:tc>
          <w:tcPr>
            <w:tcW w:w="1668" w:type="dxa"/>
          </w:tcPr>
          <w:p w14:paraId="215E7D99" w14:textId="77777777" w:rsidR="00D4501D" w:rsidRPr="00FC2D93" w:rsidRDefault="00D4501D" w:rsidP="00D4501D">
            <w:pPr>
              <w:pStyle w:val="Tabletext"/>
            </w:pPr>
            <w:r w:rsidRPr="00FC2D93">
              <w:t>PVR (ml)</w:t>
            </w:r>
          </w:p>
        </w:tc>
        <w:tc>
          <w:tcPr>
            <w:tcW w:w="1276" w:type="dxa"/>
          </w:tcPr>
          <w:p w14:paraId="41050962" w14:textId="77777777" w:rsidR="00D4501D" w:rsidRPr="00FC2D93" w:rsidRDefault="00D4501D" w:rsidP="00D4501D">
            <w:pPr>
              <w:pStyle w:val="Tabletext"/>
            </w:pPr>
            <w:r w:rsidRPr="00FC2D93">
              <w:t>Baseline</w:t>
            </w:r>
          </w:p>
        </w:tc>
        <w:tc>
          <w:tcPr>
            <w:tcW w:w="1275" w:type="dxa"/>
          </w:tcPr>
          <w:p w14:paraId="7945D448" w14:textId="77777777" w:rsidR="00D4501D" w:rsidRPr="00FC2D93" w:rsidRDefault="00D4501D" w:rsidP="00D4501D">
            <w:pPr>
              <w:pStyle w:val="Tabletext"/>
            </w:pPr>
            <w:r w:rsidRPr="00FC2D93">
              <w:t>80.5 (61.0)</w:t>
            </w:r>
          </w:p>
        </w:tc>
        <w:tc>
          <w:tcPr>
            <w:tcW w:w="1418" w:type="dxa"/>
          </w:tcPr>
          <w:p w14:paraId="06EDCCA4" w14:textId="77777777" w:rsidR="00D4501D" w:rsidRPr="00FC2D93" w:rsidRDefault="00D4501D" w:rsidP="00D4501D">
            <w:pPr>
              <w:pStyle w:val="Tabletext"/>
            </w:pPr>
            <w:r w:rsidRPr="00FC2D93">
              <w:t>98.8 (87.1)</w:t>
            </w:r>
          </w:p>
        </w:tc>
        <w:tc>
          <w:tcPr>
            <w:tcW w:w="1560" w:type="dxa"/>
          </w:tcPr>
          <w:p w14:paraId="6BD05411" w14:textId="77777777" w:rsidR="00D4501D" w:rsidRPr="00FC2D93" w:rsidRDefault="00D4501D" w:rsidP="00D4501D">
            <w:pPr>
              <w:pStyle w:val="Tabletext"/>
            </w:pPr>
          </w:p>
        </w:tc>
        <w:tc>
          <w:tcPr>
            <w:tcW w:w="1560" w:type="dxa"/>
          </w:tcPr>
          <w:p w14:paraId="3235FBA0" w14:textId="77777777" w:rsidR="00D4501D" w:rsidRPr="00FC2D93" w:rsidRDefault="00D4501D" w:rsidP="00D4501D">
            <w:pPr>
              <w:pStyle w:val="Tabletext"/>
            </w:pPr>
          </w:p>
        </w:tc>
      </w:tr>
      <w:tr w:rsidR="00D4501D" w:rsidRPr="000537B0" w14:paraId="0E74BADB" w14:textId="77777777" w:rsidTr="00D4501D">
        <w:tc>
          <w:tcPr>
            <w:tcW w:w="1668" w:type="dxa"/>
          </w:tcPr>
          <w:p w14:paraId="7793320F" w14:textId="77777777" w:rsidR="00D4501D" w:rsidRPr="00FC2D93" w:rsidRDefault="00D4501D" w:rsidP="00D4501D">
            <w:pPr>
              <w:pStyle w:val="Tabletext"/>
            </w:pPr>
          </w:p>
        </w:tc>
        <w:tc>
          <w:tcPr>
            <w:tcW w:w="1276" w:type="dxa"/>
          </w:tcPr>
          <w:p w14:paraId="64F4611C" w14:textId="77777777" w:rsidR="00D4501D" w:rsidRPr="00FC2D93" w:rsidRDefault="00D4501D" w:rsidP="00D4501D">
            <w:pPr>
              <w:pStyle w:val="Tabletext"/>
            </w:pPr>
            <w:r w:rsidRPr="00FC2D93">
              <w:t>24 months change</w:t>
            </w:r>
          </w:p>
        </w:tc>
        <w:tc>
          <w:tcPr>
            <w:tcW w:w="1275" w:type="dxa"/>
          </w:tcPr>
          <w:p w14:paraId="0E3E4C29" w14:textId="77777777" w:rsidR="00D4501D" w:rsidRPr="00FC2D93" w:rsidRDefault="00D4501D" w:rsidP="00D4501D">
            <w:pPr>
              <w:pStyle w:val="Tabletext"/>
            </w:pPr>
            <w:r w:rsidRPr="00FC2D93">
              <w:t>-10.6 (56.7)</w:t>
            </w:r>
          </w:p>
        </w:tc>
        <w:tc>
          <w:tcPr>
            <w:tcW w:w="1418" w:type="dxa"/>
          </w:tcPr>
          <w:p w14:paraId="06FC8455" w14:textId="77777777" w:rsidR="00D4501D" w:rsidRPr="00FC2D93" w:rsidRDefault="00D4501D" w:rsidP="00D4501D">
            <w:pPr>
              <w:pStyle w:val="Tabletext"/>
            </w:pPr>
            <w:r w:rsidRPr="00FC2D93">
              <w:t>-42.5 (</w:t>
            </w:r>
            <w:proofErr w:type="gramStart"/>
            <w:r w:rsidRPr="00FC2D93">
              <w:t>91.7)*</w:t>
            </w:r>
            <w:proofErr w:type="gramEnd"/>
          </w:p>
          <w:p w14:paraId="206D76A4" w14:textId="77777777" w:rsidR="00D4501D" w:rsidRPr="00FC2D93" w:rsidRDefault="00D4501D" w:rsidP="00D4501D">
            <w:pPr>
              <w:pStyle w:val="Tabletext"/>
            </w:pPr>
            <w:r w:rsidRPr="00FC2D93">
              <w:t>significant improvement</w:t>
            </w:r>
          </w:p>
        </w:tc>
        <w:tc>
          <w:tcPr>
            <w:tcW w:w="1560" w:type="dxa"/>
          </w:tcPr>
          <w:p w14:paraId="226D292D" w14:textId="77777777" w:rsidR="00D4501D" w:rsidRPr="00FC2D93" w:rsidRDefault="00D4501D" w:rsidP="00D4501D">
            <w:pPr>
              <w:pStyle w:val="Tabletext"/>
            </w:pPr>
            <w:r w:rsidRPr="00FC2D93">
              <w:t>P value 0.091</w:t>
            </w:r>
          </w:p>
        </w:tc>
        <w:tc>
          <w:tcPr>
            <w:tcW w:w="1560" w:type="dxa"/>
          </w:tcPr>
          <w:p w14:paraId="50D174A5" w14:textId="77777777" w:rsidR="00D4501D" w:rsidRPr="00FC2D93" w:rsidRDefault="00D4501D" w:rsidP="00D4501D">
            <w:pPr>
              <w:pStyle w:val="Tabletext"/>
            </w:pPr>
            <w:r w:rsidRPr="00FC2D93">
              <w:t>Not significant</w:t>
            </w:r>
          </w:p>
        </w:tc>
      </w:tr>
      <w:tr w:rsidR="00D4501D" w:rsidRPr="000537B0" w14:paraId="7FBCAAA8" w14:textId="77777777" w:rsidTr="00D4501D">
        <w:tc>
          <w:tcPr>
            <w:tcW w:w="1668" w:type="dxa"/>
          </w:tcPr>
          <w:p w14:paraId="2F312007" w14:textId="77777777" w:rsidR="00D4501D" w:rsidRPr="00FC2D93" w:rsidRDefault="00D4501D" w:rsidP="00D4501D">
            <w:pPr>
              <w:pStyle w:val="Tabletext"/>
            </w:pPr>
            <w:r w:rsidRPr="00FC2D93">
              <w:t>IPSS-QoL</w:t>
            </w:r>
          </w:p>
        </w:tc>
        <w:tc>
          <w:tcPr>
            <w:tcW w:w="1276" w:type="dxa"/>
          </w:tcPr>
          <w:p w14:paraId="0AA6766D" w14:textId="77777777" w:rsidR="00D4501D" w:rsidRPr="00FC2D93" w:rsidRDefault="00D4501D" w:rsidP="00D4501D">
            <w:pPr>
              <w:pStyle w:val="Tabletext"/>
            </w:pPr>
            <w:r w:rsidRPr="00FC2D93">
              <w:t>Baseline</w:t>
            </w:r>
          </w:p>
        </w:tc>
        <w:tc>
          <w:tcPr>
            <w:tcW w:w="1275" w:type="dxa"/>
          </w:tcPr>
          <w:p w14:paraId="2F19EAD2" w14:textId="77777777" w:rsidR="00D4501D" w:rsidRPr="00FC2D93" w:rsidRDefault="00D4501D" w:rsidP="00D4501D">
            <w:pPr>
              <w:pStyle w:val="Tabletext"/>
            </w:pPr>
            <w:r w:rsidRPr="00FC2D93">
              <w:t>4.6 (1.1)</w:t>
            </w:r>
          </w:p>
        </w:tc>
        <w:tc>
          <w:tcPr>
            <w:tcW w:w="1418" w:type="dxa"/>
          </w:tcPr>
          <w:p w14:paraId="10524F1C" w14:textId="77777777" w:rsidR="00D4501D" w:rsidRPr="00FC2D93" w:rsidRDefault="00D4501D" w:rsidP="00D4501D">
            <w:pPr>
              <w:pStyle w:val="Tabletext"/>
            </w:pPr>
            <w:r w:rsidRPr="00FC2D93">
              <w:t>4.6 (1.2)</w:t>
            </w:r>
          </w:p>
        </w:tc>
        <w:tc>
          <w:tcPr>
            <w:tcW w:w="1560" w:type="dxa"/>
          </w:tcPr>
          <w:p w14:paraId="40B1B053" w14:textId="77777777" w:rsidR="00D4501D" w:rsidRPr="00FC2D93" w:rsidRDefault="00D4501D" w:rsidP="00D4501D">
            <w:pPr>
              <w:pStyle w:val="Tabletext"/>
            </w:pPr>
          </w:p>
        </w:tc>
        <w:tc>
          <w:tcPr>
            <w:tcW w:w="1560" w:type="dxa"/>
          </w:tcPr>
          <w:p w14:paraId="7BC6411B" w14:textId="77777777" w:rsidR="00D4501D" w:rsidRPr="00FC2D93" w:rsidRDefault="00D4501D" w:rsidP="00D4501D">
            <w:pPr>
              <w:pStyle w:val="Tabletext"/>
            </w:pPr>
          </w:p>
        </w:tc>
      </w:tr>
      <w:tr w:rsidR="00D4501D" w:rsidRPr="000537B0" w14:paraId="3A47C852" w14:textId="77777777" w:rsidTr="00D4501D">
        <w:tc>
          <w:tcPr>
            <w:tcW w:w="1668" w:type="dxa"/>
          </w:tcPr>
          <w:p w14:paraId="03EBE6FF" w14:textId="77777777" w:rsidR="00D4501D" w:rsidRPr="00FC2D93" w:rsidRDefault="00D4501D" w:rsidP="00D4501D">
            <w:pPr>
              <w:pStyle w:val="Tabletext"/>
            </w:pPr>
          </w:p>
        </w:tc>
        <w:tc>
          <w:tcPr>
            <w:tcW w:w="1276" w:type="dxa"/>
          </w:tcPr>
          <w:p w14:paraId="0C0970C6" w14:textId="77777777" w:rsidR="00D4501D" w:rsidRPr="00FC2D93" w:rsidRDefault="00D4501D" w:rsidP="00D4501D">
            <w:pPr>
              <w:pStyle w:val="Tabletext"/>
            </w:pPr>
            <w:r w:rsidRPr="00FC2D93">
              <w:t>24 months</w:t>
            </w:r>
          </w:p>
        </w:tc>
        <w:tc>
          <w:tcPr>
            <w:tcW w:w="1275" w:type="dxa"/>
          </w:tcPr>
          <w:p w14:paraId="61380EE1" w14:textId="77777777" w:rsidR="00D4501D" w:rsidRPr="00FC2D93" w:rsidRDefault="00D4501D" w:rsidP="00D4501D">
            <w:pPr>
              <w:pStyle w:val="Tabletext"/>
            </w:pPr>
            <w:r w:rsidRPr="00FC2D93">
              <w:t>2.1 (</w:t>
            </w:r>
            <w:proofErr w:type="gramStart"/>
            <w:r w:rsidRPr="00FC2D93">
              <w:t>1.6)*</w:t>
            </w:r>
            <w:proofErr w:type="gramEnd"/>
          </w:p>
          <w:p w14:paraId="3E9FBB5C" w14:textId="77777777" w:rsidR="00D4501D" w:rsidRPr="00FC2D93" w:rsidRDefault="00D4501D" w:rsidP="00D4501D">
            <w:pPr>
              <w:pStyle w:val="Tabletext"/>
            </w:pPr>
            <w:r w:rsidRPr="00FC2D93">
              <w:t>significant improvement</w:t>
            </w:r>
          </w:p>
        </w:tc>
        <w:tc>
          <w:tcPr>
            <w:tcW w:w="1418" w:type="dxa"/>
          </w:tcPr>
          <w:p w14:paraId="10E3884C" w14:textId="77777777" w:rsidR="00D4501D" w:rsidRPr="00FC2D93" w:rsidRDefault="00D4501D" w:rsidP="00D4501D">
            <w:pPr>
              <w:pStyle w:val="Tabletext"/>
            </w:pPr>
            <w:r w:rsidRPr="00FC2D93">
              <w:t>1.3 (</w:t>
            </w:r>
            <w:proofErr w:type="gramStart"/>
            <w:r w:rsidRPr="00FC2D93">
              <w:t>1.5)*</w:t>
            </w:r>
            <w:proofErr w:type="gramEnd"/>
          </w:p>
          <w:p w14:paraId="03F09737" w14:textId="77777777" w:rsidR="00D4501D" w:rsidRPr="00FC2D93" w:rsidRDefault="00D4501D" w:rsidP="00D4501D">
            <w:pPr>
              <w:pStyle w:val="Tabletext"/>
            </w:pPr>
            <w:r w:rsidRPr="00FC2D93">
              <w:t>significant improvement</w:t>
            </w:r>
          </w:p>
        </w:tc>
        <w:tc>
          <w:tcPr>
            <w:tcW w:w="1560" w:type="dxa"/>
          </w:tcPr>
          <w:p w14:paraId="3FE5D705" w14:textId="77777777" w:rsidR="00D4501D" w:rsidRPr="00FC2D93" w:rsidRDefault="00D4501D" w:rsidP="00D4501D">
            <w:pPr>
              <w:pStyle w:val="Tabletext"/>
            </w:pPr>
            <w:r w:rsidRPr="00FC2D93">
              <w:t>P value 0.066</w:t>
            </w:r>
          </w:p>
        </w:tc>
        <w:tc>
          <w:tcPr>
            <w:tcW w:w="1560" w:type="dxa"/>
          </w:tcPr>
          <w:p w14:paraId="6F76C3F0" w14:textId="77777777" w:rsidR="00D4501D" w:rsidRPr="00FC2D93" w:rsidRDefault="00D4501D" w:rsidP="00D4501D">
            <w:pPr>
              <w:pStyle w:val="Tabletext"/>
            </w:pPr>
            <w:r w:rsidRPr="00FC2D93">
              <w:t>Not significant</w:t>
            </w:r>
          </w:p>
        </w:tc>
      </w:tr>
      <w:tr w:rsidR="00D4501D" w:rsidRPr="000537B0" w14:paraId="43FA6FE2" w14:textId="77777777" w:rsidTr="00D4501D">
        <w:tc>
          <w:tcPr>
            <w:tcW w:w="1668" w:type="dxa"/>
          </w:tcPr>
          <w:p w14:paraId="6EDCCE9F" w14:textId="77777777" w:rsidR="00D4501D" w:rsidRPr="00FC2D93" w:rsidRDefault="00D4501D" w:rsidP="00D4501D">
            <w:pPr>
              <w:pStyle w:val="Tabletext"/>
            </w:pPr>
            <w:r w:rsidRPr="00FC2D93">
              <w:t>SHIM</w:t>
            </w:r>
          </w:p>
        </w:tc>
        <w:tc>
          <w:tcPr>
            <w:tcW w:w="1276" w:type="dxa"/>
          </w:tcPr>
          <w:p w14:paraId="27EFABFD" w14:textId="77777777" w:rsidR="00D4501D" w:rsidRPr="00FC2D93" w:rsidRDefault="00D4501D" w:rsidP="00D4501D">
            <w:pPr>
              <w:pStyle w:val="Tabletext"/>
            </w:pPr>
            <w:r w:rsidRPr="00FC2D93">
              <w:t>Baseline</w:t>
            </w:r>
          </w:p>
        </w:tc>
        <w:tc>
          <w:tcPr>
            <w:tcW w:w="1275" w:type="dxa"/>
          </w:tcPr>
          <w:p w14:paraId="30A5D710" w14:textId="77777777" w:rsidR="00D4501D" w:rsidRPr="00FC2D93" w:rsidRDefault="00D4501D" w:rsidP="00D4501D">
            <w:pPr>
              <w:pStyle w:val="Tabletext"/>
            </w:pPr>
            <w:r w:rsidRPr="00FC2D93">
              <w:t>20.4 (4.5)</w:t>
            </w:r>
          </w:p>
        </w:tc>
        <w:tc>
          <w:tcPr>
            <w:tcW w:w="1418" w:type="dxa"/>
          </w:tcPr>
          <w:p w14:paraId="65384598" w14:textId="77777777" w:rsidR="00D4501D" w:rsidRPr="00FC2D93" w:rsidRDefault="00D4501D" w:rsidP="00D4501D">
            <w:pPr>
              <w:pStyle w:val="Tabletext"/>
            </w:pPr>
            <w:r w:rsidRPr="00FC2D93">
              <w:t>18.5 (5.3)</w:t>
            </w:r>
          </w:p>
        </w:tc>
        <w:tc>
          <w:tcPr>
            <w:tcW w:w="1560" w:type="dxa"/>
          </w:tcPr>
          <w:p w14:paraId="3AD2CEAE" w14:textId="77777777" w:rsidR="00D4501D" w:rsidRPr="00FC2D93" w:rsidRDefault="00D4501D" w:rsidP="00D4501D">
            <w:pPr>
              <w:pStyle w:val="Tabletext"/>
            </w:pPr>
          </w:p>
        </w:tc>
        <w:tc>
          <w:tcPr>
            <w:tcW w:w="1560" w:type="dxa"/>
          </w:tcPr>
          <w:p w14:paraId="444FC9B8" w14:textId="77777777" w:rsidR="00D4501D" w:rsidRPr="00FC2D93" w:rsidRDefault="00D4501D" w:rsidP="00D4501D">
            <w:pPr>
              <w:pStyle w:val="Tabletext"/>
            </w:pPr>
          </w:p>
        </w:tc>
      </w:tr>
      <w:tr w:rsidR="00D4501D" w:rsidRPr="000537B0" w14:paraId="30E7E278" w14:textId="77777777" w:rsidTr="00D4501D">
        <w:tc>
          <w:tcPr>
            <w:tcW w:w="1668" w:type="dxa"/>
          </w:tcPr>
          <w:p w14:paraId="79A31B59" w14:textId="77777777" w:rsidR="00D4501D" w:rsidRPr="00FC2D93" w:rsidRDefault="00D4501D" w:rsidP="00D4501D">
            <w:pPr>
              <w:pStyle w:val="Tabletext"/>
            </w:pPr>
          </w:p>
        </w:tc>
        <w:tc>
          <w:tcPr>
            <w:tcW w:w="1276" w:type="dxa"/>
          </w:tcPr>
          <w:p w14:paraId="015D14E8" w14:textId="77777777" w:rsidR="00D4501D" w:rsidRPr="00FC2D93" w:rsidRDefault="00D4501D" w:rsidP="00D4501D">
            <w:pPr>
              <w:pStyle w:val="Tabletext"/>
            </w:pPr>
            <w:r w:rsidRPr="00FC2D93">
              <w:t>24 months</w:t>
            </w:r>
          </w:p>
          <w:p w14:paraId="6AF7A739" w14:textId="77777777" w:rsidR="00D4501D" w:rsidRPr="00FC2D93" w:rsidRDefault="00D4501D" w:rsidP="00D4501D">
            <w:pPr>
              <w:pStyle w:val="Tabletext"/>
            </w:pPr>
            <w:r w:rsidRPr="00FC2D93">
              <w:t>Change</w:t>
            </w:r>
          </w:p>
        </w:tc>
        <w:tc>
          <w:tcPr>
            <w:tcW w:w="1275" w:type="dxa"/>
          </w:tcPr>
          <w:p w14:paraId="39D73696" w14:textId="77777777" w:rsidR="00D4501D" w:rsidRPr="00FC2D93" w:rsidRDefault="00D4501D" w:rsidP="00D4501D">
            <w:pPr>
              <w:pStyle w:val="Tabletext"/>
            </w:pPr>
            <w:r w:rsidRPr="00FC2D93">
              <w:t>-0.2 (4.3)</w:t>
            </w:r>
          </w:p>
        </w:tc>
        <w:tc>
          <w:tcPr>
            <w:tcW w:w="1418" w:type="dxa"/>
          </w:tcPr>
          <w:p w14:paraId="1055E7B2" w14:textId="77777777" w:rsidR="00D4501D" w:rsidRPr="00FC2D93" w:rsidRDefault="00D4501D" w:rsidP="00D4501D">
            <w:pPr>
              <w:pStyle w:val="Tabletext"/>
            </w:pPr>
            <w:r w:rsidRPr="00FC2D93">
              <w:t>-1.8 (4.9)</w:t>
            </w:r>
          </w:p>
        </w:tc>
        <w:tc>
          <w:tcPr>
            <w:tcW w:w="1560" w:type="dxa"/>
          </w:tcPr>
          <w:p w14:paraId="4AA64AEA" w14:textId="77777777" w:rsidR="00D4501D" w:rsidRPr="00FC2D93" w:rsidRDefault="00D4501D" w:rsidP="00D4501D">
            <w:pPr>
              <w:pStyle w:val="Tabletext"/>
            </w:pPr>
            <w:r w:rsidRPr="00FC2D93">
              <w:t>P value 0.201</w:t>
            </w:r>
          </w:p>
        </w:tc>
        <w:tc>
          <w:tcPr>
            <w:tcW w:w="1560" w:type="dxa"/>
          </w:tcPr>
          <w:p w14:paraId="6894D623" w14:textId="77777777" w:rsidR="00D4501D" w:rsidRPr="00FC2D93" w:rsidRDefault="00D4501D" w:rsidP="00D4501D">
            <w:pPr>
              <w:pStyle w:val="Tabletext"/>
            </w:pPr>
            <w:r w:rsidRPr="00FC2D93">
              <w:t>Not significant</w:t>
            </w:r>
          </w:p>
        </w:tc>
      </w:tr>
      <w:tr w:rsidR="00D4501D" w:rsidRPr="000537B0" w14:paraId="6873D39B" w14:textId="77777777" w:rsidTr="00D4501D">
        <w:tc>
          <w:tcPr>
            <w:tcW w:w="1668" w:type="dxa"/>
          </w:tcPr>
          <w:p w14:paraId="4AE7E2B2" w14:textId="77777777" w:rsidR="00D4501D" w:rsidRPr="00FC2D93" w:rsidRDefault="00D4501D" w:rsidP="00D4501D">
            <w:pPr>
              <w:pStyle w:val="Tabletext"/>
            </w:pPr>
            <w:r w:rsidRPr="00FC2D93">
              <w:t>MSHQ-</w:t>
            </w:r>
            <w:proofErr w:type="spellStart"/>
            <w:r w:rsidRPr="00FC2D93">
              <w:t>EjD</w:t>
            </w:r>
            <w:proofErr w:type="spellEnd"/>
          </w:p>
        </w:tc>
        <w:tc>
          <w:tcPr>
            <w:tcW w:w="1276" w:type="dxa"/>
          </w:tcPr>
          <w:p w14:paraId="3CF09CFB" w14:textId="77777777" w:rsidR="00D4501D" w:rsidRPr="00FC2D93" w:rsidRDefault="00D4501D" w:rsidP="00D4501D">
            <w:pPr>
              <w:pStyle w:val="Tabletext"/>
            </w:pPr>
            <w:r w:rsidRPr="00FC2D93">
              <w:t>Baseline</w:t>
            </w:r>
          </w:p>
        </w:tc>
        <w:tc>
          <w:tcPr>
            <w:tcW w:w="1275" w:type="dxa"/>
          </w:tcPr>
          <w:p w14:paraId="75C32C9C" w14:textId="77777777" w:rsidR="00D4501D" w:rsidRPr="00FC2D93" w:rsidRDefault="00D4501D" w:rsidP="00D4501D">
            <w:pPr>
              <w:pStyle w:val="Tabletext"/>
            </w:pPr>
            <w:r w:rsidRPr="00FC2D93">
              <w:t>10.6 (2.8)</w:t>
            </w:r>
          </w:p>
        </w:tc>
        <w:tc>
          <w:tcPr>
            <w:tcW w:w="1418" w:type="dxa"/>
          </w:tcPr>
          <w:p w14:paraId="5B935E4C" w14:textId="77777777" w:rsidR="00D4501D" w:rsidRPr="00FC2D93" w:rsidRDefault="00D4501D" w:rsidP="00D4501D">
            <w:pPr>
              <w:pStyle w:val="Tabletext"/>
            </w:pPr>
            <w:r w:rsidRPr="00FC2D93">
              <w:t>8.9 (2.3)</w:t>
            </w:r>
          </w:p>
        </w:tc>
        <w:tc>
          <w:tcPr>
            <w:tcW w:w="1560" w:type="dxa"/>
          </w:tcPr>
          <w:p w14:paraId="3F956CBD" w14:textId="77777777" w:rsidR="00D4501D" w:rsidRPr="00FC2D93" w:rsidRDefault="00D4501D" w:rsidP="00D4501D">
            <w:pPr>
              <w:pStyle w:val="Tabletext"/>
            </w:pPr>
          </w:p>
        </w:tc>
        <w:tc>
          <w:tcPr>
            <w:tcW w:w="1560" w:type="dxa"/>
          </w:tcPr>
          <w:p w14:paraId="62797469" w14:textId="77777777" w:rsidR="00D4501D" w:rsidRPr="00FC2D93" w:rsidRDefault="00D4501D" w:rsidP="00D4501D">
            <w:pPr>
              <w:pStyle w:val="Tabletext"/>
            </w:pPr>
          </w:p>
        </w:tc>
      </w:tr>
      <w:tr w:rsidR="00D4501D" w:rsidRPr="000537B0" w14:paraId="6384EF50" w14:textId="77777777" w:rsidTr="00D4501D">
        <w:tc>
          <w:tcPr>
            <w:tcW w:w="1668" w:type="dxa"/>
          </w:tcPr>
          <w:p w14:paraId="3E89DDFD" w14:textId="77777777" w:rsidR="00D4501D" w:rsidRPr="00FC2D93" w:rsidRDefault="00D4501D" w:rsidP="00D4501D">
            <w:pPr>
              <w:pStyle w:val="Tabletext"/>
            </w:pPr>
          </w:p>
        </w:tc>
        <w:tc>
          <w:tcPr>
            <w:tcW w:w="1276" w:type="dxa"/>
          </w:tcPr>
          <w:p w14:paraId="4A161657" w14:textId="77777777" w:rsidR="00D4501D" w:rsidRPr="00FC2D93" w:rsidRDefault="00D4501D" w:rsidP="00D4501D">
            <w:pPr>
              <w:pStyle w:val="Tabletext"/>
            </w:pPr>
            <w:r w:rsidRPr="00FC2D93">
              <w:t>24 months</w:t>
            </w:r>
          </w:p>
        </w:tc>
        <w:tc>
          <w:tcPr>
            <w:tcW w:w="1275" w:type="dxa"/>
          </w:tcPr>
          <w:p w14:paraId="4C63E2DE" w14:textId="77777777" w:rsidR="00D4501D" w:rsidRPr="00FC2D93" w:rsidRDefault="00D4501D" w:rsidP="00D4501D">
            <w:pPr>
              <w:pStyle w:val="Tabletext"/>
            </w:pPr>
            <w:r w:rsidRPr="00FC2D93">
              <w:t>10.9 (3.3)</w:t>
            </w:r>
          </w:p>
        </w:tc>
        <w:tc>
          <w:tcPr>
            <w:tcW w:w="1418" w:type="dxa"/>
          </w:tcPr>
          <w:p w14:paraId="2F0341A1" w14:textId="77777777" w:rsidR="00D4501D" w:rsidRPr="00FC2D93" w:rsidRDefault="00D4501D" w:rsidP="00D4501D">
            <w:pPr>
              <w:pStyle w:val="Tabletext"/>
            </w:pPr>
            <w:r w:rsidRPr="00FC2D93">
              <w:t>4.9 (</w:t>
            </w:r>
            <w:proofErr w:type="gramStart"/>
            <w:r w:rsidRPr="00FC2D93">
              <w:t>4.6)*</w:t>
            </w:r>
            <w:proofErr w:type="gramEnd"/>
          </w:p>
          <w:p w14:paraId="2AF9954E" w14:textId="77777777" w:rsidR="00D4501D" w:rsidRPr="00FC2D93" w:rsidRDefault="00D4501D" w:rsidP="00D4501D">
            <w:pPr>
              <w:pStyle w:val="Tabletext"/>
            </w:pPr>
            <w:r w:rsidRPr="00FC2D93">
              <w:t>significant deterioration</w:t>
            </w:r>
          </w:p>
        </w:tc>
        <w:tc>
          <w:tcPr>
            <w:tcW w:w="1560" w:type="dxa"/>
          </w:tcPr>
          <w:p w14:paraId="43E1A6AE" w14:textId="77777777" w:rsidR="00D4501D" w:rsidRPr="00FC2D93" w:rsidRDefault="00D4501D" w:rsidP="00D4501D">
            <w:pPr>
              <w:pStyle w:val="Tabletext"/>
            </w:pPr>
            <w:r w:rsidRPr="00FC2D93">
              <w:t>P value 0.001</w:t>
            </w:r>
          </w:p>
        </w:tc>
        <w:tc>
          <w:tcPr>
            <w:tcW w:w="1560" w:type="dxa"/>
          </w:tcPr>
          <w:p w14:paraId="42C436C7" w14:textId="77777777" w:rsidR="00D4501D" w:rsidRPr="00FC2D93" w:rsidRDefault="00D4501D" w:rsidP="00D4501D">
            <w:pPr>
              <w:pStyle w:val="Tabletext"/>
            </w:pPr>
            <w:r w:rsidRPr="00FC2D93">
              <w:t>Significant</w:t>
            </w:r>
          </w:p>
          <w:p w14:paraId="7C765AC3" w14:textId="77777777" w:rsidR="00D4501D" w:rsidRPr="00FC2D93" w:rsidRDefault="00D4501D" w:rsidP="00D4501D">
            <w:pPr>
              <w:pStyle w:val="Tabletext"/>
            </w:pPr>
            <w:r w:rsidRPr="00FC2D93">
              <w:t>favours PUL</w:t>
            </w:r>
          </w:p>
        </w:tc>
      </w:tr>
    </w:tbl>
    <w:p w14:paraId="7DDDAF4B" w14:textId="77777777" w:rsidR="00D4501D" w:rsidRDefault="00D4501D" w:rsidP="00C11BBE">
      <w:pPr>
        <w:pStyle w:val="Tablenotes"/>
      </w:pPr>
      <w:r>
        <w:t xml:space="preserve">Abbreviations: </w:t>
      </w:r>
      <w:r w:rsidRPr="000537B0">
        <w:t>IPSS = International Prostate Symptoms Score (decreased score indicates symptom relief), IPSS-QoL = International Prostate Symptoms Score – Quality of Life (decreased score indicates improvement); PVR = post-void residual urine volume (decreased score indicates better quality of recovery), SHIM, sexual health inventory for men (decreased score suggests improvement). *Hochberg method for multiple testing corrected P value &gt;0.05 for difference between baseline and 24 months. MSHQ-</w:t>
      </w:r>
      <w:proofErr w:type="spellStart"/>
      <w:r w:rsidRPr="000537B0">
        <w:t>EjD</w:t>
      </w:r>
      <w:proofErr w:type="spellEnd"/>
      <w:r w:rsidRPr="000537B0">
        <w:t xml:space="preserve"> - Ejaculatory Dysfunction (increased score suggests improvement), </w:t>
      </w:r>
      <w:proofErr w:type="spellStart"/>
      <w:r w:rsidRPr="000537B0">
        <w:t>Qmax</w:t>
      </w:r>
      <w:proofErr w:type="spellEnd"/>
      <w:r w:rsidRPr="000537B0">
        <w:t xml:space="preserve"> = peak flow rate (increase suggests better quality of recovery).</w:t>
      </w:r>
    </w:p>
    <w:p w14:paraId="19754686" w14:textId="1A9713EA" w:rsidR="00D4501D" w:rsidRDefault="00D4501D" w:rsidP="00C11BBE">
      <w:pPr>
        <w:pStyle w:val="Tablenotes"/>
      </w:pPr>
      <w:r>
        <w:t>Source: Table 2, p18 of the commentary</w:t>
      </w:r>
    </w:p>
    <w:p w14:paraId="23D15BA4" w14:textId="7BF9DB2B" w:rsidR="00D4501D" w:rsidRDefault="00D4501D" w:rsidP="00C11BBE">
      <w:pPr>
        <w:spacing w:before="240"/>
      </w:pPr>
      <w:r>
        <w:t xml:space="preserve">The commentary noted that, </w:t>
      </w:r>
      <w:proofErr w:type="gramStart"/>
      <w:r>
        <w:t>i</w:t>
      </w:r>
      <w:r w:rsidRPr="000537B0">
        <w:t>n order to</w:t>
      </w:r>
      <w:proofErr w:type="gramEnd"/>
      <w:r w:rsidRPr="000537B0">
        <w:t xml:space="preserve"> be defined as a responder</w:t>
      </w:r>
      <w:r>
        <w:t xml:space="preserve"> in the BHP6 study, all of the </w:t>
      </w:r>
      <w:r w:rsidRPr="000537B0">
        <w:t xml:space="preserve">thresholds had to be met. </w:t>
      </w:r>
      <w:r>
        <w:t>An unweighted composite measure which combines five safety outcomes and only one effectiveness outcome is biased against TURP.</w:t>
      </w:r>
    </w:p>
    <w:p w14:paraId="149F09AB" w14:textId="47B4652D" w:rsidR="00D4501D" w:rsidRPr="00566E7E" w:rsidRDefault="00D4501D" w:rsidP="00D4501D">
      <w:r>
        <w:lastRenderedPageBreak/>
        <w:t>The commentary noted that t</w:t>
      </w:r>
      <w:r w:rsidRPr="00340814">
        <w:t xml:space="preserve">he </w:t>
      </w:r>
      <w:r>
        <w:t xml:space="preserve">key measure of LUTS relief, the IPSS score, showed that TURP was significantly better than PUL at reducing symptoms. The average patient who underwent PUL still had moderate severity BPH at 24 months (mean IPSS = 12.2), which remained above the minimum IPSS required to be eligible for PUL (IPSS &gt;12). </w:t>
      </w:r>
    </w:p>
    <w:p w14:paraId="7866A873" w14:textId="52D51C4B" w:rsidR="00D4501D" w:rsidRDefault="00D4501D" w:rsidP="00C11BBE">
      <w:pPr>
        <w:spacing w:before="240"/>
      </w:pPr>
      <w:r>
        <w:t>The commentary considered that b</w:t>
      </w:r>
      <w:r w:rsidRPr="000537B0">
        <w:t xml:space="preserve">ased on the results of the BPH6, a more appropriate clinical claim for PUL would be </w:t>
      </w:r>
      <w:r w:rsidRPr="000F7207">
        <w:t>superior safety and inferior effectiveness</w:t>
      </w:r>
      <w:r w:rsidRPr="000537B0">
        <w:t xml:space="preserve"> to TURP</w:t>
      </w:r>
      <w:r>
        <w:t xml:space="preserve"> in patients with moderate to severe BPH</w:t>
      </w:r>
      <w:r w:rsidRPr="000537B0">
        <w:t xml:space="preserve">. For </w:t>
      </w:r>
      <w:r>
        <w:t>patients</w:t>
      </w:r>
      <w:r w:rsidRPr="000537B0">
        <w:t xml:space="preserve"> in whom ejaculatory functioning is a key priority, PUL may be the preferred option, despite not being as effective at reducing symptoms of BPH as TURP. However, the</w:t>
      </w:r>
      <w:r>
        <w:t xml:space="preserve"> commentary considered the</w:t>
      </w:r>
      <w:r w:rsidRPr="000537B0">
        <w:t xml:space="preserve"> two procedures cann</w:t>
      </w:r>
      <w:r w:rsidR="00C11BBE">
        <w:t>ot be claimed to be equivalent.</w:t>
      </w:r>
    </w:p>
    <w:p w14:paraId="15594E8C" w14:textId="77777777" w:rsidR="00D4501D" w:rsidRPr="00D863C8" w:rsidRDefault="00D4501D" w:rsidP="00D863C8">
      <w:pPr>
        <w:spacing w:before="240"/>
        <w:rPr>
          <w:u w:val="single"/>
        </w:rPr>
      </w:pPr>
      <w:r w:rsidRPr="00D863C8">
        <w:rPr>
          <w:u w:val="single"/>
        </w:rPr>
        <w:t>VLAP versus TURP</w:t>
      </w:r>
    </w:p>
    <w:p w14:paraId="5C288E88" w14:textId="3FF0659D" w:rsidR="00D4501D" w:rsidRDefault="00D4501D" w:rsidP="00D4501D">
      <w:r w:rsidRPr="000537B0">
        <w:t>On the basis of the benefits and harms reported in th</w:t>
      </w:r>
      <w:r>
        <w:t>e evidence base (</w:t>
      </w:r>
      <w:r w:rsidRPr="00DB53F6">
        <w:t>summarise</w:t>
      </w:r>
      <w:r w:rsidR="00DB53F6" w:rsidRPr="00DB53F6">
        <w:t>d in Table 7</w:t>
      </w:r>
      <w:r w:rsidR="00DB53F6">
        <w:t xml:space="preserve"> </w:t>
      </w:r>
      <w:r>
        <w:t>below</w:t>
      </w:r>
      <w:r w:rsidRPr="000537B0">
        <w:t xml:space="preserve">), </w:t>
      </w:r>
      <w:r>
        <w:t>the ADAR</w:t>
      </w:r>
      <w:r w:rsidRPr="000537B0">
        <w:rPr>
          <w:b/>
        </w:rPr>
        <w:t xml:space="preserve"> </w:t>
      </w:r>
      <w:r w:rsidRPr="000A50BA">
        <w:t xml:space="preserve">suggested </w:t>
      </w:r>
      <w:proofErr w:type="gramStart"/>
      <w:r w:rsidRPr="000A50BA">
        <w:t>that,</w:t>
      </w:r>
      <w:proofErr w:type="gramEnd"/>
      <w:r w:rsidRPr="000A50BA">
        <w:t xml:space="preserve"> relative to TURP, VLAP has non-inferior safety and effectiveness.</w:t>
      </w:r>
    </w:p>
    <w:p w14:paraId="1AF0D418" w14:textId="58F4CDA1" w:rsidR="00D4501D" w:rsidRPr="00250EF2" w:rsidRDefault="00D4501D" w:rsidP="00250EF2">
      <w:pPr>
        <w:spacing w:before="240"/>
        <w:rPr>
          <w:rFonts w:ascii="Arial Narrow" w:hAnsi="Arial Narrow"/>
          <w:b/>
          <w:sz w:val="20"/>
        </w:rPr>
      </w:pPr>
      <w:bookmarkStart w:id="20" w:name="_Ref40959508"/>
      <w:r w:rsidRPr="00250EF2">
        <w:rPr>
          <w:rFonts w:ascii="Arial Narrow" w:hAnsi="Arial Narrow"/>
          <w:b/>
          <w:sz w:val="20"/>
        </w:rPr>
        <w:t xml:space="preserve">Table </w:t>
      </w:r>
      <w:r w:rsidR="00C11BBE" w:rsidRPr="00250EF2">
        <w:rPr>
          <w:rFonts w:ascii="Arial Narrow" w:hAnsi="Arial Narrow"/>
          <w:b/>
          <w:sz w:val="20"/>
        </w:rPr>
        <w:fldChar w:fldCharType="begin"/>
      </w:r>
      <w:r w:rsidR="00C11BBE" w:rsidRPr="00250EF2">
        <w:rPr>
          <w:rFonts w:ascii="Arial Narrow" w:hAnsi="Arial Narrow"/>
          <w:b/>
          <w:sz w:val="20"/>
        </w:rPr>
        <w:instrText xml:space="preserve"> SEQ Table \* ARABIC </w:instrText>
      </w:r>
      <w:r w:rsidR="00C11BBE" w:rsidRPr="00250EF2">
        <w:rPr>
          <w:rFonts w:ascii="Arial Narrow" w:hAnsi="Arial Narrow"/>
          <w:b/>
          <w:sz w:val="20"/>
        </w:rPr>
        <w:fldChar w:fldCharType="separate"/>
      </w:r>
      <w:r w:rsidR="003636DE" w:rsidRPr="00250EF2">
        <w:rPr>
          <w:rFonts w:ascii="Arial Narrow" w:hAnsi="Arial Narrow"/>
          <w:b/>
          <w:sz w:val="20"/>
        </w:rPr>
        <w:t>7</w:t>
      </w:r>
      <w:r w:rsidR="00C11BBE" w:rsidRPr="00250EF2">
        <w:rPr>
          <w:rFonts w:ascii="Arial Narrow" w:hAnsi="Arial Narrow"/>
          <w:b/>
          <w:sz w:val="20"/>
        </w:rPr>
        <w:fldChar w:fldCharType="end"/>
      </w:r>
      <w:bookmarkEnd w:id="20"/>
      <w:r w:rsidRPr="00250EF2">
        <w:rPr>
          <w:rFonts w:ascii="Arial Narrow" w:hAnsi="Arial Narrow"/>
          <w:b/>
          <w:sz w:val="20"/>
        </w:rPr>
        <w:t xml:space="preserve"> Balance of clinical benefits and harms of VLAP, relative to TURP, and as measured by the critical patient-relevant outcomes in the GOLIATH study at 24 months</w:t>
      </w:r>
    </w:p>
    <w:tbl>
      <w:tblPr>
        <w:tblStyle w:val="TableGrid15"/>
        <w:tblW w:w="0" w:type="auto"/>
        <w:tblLook w:val="04A0" w:firstRow="1" w:lastRow="0" w:firstColumn="1" w:lastColumn="0" w:noHBand="0" w:noVBand="1"/>
        <w:tblCaption w:val="Comparison of VLAP and TURP"/>
        <w:tblDescription w:val="VLAP and TURP were noninferior on the outcomes of IPSS and Qmax. "/>
      </w:tblPr>
      <w:tblGrid>
        <w:gridCol w:w="1242"/>
        <w:gridCol w:w="1276"/>
        <w:gridCol w:w="1276"/>
        <w:gridCol w:w="1417"/>
        <w:gridCol w:w="1560"/>
        <w:gridCol w:w="1560"/>
      </w:tblGrid>
      <w:tr w:rsidR="00D4501D" w:rsidRPr="000537B0" w14:paraId="41B0140F" w14:textId="77777777" w:rsidTr="00221228">
        <w:trPr>
          <w:tblHeader/>
        </w:trPr>
        <w:tc>
          <w:tcPr>
            <w:tcW w:w="1242" w:type="dxa"/>
          </w:tcPr>
          <w:p w14:paraId="24056AA5" w14:textId="77777777" w:rsidR="00D4501D" w:rsidRPr="000537B0" w:rsidRDefault="00D4501D" w:rsidP="00D4501D">
            <w:pPr>
              <w:pStyle w:val="Tabletext"/>
            </w:pPr>
            <w:r w:rsidRPr="000537B0">
              <w:t>Endpoint</w:t>
            </w:r>
          </w:p>
        </w:tc>
        <w:tc>
          <w:tcPr>
            <w:tcW w:w="1276" w:type="dxa"/>
          </w:tcPr>
          <w:p w14:paraId="7ED9122E" w14:textId="77777777" w:rsidR="00D4501D" w:rsidRPr="000537B0" w:rsidRDefault="00D4501D" w:rsidP="00D4501D">
            <w:pPr>
              <w:pStyle w:val="Tabletext"/>
            </w:pPr>
          </w:p>
        </w:tc>
        <w:tc>
          <w:tcPr>
            <w:tcW w:w="1276" w:type="dxa"/>
          </w:tcPr>
          <w:p w14:paraId="689B7189" w14:textId="77777777" w:rsidR="00D4501D" w:rsidRPr="000537B0" w:rsidRDefault="00D4501D" w:rsidP="00D4501D">
            <w:pPr>
              <w:pStyle w:val="Tabletext"/>
            </w:pPr>
            <w:r w:rsidRPr="000537B0">
              <w:t>VLAP</w:t>
            </w:r>
          </w:p>
        </w:tc>
        <w:tc>
          <w:tcPr>
            <w:tcW w:w="1417" w:type="dxa"/>
          </w:tcPr>
          <w:p w14:paraId="2E5F744E" w14:textId="77777777" w:rsidR="00D4501D" w:rsidRPr="000537B0" w:rsidRDefault="00D4501D" w:rsidP="00D4501D">
            <w:pPr>
              <w:pStyle w:val="Tabletext"/>
            </w:pPr>
            <w:r w:rsidRPr="000537B0">
              <w:t>TURP</w:t>
            </w:r>
          </w:p>
        </w:tc>
        <w:tc>
          <w:tcPr>
            <w:tcW w:w="1560" w:type="dxa"/>
          </w:tcPr>
          <w:p w14:paraId="1EFD9E84" w14:textId="77777777" w:rsidR="00D4501D" w:rsidRPr="000537B0" w:rsidRDefault="00D4501D" w:rsidP="00D4501D">
            <w:pPr>
              <w:pStyle w:val="Tabletext"/>
            </w:pPr>
            <w:r w:rsidRPr="000537B0">
              <w:t>Difference</w:t>
            </w:r>
          </w:p>
        </w:tc>
        <w:tc>
          <w:tcPr>
            <w:tcW w:w="1560" w:type="dxa"/>
          </w:tcPr>
          <w:p w14:paraId="02B7010D" w14:textId="77777777" w:rsidR="00D4501D" w:rsidRPr="000537B0" w:rsidRDefault="00D4501D" w:rsidP="00D4501D">
            <w:pPr>
              <w:pStyle w:val="Tabletext"/>
            </w:pPr>
          </w:p>
        </w:tc>
      </w:tr>
      <w:tr w:rsidR="00D4501D" w:rsidRPr="000537B0" w14:paraId="1E4C254F" w14:textId="77777777" w:rsidTr="00D4501D">
        <w:tc>
          <w:tcPr>
            <w:tcW w:w="1242" w:type="dxa"/>
          </w:tcPr>
          <w:p w14:paraId="1AFE501B" w14:textId="77777777" w:rsidR="00D4501D" w:rsidRPr="000537B0" w:rsidRDefault="00D4501D" w:rsidP="00D4501D">
            <w:pPr>
              <w:pStyle w:val="Tabletext"/>
            </w:pPr>
            <w:r w:rsidRPr="000537B0">
              <w:t>IPSS Score</w:t>
            </w:r>
          </w:p>
        </w:tc>
        <w:tc>
          <w:tcPr>
            <w:tcW w:w="1276" w:type="dxa"/>
          </w:tcPr>
          <w:p w14:paraId="2953DF52" w14:textId="77777777" w:rsidR="00D4501D" w:rsidRPr="000537B0" w:rsidRDefault="00D4501D" w:rsidP="00D4501D">
            <w:pPr>
              <w:pStyle w:val="Tabletext"/>
            </w:pPr>
            <w:r w:rsidRPr="000537B0">
              <w:t>Baseline</w:t>
            </w:r>
          </w:p>
        </w:tc>
        <w:tc>
          <w:tcPr>
            <w:tcW w:w="1276" w:type="dxa"/>
          </w:tcPr>
          <w:p w14:paraId="11AB1985" w14:textId="77777777" w:rsidR="00D4501D" w:rsidRPr="000537B0" w:rsidRDefault="00D4501D" w:rsidP="00D4501D">
            <w:pPr>
              <w:pStyle w:val="Tabletext"/>
            </w:pPr>
            <w:r w:rsidRPr="000537B0">
              <w:t>21.2 ± 5.9</w:t>
            </w:r>
          </w:p>
        </w:tc>
        <w:tc>
          <w:tcPr>
            <w:tcW w:w="1417" w:type="dxa"/>
          </w:tcPr>
          <w:p w14:paraId="6BFEB6CA" w14:textId="77777777" w:rsidR="00D4501D" w:rsidRPr="000537B0" w:rsidRDefault="00D4501D" w:rsidP="00D4501D">
            <w:pPr>
              <w:pStyle w:val="Tabletext"/>
            </w:pPr>
            <w:r w:rsidRPr="000537B0">
              <w:t>21.7 ± 6.4</w:t>
            </w:r>
          </w:p>
        </w:tc>
        <w:tc>
          <w:tcPr>
            <w:tcW w:w="1560" w:type="dxa"/>
          </w:tcPr>
          <w:p w14:paraId="25B75B6B" w14:textId="77777777" w:rsidR="00D4501D" w:rsidRPr="000537B0" w:rsidRDefault="00D4501D" w:rsidP="00D4501D">
            <w:pPr>
              <w:pStyle w:val="Tabletext"/>
            </w:pPr>
          </w:p>
        </w:tc>
        <w:tc>
          <w:tcPr>
            <w:tcW w:w="1560" w:type="dxa"/>
          </w:tcPr>
          <w:p w14:paraId="063AF16A" w14:textId="77777777" w:rsidR="00D4501D" w:rsidRPr="000537B0" w:rsidRDefault="00D4501D" w:rsidP="00D4501D">
            <w:pPr>
              <w:pStyle w:val="Tabletext"/>
            </w:pPr>
          </w:p>
        </w:tc>
      </w:tr>
      <w:tr w:rsidR="00D4501D" w:rsidRPr="000537B0" w14:paraId="226D947A" w14:textId="77777777" w:rsidTr="00D4501D">
        <w:tc>
          <w:tcPr>
            <w:tcW w:w="1242" w:type="dxa"/>
          </w:tcPr>
          <w:p w14:paraId="6A400B35" w14:textId="77777777" w:rsidR="00D4501D" w:rsidRPr="000537B0" w:rsidRDefault="00D4501D" w:rsidP="00D4501D">
            <w:pPr>
              <w:pStyle w:val="Tabletext"/>
            </w:pPr>
          </w:p>
        </w:tc>
        <w:tc>
          <w:tcPr>
            <w:tcW w:w="1276" w:type="dxa"/>
          </w:tcPr>
          <w:p w14:paraId="35FAE358" w14:textId="77777777" w:rsidR="00D4501D" w:rsidRPr="000537B0" w:rsidRDefault="00D4501D" w:rsidP="00D4501D">
            <w:pPr>
              <w:pStyle w:val="Tabletext"/>
            </w:pPr>
            <w:r w:rsidRPr="000537B0">
              <w:t>24 months</w:t>
            </w:r>
          </w:p>
        </w:tc>
        <w:tc>
          <w:tcPr>
            <w:tcW w:w="1276" w:type="dxa"/>
          </w:tcPr>
          <w:p w14:paraId="74F080CE" w14:textId="77777777" w:rsidR="00D4501D" w:rsidRPr="000537B0" w:rsidRDefault="00D4501D" w:rsidP="00D4501D">
            <w:pPr>
              <w:pStyle w:val="Tabletext"/>
            </w:pPr>
            <w:r w:rsidRPr="000537B0">
              <w:t>6.9 ± 6.0</w:t>
            </w:r>
          </w:p>
        </w:tc>
        <w:tc>
          <w:tcPr>
            <w:tcW w:w="1417" w:type="dxa"/>
          </w:tcPr>
          <w:p w14:paraId="498A56DF" w14:textId="77777777" w:rsidR="00D4501D" w:rsidRPr="000537B0" w:rsidRDefault="00D4501D" w:rsidP="00D4501D">
            <w:pPr>
              <w:pStyle w:val="Tabletext"/>
            </w:pPr>
            <w:r w:rsidRPr="000537B0">
              <w:t>5.9 ± 6.1</w:t>
            </w:r>
          </w:p>
        </w:tc>
        <w:tc>
          <w:tcPr>
            <w:tcW w:w="1560" w:type="dxa"/>
          </w:tcPr>
          <w:p w14:paraId="5B33828D" w14:textId="77777777" w:rsidR="00D4501D" w:rsidRPr="000537B0" w:rsidRDefault="00D4501D" w:rsidP="00D4501D">
            <w:pPr>
              <w:pStyle w:val="Tabletext"/>
            </w:pPr>
            <w:r w:rsidRPr="000537B0">
              <w:t>1.0 [-0.5, 2.5]</w:t>
            </w:r>
          </w:p>
        </w:tc>
        <w:tc>
          <w:tcPr>
            <w:tcW w:w="1560" w:type="dxa"/>
          </w:tcPr>
          <w:p w14:paraId="62243762" w14:textId="77777777" w:rsidR="00D4501D" w:rsidRPr="000537B0" w:rsidRDefault="00D4501D" w:rsidP="00D4501D">
            <w:pPr>
              <w:pStyle w:val="Tabletext"/>
            </w:pPr>
            <w:r w:rsidRPr="000537B0">
              <w:t>Non-inferior</w:t>
            </w:r>
          </w:p>
        </w:tc>
      </w:tr>
      <w:tr w:rsidR="00D4501D" w:rsidRPr="000537B0" w14:paraId="0FFE17A1" w14:textId="77777777" w:rsidTr="00D4501D">
        <w:tc>
          <w:tcPr>
            <w:tcW w:w="1242" w:type="dxa"/>
          </w:tcPr>
          <w:p w14:paraId="60E5D90C" w14:textId="77777777" w:rsidR="00D4501D" w:rsidRPr="000537B0" w:rsidRDefault="00D4501D" w:rsidP="00D4501D">
            <w:pPr>
              <w:pStyle w:val="Tabletext"/>
            </w:pPr>
            <w:proofErr w:type="spellStart"/>
            <w:r w:rsidRPr="000537B0">
              <w:t>Qmax</w:t>
            </w:r>
            <w:proofErr w:type="spellEnd"/>
            <w:r w:rsidRPr="000537B0">
              <w:t xml:space="preserve"> (ml/s)</w:t>
            </w:r>
          </w:p>
        </w:tc>
        <w:tc>
          <w:tcPr>
            <w:tcW w:w="1276" w:type="dxa"/>
          </w:tcPr>
          <w:p w14:paraId="6CC47B32" w14:textId="77777777" w:rsidR="00D4501D" w:rsidRPr="000537B0" w:rsidRDefault="00D4501D" w:rsidP="00D4501D">
            <w:pPr>
              <w:pStyle w:val="Tabletext"/>
            </w:pPr>
            <w:r w:rsidRPr="000537B0">
              <w:t>Baseline</w:t>
            </w:r>
          </w:p>
        </w:tc>
        <w:tc>
          <w:tcPr>
            <w:tcW w:w="1276" w:type="dxa"/>
          </w:tcPr>
          <w:p w14:paraId="48B72533" w14:textId="77777777" w:rsidR="00D4501D" w:rsidRPr="000537B0" w:rsidRDefault="00D4501D" w:rsidP="00D4501D">
            <w:pPr>
              <w:pStyle w:val="Tabletext"/>
            </w:pPr>
            <w:r w:rsidRPr="000537B0">
              <w:t>9.5 ± 3.0</w:t>
            </w:r>
          </w:p>
        </w:tc>
        <w:tc>
          <w:tcPr>
            <w:tcW w:w="1417" w:type="dxa"/>
          </w:tcPr>
          <w:p w14:paraId="351AEF11" w14:textId="77777777" w:rsidR="00D4501D" w:rsidRPr="000537B0" w:rsidRDefault="00D4501D" w:rsidP="00D4501D">
            <w:pPr>
              <w:pStyle w:val="Tabletext"/>
            </w:pPr>
            <w:r w:rsidRPr="000537B0">
              <w:t>9.9 ± 3.5</w:t>
            </w:r>
          </w:p>
        </w:tc>
        <w:tc>
          <w:tcPr>
            <w:tcW w:w="1560" w:type="dxa"/>
          </w:tcPr>
          <w:p w14:paraId="65523B56" w14:textId="77777777" w:rsidR="00D4501D" w:rsidRPr="000537B0" w:rsidRDefault="00D4501D" w:rsidP="00D4501D">
            <w:pPr>
              <w:pStyle w:val="Tabletext"/>
            </w:pPr>
          </w:p>
        </w:tc>
        <w:tc>
          <w:tcPr>
            <w:tcW w:w="1560" w:type="dxa"/>
          </w:tcPr>
          <w:p w14:paraId="1EBB3C1E" w14:textId="77777777" w:rsidR="00D4501D" w:rsidRPr="000537B0" w:rsidRDefault="00D4501D" w:rsidP="00D4501D">
            <w:pPr>
              <w:pStyle w:val="Tabletext"/>
            </w:pPr>
          </w:p>
        </w:tc>
      </w:tr>
      <w:tr w:rsidR="00D4501D" w:rsidRPr="000537B0" w14:paraId="6AE84E5D" w14:textId="77777777" w:rsidTr="00D4501D">
        <w:tc>
          <w:tcPr>
            <w:tcW w:w="1242" w:type="dxa"/>
          </w:tcPr>
          <w:p w14:paraId="21DD2EF7" w14:textId="77777777" w:rsidR="00D4501D" w:rsidRPr="000537B0" w:rsidRDefault="00D4501D" w:rsidP="00D4501D">
            <w:pPr>
              <w:pStyle w:val="Tabletext"/>
            </w:pPr>
          </w:p>
        </w:tc>
        <w:tc>
          <w:tcPr>
            <w:tcW w:w="1276" w:type="dxa"/>
          </w:tcPr>
          <w:p w14:paraId="3D5F8B67" w14:textId="77777777" w:rsidR="00D4501D" w:rsidRPr="000537B0" w:rsidRDefault="00D4501D" w:rsidP="00D4501D">
            <w:pPr>
              <w:pStyle w:val="Tabletext"/>
            </w:pPr>
            <w:r w:rsidRPr="000537B0">
              <w:t>24 months</w:t>
            </w:r>
          </w:p>
        </w:tc>
        <w:tc>
          <w:tcPr>
            <w:tcW w:w="1276" w:type="dxa"/>
          </w:tcPr>
          <w:p w14:paraId="1573C7CF" w14:textId="77777777" w:rsidR="00D4501D" w:rsidRPr="000537B0" w:rsidRDefault="00D4501D" w:rsidP="00D4501D">
            <w:pPr>
              <w:pStyle w:val="Tabletext"/>
            </w:pPr>
            <w:r w:rsidRPr="000537B0">
              <w:t>21.6 ± 10.7</w:t>
            </w:r>
          </w:p>
        </w:tc>
        <w:tc>
          <w:tcPr>
            <w:tcW w:w="1417" w:type="dxa"/>
          </w:tcPr>
          <w:p w14:paraId="15C51E6D" w14:textId="77777777" w:rsidR="00D4501D" w:rsidRPr="000537B0" w:rsidRDefault="00D4501D" w:rsidP="00D4501D">
            <w:pPr>
              <w:pStyle w:val="Tabletext"/>
            </w:pPr>
            <w:r w:rsidRPr="000537B0">
              <w:t>22.9 ± 9.3</w:t>
            </w:r>
          </w:p>
        </w:tc>
        <w:tc>
          <w:tcPr>
            <w:tcW w:w="1560" w:type="dxa"/>
          </w:tcPr>
          <w:p w14:paraId="462D075A" w14:textId="77777777" w:rsidR="00D4501D" w:rsidRPr="000537B0" w:rsidRDefault="00D4501D" w:rsidP="00D4501D">
            <w:pPr>
              <w:pStyle w:val="Tabletext"/>
            </w:pPr>
            <w:r w:rsidRPr="000537B0">
              <w:t>-1.3 [-4.0, 1.4]</w:t>
            </w:r>
          </w:p>
        </w:tc>
        <w:tc>
          <w:tcPr>
            <w:tcW w:w="1560" w:type="dxa"/>
          </w:tcPr>
          <w:p w14:paraId="487FD3AC" w14:textId="77777777" w:rsidR="00D4501D" w:rsidRPr="000537B0" w:rsidRDefault="00D4501D" w:rsidP="00D4501D">
            <w:pPr>
              <w:pStyle w:val="Tabletext"/>
            </w:pPr>
            <w:r w:rsidRPr="000537B0">
              <w:t>Non-inferior</w:t>
            </w:r>
          </w:p>
        </w:tc>
      </w:tr>
      <w:tr w:rsidR="00D4501D" w:rsidRPr="000537B0" w14:paraId="57E2FA5B" w14:textId="77777777" w:rsidTr="00D4501D">
        <w:tc>
          <w:tcPr>
            <w:tcW w:w="1242" w:type="dxa"/>
          </w:tcPr>
          <w:p w14:paraId="6D1340AA" w14:textId="77777777" w:rsidR="00D4501D" w:rsidRPr="000537B0" w:rsidRDefault="00D4501D" w:rsidP="00D4501D">
            <w:pPr>
              <w:pStyle w:val="Tabletext"/>
            </w:pPr>
            <w:r w:rsidRPr="000537B0">
              <w:t>PVR (ml)</w:t>
            </w:r>
          </w:p>
        </w:tc>
        <w:tc>
          <w:tcPr>
            <w:tcW w:w="1276" w:type="dxa"/>
          </w:tcPr>
          <w:p w14:paraId="16A4B5C4" w14:textId="77777777" w:rsidR="00D4501D" w:rsidRPr="000537B0" w:rsidRDefault="00D4501D" w:rsidP="00D4501D">
            <w:pPr>
              <w:pStyle w:val="Tabletext"/>
            </w:pPr>
            <w:r w:rsidRPr="000537B0">
              <w:t>Baseline</w:t>
            </w:r>
          </w:p>
        </w:tc>
        <w:tc>
          <w:tcPr>
            <w:tcW w:w="1276" w:type="dxa"/>
          </w:tcPr>
          <w:p w14:paraId="47DDEB5B" w14:textId="77777777" w:rsidR="00D4501D" w:rsidRPr="000537B0" w:rsidRDefault="00D4501D" w:rsidP="00D4501D">
            <w:pPr>
              <w:pStyle w:val="Tabletext"/>
            </w:pPr>
            <w:r w:rsidRPr="000537B0">
              <w:t>110.1 ± 88.5</w:t>
            </w:r>
          </w:p>
        </w:tc>
        <w:tc>
          <w:tcPr>
            <w:tcW w:w="1417" w:type="dxa"/>
          </w:tcPr>
          <w:p w14:paraId="279AE305" w14:textId="77777777" w:rsidR="00D4501D" w:rsidRPr="000537B0" w:rsidRDefault="00D4501D" w:rsidP="00D4501D">
            <w:pPr>
              <w:pStyle w:val="Tabletext"/>
            </w:pPr>
            <w:r w:rsidRPr="000537B0">
              <w:t>109.8 ± 103.9</w:t>
            </w:r>
          </w:p>
        </w:tc>
        <w:tc>
          <w:tcPr>
            <w:tcW w:w="1560" w:type="dxa"/>
          </w:tcPr>
          <w:p w14:paraId="7C03EBF0" w14:textId="77777777" w:rsidR="00D4501D" w:rsidRPr="000537B0" w:rsidRDefault="00D4501D" w:rsidP="00D4501D">
            <w:pPr>
              <w:pStyle w:val="Tabletext"/>
            </w:pPr>
          </w:p>
        </w:tc>
        <w:tc>
          <w:tcPr>
            <w:tcW w:w="1560" w:type="dxa"/>
          </w:tcPr>
          <w:p w14:paraId="3D7F4E13" w14:textId="77777777" w:rsidR="00D4501D" w:rsidRPr="000537B0" w:rsidRDefault="00D4501D" w:rsidP="00D4501D">
            <w:pPr>
              <w:pStyle w:val="Tabletext"/>
            </w:pPr>
          </w:p>
        </w:tc>
      </w:tr>
      <w:tr w:rsidR="00D4501D" w:rsidRPr="000537B0" w14:paraId="2080D5C2" w14:textId="77777777" w:rsidTr="00D4501D">
        <w:tc>
          <w:tcPr>
            <w:tcW w:w="1242" w:type="dxa"/>
          </w:tcPr>
          <w:p w14:paraId="39AB4B87" w14:textId="4DD4676B" w:rsidR="00D4501D" w:rsidRPr="000537B0" w:rsidRDefault="00A56F6C" w:rsidP="00D4501D">
            <w:pPr>
              <w:pStyle w:val="Tabletext"/>
            </w:pPr>
            <w:r>
              <w:t>Suggest no</w:t>
            </w:r>
          </w:p>
        </w:tc>
        <w:tc>
          <w:tcPr>
            <w:tcW w:w="1276" w:type="dxa"/>
          </w:tcPr>
          <w:p w14:paraId="7B7D450B" w14:textId="77777777" w:rsidR="00D4501D" w:rsidRPr="000537B0" w:rsidRDefault="00D4501D" w:rsidP="00D4501D">
            <w:pPr>
              <w:pStyle w:val="Tabletext"/>
            </w:pPr>
            <w:r w:rsidRPr="000537B0">
              <w:t>24 months</w:t>
            </w:r>
          </w:p>
        </w:tc>
        <w:tc>
          <w:tcPr>
            <w:tcW w:w="1276" w:type="dxa"/>
          </w:tcPr>
          <w:p w14:paraId="0FCEB062" w14:textId="77777777" w:rsidR="00D4501D" w:rsidRPr="000537B0" w:rsidRDefault="00D4501D" w:rsidP="00D4501D">
            <w:pPr>
              <w:pStyle w:val="Tabletext"/>
            </w:pPr>
            <w:r w:rsidRPr="000537B0">
              <w:t>45.6 ± 65.5</w:t>
            </w:r>
          </w:p>
        </w:tc>
        <w:tc>
          <w:tcPr>
            <w:tcW w:w="1417" w:type="dxa"/>
          </w:tcPr>
          <w:p w14:paraId="07515CF9" w14:textId="77777777" w:rsidR="00D4501D" w:rsidRPr="000537B0" w:rsidRDefault="00D4501D" w:rsidP="00D4501D">
            <w:pPr>
              <w:pStyle w:val="Tabletext"/>
            </w:pPr>
            <w:r w:rsidRPr="000537B0">
              <w:t>34.9 ± 47.1</w:t>
            </w:r>
          </w:p>
        </w:tc>
        <w:tc>
          <w:tcPr>
            <w:tcW w:w="1560" w:type="dxa"/>
          </w:tcPr>
          <w:p w14:paraId="576866DE" w14:textId="77777777" w:rsidR="00D4501D" w:rsidRPr="000537B0" w:rsidRDefault="00D4501D" w:rsidP="00D4501D">
            <w:pPr>
              <w:pStyle w:val="Tabletext"/>
            </w:pPr>
            <w:r w:rsidRPr="000537B0">
              <w:t>P value 0.2</w:t>
            </w:r>
          </w:p>
        </w:tc>
        <w:tc>
          <w:tcPr>
            <w:tcW w:w="1560" w:type="dxa"/>
          </w:tcPr>
          <w:p w14:paraId="5B3F2525" w14:textId="77777777" w:rsidR="00D4501D" w:rsidRPr="000537B0" w:rsidRDefault="00D4501D" w:rsidP="00D4501D">
            <w:pPr>
              <w:pStyle w:val="Tabletext"/>
            </w:pPr>
            <w:r w:rsidRPr="000537B0">
              <w:t>Not significant</w:t>
            </w:r>
          </w:p>
        </w:tc>
      </w:tr>
      <w:tr w:rsidR="00D4501D" w:rsidRPr="000537B0" w14:paraId="65371EB8" w14:textId="77777777" w:rsidTr="00D4501D">
        <w:tc>
          <w:tcPr>
            <w:tcW w:w="1242" w:type="dxa"/>
          </w:tcPr>
          <w:p w14:paraId="09953ABD" w14:textId="77777777" w:rsidR="00D4501D" w:rsidRPr="000537B0" w:rsidRDefault="00D4501D" w:rsidP="00D4501D">
            <w:pPr>
              <w:pStyle w:val="Tabletext"/>
            </w:pPr>
            <w:r w:rsidRPr="000537B0">
              <w:t>IPSS-QoL</w:t>
            </w:r>
          </w:p>
        </w:tc>
        <w:tc>
          <w:tcPr>
            <w:tcW w:w="1276" w:type="dxa"/>
          </w:tcPr>
          <w:p w14:paraId="3CFB0E2C" w14:textId="77777777" w:rsidR="00D4501D" w:rsidRPr="000537B0" w:rsidRDefault="00D4501D" w:rsidP="00D4501D">
            <w:pPr>
              <w:pStyle w:val="Tabletext"/>
            </w:pPr>
            <w:r w:rsidRPr="000537B0">
              <w:t>Baseline</w:t>
            </w:r>
          </w:p>
        </w:tc>
        <w:tc>
          <w:tcPr>
            <w:tcW w:w="1276" w:type="dxa"/>
          </w:tcPr>
          <w:p w14:paraId="065B7997" w14:textId="77777777" w:rsidR="00D4501D" w:rsidRPr="000537B0" w:rsidRDefault="00D4501D" w:rsidP="00D4501D">
            <w:pPr>
              <w:pStyle w:val="Tabletext"/>
            </w:pPr>
            <w:r w:rsidRPr="000537B0">
              <w:t>4.6 ± 1.1</w:t>
            </w:r>
          </w:p>
        </w:tc>
        <w:tc>
          <w:tcPr>
            <w:tcW w:w="1417" w:type="dxa"/>
          </w:tcPr>
          <w:p w14:paraId="7E5453E5" w14:textId="77777777" w:rsidR="00D4501D" w:rsidRPr="000537B0" w:rsidRDefault="00D4501D" w:rsidP="00D4501D">
            <w:pPr>
              <w:pStyle w:val="Tabletext"/>
            </w:pPr>
            <w:r w:rsidRPr="000537B0">
              <w:t>4.5 ± 1.4</w:t>
            </w:r>
          </w:p>
        </w:tc>
        <w:tc>
          <w:tcPr>
            <w:tcW w:w="1560" w:type="dxa"/>
          </w:tcPr>
          <w:p w14:paraId="04236152" w14:textId="77777777" w:rsidR="00D4501D" w:rsidRPr="000537B0" w:rsidRDefault="00D4501D" w:rsidP="00D4501D">
            <w:pPr>
              <w:pStyle w:val="Tabletext"/>
            </w:pPr>
          </w:p>
        </w:tc>
        <w:tc>
          <w:tcPr>
            <w:tcW w:w="1560" w:type="dxa"/>
          </w:tcPr>
          <w:p w14:paraId="5C593445" w14:textId="77777777" w:rsidR="00D4501D" w:rsidRPr="000537B0" w:rsidRDefault="00D4501D" w:rsidP="00D4501D">
            <w:pPr>
              <w:pStyle w:val="Tabletext"/>
            </w:pPr>
          </w:p>
        </w:tc>
      </w:tr>
      <w:tr w:rsidR="00D4501D" w:rsidRPr="000537B0" w14:paraId="2BEDF95D" w14:textId="77777777" w:rsidTr="00D4501D">
        <w:tc>
          <w:tcPr>
            <w:tcW w:w="1242" w:type="dxa"/>
          </w:tcPr>
          <w:p w14:paraId="0EA26904" w14:textId="77777777" w:rsidR="00D4501D" w:rsidRPr="000537B0" w:rsidRDefault="00D4501D" w:rsidP="00D4501D">
            <w:pPr>
              <w:pStyle w:val="Tabletext"/>
            </w:pPr>
          </w:p>
        </w:tc>
        <w:tc>
          <w:tcPr>
            <w:tcW w:w="1276" w:type="dxa"/>
          </w:tcPr>
          <w:p w14:paraId="07A36EB6" w14:textId="77777777" w:rsidR="00D4501D" w:rsidRPr="000537B0" w:rsidRDefault="00D4501D" w:rsidP="00D4501D">
            <w:pPr>
              <w:pStyle w:val="Tabletext"/>
            </w:pPr>
            <w:r w:rsidRPr="000537B0">
              <w:t>24 months</w:t>
            </w:r>
          </w:p>
        </w:tc>
        <w:tc>
          <w:tcPr>
            <w:tcW w:w="1276" w:type="dxa"/>
          </w:tcPr>
          <w:p w14:paraId="23DAEEB2" w14:textId="77777777" w:rsidR="00D4501D" w:rsidRPr="000537B0" w:rsidRDefault="00D4501D" w:rsidP="00D4501D">
            <w:pPr>
              <w:pStyle w:val="Tabletext"/>
            </w:pPr>
            <w:r w:rsidRPr="000537B0">
              <w:t>1.3 ± 1.2</w:t>
            </w:r>
          </w:p>
        </w:tc>
        <w:tc>
          <w:tcPr>
            <w:tcW w:w="1417" w:type="dxa"/>
          </w:tcPr>
          <w:p w14:paraId="2103ED72" w14:textId="77777777" w:rsidR="00D4501D" w:rsidRPr="000537B0" w:rsidRDefault="00D4501D" w:rsidP="00D4501D">
            <w:pPr>
              <w:pStyle w:val="Tabletext"/>
            </w:pPr>
            <w:r w:rsidRPr="000537B0">
              <w:t>1.2 ± 1.3</w:t>
            </w:r>
          </w:p>
        </w:tc>
        <w:tc>
          <w:tcPr>
            <w:tcW w:w="1560" w:type="dxa"/>
          </w:tcPr>
          <w:p w14:paraId="2EB8EC88" w14:textId="77777777" w:rsidR="00D4501D" w:rsidRPr="000537B0" w:rsidRDefault="00D4501D" w:rsidP="00D4501D">
            <w:pPr>
              <w:pStyle w:val="Tabletext"/>
            </w:pPr>
            <w:r w:rsidRPr="000537B0">
              <w:t>P value 0.6</w:t>
            </w:r>
          </w:p>
        </w:tc>
        <w:tc>
          <w:tcPr>
            <w:tcW w:w="1560" w:type="dxa"/>
          </w:tcPr>
          <w:p w14:paraId="0756E724" w14:textId="77777777" w:rsidR="00D4501D" w:rsidRPr="000537B0" w:rsidRDefault="00D4501D" w:rsidP="00D4501D">
            <w:pPr>
              <w:pStyle w:val="Tabletext"/>
            </w:pPr>
            <w:r w:rsidRPr="000537B0">
              <w:t>Not significant</w:t>
            </w:r>
          </w:p>
        </w:tc>
      </w:tr>
      <w:tr w:rsidR="00D4501D" w:rsidRPr="000537B0" w14:paraId="7A81D666" w14:textId="77777777" w:rsidTr="00D4501D">
        <w:tc>
          <w:tcPr>
            <w:tcW w:w="1242" w:type="dxa"/>
          </w:tcPr>
          <w:p w14:paraId="638441D8" w14:textId="77777777" w:rsidR="00D4501D" w:rsidRPr="000537B0" w:rsidRDefault="00D4501D" w:rsidP="00D4501D">
            <w:pPr>
              <w:pStyle w:val="Tabletext"/>
            </w:pPr>
            <w:r w:rsidRPr="000537B0">
              <w:t>IIEF-5</w:t>
            </w:r>
          </w:p>
        </w:tc>
        <w:tc>
          <w:tcPr>
            <w:tcW w:w="1276" w:type="dxa"/>
          </w:tcPr>
          <w:p w14:paraId="63DEEC3C" w14:textId="77777777" w:rsidR="00D4501D" w:rsidRPr="000537B0" w:rsidRDefault="00D4501D" w:rsidP="00D4501D">
            <w:pPr>
              <w:pStyle w:val="Tabletext"/>
            </w:pPr>
            <w:r w:rsidRPr="000537B0">
              <w:t>Baseline</w:t>
            </w:r>
          </w:p>
        </w:tc>
        <w:tc>
          <w:tcPr>
            <w:tcW w:w="1276" w:type="dxa"/>
          </w:tcPr>
          <w:p w14:paraId="7A19A1CB" w14:textId="77777777" w:rsidR="00D4501D" w:rsidRPr="000537B0" w:rsidRDefault="00D4501D" w:rsidP="00D4501D">
            <w:pPr>
              <w:pStyle w:val="Tabletext"/>
            </w:pPr>
            <w:r w:rsidRPr="000537B0">
              <w:t>13.2 ± 7.6</w:t>
            </w:r>
          </w:p>
        </w:tc>
        <w:tc>
          <w:tcPr>
            <w:tcW w:w="1417" w:type="dxa"/>
          </w:tcPr>
          <w:p w14:paraId="4460ED72" w14:textId="77777777" w:rsidR="00D4501D" w:rsidRPr="000537B0" w:rsidRDefault="00D4501D" w:rsidP="00D4501D">
            <w:pPr>
              <w:pStyle w:val="Tabletext"/>
            </w:pPr>
            <w:r w:rsidRPr="000537B0">
              <w:t>13.7 ± 7.5</w:t>
            </w:r>
          </w:p>
        </w:tc>
        <w:tc>
          <w:tcPr>
            <w:tcW w:w="1560" w:type="dxa"/>
          </w:tcPr>
          <w:p w14:paraId="5581FC43" w14:textId="77777777" w:rsidR="00D4501D" w:rsidRPr="000537B0" w:rsidRDefault="00D4501D" w:rsidP="00D4501D">
            <w:pPr>
              <w:pStyle w:val="Tabletext"/>
            </w:pPr>
          </w:p>
        </w:tc>
        <w:tc>
          <w:tcPr>
            <w:tcW w:w="1560" w:type="dxa"/>
          </w:tcPr>
          <w:p w14:paraId="76B78BF9" w14:textId="77777777" w:rsidR="00D4501D" w:rsidRPr="000537B0" w:rsidRDefault="00D4501D" w:rsidP="00D4501D">
            <w:pPr>
              <w:pStyle w:val="Tabletext"/>
            </w:pPr>
          </w:p>
        </w:tc>
      </w:tr>
      <w:tr w:rsidR="00D4501D" w:rsidRPr="000537B0" w14:paraId="02292B6A" w14:textId="77777777" w:rsidTr="00D4501D">
        <w:tc>
          <w:tcPr>
            <w:tcW w:w="1242" w:type="dxa"/>
          </w:tcPr>
          <w:p w14:paraId="620B0C80" w14:textId="77777777" w:rsidR="00D4501D" w:rsidRPr="000537B0" w:rsidRDefault="00D4501D" w:rsidP="00D4501D">
            <w:pPr>
              <w:pStyle w:val="Tabletext"/>
            </w:pPr>
          </w:p>
        </w:tc>
        <w:tc>
          <w:tcPr>
            <w:tcW w:w="1276" w:type="dxa"/>
          </w:tcPr>
          <w:p w14:paraId="5CEB77AB" w14:textId="77777777" w:rsidR="00D4501D" w:rsidRPr="000537B0" w:rsidRDefault="00D4501D" w:rsidP="00D4501D">
            <w:pPr>
              <w:pStyle w:val="Tabletext"/>
            </w:pPr>
            <w:r w:rsidRPr="000537B0">
              <w:t>24 months</w:t>
            </w:r>
          </w:p>
        </w:tc>
        <w:tc>
          <w:tcPr>
            <w:tcW w:w="1276" w:type="dxa"/>
          </w:tcPr>
          <w:p w14:paraId="505ACDE9" w14:textId="77777777" w:rsidR="00D4501D" w:rsidRPr="000537B0" w:rsidRDefault="00D4501D" w:rsidP="00D4501D">
            <w:pPr>
              <w:pStyle w:val="Tabletext"/>
            </w:pPr>
            <w:r w:rsidRPr="000537B0">
              <w:t>12.9 + 7.5</w:t>
            </w:r>
          </w:p>
        </w:tc>
        <w:tc>
          <w:tcPr>
            <w:tcW w:w="1417" w:type="dxa"/>
          </w:tcPr>
          <w:p w14:paraId="469A47F9" w14:textId="77777777" w:rsidR="00D4501D" w:rsidRPr="000537B0" w:rsidRDefault="00D4501D" w:rsidP="00D4501D">
            <w:pPr>
              <w:pStyle w:val="Tabletext"/>
            </w:pPr>
            <w:r w:rsidRPr="000537B0">
              <w:t>13.9 + 8.2</w:t>
            </w:r>
          </w:p>
        </w:tc>
        <w:tc>
          <w:tcPr>
            <w:tcW w:w="1560" w:type="dxa"/>
          </w:tcPr>
          <w:p w14:paraId="27C7FD9D" w14:textId="77777777" w:rsidR="00D4501D" w:rsidRPr="000537B0" w:rsidRDefault="00D4501D" w:rsidP="00D4501D">
            <w:pPr>
              <w:pStyle w:val="Tabletext"/>
            </w:pPr>
            <w:r w:rsidRPr="000537B0">
              <w:t>P value 0.3</w:t>
            </w:r>
          </w:p>
        </w:tc>
        <w:tc>
          <w:tcPr>
            <w:tcW w:w="1560" w:type="dxa"/>
          </w:tcPr>
          <w:p w14:paraId="3E5947ED" w14:textId="77777777" w:rsidR="00D4501D" w:rsidRPr="000537B0" w:rsidRDefault="00D4501D" w:rsidP="00D4501D">
            <w:pPr>
              <w:pStyle w:val="Tabletext"/>
            </w:pPr>
            <w:r w:rsidRPr="000537B0">
              <w:t>Not significant</w:t>
            </w:r>
          </w:p>
        </w:tc>
      </w:tr>
    </w:tbl>
    <w:p w14:paraId="00732C99" w14:textId="77777777" w:rsidR="00D4501D" w:rsidRDefault="00D4501D" w:rsidP="00C11BBE">
      <w:pPr>
        <w:pStyle w:val="Tablenotes"/>
      </w:pPr>
      <w:r>
        <w:t xml:space="preserve">Abbreviations: </w:t>
      </w:r>
      <w:r w:rsidRPr="000537B0">
        <w:t>IIEF-5 = International Index of Erectile Function-5</w:t>
      </w:r>
      <w:r>
        <w:t>;</w:t>
      </w:r>
      <w:r w:rsidRPr="00E03CEB">
        <w:t xml:space="preserve"> </w:t>
      </w:r>
      <w:r w:rsidRPr="000537B0">
        <w:t>IPSS = Intern</w:t>
      </w:r>
      <w:r>
        <w:t>ational Prostate Symptoms Score;</w:t>
      </w:r>
      <w:r w:rsidRPr="000537B0">
        <w:t xml:space="preserve"> IPSS-QoL = International Prostate Symptoms Score – Quality of Life; PVR = </w:t>
      </w:r>
      <w:r>
        <w:t xml:space="preserve">post-void residual urine volume; </w:t>
      </w:r>
      <w:proofErr w:type="spellStart"/>
      <w:r w:rsidRPr="000537B0">
        <w:t>Qmax</w:t>
      </w:r>
      <w:proofErr w:type="spellEnd"/>
      <w:r w:rsidRPr="000537B0">
        <w:t xml:space="preserve"> = peak flow rate.</w:t>
      </w:r>
    </w:p>
    <w:p w14:paraId="739CF5F9" w14:textId="43C46EE9" w:rsidR="00D4501D" w:rsidRPr="00C11BBE" w:rsidRDefault="00D4501D" w:rsidP="00C11BBE">
      <w:pPr>
        <w:pStyle w:val="Tablenotes"/>
      </w:pPr>
      <w:r>
        <w:t>Source: Table 3, p19 of the commentary</w:t>
      </w:r>
    </w:p>
    <w:p w14:paraId="65A9FABB" w14:textId="530E1B8F" w:rsidR="00D4501D" w:rsidRDefault="00D4501D" w:rsidP="00C11BBE">
      <w:pPr>
        <w:spacing w:before="240"/>
      </w:pPr>
      <w:r>
        <w:t>The commentary considered that g</w:t>
      </w:r>
      <w:r w:rsidRPr="000537B0">
        <w:t xml:space="preserve">iven the non-inferiority of TURP and VLAP, and that PUL is inferior to TURP on the IPSS and </w:t>
      </w:r>
      <w:proofErr w:type="spellStart"/>
      <w:r w:rsidRPr="000537B0">
        <w:t>Qmax</w:t>
      </w:r>
      <w:proofErr w:type="spellEnd"/>
      <w:r w:rsidRPr="008D65B5">
        <w:t xml:space="preserve">, it is suggested that PUL would have inferior effectiveness to VLAP. The safety of PUL compared to </w:t>
      </w:r>
      <w:r w:rsidR="00C11BBE" w:rsidRPr="008D65B5">
        <w:t>VLAP is unknown</w:t>
      </w:r>
      <w:r w:rsidR="00C11BBE">
        <w:t>.</w:t>
      </w:r>
    </w:p>
    <w:p w14:paraId="6135DE50" w14:textId="3086D1E8" w:rsidR="00D4501D" w:rsidRDefault="00D4501D" w:rsidP="00C11BBE">
      <w:pPr>
        <w:spacing w:before="240"/>
      </w:pPr>
      <w:r>
        <w:t>No information was provided on how PUL compares against other minimally invasive techniques in patients not eligible for TURP (those who cannot tolerate anaesthesia or stop anticoagulants or antiplatelet medication).</w:t>
      </w:r>
    </w:p>
    <w:p w14:paraId="7E200766" w14:textId="27BF70CD" w:rsidR="00D4501D" w:rsidRPr="005D6445" w:rsidRDefault="00D4501D" w:rsidP="00C11BBE">
      <w:pPr>
        <w:pStyle w:val="Heading2"/>
        <w:spacing w:before="240"/>
      </w:pPr>
      <w:r w:rsidRPr="005D6445">
        <w:t>Clinical claim</w:t>
      </w:r>
    </w:p>
    <w:p w14:paraId="2DC8C56C" w14:textId="0B055377" w:rsidR="00D4501D" w:rsidRPr="005D6445" w:rsidRDefault="00D4501D" w:rsidP="00D4501D">
      <w:proofErr w:type="gramStart"/>
      <w:r w:rsidRPr="005D6445">
        <w:t>On the basis of</w:t>
      </w:r>
      <w:proofErr w:type="gramEnd"/>
      <w:r w:rsidRPr="005D6445">
        <w:t xml:space="preserve"> the evidence provide</w:t>
      </w:r>
      <w:r w:rsidR="00A56F6C">
        <w:t>d</w:t>
      </w:r>
      <w:r w:rsidRPr="005D6445">
        <w:t xml:space="preserve">, the </w:t>
      </w:r>
      <w:r>
        <w:t>applicant</w:t>
      </w:r>
      <w:r w:rsidRPr="005D6445">
        <w:t xml:space="preserve"> claimed that relative to TURP:</w:t>
      </w:r>
    </w:p>
    <w:p w14:paraId="0A4A9355" w14:textId="77777777" w:rsidR="00D4501D" w:rsidRPr="005D6445" w:rsidRDefault="00D4501D" w:rsidP="00B34F48">
      <w:pPr>
        <w:pStyle w:val="ListParagraph"/>
        <w:numPr>
          <w:ilvl w:val="0"/>
          <w:numId w:val="26"/>
        </w:numPr>
        <w:spacing w:before="120"/>
        <w:ind w:left="851" w:hanging="491"/>
        <w:jc w:val="both"/>
      </w:pPr>
      <w:r w:rsidRPr="005D6445">
        <w:t>PUL has non-inferior safety and effectiveness.</w:t>
      </w:r>
    </w:p>
    <w:p w14:paraId="6A02E836" w14:textId="77777777" w:rsidR="00BC1364" w:rsidRPr="00D4501D" w:rsidRDefault="00D4501D" w:rsidP="00B34F48">
      <w:pPr>
        <w:pStyle w:val="ListParagraph"/>
        <w:numPr>
          <w:ilvl w:val="0"/>
          <w:numId w:val="26"/>
        </w:numPr>
        <w:ind w:left="851" w:hanging="491"/>
      </w:pPr>
      <w:r w:rsidRPr="005D6445">
        <w:t>VLAP has non-inferior safety and effectiveness.</w:t>
      </w:r>
    </w:p>
    <w:p w14:paraId="0C9352A3" w14:textId="77777777" w:rsidR="00BC1364" w:rsidRPr="00F715D1" w:rsidRDefault="00BC1364" w:rsidP="00F715D1">
      <w:pPr>
        <w:pStyle w:val="Heading1"/>
      </w:pPr>
      <w:r w:rsidRPr="00F715D1">
        <w:t>Economic evaluation</w:t>
      </w:r>
    </w:p>
    <w:p w14:paraId="4A8E0600" w14:textId="50269C23" w:rsidR="00652235" w:rsidRPr="000537B0" w:rsidRDefault="00652235" w:rsidP="00C11BBE">
      <w:r>
        <w:t>The ADAR presented a cost-comparison comparing PUL with the comparators TURP an</w:t>
      </w:r>
      <w:r w:rsidR="00DB53F6">
        <w:t xml:space="preserve">d </w:t>
      </w:r>
      <w:r w:rsidR="00DB53F6" w:rsidRPr="00DB53F6">
        <w:t>VLAP (Table 8).</w:t>
      </w:r>
    </w:p>
    <w:p w14:paraId="45890704" w14:textId="37194B52" w:rsidR="00652235" w:rsidRPr="00D863C8" w:rsidRDefault="00652235" w:rsidP="00D863C8">
      <w:pPr>
        <w:rPr>
          <w:rFonts w:ascii="Arial Narrow" w:hAnsi="Arial Narrow"/>
          <w:b/>
          <w:sz w:val="20"/>
        </w:rPr>
      </w:pPr>
      <w:bookmarkStart w:id="21" w:name="_Ref40960948"/>
      <w:bookmarkStart w:id="22" w:name="_Ref394419656"/>
      <w:r w:rsidRPr="00D863C8">
        <w:rPr>
          <w:rFonts w:ascii="Arial Narrow" w:hAnsi="Arial Narrow"/>
          <w:b/>
          <w:sz w:val="20"/>
        </w:rPr>
        <w:lastRenderedPageBreak/>
        <w:t xml:space="preserve">Table </w:t>
      </w:r>
      <w:r w:rsidR="00C11BBE" w:rsidRPr="00D863C8">
        <w:rPr>
          <w:rFonts w:ascii="Arial Narrow" w:hAnsi="Arial Narrow"/>
          <w:b/>
          <w:sz w:val="20"/>
        </w:rPr>
        <w:fldChar w:fldCharType="begin"/>
      </w:r>
      <w:r w:rsidR="00C11BBE" w:rsidRPr="00D863C8">
        <w:rPr>
          <w:rFonts w:ascii="Arial Narrow" w:hAnsi="Arial Narrow"/>
          <w:b/>
          <w:sz w:val="20"/>
        </w:rPr>
        <w:instrText xml:space="preserve"> SEQ Table \* ARABIC </w:instrText>
      </w:r>
      <w:r w:rsidR="00C11BBE" w:rsidRPr="00D863C8">
        <w:rPr>
          <w:rFonts w:ascii="Arial Narrow" w:hAnsi="Arial Narrow"/>
          <w:b/>
          <w:sz w:val="20"/>
        </w:rPr>
        <w:fldChar w:fldCharType="separate"/>
      </w:r>
      <w:r w:rsidR="003636DE" w:rsidRPr="00D863C8">
        <w:rPr>
          <w:rFonts w:ascii="Arial Narrow" w:hAnsi="Arial Narrow"/>
          <w:b/>
          <w:sz w:val="20"/>
        </w:rPr>
        <w:t>8</w:t>
      </w:r>
      <w:r w:rsidR="00C11BBE" w:rsidRPr="00D863C8">
        <w:rPr>
          <w:rFonts w:ascii="Arial Narrow" w:hAnsi="Arial Narrow"/>
          <w:b/>
          <w:sz w:val="20"/>
        </w:rPr>
        <w:fldChar w:fldCharType="end"/>
      </w:r>
      <w:bookmarkEnd w:id="21"/>
      <w:r w:rsidRPr="00D863C8">
        <w:rPr>
          <w:rFonts w:ascii="Arial Narrow" w:hAnsi="Arial Narrow"/>
          <w:b/>
          <w:sz w:val="20"/>
        </w:rPr>
        <w:t xml:space="preserve"> Summary of the economic evaluation</w:t>
      </w:r>
      <w:bookmarkEnd w:id="22"/>
      <w:r w:rsidRPr="00D863C8">
        <w:rPr>
          <w:rFonts w:ascii="Arial Narrow" w:hAnsi="Arial Narrow"/>
          <w:b/>
          <w:sz w:val="20"/>
        </w:rPr>
        <w:t xml:space="preserve"> </w:t>
      </w:r>
    </w:p>
    <w:tbl>
      <w:tblPr>
        <w:tblStyle w:val="TableGrid1"/>
        <w:tblW w:w="0" w:type="auto"/>
        <w:tblLook w:val="01E0" w:firstRow="1" w:lastRow="1" w:firstColumn="1" w:lastColumn="1" w:noHBand="0" w:noVBand="0"/>
        <w:tblCaption w:val="Table 4 Summary of the economic evaluation"/>
        <w:tblDescription w:val="This table describes the key constructs of the economic evaluation that is provided in the assessment report."/>
      </w:tblPr>
      <w:tblGrid>
        <w:gridCol w:w="4253"/>
        <w:gridCol w:w="4394"/>
      </w:tblGrid>
      <w:tr w:rsidR="00652235" w:rsidRPr="000537B0" w14:paraId="25E7E892" w14:textId="77777777" w:rsidTr="00221228">
        <w:trPr>
          <w:cnfStyle w:val="100000000000" w:firstRow="1" w:lastRow="0" w:firstColumn="0" w:lastColumn="0" w:oddVBand="0" w:evenVBand="0" w:oddHBand="0" w:evenHBand="0" w:firstRowFirstColumn="0" w:firstRowLastColumn="0" w:lastRowFirstColumn="0" w:lastRowLastColumn="0"/>
          <w:trHeight w:val="20"/>
          <w:tblHeader/>
        </w:trPr>
        <w:tc>
          <w:tcPr>
            <w:tcW w:w="4253" w:type="dxa"/>
          </w:tcPr>
          <w:p w14:paraId="34DEF633" w14:textId="77777777" w:rsidR="00652235" w:rsidRPr="000537B0" w:rsidRDefault="00652235" w:rsidP="00F11AFE">
            <w:pPr>
              <w:pStyle w:val="Tabletext"/>
            </w:pPr>
            <w:r w:rsidRPr="000537B0">
              <w:t>Perspective</w:t>
            </w:r>
          </w:p>
        </w:tc>
        <w:tc>
          <w:tcPr>
            <w:tcW w:w="4394" w:type="dxa"/>
          </w:tcPr>
          <w:p w14:paraId="6897E2E2" w14:textId="77777777" w:rsidR="00652235" w:rsidRPr="000537B0" w:rsidRDefault="00652235" w:rsidP="00F11AFE">
            <w:pPr>
              <w:pStyle w:val="Tabletext"/>
            </w:pPr>
            <w:r w:rsidRPr="000537B0">
              <w:t>MBS and Private Health Insurers</w:t>
            </w:r>
          </w:p>
        </w:tc>
      </w:tr>
      <w:tr w:rsidR="00652235" w:rsidRPr="000537B0" w14:paraId="69623A8A" w14:textId="77777777" w:rsidTr="002050A3">
        <w:trPr>
          <w:trHeight w:val="20"/>
        </w:trPr>
        <w:tc>
          <w:tcPr>
            <w:tcW w:w="4253" w:type="dxa"/>
          </w:tcPr>
          <w:p w14:paraId="4CD1F52A" w14:textId="77777777" w:rsidR="00652235" w:rsidRPr="000537B0" w:rsidRDefault="00652235" w:rsidP="00F11AFE">
            <w:pPr>
              <w:pStyle w:val="Tabletext"/>
            </w:pPr>
            <w:r w:rsidRPr="000537B0">
              <w:t>Comparator</w:t>
            </w:r>
          </w:p>
        </w:tc>
        <w:tc>
          <w:tcPr>
            <w:tcW w:w="4394" w:type="dxa"/>
          </w:tcPr>
          <w:p w14:paraId="2DB73B14" w14:textId="77777777" w:rsidR="00652235" w:rsidRPr="000537B0" w:rsidRDefault="00652235" w:rsidP="00F11AFE">
            <w:pPr>
              <w:pStyle w:val="Tabletext"/>
            </w:pPr>
            <w:r w:rsidRPr="000537B0">
              <w:t>TURP or VLAP</w:t>
            </w:r>
          </w:p>
        </w:tc>
      </w:tr>
      <w:tr w:rsidR="00652235" w:rsidRPr="000537B0" w14:paraId="0ABA076E" w14:textId="77777777" w:rsidTr="002050A3">
        <w:trPr>
          <w:trHeight w:val="20"/>
        </w:trPr>
        <w:tc>
          <w:tcPr>
            <w:tcW w:w="4253" w:type="dxa"/>
          </w:tcPr>
          <w:p w14:paraId="786CBCE3" w14:textId="77777777" w:rsidR="00652235" w:rsidRPr="000537B0" w:rsidRDefault="00652235" w:rsidP="00F11AFE">
            <w:pPr>
              <w:pStyle w:val="Tabletext"/>
            </w:pPr>
            <w:r w:rsidRPr="000537B0">
              <w:t>Type of economic evaluation</w:t>
            </w:r>
          </w:p>
        </w:tc>
        <w:tc>
          <w:tcPr>
            <w:tcW w:w="4394" w:type="dxa"/>
          </w:tcPr>
          <w:p w14:paraId="7E973ADC" w14:textId="77777777" w:rsidR="00652235" w:rsidRPr="0040617A" w:rsidRDefault="00652235" w:rsidP="00F11AFE">
            <w:pPr>
              <w:pStyle w:val="Tabletext"/>
            </w:pPr>
            <w:r w:rsidRPr="0040617A">
              <w:t>Cost comparison</w:t>
            </w:r>
          </w:p>
        </w:tc>
      </w:tr>
      <w:tr w:rsidR="00652235" w:rsidRPr="000537B0" w14:paraId="33A390D1" w14:textId="77777777" w:rsidTr="002050A3">
        <w:trPr>
          <w:trHeight w:val="20"/>
        </w:trPr>
        <w:tc>
          <w:tcPr>
            <w:tcW w:w="4253" w:type="dxa"/>
          </w:tcPr>
          <w:p w14:paraId="1DBBC408" w14:textId="77777777" w:rsidR="00652235" w:rsidRPr="000537B0" w:rsidRDefault="00652235" w:rsidP="00F11AFE">
            <w:pPr>
              <w:pStyle w:val="Tabletext"/>
            </w:pPr>
            <w:r w:rsidRPr="000537B0">
              <w:t>Sources of evidence</w:t>
            </w:r>
          </w:p>
        </w:tc>
        <w:tc>
          <w:tcPr>
            <w:tcW w:w="4394" w:type="dxa"/>
          </w:tcPr>
          <w:p w14:paraId="475C1BCE" w14:textId="77777777" w:rsidR="00652235" w:rsidRPr="000537B0" w:rsidRDefault="00652235" w:rsidP="00F11AFE">
            <w:pPr>
              <w:pStyle w:val="Tabletext"/>
            </w:pPr>
            <w:r w:rsidRPr="000537B0">
              <w:t>Systematic review</w:t>
            </w:r>
          </w:p>
        </w:tc>
      </w:tr>
      <w:tr w:rsidR="00652235" w:rsidRPr="000537B0" w14:paraId="1C5342B8" w14:textId="77777777" w:rsidTr="002050A3">
        <w:trPr>
          <w:trHeight w:val="20"/>
        </w:trPr>
        <w:tc>
          <w:tcPr>
            <w:tcW w:w="4253" w:type="dxa"/>
            <w:hideMark/>
          </w:tcPr>
          <w:p w14:paraId="24F779BE" w14:textId="77777777" w:rsidR="00652235" w:rsidRPr="000537B0" w:rsidRDefault="00652235" w:rsidP="00F11AFE">
            <w:pPr>
              <w:pStyle w:val="Tabletext"/>
            </w:pPr>
            <w:r w:rsidRPr="000537B0">
              <w:t>Time horizon</w:t>
            </w:r>
          </w:p>
        </w:tc>
        <w:tc>
          <w:tcPr>
            <w:tcW w:w="4394" w:type="dxa"/>
          </w:tcPr>
          <w:p w14:paraId="4506435E" w14:textId="77777777" w:rsidR="00652235" w:rsidRPr="000537B0" w:rsidRDefault="00652235" w:rsidP="00F11AFE">
            <w:pPr>
              <w:pStyle w:val="Tabletext"/>
            </w:pPr>
            <w:r w:rsidRPr="000537B0">
              <w:t>Two or five years</w:t>
            </w:r>
          </w:p>
        </w:tc>
      </w:tr>
      <w:tr w:rsidR="00652235" w:rsidRPr="000537B0" w14:paraId="15CC6AFD" w14:textId="77777777" w:rsidTr="002050A3">
        <w:trPr>
          <w:trHeight w:val="20"/>
        </w:trPr>
        <w:tc>
          <w:tcPr>
            <w:tcW w:w="4253" w:type="dxa"/>
            <w:hideMark/>
          </w:tcPr>
          <w:p w14:paraId="413350F4" w14:textId="77777777" w:rsidR="00652235" w:rsidRPr="000537B0" w:rsidRDefault="00652235" w:rsidP="00F11AFE">
            <w:pPr>
              <w:pStyle w:val="Tabletext"/>
            </w:pPr>
            <w:r w:rsidRPr="000537B0">
              <w:t>Outcomes</w:t>
            </w:r>
          </w:p>
        </w:tc>
        <w:tc>
          <w:tcPr>
            <w:tcW w:w="4394" w:type="dxa"/>
          </w:tcPr>
          <w:p w14:paraId="68B57EC0" w14:textId="77777777" w:rsidR="00652235" w:rsidRPr="000537B0" w:rsidRDefault="00652235" w:rsidP="00F11AFE">
            <w:pPr>
              <w:pStyle w:val="Tabletext"/>
            </w:pPr>
            <w:r w:rsidRPr="000537B0">
              <w:t>Cost per procedure</w:t>
            </w:r>
          </w:p>
        </w:tc>
      </w:tr>
      <w:tr w:rsidR="00652235" w:rsidRPr="000537B0" w14:paraId="2F74BE26" w14:textId="77777777" w:rsidTr="002050A3">
        <w:trPr>
          <w:trHeight w:val="20"/>
        </w:trPr>
        <w:tc>
          <w:tcPr>
            <w:tcW w:w="4253" w:type="dxa"/>
            <w:hideMark/>
          </w:tcPr>
          <w:p w14:paraId="5E311A37" w14:textId="77777777" w:rsidR="00652235" w:rsidRPr="000537B0" w:rsidRDefault="00652235" w:rsidP="00F11AFE">
            <w:pPr>
              <w:pStyle w:val="Tabletext"/>
            </w:pPr>
            <w:r w:rsidRPr="000537B0">
              <w:t>Methods used to generate results</w:t>
            </w:r>
          </w:p>
        </w:tc>
        <w:tc>
          <w:tcPr>
            <w:tcW w:w="4394" w:type="dxa"/>
          </w:tcPr>
          <w:p w14:paraId="1CC79390" w14:textId="77777777" w:rsidR="00652235" w:rsidRPr="000537B0" w:rsidRDefault="00652235" w:rsidP="00F11AFE">
            <w:pPr>
              <w:pStyle w:val="Tabletext"/>
            </w:pPr>
            <w:proofErr w:type="gramStart"/>
            <w:r w:rsidRPr="000537B0">
              <w:t>Bottom up</w:t>
            </w:r>
            <w:proofErr w:type="gramEnd"/>
            <w:r w:rsidRPr="000537B0">
              <w:t xml:space="preserve"> costing of procedures</w:t>
            </w:r>
          </w:p>
        </w:tc>
      </w:tr>
      <w:tr w:rsidR="00652235" w:rsidRPr="000537B0" w14:paraId="189CAF1E" w14:textId="77777777" w:rsidTr="002050A3">
        <w:trPr>
          <w:trHeight w:val="20"/>
        </w:trPr>
        <w:tc>
          <w:tcPr>
            <w:tcW w:w="4253" w:type="dxa"/>
            <w:hideMark/>
          </w:tcPr>
          <w:p w14:paraId="2CAF928B" w14:textId="77777777" w:rsidR="00652235" w:rsidRPr="000537B0" w:rsidRDefault="00652235" w:rsidP="00F11AFE">
            <w:pPr>
              <w:pStyle w:val="Tabletext"/>
            </w:pPr>
            <w:r w:rsidRPr="000537B0">
              <w:t>Discount rate</w:t>
            </w:r>
          </w:p>
        </w:tc>
        <w:tc>
          <w:tcPr>
            <w:tcW w:w="4394" w:type="dxa"/>
          </w:tcPr>
          <w:p w14:paraId="6695B70F" w14:textId="77777777" w:rsidR="00652235" w:rsidRPr="000537B0" w:rsidRDefault="00652235" w:rsidP="00F11AFE">
            <w:pPr>
              <w:pStyle w:val="Tabletext"/>
            </w:pPr>
            <w:r w:rsidRPr="000537B0">
              <w:t>5%</w:t>
            </w:r>
          </w:p>
        </w:tc>
      </w:tr>
      <w:tr w:rsidR="00652235" w:rsidRPr="000537B0" w14:paraId="72CC19A2" w14:textId="77777777" w:rsidTr="002050A3">
        <w:trPr>
          <w:trHeight w:val="20"/>
        </w:trPr>
        <w:tc>
          <w:tcPr>
            <w:tcW w:w="4253" w:type="dxa"/>
            <w:hideMark/>
          </w:tcPr>
          <w:p w14:paraId="4DF6BE41" w14:textId="77777777" w:rsidR="00652235" w:rsidRPr="000537B0" w:rsidRDefault="00652235" w:rsidP="00F11AFE">
            <w:pPr>
              <w:pStyle w:val="Tabletext"/>
            </w:pPr>
            <w:r w:rsidRPr="000537B0">
              <w:t>Software packages used</w:t>
            </w:r>
          </w:p>
        </w:tc>
        <w:tc>
          <w:tcPr>
            <w:tcW w:w="4394" w:type="dxa"/>
          </w:tcPr>
          <w:p w14:paraId="0DEDB1D6" w14:textId="77777777" w:rsidR="00652235" w:rsidRPr="000537B0" w:rsidRDefault="00652235" w:rsidP="00F11AFE">
            <w:pPr>
              <w:pStyle w:val="Tabletext"/>
            </w:pPr>
            <w:proofErr w:type="spellStart"/>
            <w:r w:rsidRPr="000537B0">
              <w:t>ExCel</w:t>
            </w:r>
            <w:proofErr w:type="spellEnd"/>
          </w:p>
        </w:tc>
      </w:tr>
    </w:tbl>
    <w:p w14:paraId="76852617" w14:textId="48ACAF6F" w:rsidR="00652235" w:rsidRDefault="00652235" w:rsidP="00C11BBE">
      <w:pPr>
        <w:pStyle w:val="Tablenotes"/>
      </w:pPr>
      <w:r>
        <w:t>Source: Table 4, p21 of the commentary.</w:t>
      </w:r>
    </w:p>
    <w:p w14:paraId="15BD69D7" w14:textId="1318C1A2" w:rsidR="00652235" w:rsidRDefault="00652235" w:rsidP="00C11BBE">
      <w:pPr>
        <w:spacing w:before="240"/>
      </w:pPr>
      <w:r>
        <w:t>The commentary noted that a</w:t>
      </w:r>
      <w:r w:rsidRPr="0022710B">
        <w:t xml:space="preserve">s the claim of non-inferiority is not well supported, the cost-comparison approach </w:t>
      </w:r>
      <w:r>
        <w:t xml:space="preserve">presented </w:t>
      </w:r>
      <w:r w:rsidR="00C11BBE">
        <w:t>may not be appropriate.</w:t>
      </w:r>
    </w:p>
    <w:p w14:paraId="1E9222DE" w14:textId="77777777" w:rsidR="00652235" w:rsidRPr="006B78AD" w:rsidRDefault="00652235" w:rsidP="00C11BBE">
      <w:pPr>
        <w:spacing w:before="240"/>
      </w:pPr>
      <w:r>
        <w:t>The k</w:t>
      </w:r>
      <w:r w:rsidRPr="006B78AD">
        <w:t>ey assumptions</w:t>
      </w:r>
      <w:r>
        <w:t xml:space="preserve"> in the application</w:t>
      </w:r>
      <w:r w:rsidRPr="006B78AD">
        <w:t xml:space="preserve"> included:</w:t>
      </w:r>
    </w:p>
    <w:p w14:paraId="6750563E" w14:textId="0C05B2F3" w:rsidR="00652235" w:rsidRPr="000537B0" w:rsidRDefault="00652235" w:rsidP="00B34F48">
      <w:pPr>
        <w:pStyle w:val="ListParagraph"/>
        <w:numPr>
          <w:ilvl w:val="0"/>
          <w:numId w:val="8"/>
        </w:numPr>
      </w:pPr>
      <w:r w:rsidRPr="000537B0">
        <w:t xml:space="preserve">MBS </w:t>
      </w:r>
      <w:r>
        <w:t>i</w:t>
      </w:r>
      <w:r w:rsidRPr="000537B0">
        <w:t xml:space="preserve">tem numbers: Since PUL, VLAP and TURP are currently MBS </w:t>
      </w:r>
      <w:r>
        <w:t>listed, the use of the current i</w:t>
      </w:r>
      <w:r w:rsidRPr="000537B0">
        <w:t xml:space="preserve">tem numbers for the surgeon and the anaesthetist was considered justified. Note that the fee used for VLAP is that recommended </w:t>
      </w:r>
      <w:proofErr w:type="gramStart"/>
      <w:r w:rsidRPr="000537B0">
        <w:t>as a result of</w:t>
      </w:r>
      <w:proofErr w:type="gramEnd"/>
      <w:r w:rsidRPr="000537B0">
        <w:t xml:space="preserve"> MSAC Application 1518, that is, the same as TURP.</w:t>
      </w:r>
    </w:p>
    <w:p w14:paraId="10098030" w14:textId="77777777" w:rsidR="00652235" w:rsidRPr="000537B0" w:rsidRDefault="00652235" w:rsidP="00B34F48">
      <w:pPr>
        <w:pStyle w:val="ListParagraph"/>
        <w:numPr>
          <w:ilvl w:val="0"/>
          <w:numId w:val="8"/>
        </w:numPr>
      </w:pPr>
      <w:r w:rsidRPr="000537B0">
        <w:t>AR-DRG data cube 2017-18: Most recent available.</w:t>
      </w:r>
    </w:p>
    <w:p w14:paraId="578767FC" w14:textId="77777777" w:rsidR="00652235" w:rsidRPr="000537B0" w:rsidRDefault="00652235" w:rsidP="00B34F48">
      <w:pPr>
        <w:pStyle w:val="ListParagraph"/>
        <w:numPr>
          <w:ilvl w:val="0"/>
          <w:numId w:val="8"/>
        </w:numPr>
      </w:pPr>
      <w:r w:rsidRPr="000537B0">
        <w:t>2019 Private Hospital Fee Schedule for Workers Compensation Theatre Banding and bed-day fee: Although considered to be a very conservative estimate, this fee schedule covers 2019 private hospitals.</w:t>
      </w:r>
    </w:p>
    <w:p w14:paraId="00AD1162" w14:textId="77777777" w:rsidR="00652235" w:rsidRPr="000537B0" w:rsidRDefault="00652235" w:rsidP="00B34F48">
      <w:pPr>
        <w:pStyle w:val="ListParagraph"/>
        <w:numPr>
          <w:ilvl w:val="0"/>
          <w:numId w:val="8"/>
        </w:numPr>
      </w:pPr>
      <w:r w:rsidRPr="000537B0">
        <w:t>IHPA National Efficient Price Determination 2018-19: This provided up to date relative cost weight between TURP with major complications and TURP with minor complications.</w:t>
      </w:r>
    </w:p>
    <w:p w14:paraId="0A80801F" w14:textId="77777777" w:rsidR="00652235" w:rsidRPr="000537B0" w:rsidRDefault="00652235" w:rsidP="00B34F48">
      <w:pPr>
        <w:pStyle w:val="ListParagraph"/>
        <w:numPr>
          <w:ilvl w:val="0"/>
          <w:numId w:val="8"/>
        </w:numPr>
      </w:pPr>
      <w:r w:rsidRPr="000537B0">
        <w:t xml:space="preserve">Prostheses List February 2020: Most up to date benefit amount for the </w:t>
      </w:r>
      <w:proofErr w:type="spellStart"/>
      <w:r w:rsidRPr="000537B0">
        <w:t>UroLift</w:t>
      </w:r>
      <w:proofErr w:type="spellEnd"/>
      <w:r w:rsidRPr="000537B0">
        <w:t xml:space="preserve"> prosthesis.</w:t>
      </w:r>
    </w:p>
    <w:p w14:paraId="7EBFDC7B" w14:textId="77777777" w:rsidR="00652235" w:rsidRPr="000537B0" w:rsidRDefault="00652235" w:rsidP="00B34F48">
      <w:pPr>
        <w:pStyle w:val="ListParagraph"/>
        <w:numPr>
          <w:ilvl w:val="0"/>
          <w:numId w:val="8"/>
        </w:numPr>
      </w:pPr>
      <w:r w:rsidRPr="000537B0">
        <w:t xml:space="preserve">Sievert et al (2019): Real world study as opposed to a controlled clinical study.  Believed to </w:t>
      </w:r>
      <w:proofErr w:type="gramStart"/>
      <w:r w:rsidRPr="000537B0">
        <w:t>more accurately reflect actual usage</w:t>
      </w:r>
      <w:proofErr w:type="gramEnd"/>
      <w:r w:rsidRPr="000537B0">
        <w:t xml:space="preserve">.  Also confirmed by </w:t>
      </w:r>
      <w:proofErr w:type="spellStart"/>
      <w:r w:rsidRPr="000537B0">
        <w:t>Eure</w:t>
      </w:r>
      <w:proofErr w:type="spellEnd"/>
      <w:r w:rsidRPr="000537B0">
        <w:t xml:space="preserve"> et al (2019) paper.</w:t>
      </w:r>
    </w:p>
    <w:p w14:paraId="217A615F" w14:textId="77777777" w:rsidR="00652235" w:rsidRPr="000537B0" w:rsidRDefault="00652235" w:rsidP="00B34F48">
      <w:pPr>
        <w:pStyle w:val="ListParagraph"/>
        <w:numPr>
          <w:ilvl w:val="0"/>
          <w:numId w:val="8"/>
        </w:numPr>
      </w:pPr>
      <w:r w:rsidRPr="000537B0">
        <w:t>Hospital length of stay (</w:t>
      </w:r>
      <w:proofErr w:type="spellStart"/>
      <w:r w:rsidRPr="000537B0">
        <w:t>LoS</w:t>
      </w:r>
      <w:proofErr w:type="spellEnd"/>
      <w:r w:rsidRPr="000537B0">
        <w:t>): significant difference between PUL and TURP.</w:t>
      </w:r>
    </w:p>
    <w:p w14:paraId="6EF62CFC" w14:textId="77777777" w:rsidR="00652235" w:rsidRPr="000537B0" w:rsidRDefault="00652235" w:rsidP="00B34F48">
      <w:pPr>
        <w:pStyle w:val="ListParagraph"/>
        <w:numPr>
          <w:ilvl w:val="0"/>
          <w:numId w:val="8"/>
        </w:numPr>
      </w:pPr>
      <w:r w:rsidRPr="000537B0">
        <w:t>TURP – major/minor complications: significant difference in cost between major and minor.</w:t>
      </w:r>
    </w:p>
    <w:p w14:paraId="7528B794" w14:textId="77777777" w:rsidR="00652235" w:rsidRPr="000537B0" w:rsidRDefault="00652235" w:rsidP="00B34F48">
      <w:pPr>
        <w:pStyle w:val="ListParagraph"/>
        <w:numPr>
          <w:ilvl w:val="0"/>
          <w:numId w:val="8"/>
        </w:numPr>
      </w:pPr>
      <w:r w:rsidRPr="000537B0">
        <w:t>Prostheses: Cost of PUL sensitive to number implanted.</w:t>
      </w:r>
    </w:p>
    <w:p w14:paraId="44AE845C" w14:textId="1E7F5CFA" w:rsidR="00652235" w:rsidRDefault="00652235" w:rsidP="00C11BBE">
      <w:pPr>
        <w:pStyle w:val="ListParagraph"/>
        <w:numPr>
          <w:ilvl w:val="0"/>
          <w:numId w:val="8"/>
        </w:numPr>
      </w:pPr>
      <w:r w:rsidRPr="000537B0">
        <w:t>VLAP capital and disposable costs sourced from a Queensland paper by Whitty et al (2014) and capital cost updated using CPI increase 2013 to 2019.</w:t>
      </w:r>
    </w:p>
    <w:p w14:paraId="26227187" w14:textId="6810A79E" w:rsidR="00652235" w:rsidRDefault="00652235" w:rsidP="00C11BBE">
      <w:pPr>
        <w:tabs>
          <w:tab w:val="left" w:pos="720"/>
        </w:tabs>
        <w:spacing w:before="240"/>
      </w:pPr>
      <w:r>
        <w:t>The pre-ESC response clarified that the</w:t>
      </w:r>
      <w:r w:rsidRPr="009373A2">
        <w:t xml:space="preserve"> time horizon of five years was used </w:t>
      </w:r>
      <w:r>
        <w:t xml:space="preserve">as </w:t>
      </w:r>
      <w:r w:rsidRPr="009373A2">
        <w:t>this was the maximum follow-up published from clinical studies and was appropriate for the economic analysis.</w:t>
      </w:r>
    </w:p>
    <w:p w14:paraId="1269FBF9" w14:textId="5C097BEB" w:rsidR="00652235" w:rsidRDefault="00652235" w:rsidP="00C11BBE">
      <w:pPr>
        <w:spacing w:before="240"/>
      </w:pPr>
      <w:r w:rsidRPr="000537B0">
        <w:t xml:space="preserve">The overall costs, as calculated </w:t>
      </w:r>
      <w:r>
        <w:t xml:space="preserve">by the applicant </w:t>
      </w:r>
      <w:r w:rsidRPr="000537B0">
        <w:t>for the intervention (PUL) and comparator</w:t>
      </w:r>
      <w:r>
        <w:t xml:space="preserve">s (TURP and VLAP), are shown </w:t>
      </w:r>
      <w:r w:rsidRPr="00DB53F6">
        <w:t>belo</w:t>
      </w:r>
      <w:r w:rsidR="00DB53F6" w:rsidRPr="00DB53F6">
        <w:t xml:space="preserve">w in Table 9 </w:t>
      </w:r>
      <w:r w:rsidRPr="00DB53F6">
        <w:t>– 10,</w:t>
      </w:r>
      <w:r>
        <w:t xml:space="preserve"> 11 – 13 and 15.</w:t>
      </w:r>
    </w:p>
    <w:p w14:paraId="06F42E37" w14:textId="77777777" w:rsidR="00652235" w:rsidRPr="00047E8A" w:rsidRDefault="00652235" w:rsidP="00652235">
      <w:pPr>
        <w:rPr>
          <w:rStyle w:val="CritiquemainbodyChar"/>
        </w:rPr>
      </w:pPr>
    </w:p>
    <w:p w14:paraId="609DB4A4" w14:textId="77777777" w:rsidR="00652235" w:rsidRPr="00D863C8" w:rsidRDefault="00652235" w:rsidP="00D863C8">
      <w:pPr>
        <w:rPr>
          <w:rFonts w:eastAsiaTheme="minorHAnsi"/>
          <w:u w:val="single"/>
        </w:rPr>
      </w:pPr>
      <w:r w:rsidRPr="00D863C8">
        <w:rPr>
          <w:rFonts w:eastAsiaTheme="minorHAnsi"/>
          <w:u w:val="single"/>
        </w:rPr>
        <w:t>TURP</w:t>
      </w:r>
    </w:p>
    <w:p w14:paraId="7B6F2BA9" w14:textId="77E9A1DD" w:rsidR="00652235" w:rsidRPr="00C11BBE" w:rsidRDefault="00652235" w:rsidP="00652235">
      <w:pPr>
        <w:rPr>
          <w:rFonts w:eastAsiaTheme="minorHAnsi"/>
          <w:lang w:eastAsia="en-US"/>
        </w:rPr>
      </w:pPr>
      <w:r>
        <w:rPr>
          <w:rFonts w:eastAsiaTheme="minorHAnsi"/>
          <w:lang w:eastAsia="en-US"/>
        </w:rPr>
        <w:t>The procedure costs for TURP</w:t>
      </w:r>
      <w:r w:rsidR="00A12623">
        <w:rPr>
          <w:rFonts w:eastAsiaTheme="minorHAnsi"/>
          <w:lang w:eastAsia="en-US"/>
        </w:rPr>
        <w:t xml:space="preserve"> (</w:t>
      </w:r>
      <w:r w:rsidR="004B46AD">
        <w:rPr>
          <w:rFonts w:eastAsiaTheme="minorHAnsi"/>
          <w:lang w:eastAsia="en-US"/>
        </w:rPr>
        <w:t>s</w:t>
      </w:r>
      <w:r>
        <w:rPr>
          <w:rFonts w:eastAsiaTheme="minorHAnsi"/>
          <w:lang w:eastAsia="en-US"/>
        </w:rPr>
        <w:t>hown in</w:t>
      </w:r>
      <w:r w:rsidR="003636DE">
        <w:rPr>
          <w:rFonts w:eastAsiaTheme="minorHAnsi"/>
          <w:lang w:eastAsia="en-US"/>
        </w:rPr>
        <w:t xml:space="preserve"> Table 23, p52</w:t>
      </w:r>
      <w:r w:rsidR="00A12623">
        <w:rPr>
          <w:rFonts w:eastAsiaTheme="minorHAnsi"/>
          <w:lang w:eastAsia="en-US"/>
        </w:rPr>
        <w:t xml:space="preserve"> of the ADAR)</w:t>
      </w:r>
      <w:r>
        <w:rPr>
          <w:rFonts w:eastAsiaTheme="minorHAnsi"/>
          <w:lang w:eastAsia="en-US"/>
        </w:rPr>
        <w:t xml:space="preserve"> use</w:t>
      </w:r>
      <w:r w:rsidR="00A12623">
        <w:rPr>
          <w:rFonts w:eastAsiaTheme="minorHAnsi"/>
          <w:lang w:eastAsia="en-US"/>
        </w:rPr>
        <w:t>d</w:t>
      </w:r>
      <w:r>
        <w:rPr>
          <w:rFonts w:eastAsiaTheme="minorHAnsi"/>
          <w:lang w:eastAsia="en-US"/>
        </w:rPr>
        <w:t xml:space="preserve"> </w:t>
      </w:r>
      <w:r w:rsidRPr="000537B0">
        <w:rPr>
          <w:rFonts w:eastAsiaTheme="minorHAnsi"/>
          <w:lang w:eastAsia="en-US"/>
        </w:rPr>
        <w:t xml:space="preserve">a combination of current MBS Fees for the surgeon and the Anaesthetist, 2019 Private Hospital Fee Schedule </w:t>
      </w:r>
      <w:r w:rsidRPr="000537B0">
        <w:rPr>
          <w:rFonts w:eastAsiaTheme="minorHAnsi"/>
          <w:lang w:eastAsia="en-US"/>
        </w:rPr>
        <w:lastRenderedPageBreak/>
        <w:t>for Workers Compensation Theatre</w:t>
      </w:r>
      <w:r>
        <w:rPr>
          <w:rFonts w:eastAsiaTheme="minorHAnsi"/>
          <w:lang w:eastAsia="en-US"/>
        </w:rPr>
        <w:t xml:space="preserve"> Banding and bed-day fee, to derive</w:t>
      </w:r>
      <w:r w:rsidRPr="000537B0">
        <w:rPr>
          <w:rFonts w:eastAsiaTheme="minorHAnsi"/>
          <w:lang w:eastAsia="en-US"/>
        </w:rPr>
        <w:t xml:space="preserve"> a total cost per procedure</w:t>
      </w:r>
      <w:r w:rsidRPr="008F3C2C">
        <w:rPr>
          <w:rFonts w:eastAsiaTheme="minorHAnsi"/>
          <w:lang w:eastAsia="en-US"/>
        </w:rPr>
        <w:t xml:space="preserve"> </w:t>
      </w:r>
      <w:r>
        <w:rPr>
          <w:rFonts w:eastAsiaTheme="minorHAnsi"/>
          <w:lang w:eastAsia="en-US"/>
        </w:rPr>
        <w:t>of $4,971.8</w:t>
      </w:r>
      <w:r w:rsidRPr="000537B0">
        <w:rPr>
          <w:rFonts w:eastAsiaTheme="minorHAnsi"/>
          <w:lang w:eastAsia="en-US"/>
        </w:rPr>
        <w:t xml:space="preserve"> (based on the bed-days for minor complications)</w:t>
      </w:r>
      <w:r>
        <w:rPr>
          <w:rFonts w:eastAsiaTheme="minorHAnsi"/>
          <w:lang w:eastAsia="en-US"/>
        </w:rPr>
        <w:t>.</w:t>
      </w:r>
    </w:p>
    <w:p w14:paraId="3A108D43" w14:textId="224B1E67" w:rsidR="00652235" w:rsidRDefault="00652235" w:rsidP="00C11BBE">
      <w:pPr>
        <w:spacing w:before="240"/>
      </w:pPr>
      <w:r>
        <w:t>The commentary noted that t</w:t>
      </w:r>
      <w:r w:rsidRPr="00D93FA3">
        <w:t xml:space="preserve">he length of hospital </w:t>
      </w:r>
      <w:proofErr w:type="gramStart"/>
      <w:r w:rsidRPr="00D93FA3">
        <w:t>stay</w:t>
      </w:r>
      <w:proofErr w:type="gramEnd"/>
      <w:r w:rsidRPr="00D93FA3">
        <w:t xml:space="preserve"> with TURP, 2.56 days, was based on the average length of hospital stay for AR-DRG L05B</w:t>
      </w:r>
      <w:r w:rsidRPr="00D93FA3">
        <w:rPr>
          <w:vertAlign w:val="superscript"/>
        </w:rPr>
        <w:footnoteReference w:id="8"/>
      </w:r>
      <w:r w:rsidRPr="00D93FA3">
        <w:t xml:space="preserve"> in the AIHW National Hospital Morbidity Database (2017-18). The ADAR has not justified using a longer hospital stay for TURP than what was observed in the BPH6 study (2.56 v 1.9 days), while assuming the length of stay observed in BPH6 for PUL (1 day)</w:t>
      </w:r>
      <w:r>
        <w:t>.</w:t>
      </w:r>
    </w:p>
    <w:p w14:paraId="5C2BAA2C" w14:textId="474BB4D4" w:rsidR="00652235" w:rsidRPr="00C11BBE" w:rsidRDefault="00652235" w:rsidP="00C11BBE">
      <w:pPr>
        <w:spacing w:before="240"/>
      </w:pPr>
      <w:r>
        <w:t>The pre-</w:t>
      </w:r>
      <w:r w:rsidR="00432A64">
        <w:t xml:space="preserve">MSAC </w:t>
      </w:r>
      <w:r>
        <w:t>response clarified that the</w:t>
      </w:r>
      <w:r w:rsidRPr="009373A2">
        <w:t xml:space="preserve"> hospital stays used for the costing of the procedures, 2.56 days for TURP and overnight for PUL, were based on Australian practice rather than the international stays in the BPH6 study. </w:t>
      </w:r>
      <w:r w:rsidR="00A12623">
        <w:t xml:space="preserve">The pre-MSAC response acknowledged that </w:t>
      </w:r>
      <w:r w:rsidR="00A12623" w:rsidRPr="00A12623">
        <w:t xml:space="preserve">the cost of the disposable loops </w:t>
      </w:r>
      <w:proofErr w:type="gramStart"/>
      <w:r w:rsidR="00A12623" w:rsidRPr="00A12623">
        <w:t>were</w:t>
      </w:r>
      <w:proofErr w:type="gramEnd"/>
      <w:r w:rsidR="00A12623" w:rsidRPr="00A12623">
        <w:t xml:space="preserve"> omitted in the ADAR’s costing of TURP</w:t>
      </w:r>
      <w:r w:rsidR="00A12623">
        <w:t xml:space="preserve"> (Table 9) and therefore, the pre-MSAC response provided updated costing of TURP that includes the TURP </w:t>
      </w:r>
      <w:r w:rsidR="00A12623" w:rsidRPr="00DB53F6">
        <w:t>disposable loop</w:t>
      </w:r>
      <w:r w:rsidR="00DB53F6" w:rsidRPr="00DB53F6">
        <w:t>s (see Table 9)</w:t>
      </w:r>
      <w:r w:rsidR="003636DE" w:rsidRPr="00DB53F6">
        <w:t xml:space="preserve"> which</w:t>
      </w:r>
      <w:r w:rsidR="003636DE">
        <w:t xml:space="preserve"> derived a total cost per TURP procedure of $5454.06.</w:t>
      </w:r>
    </w:p>
    <w:p w14:paraId="7D91745E" w14:textId="63F580CD" w:rsidR="003636DE" w:rsidRPr="00D863C8" w:rsidRDefault="003636DE" w:rsidP="00D863C8">
      <w:pPr>
        <w:spacing w:before="240"/>
        <w:rPr>
          <w:rFonts w:ascii="Arial Narrow" w:hAnsi="Arial Narrow"/>
          <w:b/>
          <w:sz w:val="20"/>
        </w:rPr>
      </w:pPr>
      <w:bookmarkStart w:id="23" w:name="_Ref46743470"/>
      <w:r w:rsidRPr="00D863C8">
        <w:rPr>
          <w:rFonts w:ascii="Arial Narrow" w:hAnsi="Arial Narrow"/>
          <w:b/>
          <w:sz w:val="20"/>
        </w:rPr>
        <w:t xml:space="preserve">Table </w:t>
      </w:r>
      <w:r w:rsidR="00C11BBE" w:rsidRPr="00D863C8">
        <w:rPr>
          <w:rFonts w:ascii="Arial Narrow" w:hAnsi="Arial Narrow"/>
          <w:b/>
          <w:sz w:val="20"/>
        </w:rPr>
        <w:fldChar w:fldCharType="begin"/>
      </w:r>
      <w:r w:rsidR="00C11BBE" w:rsidRPr="00D863C8">
        <w:rPr>
          <w:rFonts w:ascii="Arial Narrow" w:hAnsi="Arial Narrow"/>
          <w:b/>
          <w:sz w:val="20"/>
        </w:rPr>
        <w:instrText xml:space="preserve"> SEQ Table \* ARABIC </w:instrText>
      </w:r>
      <w:r w:rsidR="00C11BBE" w:rsidRPr="00D863C8">
        <w:rPr>
          <w:rFonts w:ascii="Arial Narrow" w:hAnsi="Arial Narrow"/>
          <w:b/>
          <w:sz w:val="20"/>
        </w:rPr>
        <w:fldChar w:fldCharType="separate"/>
      </w:r>
      <w:r w:rsidRPr="00D863C8">
        <w:rPr>
          <w:rFonts w:ascii="Arial Narrow" w:hAnsi="Arial Narrow"/>
          <w:b/>
          <w:sz w:val="20"/>
        </w:rPr>
        <w:t>9</w:t>
      </w:r>
      <w:r w:rsidR="00C11BBE" w:rsidRPr="00D863C8">
        <w:rPr>
          <w:rFonts w:ascii="Arial Narrow" w:hAnsi="Arial Narrow"/>
          <w:b/>
          <w:sz w:val="20"/>
        </w:rPr>
        <w:fldChar w:fldCharType="end"/>
      </w:r>
      <w:bookmarkEnd w:id="23"/>
      <w:r w:rsidRPr="00D863C8">
        <w:rPr>
          <w:rFonts w:ascii="Arial Narrow" w:hAnsi="Arial Narrow"/>
          <w:b/>
          <w:sz w:val="20"/>
        </w:rPr>
        <w:t xml:space="preserve"> TURP Procedure Cost (updated in pre-MSAC response)</w:t>
      </w:r>
    </w:p>
    <w:tbl>
      <w:tblPr>
        <w:tblStyle w:val="TableGrid21"/>
        <w:tblW w:w="8482" w:type="dxa"/>
        <w:tblInd w:w="-5" w:type="dxa"/>
        <w:tblLook w:val="04A0" w:firstRow="1" w:lastRow="0" w:firstColumn="1" w:lastColumn="0" w:noHBand="0" w:noVBand="1"/>
        <w:tblDescription w:val="TURP Procedure Cost (updated in pre-MSAC response)"/>
      </w:tblPr>
      <w:tblGrid>
        <w:gridCol w:w="3903"/>
        <w:gridCol w:w="1089"/>
        <w:gridCol w:w="1123"/>
        <w:gridCol w:w="1249"/>
        <w:gridCol w:w="1118"/>
      </w:tblGrid>
      <w:tr w:rsidR="003636DE" w:rsidRPr="007B105E" w14:paraId="34065E44" w14:textId="77777777" w:rsidTr="00221228">
        <w:trPr>
          <w:tblHeader/>
        </w:trPr>
        <w:tc>
          <w:tcPr>
            <w:tcW w:w="3903" w:type="dxa"/>
            <w:tcBorders>
              <w:top w:val="single" w:sz="4" w:space="0" w:color="auto"/>
            </w:tcBorders>
          </w:tcPr>
          <w:p w14:paraId="502A26CB" w14:textId="42C762E5" w:rsidR="003636DE" w:rsidRPr="007B105E" w:rsidRDefault="003636DE" w:rsidP="003636DE">
            <w:pPr>
              <w:pStyle w:val="Tabletext"/>
            </w:pPr>
            <w:r w:rsidRPr="007B105E">
              <w:t>Medicare payments -75% scheduled fee</w:t>
            </w:r>
          </w:p>
        </w:tc>
        <w:tc>
          <w:tcPr>
            <w:tcW w:w="1089" w:type="dxa"/>
            <w:tcBorders>
              <w:top w:val="single" w:sz="4" w:space="0" w:color="auto"/>
            </w:tcBorders>
          </w:tcPr>
          <w:p w14:paraId="7C1F2245" w14:textId="77777777" w:rsidR="003636DE" w:rsidRPr="007B105E" w:rsidRDefault="003636DE" w:rsidP="003636DE">
            <w:pPr>
              <w:pStyle w:val="Tabletext"/>
            </w:pPr>
            <w:r w:rsidRPr="007B105E">
              <w:rPr>
                <w:rFonts w:cs="Arial"/>
              </w:rPr>
              <w:t>MBS Item</w:t>
            </w:r>
          </w:p>
        </w:tc>
        <w:tc>
          <w:tcPr>
            <w:tcW w:w="1123" w:type="dxa"/>
            <w:tcBorders>
              <w:top w:val="single" w:sz="4" w:space="0" w:color="auto"/>
            </w:tcBorders>
          </w:tcPr>
          <w:p w14:paraId="517299D1" w14:textId="77777777" w:rsidR="003636DE" w:rsidRPr="007B105E" w:rsidRDefault="003636DE" w:rsidP="003636DE">
            <w:pPr>
              <w:pStyle w:val="Tabletext"/>
            </w:pPr>
            <w:r w:rsidRPr="007B105E">
              <w:rPr>
                <w:rFonts w:cs="Arial"/>
              </w:rPr>
              <w:t>Fee</w:t>
            </w:r>
          </w:p>
        </w:tc>
        <w:tc>
          <w:tcPr>
            <w:tcW w:w="1249" w:type="dxa"/>
            <w:tcBorders>
              <w:top w:val="single" w:sz="4" w:space="0" w:color="auto"/>
            </w:tcBorders>
          </w:tcPr>
          <w:p w14:paraId="3483BE5E" w14:textId="77777777" w:rsidR="003636DE" w:rsidRPr="007B105E" w:rsidRDefault="003636DE" w:rsidP="003636DE">
            <w:pPr>
              <w:pStyle w:val="Tabletext"/>
            </w:pPr>
            <w:r w:rsidRPr="007B105E">
              <w:t>Health Fund</w:t>
            </w:r>
          </w:p>
        </w:tc>
        <w:tc>
          <w:tcPr>
            <w:tcW w:w="1118" w:type="dxa"/>
            <w:tcBorders>
              <w:top w:val="single" w:sz="4" w:space="0" w:color="auto"/>
            </w:tcBorders>
          </w:tcPr>
          <w:p w14:paraId="3D2AF504" w14:textId="77777777" w:rsidR="003636DE" w:rsidRPr="007B105E" w:rsidRDefault="003636DE" w:rsidP="003636DE">
            <w:pPr>
              <w:pStyle w:val="Tabletext"/>
            </w:pPr>
            <w:r w:rsidRPr="007B105E">
              <w:t>Medicare</w:t>
            </w:r>
          </w:p>
        </w:tc>
      </w:tr>
      <w:tr w:rsidR="003636DE" w:rsidRPr="007B105E" w14:paraId="5765B61A" w14:textId="77777777" w:rsidTr="003636DE">
        <w:tc>
          <w:tcPr>
            <w:tcW w:w="3903" w:type="dxa"/>
          </w:tcPr>
          <w:p w14:paraId="735B18F0" w14:textId="77777777" w:rsidR="003636DE" w:rsidRPr="007B105E" w:rsidRDefault="003636DE" w:rsidP="003636DE">
            <w:pPr>
              <w:pStyle w:val="Tabletext"/>
            </w:pPr>
            <w:r w:rsidRPr="007B105E">
              <w:t>Pre-anaesthesia consultation</w:t>
            </w:r>
          </w:p>
        </w:tc>
        <w:tc>
          <w:tcPr>
            <w:tcW w:w="1089" w:type="dxa"/>
          </w:tcPr>
          <w:p w14:paraId="08D89EE9" w14:textId="77777777" w:rsidR="003636DE" w:rsidRPr="007B105E" w:rsidRDefault="003636DE" w:rsidP="003636DE">
            <w:pPr>
              <w:pStyle w:val="Tabletext"/>
            </w:pPr>
            <w:r w:rsidRPr="007B105E">
              <w:t>17610</w:t>
            </w:r>
          </w:p>
        </w:tc>
        <w:tc>
          <w:tcPr>
            <w:tcW w:w="1123" w:type="dxa"/>
          </w:tcPr>
          <w:p w14:paraId="7954FD86" w14:textId="77777777" w:rsidR="003636DE" w:rsidRPr="007B105E" w:rsidRDefault="003636DE" w:rsidP="003636DE">
            <w:pPr>
              <w:pStyle w:val="Tabletext"/>
            </w:pPr>
            <w:r w:rsidRPr="007B105E">
              <w:t>$44.35</w:t>
            </w:r>
          </w:p>
        </w:tc>
        <w:tc>
          <w:tcPr>
            <w:tcW w:w="1249" w:type="dxa"/>
          </w:tcPr>
          <w:p w14:paraId="4C8EF650" w14:textId="77777777" w:rsidR="003636DE" w:rsidRPr="007B105E" w:rsidRDefault="003636DE" w:rsidP="003636DE">
            <w:pPr>
              <w:pStyle w:val="Tabletext"/>
            </w:pPr>
            <w:r w:rsidRPr="007B105E">
              <w:t>$11.05</w:t>
            </w:r>
          </w:p>
        </w:tc>
        <w:tc>
          <w:tcPr>
            <w:tcW w:w="1118" w:type="dxa"/>
          </w:tcPr>
          <w:p w14:paraId="238C45FD" w14:textId="77777777" w:rsidR="003636DE" w:rsidRPr="007B105E" w:rsidRDefault="003636DE" w:rsidP="003636DE">
            <w:pPr>
              <w:pStyle w:val="Tabletext"/>
            </w:pPr>
            <w:r w:rsidRPr="007B105E">
              <w:t>$33.30</w:t>
            </w:r>
          </w:p>
        </w:tc>
      </w:tr>
      <w:tr w:rsidR="003636DE" w:rsidRPr="007B105E" w14:paraId="438039B7" w14:textId="77777777" w:rsidTr="003636DE">
        <w:tc>
          <w:tcPr>
            <w:tcW w:w="3903" w:type="dxa"/>
          </w:tcPr>
          <w:p w14:paraId="7407F050" w14:textId="77777777" w:rsidR="003636DE" w:rsidRPr="007B105E" w:rsidRDefault="003636DE" w:rsidP="003636DE">
            <w:pPr>
              <w:pStyle w:val="Tabletext"/>
            </w:pPr>
            <w:r w:rsidRPr="007B105E">
              <w:t>Initiation of management of anaesthesia 7 units</w:t>
            </w:r>
          </w:p>
        </w:tc>
        <w:tc>
          <w:tcPr>
            <w:tcW w:w="1089" w:type="dxa"/>
          </w:tcPr>
          <w:p w14:paraId="6F9B2A57" w14:textId="77777777" w:rsidR="003636DE" w:rsidRPr="007B105E" w:rsidRDefault="003636DE" w:rsidP="003636DE">
            <w:pPr>
              <w:pStyle w:val="Tabletext"/>
            </w:pPr>
            <w:r w:rsidRPr="007B105E">
              <w:t>20914</w:t>
            </w:r>
          </w:p>
        </w:tc>
        <w:tc>
          <w:tcPr>
            <w:tcW w:w="1123" w:type="dxa"/>
          </w:tcPr>
          <w:p w14:paraId="2EB4406C" w14:textId="77777777" w:rsidR="003636DE" w:rsidRPr="007B105E" w:rsidRDefault="003636DE" w:rsidP="003636DE">
            <w:pPr>
              <w:pStyle w:val="Tabletext"/>
            </w:pPr>
            <w:r w:rsidRPr="007B105E">
              <w:t>$140.70</w:t>
            </w:r>
          </w:p>
        </w:tc>
        <w:tc>
          <w:tcPr>
            <w:tcW w:w="1249" w:type="dxa"/>
          </w:tcPr>
          <w:p w14:paraId="5418299A" w14:textId="77777777" w:rsidR="003636DE" w:rsidRPr="007B105E" w:rsidRDefault="003636DE" w:rsidP="003636DE">
            <w:pPr>
              <w:pStyle w:val="Tabletext"/>
            </w:pPr>
            <w:r w:rsidRPr="007B105E">
              <w:t>$35.15</w:t>
            </w:r>
          </w:p>
        </w:tc>
        <w:tc>
          <w:tcPr>
            <w:tcW w:w="1118" w:type="dxa"/>
          </w:tcPr>
          <w:p w14:paraId="3E00E5E4" w14:textId="77777777" w:rsidR="003636DE" w:rsidRPr="007B105E" w:rsidRDefault="003636DE" w:rsidP="003636DE">
            <w:pPr>
              <w:pStyle w:val="Tabletext"/>
            </w:pPr>
            <w:r w:rsidRPr="007B105E">
              <w:t>$105.55</w:t>
            </w:r>
          </w:p>
        </w:tc>
      </w:tr>
      <w:tr w:rsidR="003636DE" w:rsidRPr="007B105E" w14:paraId="0B2ABE4A" w14:textId="77777777" w:rsidTr="003636DE">
        <w:tc>
          <w:tcPr>
            <w:tcW w:w="3903" w:type="dxa"/>
          </w:tcPr>
          <w:p w14:paraId="2932EBD0" w14:textId="77777777" w:rsidR="003636DE" w:rsidRPr="007B105E" w:rsidRDefault="003636DE" w:rsidP="003636DE">
            <w:pPr>
              <w:pStyle w:val="Tabletext"/>
            </w:pPr>
            <w:r w:rsidRPr="007B105E">
              <w:t>Anaesthesia – time (46-60 minutes)</w:t>
            </w:r>
          </w:p>
        </w:tc>
        <w:tc>
          <w:tcPr>
            <w:tcW w:w="1089" w:type="dxa"/>
          </w:tcPr>
          <w:p w14:paraId="218D453C" w14:textId="77777777" w:rsidR="003636DE" w:rsidRPr="007B105E" w:rsidRDefault="003636DE" w:rsidP="003636DE">
            <w:pPr>
              <w:pStyle w:val="Tabletext"/>
            </w:pPr>
            <w:r w:rsidRPr="007B105E">
              <w:t xml:space="preserve">23045 </w:t>
            </w:r>
          </w:p>
        </w:tc>
        <w:tc>
          <w:tcPr>
            <w:tcW w:w="1123" w:type="dxa"/>
          </w:tcPr>
          <w:p w14:paraId="43A5CAE4" w14:textId="77777777" w:rsidR="003636DE" w:rsidRPr="007B105E" w:rsidRDefault="003636DE" w:rsidP="003636DE">
            <w:pPr>
              <w:pStyle w:val="Tabletext"/>
            </w:pPr>
            <w:r w:rsidRPr="007B105E">
              <w:t>$80.40</w:t>
            </w:r>
          </w:p>
        </w:tc>
        <w:tc>
          <w:tcPr>
            <w:tcW w:w="1249" w:type="dxa"/>
          </w:tcPr>
          <w:p w14:paraId="4A655A3B" w14:textId="77777777" w:rsidR="003636DE" w:rsidRPr="007B105E" w:rsidRDefault="003636DE" w:rsidP="003636DE">
            <w:pPr>
              <w:pStyle w:val="Tabletext"/>
            </w:pPr>
            <w:r w:rsidRPr="007B105E">
              <w:t>$20.10</w:t>
            </w:r>
          </w:p>
        </w:tc>
        <w:tc>
          <w:tcPr>
            <w:tcW w:w="1118" w:type="dxa"/>
          </w:tcPr>
          <w:p w14:paraId="2D435543" w14:textId="77777777" w:rsidR="003636DE" w:rsidRPr="007B105E" w:rsidRDefault="003636DE" w:rsidP="003636DE">
            <w:pPr>
              <w:pStyle w:val="Tabletext"/>
            </w:pPr>
            <w:r w:rsidRPr="007B105E">
              <w:t>$60.30</w:t>
            </w:r>
          </w:p>
        </w:tc>
      </w:tr>
      <w:tr w:rsidR="003636DE" w:rsidRPr="007B105E" w14:paraId="1F1D57B4" w14:textId="77777777" w:rsidTr="003636DE">
        <w:tc>
          <w:tcPr>
            <w:tcW w:w="3903" w:type="dxa"/>
          </w:tcPr>
          <w:p w14:paraId="01D2D349" w14:textId="77777777" w:rsidR="003636DE" w:rsidRPr="007B105E" w:rsidRDefault="003636DE" w:rsidP="003636DE">
            <w:pPr>
              <w:pStyle w:val="Tabletext"/>
            </w:pPr>
            <w:r w:rsidRPr="007B105E">
              <w:t>Procedure – surgeon</w:t>
            </w:r>
          </w:p>
        </w:tc>
        <w:tc>
          <w:tcPr>
            <w:tcW w:w="1089" w:type="dxa"/>
          </w:tcPr>
          <w:p w14:paraId="1000460E" w14:textId="77777777" w:rsidR="003636DE" w:rsidRPr="007B105E" w:rsidRDefault="003636DE" w:rsidP="003636DE">
            <w:pPr>
              <w:pStyle w:val="Tabletext"/>
            </w:pPr>
            <w:r w:rsidRPr="007B105E">
              <w:t>37203</w:t>
            </w:r>
          </w:p>
        </w:tc>
        <w:tc>
          <w:tcPr>
            <w:tcW w:w="1123" w:type="dxa"/>
          </w:tcPr>
          <w:p w14:paraId="758C32D8" w14:textId="77777777" w:rsidR="003636DE" w:rsidRPr="007B105E" w:rsidRDefault="003636DE" w:rsidP="003636DE">
            <w:pPr>
              <w:pStyle w:val="Tabletext"/>
            </w:pPr>
            <w:r w:rsidRPr="007B105E">
              <w:t>$1,058.80</w:t>
            </w:r>
          </w:p>
        </w:tc>
        <w:tc>
          <w:tcPr>
            <w:tcW w:w="1249" w:type="dxa"/>
          </w:tcPr>
          <w:p w14:paraId="1E877C4F" w14:textId="77777777" w:rsidR="003636DE" w:rsidRPr="007B105E" w:rsidRDefault="003636DE" w:rsidP="003636DE">
            <w:pPr>
              <w:pStyle w:val="Tabletext"/>
            </w:pPr>
            <w:r w:rsidRPr="007B105E">
              <w:t>$264.70</w:t>
            </w:r>
          </w:p>
        </w:tc>
        <w:tc>
          <w:tcPr>
            <w:tcW w:w="1118" w:type="dxa"/>
          </w:tcPr>
          <w:p w14:paraId="4EB8B5A5" w14:textId="77777777" w:rsidR="003636DE" w:rsidRPr="007B105E" w:rsidRDefault="003636DE" w:rsidP="003636DE">
            <w:pPr>
              <w:pStyle w:val="Tabletext"/>
            </w:pPr>
            <w:r w:rsidRPr="007B105E">
              <w:t>$794.10</w:t>
            </w:r>
          </w:p>
        </w:tc>
      </w:tr>
      <w:tr w:rsidR="003636DE" w:rsidRPr="007B105E" w14:paraId="36A415CD" w14:textId="77777777" w:rsidTr="003636DE">
        <w:tc>
          <w:tcPr>
            <w:tcW w:w="3903" w:type="dxa"/>
          </w:tcPr>
          <w:p w14:paraId="43BA6949" w14:textId="77777777" w:rsidR="003636DE" w:rsidRPr="007B105E" w:rsidRDefault="003636DE" w:rsidP="003636DE">
            <w:pPr>
              <w:pStyle w:val="Tabletext"/>
            </w:pPr>
            <w:r w:rsidRPr="007B105E">
              <w:t>Theatre - minor complications – Band 5</w:t>
            </w:r>
          </w:p>
        </w:tc>
        <w:tc>
          <w:tcPr>
            <w:tcW w:w="1089" w:type="dxa"/>
          </w:tcPr>
          <w:p w14:paraId="6165E7A4" w14:textId="77777777" w:rsidR="003636DE" w:rsidRPr="007B105E" w:rsidRDefault="003636DE" w:rsidP="003636DE">
            <w:pPr>
              <w:pStyle w:val="Tabletext"/>
            </w:pPr>
          </w:p>
        </w:tc>
        <w:tc>
          <w:tcPr>
            <w:tcW w:w="1123" w:type="dxa"/>
          </w:tcPr>
          <w:p w14:paraId="1D745B6B" w14:textId="77777777" w:rsidR="003636DE" w:rsidRPr="007B105E" w:rsidRDefault="003636DE" w:rsidP="003636DE">
            <w:pPr>
              <w:pStyle w:val="Tabletext"/>
            </w:pPr>
            <w:r w:rsidRPr="007B105E">
              <w:t>$1,501.50</w:t>
            </w:r>
          </w:p>
        </w:tc>
        <w:tc>
          <w:tcPr>
            <w:tcW w:w="1249" w:type="dxa"/>
          </w:tcPr>
          <w:p w14:paraId="13E3CD5F" w14:textId="77777777" w:rsidR="003636DE" w:rsidRPr="007B105E" w:rsidRDefault="003636DE" w:rsidP="003636DE">
            <w:pPr>
              <w:pStyle w:val="Tabletext"/>
            </w:pPr>
            <w:r w:rsidRPr="007B105E">
              <w:t>$1,501.50</w:t>
            </w:r>
          </w:p>
        </w:tc>
        <w:tc>
          <w:tcPr>
            <w:tcW w:w="1118" w:type="dxa"/>
          </w:tcPr>
          <w:p w14:paraId="254A8384" w14:textId="77777777" w:rsidR="003636DE" w:rsidRPr="007B105E" w:rsidRDefault="003636DE" w:rsidP="003636DE">
            <w:pPr>
              <w:pStyle w:val="Tabletext"/>
            </w:pPr>
            <w:r w:rsidRPr="007B105E">
              <w:t>$0.00</w:t>
            </w:r>
          </w:p>
        </w:tc>
      </w:tr>
      <w:tr w:rsidR="003636DE" w:rsidRPr="007B105E" w14:paraId="2E9E12F1" w14:textId="77777777" w:rsidTr="003636DE">
        <w:tc>
          <w:tcPr>
            <w:tcW w:w="3903" w:type="dxa"/>
          </w:tcPr>
          <w:p w14:paraId="4FE531D0" w14:textId="77777777" w:rsidR="003636DE" w:rsidRPr="007B105E" w:rsidRDefault="003636DE" w:rsidP="003636DE">
            <w:pPr>
              <w:pStyle w:val="Tabletext"/>
            </w:pPr>
            <w:r w:rsidRPr="007B105E">
              <w:t>Bed-days @ $838.30 /day for 2.56 days</w:t>
            </w:r>
          </w:p>
        </w:tc>
        <w:tc>
          <w:tcPr>
            <w:tcW w:w="1089" w:type="dxa"/>
          </w:tcPr>
          <w:p w14:paraId="26B4D853" w14:textId="77777777" w:rsidR="003636DE" w:rsidRPr="007B105E" w:rsidRDefault="003636DE" w:rsidP="003636DE">
            <w:pPr>
              <w:pStyle w:val="Tabletext"/>
            </w:pPr>
          </w:p>
        </w:tc>
        <w:tc>
          <w:tcPr>
            <w:tcW w:w="1123" w:type="dxa"/>
          </w:tcPr>
          <w:p w14:paraId="02DBA0E1" w14:textId="77777777" w:rsidR="003636DE" w:rsidRPr="007B105E" w:rsidRDefault="003636DE" w:rsidP="003636DE">
            <w:pPr>
              <w:pStyle w:val="Tabletext"/>
            </w:pPr>
            <w:r w:rsidRPr="007B105E">
              <w:t>$2,146.05</w:t>
            </w:r>
          </w:p>
        </w:tc>
        <w:tc>
          <w:tcPr>
            <w:tcW w:w="1249" w:type="dxa"/>
          </w:tcPr>
          <w:p w14:paraId="3EB7781C" w14:textId="77777777" w:rsidR="003636DE" w:rsidRPr="007B105E" w:rsidRDefault="003636DE" w:rsidP="003636DE">
            <w:pPr>
              <w:pStyle w:val="Tabletext"/>
            </w:pPr>
            <w:r w:rsidRPr="007B105E">
              <w:t>$2,146.05</w:t>
            </w:r>
          </w:p>
        </w:tc>
        <w:tc>
          <w:tcPr>
            <w:tcW w:w="1118" w:type="dxa"/>
          </w:tcPr>
          <w:p w14:paraId="1F878FA3" w14:textId="77777777" w:rsidR="003636DE" w:rsidRPr="007B105E" w:rsidRDefault="003636DE" w:rsidP="003636DE">
            <w:pPr>
              <w:pStyle w:val="Tabletext"/>
            </w:pPr>
            <w:r w:rsidRPr="007B105E">
              <w:t>$0.00</w:t>
            </w:r>
          </w:p>
        </w:tc>
      </w:tr>
      <w:tr w:rsidR="003636DE" w:rsidRPr="007B105E" w14:paraId="77C3F64C" w14:textId="77777777" w:rsidTr="003636DE">
        <w:tc>
          <w:tcPr>
            <w:tcW w:w="3903" w:type="dxa"/>
          </w:tcPr>
          <w:p w14:paraId="01498045" w14:textId="77777777" w:rsidR="003636DE" w:rsidRPr="007B105E" w:rsidRDefault="003636DE" w:rsidP="003636DE">
            <w:pPr>
              <w:pStyle w:val="Tabletext"/>
            </w:pPr>
            <w:r w:rsidRPr="007B105E">
              <w:t>TURP disposable loop</w:t>
            </w:r>
          </w:p>
        </w:tc>
        <w:tc>
          <w:tcPr>
            <w:tcW w:w="1089" w:type="dxa"/>
          </w:tcPr>
          <w:p w14:paraId="7BCA8CF0" w14:textId="77777777" w:rsidR="003636DE" w:rsidRPr="007B105E" w:rsidRDefault="003636DE" w:rsidP="003636DE">
            <w:pPr>
              <w:pStyle w:val="Tabletext"/>
            </w:pPr>
          </w:p>
        </w:tc>
        <w:tc>
          <w:tcPr>
            <w:tcW w:w="1123" w:type="dxa"/>
          </w:tcPr>
          <w:p w14:paraId="248DC408" w14:textId="77777777" w:rsidR="003636DE" w:rsidRPr="007B105E" w:rsidRDefault="003636DE" w:rsidP="003636DE">
            <w:pPr>
              <w:pStyle w:val="Tabletext"/>
            </w:pPr>
            <w:r w:rsidRPr="007B105E">
              <w:t>$482.26</w:t>
            </w:r>
          </w:p>
        </w:tc>
        <w:tc>
          <w:tcPr>
            <w:tcW w:w="1249" w:type="dxa"/>
          </w:tcPr>
          <w:p w14:paraId="6DA63B0C" w14:textId="77777777" w:rsidR="003636DE" w:rsidRPr="007B105E" w:rsidRDefault="003636DE" w:rsidP="003636DE">
            <w:pPr>
              <w:pStyle w:val="Tabletext"/>
            </w:pPr>
            <w:r w:rsidRPr="007B105E">
              <w:t>$482.26</w:t>
            </w:r>
          </w:p>
        </w:tc>
        <w:tc>
          <w:tcPr>
            <w:tcW w:w="1118" w:type="dxa"/>
          </w:tcPr>
          <w:p w14:paraId="1D343AE4" w14:textId="77777777" w:rsidR="003636DE" w:rsidRPr="007B105E" w:rsidRDefault="003636DE" w:rsidP="003636DE">
            <w:pPr>
              <w:pStyle w:val="Tabletext"/>
            </w:pPr>
            <w:r>
              <w:t>$0.00</w:t>
            </w:r>
          </w:p>
        </w:tc>
      </w:tr>
      <w:tr w:rsidR="003636DE" w:rsidRPr="00150DC0" w14:paraId="1578A676" w14:textId="77777777" w:rsidTr="003636DE">
        <w:tc>
          <w:tcPr>
            <w:tcW w:w="3903" w:type="dxa"/>
          </w:tcPr>
          <w:p w14:paraId="33CCA7AA" w14:textId="77777777" w:rsidR="003636DE" w:rsidRPr="00150DC0" w:rsidRDefault="003636DE" w:rsidP="003636DE">
            <w:pPr>
              <w:pStyle w:val="Tabletext"/>
            </w:pPr>
            <w:r w:rsidRPr="00150DC0">
              <w:t>Addition cost to the PBS</w:t>
            </w:r>
          </w:p>
        </w:tc>
        <w:tc>
          <w:tcPr>
            <w:tcW w:w="1089" w:type="dxa"/>
          </w:tcPr>
          <w:p w14:paraId="4D48E785" w14:textId="77777777" w:rsidR="003636DE" w:rsidRPr="00150DC0" w:rsidRDefault="003636DE" w:rsidP="003636DE">
            <w:pPr>
              <w:pStyle w:val="Tabletext"/>
            </w:pPr>
          </w:p>
        </w:tc>
        <w:tc>
          <w:tcPr>
            <w:tcW w:w="1123" w:type="dxa"/>
          </w:tcPr>
          <w:p w14:paraId="00E6AD17" w14:textId="77777777" w:rsidR="003636DE" w:rsidRPr="00150DC0" w:rsidRDefault="003636DE" w:rsidP="003636DE">
            <w:pPr>
              <w:pStyle w:val="Tabletext"/>
            </w:pPr>
            <w:r w:rsidRPr="00150DC0">
              <w:t>??</w:t>
            </w:r>
          </w:p>
        </w:tc>
        <w:tc>
          <w:tcPr>
            <w:tcW w:w="1249" w:type="dxa"/>
          </w:tcPr>
          <w:p w14:paraId="2C8B01AE" w14:textId="77777777" w:rsidR="003636DE" w:rsidRPr="00150DC0" w:rsidRDefault="003636DE" w:rsidP="003636DE">
            <w:pPr>
              <w:pStyle w:val="Tabletext"/>
            </w:pPr>
          </w:p>
        </w:tc>
        <w:tc>
          <w:tcPr>
            <w:tcW w:w="1118" w:type="dxa"/>
          </w:tcPr>
          <w:p w14:paraId="6BCC3E23" w14:textId="77777777" w:rsidR="003636DE" w:rsidRPr="00150DC0" w:rsidRDefault="003636DE" w:rsidP="003636DE">
            <w:pPr>
              <w:pStyle w:val="Tabletext"/>
            </w:pPr>
          </w:p>
        </w:tc>
      </w:tr>
      <w:tr w:rsidR="003636DE" w:rsidRPr="007B105E" w14:paraId="72DA78C4" w14:textId="77777777" w:rsidTr="003636DE">
        <w:tc>
          <w:tcPr>
            <w:tcW w:w="3903" w:type="dxa"/>
          </w:tcPr>
          <w:p w14:paraId="5096C1BA" w14:textId="77777777" w:rsidR="003636DE" w:rsidRPr="007B105E" w:rsidRDefault="003636DE" w:rsidP="003636DE">
            <w:pPr>
              <w:pStyle w:val="Tabletext"/>
            </w:pPr>
            <w:r w:rsidRPr="007B105E">
              <w:t>Total</w:t>
            </w:r>
          </w:p>
        </w:tc>
        <w:tc>
          <w:tcPr>
            <w:tcW w:w="1089" w:type="dxa"/>
          </w:tcPr>
          <w:p w14:paraId="4292D3A3" w14:textId="77777777" w:rsidR="003636DE" w:rsidRPr="007B105E" w:rsidRDefault="003636DE" w:rsidP="003636DE">
            <w:pPr>
              <w:pStyle w:val="Tabletext"/>
            </w:pPr>
          </w:p>
        </w:tc>
        <w:tc>
          <w:tcPr>
            <w:tcW w:w="1123" w:type="dxa"/>
          </w:tcPr>
          <w:p w14:paraId="15CDF09B" w14:textId="77777777" w:rsidR="003636DE" w:rsidRPr="007B105E" w:rsidRDefault="003636DE" w:rsidP="003636DE">
            <w:pPr>
              <w:pStyle w:val="Tabletext"/>
            </w:pPr>
            <w:r w:rsidRPr="007B105E">
              <w:t>$</w:t>
            </w:r>
            <w:r>
              <w:t>5,454.06</w:t>
            </w:r>
          </w:p>
        </w:tc>
        <w:tc>
          <w:tcPr>
            <w:tcW w:w="1249" w:type="dxa"/>
          </w:tcPr>
          <w:p w14:paraId="18941C5D" w14:textId="77777777" w:rsidR="003636DE" w:rsidRPr="007B105E" w:rsidRDefault="003636DE" w:rsidP="003636DE">
            <w:pPr>
              <w:pStyle w:val="Tabletext"/>
            </w:pPr>
            <w:r w:rsidRPr="007B105E">
              <w:t>$</w:t>
            </w:r>
            <w:r>
              <w:t>4,460.81</w:t>
            </w:r>
          </w:p>
        </w:tc>
        <w:tc>
          <w:tcPr>
            <w:tcW w:w="1118" w:type="dxa"/>
          </w:tcPr>
          <w:p w14:paraId="0510DC27" w14:textId="77777777" w:rsidR="003636DE" w:rsidRPr="007B105E" w:rsidRDefault="003636DE" w:rsidP="003636DE">
            <w:pPr>
              <w:pStyle w:val="Tabletext"/>
            </w:pPr>
            <w:r w:rsidRPr="007B105E">
              <w:t>$993.25</w:t>
            </w:r>
          </w:p>
        </w:tc>
      </w:tr>
    </w:tbl>
    <w:p w14:paraId="4A334243" w14:textId="63B05951" w:rsidR="003636DE" w:rsidRDefault="003636DE" w:rsidP="00C11BBE">
      <w:pPr>
        <w:pStyle w:val="Tablenotes"/>
      </w:pPr>
      <w:r>
        <w:t xml:space="preserve">Source: Table 23, p3 of the pre-MSAC response. </w:t>
      </w:r>
    </w:p>
    <w:p w14:paraId="46EF1EC1" w14:textId="62B4435C" w:rsidR="00652235" w:rsidRDefault="00652235" w:rsidP="00C11BBE">
      <w:pPr>
        <w:spacing w:before="240"/>
        <w:rPr>
          <w:rFonts w:eastAsiaTheme="minorHAnsi"/>
          <w:lang w:eastAsia="en-US"/>
        </w:rPr>
      </w:pPr>
      <w:r>
        <w:rPr>
          <w:rFonts w:eastAsiaTheme="minorHAnsi"/>
          <w:lang w:eastAsia="en-US"/>
        </w:rPr>
        <w:t>The ADAR stated t</w:t>
      </w:r>
      <w:r w:rsidRPr="000537B0">
        <w:rPr>
          <w:rFonts w:eastAsiaTheme="minorHAnsi"/>
          <w:lang w:eastAsia="en-US"/>
        </w:rPr>
        <w:t>he AR-DRG data cube 2017-18 divides TURP by major and minor complications.</w:t>
      </w:r>
    </w:p>
    <w:p w14:paraId="5E7B9BC4" w14:textId="72156C91" w:rsidR="00652235" w:rsidRPr="00D863C8" w:rsidRDefault="00652235" w:rsidP="00D863C8">
      <w:pPr>
        <w:spacing w:before="240"/>
        <w:rPr>
          <w:rFonts w:ascii="Arial Narrow" w:eastAsiaTheme="minorHAnsi" w:hAnsi="Arial Narrow"/>
          <w:b/>
          <w:sz w:val="20"/>
        </w:rPr>
      </w:pPr>
      <w:bookmarkStart w:id="24" w:name="_Ref40964377"/>
      <w:r w:rsidRPr="00D863C8">
        <w:rPr>
          <w:rFonts w:ascii="Arial Narrow" w:hAnsi="Arial Narrow"/>
          <w:b/>
          <w:sz w:val="20"/>
        </w:rPr>
        <w:t xml:space="preserve">Table </w:t>
      </w:r>
      <w:r w:rsidR="00C11BBE" w:rsidRPr="00D863C8">
        <w:rPr>
          <w:rFonts w:ascii="Arial Narrow" w:hAnsi="Arial Narrow"/>
          <w:b/>
          <w:sz w:val="20"/>
        </w:rPr>
        <w:fldChar w:fldCharType="begin"/>
      </w:r>
      <w:r w:rsidR="00C11BBE" w:rsidRPr="00D863C8">
        <w:rPr>
          <w:rFonts w:ascii="Arial Narrow" w:hAnsi="Arial Narrow"/>
          <w:b/>
          <w:sz w:val="20"/>
        </w:rPr>
        <w:instrText xml:space="preserve"> SEQ Table \* ARABIC </w:instrText>
      </w:r>
      <w:r w:rsidR="00C11BBE" w:rsidRPr="00D863C8">
        <w:rPr>
          <w:rFonts w:ascii="Arial Narrow" w:hAnsi="Arial Narrow"/>
          <w:b/>
          <w:sz w:val="20"/>
        </w:rPr>
        <w:fldChar w:fldCharType="separate"/>
      </w:r>
      <w:r w:rsidRPr="00D863C8">
        <w:rPr>
          <w:rFonts w:ascii="Arial Narrow" w:hAnsi="Arial Narrow"/>
          <w:b/>
          <w:sz w:val="20"/>
        </w:rPr>
        <w:t>10</w:t>
      </w:r>
      <w:r w:rsidR="00C11BBE" w:rsidRPr="00D863C8">
        <w:rPr>
          <w:rFonts w:ascii="Arial Narrow" w:hAnsi="Arial Narrow"/>
          <w:b/>
          <w:sz w:val="20"/>
        </w:rPr>
        <w:fldChar w:fldCharType="end"/>
      </w:r>
      <w:bookmarkEnd w:id="24"/>
      <w:r w:rsidRPr="00D863C8">
        <w:rPr>
          <w:rFonts w:ascii="Arial Narrow" w:eastAsiaTheme="minorHAnsi" w:hAnsi="Arial Narrow"/>
          <w:b/>
          <w:sz w:val="20"/>
        </w:rPr>
        <w:t xml:space="preserve"> TURP – major and minor complications </w:t>
      </w:r>
    </w:p>
    <w:tbl>
      <w:tblPr>
        <w:tblStyle w:val="TableGrid5"/>
        <w:tblW w:w="0" w:type="auto"/>
        <w:tblLook w:val="04A0" w:firstRow="1" w:lastRow="0" w:firstColumn="1" w:lastColumn="0" w:noHBand="0" w:noVBand="1"/>
        <w:tblDescription w:val="TURP – major and minor complications "/>
      </w:tblPr>
      <w:tblGrid>
        <w:gridCol w:w="5549"/>
        <w:gridCol w:w="1092"/>
        <w:gridCol w:w="1146"/>
        <w:gridCol w:w="536"/>
      </w:tblGrid>
      <w:tr w:rsidR="00652235" w:rsidRPr="000537B0" w14:paraId="65B0E21A" w14:textId="77777777" w:rsidTr="00221228">
        <w:trPr>
          <w:tblHeader/>
        </w:trPr>
        <w:tc>
          <w:tcPr>
            <w:tcW w:w="0" w:type="auto"/>
          </w:tcPr>
          <w:p w14:paraId="47139D3F" w14:textId="77777777" w:rsidR="00652235" w:rsidRPr="000537B0" w:rsidRDefault="00652235" w:rsidP="00F11AFE">
            <w:pPr>
              <w:pStyle w:val="Tabletext"/>
            </w:pPr>
          </w:p>
        </w:tc>
        <w:tc>
          <w:tcPr>
            <w:tcW w:w="0" w:type="auto"/>
          </w:tcPr>
          <w:p w14:paraId="56845B11" w14:textId="77777777" w:rsidR="00652235" w:rsidRPr="000537B0" w:rsidRDefault="00652235" w:rsidP="00F11AFE">
            <w:pPr>
              <w:pStyle w:val="Tabletext"/>
            </w:pPr>
            <w:r w:rsidRPr="000537B0">
              <w:t>Separations</w:t>
            </w:r>
          </w:p>
        </w:tc>
        <w:tc>
          <w:tcPr>
            <w:tcW w:w="0" w:type="auto"/>
          </w:tcPr>
          <w:p w14:paraId="2EA68B92" w14:textId="77777777" w:rsidR="00652235" w:rsidRPr="000537B0" w:rsidRDefault="00652235" w:rsidP="00F11AFE">
            <w:pPr>
              <w:pStyle w:val="Tabletext"/>
            </w:pPr>
            <w:r w:rsidRPr="000537B0">
              <w:t>Patient Days</w:t>
            </w:r>
          </w:p>
        </w:tc>
        <w:tc>
          <w:tcPr>
            <w:tcW w:w="0" w:type="auto"/>
          </w:tcPr>
          <w:p w14:paraId="46452533" w14:textId="77777777" w:rsidR="00652235" w:rsidRPr="000537B0" w:rsidRDefault="00652235" w:rsidP="00F11AFE">
            <w:pPr>
              <w:pStyle w:val="Tabletext"/>
            </w:pPr>
            <w:r w:rsidRPr="000537B0">
              <w:t>Av.</w:t>
            </w:r>
          </w:p>
        </w:tc>
      </w:tr>
      <w:tr w:rsidR="00652235" w:rsidRPr="000537B0" w14:paraId="73253488" w14:textId="77777777" w:rsidTr="002050A3">
        <w:tc>
          <w:tcPr>
            <w:tcW w:w="0" w:type="auto"/>
          </w:tcPr>
          <w:p w14:paraId="4DDEF1B6" w14:textId="77777777" w:rsidR="00652235" w:rsidRPr="000537B0" w:rsidRDefault="00652235" w:rsidP="00F11AFE">
            <w:pPr>
              <w:pStyle w:val="Tabletext"/>
            </w:pPr>
            <w:r w:rsidRPr="000537B0">
              <w:t>L05A Transurethral Prostatectomy for Urinary Disorder, Major Complexity</w:t>
            </w:r>
          </w:p>
        </w:tc>
        <w:tc>
          <w:tcPr>
            <w:tcW w:w="0" w:type="auto"/>
          </w:tcPr>
          <w:p w14:paraId="7CEBAD07" w14:textId="77777777" w:rsidR="00652235" w:rsidRPr="000537B0" w:rsidRDefault="00652235" w:rsidP="00F11AFE">
            <w:pPr>
              <w:pStyle w:val="Tabletext"/>
            </w:pPr>
            <w:r w:rsidRPr="000537B0">
              <w:t>656</w:t>
            </w:r>
          </w:p>
        </w:tc>
        <w:tc>
          <w:tcPr>
            <w:tcW w:w="0" w:type="auto"/>
          </w:tcPr>
          <w:p w14:paraId="7859E48B" w14:textId="77777777" w:rsidR="00652235" w:rsidRPr="000537B0" w:rsidRDefault="00652235" w:rsidP="00F11AFE">
            <w:pPr>
              <w:pStyle w:val="Tabletext"/>
            </w:pPr>
            <w:r w:rsidRPr="000537B0">
              <w:t>5309</w:t>
            </w:r>
          </w:p>
        </w:tc>
        <w:tc>
          <w:tcPr>
            <w:tcW w:w="0" w:type="auto"/>
          </w:tcPr>
          <w:p w14:paraId="2BA1A434" w14:textId="77777777" w:rsidR="00652235" w:rsidRPr="000537B0" w:rsidRDefault="00652235" w:rsidP="00F11AFE">
            <w:pPr>
              <w:pStyle w:val="Tabletext"/>
            </w:pPr>
            <w:r w:rsidRPr="000537B0">
              <w:t>8.09</w:t>
            </w:r>
          </w:p>
        </w:tc>
      </w:tr>
      <w:tr w:rsidR="00652235" w:rsidRPr="000537B0" w14:paraId="751535CF" w14:textId="77777777" w:rsidTr="002050A3">
        <w:tc>
          <w:tcPr>
            <w:tcW w:w="0" w:type="auto"/>
          </w:tcPr>
          <w:p w14:paraId="755D36D8" w14:textId="77777777" w:rsidR="00652235" w:rsidRPr="000537B0" w:rsidRDefault="00652235" w:rsidP="00F11AFE">
            <w:pPr>
              <w:pStyle w:val="Tabletext"/>
            </w:pPr>
            <w:r w:rsidRPr="000537B0">
              <w:t>L05B Transurethral Prostatectomy for Urinary Disorder, Minor Complexity</w:t>
            </w:r>
          </w:p>
        </w:tc>
        <w:tc>
          <w:tcPr>
            <w:tcW w:w="0" w:type="auto"/>
          </w:tcPr>
          <w:p w14:paraId="140DFCF9" w14:textId="77777777" w:rsidR="00652235" w:rsidRPr="000537B0" w:rsidRDefault="00652235" w:rsidP="00F11AFE">
            <w:pPr>
              <w:pStyle w:val="Tabletext"/>
            </w:pPr>
            <w:r w:rsidRPr="000537B0">
              <w:t>4795</w:t>
            </w:r>
          </w:p>
        </w:tc>
        <w:tc>
          <w:tcPr>
            <w:tcW w:w="0" w:type="auto"/>
          </w:tcPr>
          <w:p w14:paraId="77AEA3B6" w14:textId="77777777" w:rsidR="00652235" w:rsidRPr="000537B0" w:rsidRDefault="00652235" w:rsidP="00F11AFE">
            <w:pPr>
              <w:pStyle w:val="Tabletext"/>
            </w:pPr>
            <w:r w:rsidRPr="000537B0">
              <w:t>12256</w:t>
            </w:r>
          </w:p>
        </w:tc>
        <w:tc>
          <w:tcPr>
            <w:tcW w:w="0" w:type="auto"/>
          </w:tcPr>
          <w:p w14:paraId="01CB735C" w14:textId="77777777" w:rsidR="00652235" w:rsidRPr="000537B0" w:rsidRDefault="00652235" w:rsidP="00F11AFE">
            <w:pPr>
              <w:pStyle w:val="Tabletext"/>
            </w:pPr>
            <w:r w:rsidRPr="000537B0">
              <w:t>2.56</w:t>
            </w:r>
          </w:p>
        </w:tc>
      </w:tr>
      <w:tr w:rsidR="00652235" w:rsidRPr="000537B0" w14:paraId="38F414FA" w14:textId="77777777" w:rsidTr="002050A3">
        <w:tc>
          <w:tcPr>
            <w:tcW w:w="0" w:type="auto"/>
          </w:tcPr>
          <w:p w14:paraId="49BE388B" w14:textId="77777777" w:rsidR="00652235" w:rsidRPr="000537B0" w:rsidRDefault="00652235" w:rsidP="00F11AFE">
            <w:pPr>
              <w:pStyle w:val="Tabletext"/>
            </w:pPr>
            <w:r w:rsidRPr="000537B0">
              <w:t>Total</w:t>
            </w:r>
          </w:p>
        </w:tc>
        <w:tc>
          <w:tcPr>
            <w:tcW w:w="0" w:type="auto"/>
          </w:tcPr>
          <w:p w14:paraId="218BFE18" w14:textId="77777777" w:rsidR="00652235" w:rsidRPr="000537B0" w:rsidRDefault="00652235" w:rsidP="00F11AFE">
            <w:pPr>
              <w:pStyle w:val="Tabletext"/>
            </w:pPr>
            <w:r w:rsidRPr="000537B0">
              <w:t>5451</w:t>
            </w:r>
          </w:p>
        </w:tc>
        <w:tc>
          <w:tcPr>
            <w:tcW w:w="0" w:type="auto"/>
          </w:tcPr>
          <w:p w14:paraId="129FB125" w14:textId="77777777" w:rsidR="00652235" w:rsidRPr="000537B0" w:rsidRDefault="00652235" w:rsidP="00F11AFE">
            <w:pPr>
              <w:pStyle w:val="Tabletext"/>
            </w:pPr>
            <w:r w:rsidRPr="000537B0">
              <w:t>17565</w:t>
            </w:r>
          </w:p>
        </w:tc>
        <w:tc>
          <w:tcPr>
            <w:tcW w:w="0" w:type="auto"/>
          </w:tcPr>
          <w:p w14:paraId="135B846D" w14:textId="77777777" w:rsidR="00652235" w:rsidRPr="000537B0" w:rsidRDefault="00652235" w:rsidP="00F11AFE">
            <w:pPr>
              <w:pStyle w:val="Tabletext"/>
            </w:pPr>
            <w:r w:rsidRPr="000537B0">
              <w:t>3.22</w:t>
            </w:r>
          </w:p>
        </w:tc>
      </w:tr>
    </w:tbl>
    <w:p w14:paraId="49283AEA" w14:textId="03180BDA" w:rsidR="00652235" w:rsidRPr="00C11BBE" w:rsidRDefault="00652235" w:rsidP="00C11BBE">
      <w:pPr>
        <w:pStyle w:val="Tablenotes"/>
      </w:pPr>
      <w:r>
        <w:t xml:space="preserve">Source: Table 6, p18 of the ADAR. </w:t>
      </w:r>
    </w:p>
    <w:p w14:paraId="63B33E3B" w14:textId="008EEED6" w:rsidR="001B12C3" w:rsidRDefault="00652235" w:rsidP="0092251A">
      <w:pPr>
        <w:spacing w:before="240" w:after="240"/>
        <w:rPr>
          <w:rFonts w:eastAsiaTheme="minorHAnsi"/>
          <w:lang w:eastAsia="en-US"/>
        </w:rPr>
      </w:pPr>
      <w:r w:rsidRPr="000537B0">
        <w:rPr>
          <w:rFonts w:eastAsiaTheme="minorHAnsi"/>
          <w:lang w:eastAsia="en-US"/>
        </w:rPr>
        <w:t>According to the IHPA National Efficient Price Determination 2018-19, the cost weight for L05A was 3.1643 and 1.3024 for L05B. Using these cost weights and the minor complications procedure co</w:t>
      </w:r>
      <w:r>
        <w:rPr>
          <w:rFonts w:eastAsiaTheme="minorHAnsi"/>
          <w:lang w:eastAsia="en-US"/>
        </w:rPr>
        <w:t xml:space="preserve">st for TURP calculated in </w:t>
      </w:r>
      <w:r w:rsidR="00136505">
        <w:rPr>
          <w:rFonts w:eastAsiaTheme="minorHAnsi"/>
          <w:lang w:eastAsia="en-US"/>
        </w:rPr>
        <w:t>Table 23, p52 of the ADAR</w:t>
      </w:r>
      <w:r w:rsidRPr="000537B0">
        <w:rPr>
          <w:rFonts w:eastAsiaTheme="minorHAnsi"/>
          <w:lang w:eastAsia="en-US"/>
        </w:rPr>
        <w:t xml:space="preserve">, </w:t>
      </w:r>
      <w:r>
        <w:rPr>
          <w:rFonts w:eastAsiaTheme="minorHAnsi"/>
          <w:lang w:eastAsia="en-US"/>
        </w:rPr>
        <w:t xml:space="preserve">the ADAR calculated </w:t>
      </w:r>
      <w:r w:rsidRPr="000537B0">
        <w:rPr>
          <w:rFonts w:eastAsiaTheme="minorHAnsi"/>
          <w:lang w:eastAsia="en-US"/>
        </w:rPr>
        <w:t>the procedure cos</w:t>
      </w:r>
      <w:r>
        <w:rPr>
          <w:rFonts w:eastAsiaTheme="minorHAnsi"/>
          <w:lang w:eastAsia="en-US"/>
        </w:rPr>
        <w:t xml:space="preserve">t for TURP major complications </w:t>
      </w:r>
      <w:r w:rsidRPr="000537B0">
        <w:rPr>
          <w:rFonts w:eastAsiaTheme="minorHAnsi"/>
          <w:lang w:eastAsia="en-US"/>
        </w:rPr>
        <w:t xml:space="preserve">s $12,079.44. Thus, the average TURP procedure cost, calculated as 12% of procedures with complications </w:t>
      </w:r>
      <w:r w:rsidR="001B12C3">
        <w:rPr>
          <w:rFonts w:eastAsiaTheme="minorHAnsi"/>
          <w:lang w:eastAsia="en-US"/>
        </w:rPr>
        <w:t>at</w:t>
      </w:r>
      <w:r w:rsidRPr="000537B0">
        <w:rPr>
          <w:rFonts w:eastAsiaTheme="minorHAnsi"/>
          <w:lang w:eastAsia="en-US"/>
        </w:rPr>
        <w:t xml:space="preserve"> $12,079.44 and 88% of procedures without complications </w:t>
      </w:r>
      <w:r w:rsidR="001B12C3">
        <w:rPr>
          <w:rFonts w:eastAsiaTheme="minorHAnsi"/>
          <w:lang w:eastAsia="en-US"/>
        </w:rPr>
        <w:t>at</w:t>
      </w:r>
      <w:r w:rsidRPr="000537B0">
        <w:rPr>
          <w:rFonts w:eastAsiaTheme="minorHAnsi"/>
          <w:lang w:eastAsia="en-US"/>
        </w:rPr>
        <w:t xml:space="preserve"> $4,971.80, </w:t>
      </w:r>
      <w:r w:rsidRPr="00AD53A7">
        <w:rPr>
          <w:rFonts w:eastAsiaTheme="minorHAnsi"/>
          <w:lang w:eastAsia="en-US"/>
        </w:rPr>
        <w:t>is $5,824.72.</w:t>
      </w:r>
    </w:p>
    <w:p w14:paraId="431A1B18" w14:textId="3E5F28F6" w:rsidR="00652235" w:rsidRDefault="00652235" w:rsidP="00652235">
      <w:pPr>
        <w:rPr>
          <w:rFonts w:eastAsiaTheme="minorHAnsi"/>
          <w:lang w:eastAsia="en-US"/>
        </w:rPr>
      </w:pPr>
      <w:r>
        <w:rPr>
          <w:rFonts w:eastAsiaTheme="minorHAnsi"/>
          <w:lang w:eastAsia="en-US"/>
        </w:rPr>
        <w:lastRenderedPageBreak/>
        <w:t>The commentary noted that a</w:t>
      </w:r>
      <w:r w:rsidRPr="002611B1">
        <w:rPr>
          <w:rFonts w:eastAsiaTheme="minorHAnsi"/>
          <w:lang w:eastAsia="en-US"/>
        </w:rPr>
        <w:t xml:space="preserve">s described </w:t>
      </w:r>
      <w:r>
        <w:rPr>
          <w:rFonts w:eastAsiaTheme="minorHAnsi"/>
          <w:lang w:eastAsia="en-US"/>
        </w:rPr>
        <w:t>above</w:t>
      </w:r>
      <w:r w:rsidRPr="002611B1">
        <w:rPr>
          <w:rFonts w:eastAsiaTheme="minorHAnsi"/>
          <w:lang w:eastAsia="en-US"/>
        </w:rPr>
        <w:t xml:space="preserve">, </w:t>
      </w:r>
      <w:r>
        <w:rPr>
          <w:rFonts w:eastAsiaTheme="minorHAnsi"/>
          <w:lang w:eastAsia="en-US"/>
        </w:rPr>
        <w:t xml:space="preserve">the inclusion of major complications costs for TURP only, and not for PUL (or VLAP) has not been justified. Further, the cost weight and split of major to minor complications used may not be reasonable. </w:t>
      </w:r>
    </w:p>
    <w:p w14:paraId="257EAB5B" w14:textId="56B7B9D8" w:rsidR="00136505" w:rsidRPr="00E77848" w:rsidRDefault="00136505" w:rsidP="00C11BBE">
      <w:pPr>
        <w:spacing w:before="240"/>
        <w:rPr>
          <w:rFonts w:eastAsiaTheme="minorHAnsi"/>
          <w:lang w:eastAsia="en-US"/>
        </w:rPr>
      </w:pPr>
      <w:r>
        <w:rPr>
          <w:rFonts w:eastAsiaTheme="minorHAnsi"/>
          <w:lang w:eastAsia="en-US"/>
        </w:rPr>
        <w:t xml:space="preserve">The pre-MSAC response provided updated calculations based on the updated TURP procedure costs shown above in Table 9 and the cost weights for L05A and L05B shown in Table </w:t>
      </w:r>
      <w:r w:rsidR="006B6EDC">
        <w:rPr>
          <w:rFonts w:eastAsiaTheme="minorHAnsi"/>
          <w:lang w:eastAsia="en-US"/>
        </w:rPr>
        <w:t>10</w:t>
      </w:r>
      <w:r>
        <w:rPr>
          <w:rFonts w:eastAsiaTheme="minorHAnsi"/>
          <w:lang w:eastAsia="en-US"/>
        </w:rPr>
        <w:t xml:space="preserve">. </w:t>
      </w:r>
      <w:r w:rsidRPr="00136505">
        <w:rPr>
          <w:rFonts w:eastAsiaTheme="minorHAnsi"/>
          <w:lang w:eastAsia="en-US"/>
        </w:rPr>
        <w:t>Using these cost weights and the minor complications proced</w:t>
      </w:r>
      <w:r>
        <w:rPr>
          <w:rFonts w:eastAsiaTheme="minorHAnsi"/>
          <w:lang w:eastAsia="en-US"/>
        </w:rPr>
        <w:t>ure cost of $5,454.06 for TURP</w:t>
      </w:r>
      <w:r w:rsidRPr="00136505">
        <w:rPr>
          <w:rFonts w:eastAsiaTheme="minorHAnsi"/>
          <w:lang w:eastAsia="en-US"/>
        </w:rPr>
        <w:t xml:space="preserve">, the procedure cost for TURP major complications is $13,251.14. Thus, the average TURP procedure cost, based on 12% of procedures being with major complications and 88% with minor complications, is $6,389.71. </w:t>
      </w:r>
      <w:r>
        <w:rPr>
          <w:rFonts w:eastAsiaTheme="minorHAnsi"/>
          <w:lang w:eastAsia="en-US"/>
        </w:rPr>
        <w:t>The applicant noted</w:t>
      </w:r>
      <w:r w:rsidRPr="00136505">
        <w:rPr>
          <w:rFonts w:eastAsiaTheme="minorHAnsi"/>
          <w:lang w:eastAsia="en-US"/>
        </w:rPr>
        <w:t xml:space="preserve"> that this is $121.52 higher than the $6,268.19 adjusted cost for PUL </w:t>
      </w:r>
      <w:r>
        <w:rPr>
          <w:rFonts w:eastAsiaTheme="minorHAnsi"/>
          <w:lang w:eastAsia="en-US"/>
        </w:rPr>
        <w:t xml:space="preserve">(Table </w:t>
      </w:r>
      <w:r w:rsidR="006B6EDC">
        <w:rPr>
          <w:rFonts w:eastAsiaTheme="minorHAnsi"/>
          <w:lang w:eastAsia="en-US"/>
        </w:rPr>
        <w:t>11</w:t>
      </w:r>
      <w:r>
        <w:rPr>
          <w:rFonts w:eastAsiaTheme="minorHAnsi"/>
          <w:lang w:eastAsia="en-US"/>
        </w:rPr>
        <w:t xml:space="preserve"> below).</w:t>
      </w:r>
      <w:r w:rsidRPr="00136505">
        <w:rPr>
          <w:rFonts w:eastAsiaTheme="minorHAnsi"/>
          <w:lang w:eastAsia="en-US"/>
        </w:rPr>
        <w:t xml:space="preserve"> The</w:t>
      </w:r>
      <w:r>
        <w:rPr>
          <w:rFonts w:eastAsiaTheme="minorHAnsi"/>
          <w:lang w:eastAsia="en-US"/>
        </w:rPr>
        <w:t xml:space="preserve"> applicant claimed</w:t>
      </w:r>
      <w:r w:rsidRPr="00136505">
        <w:rPr>
          <w:rFonts w:eastAsiaTheme="minorHAnsi"/>
          <w:lang w:eastAsia="en-US"/>
        </w:rPr>
        <w:t xml:space="preserve"> inclusion of the cost of TURP procedures with major complications results in a financial saving to both the MBS and the Private Health Funds for each patient ‘swapped’ to PUL.</w:t>
      </w:r>
    </w:p>
    <w:p w14:paraId="5B8E43F4" w14:textId="77777777" w:rsidR="00652235" w:rsidRPr="00D863C8" w:rsidRDefault="00652235" w:rsidP="00D863C8">
      <w:pPr>
        <w:spacing w:before="240" w:after="240"/>
        <w:rPr>
          <w:u w:val="single"/>
        </w:rPr>
      </w:pPr>
      <w:r w:rsidRPr="00D863C8">
        <w:rPr>
          <w:u w:val="single"/>
        </w:rPr>
        <w:t>PUL</w:t>
      </w:r>
    </w:p>
    <w:p w14:paraId="7BD1D87B" w14:textId="72890ACD" w:rsidR="00652235" w:rsidRPr="00D863C8" w:rsidRDefault="00652235" w:rsidP="00D863C8">
      <w:pPr>
        <w:rPr>
          <w:rFonts w:ascii="Arial Narrow" w:eastAsiaTheme="minorHAnsi" w:hAnsi="Arial Narrow"/>
          <w:b/>
          <w:sz w:val="20"/>
        </w:rPr>
      </w:pPr>
      <w:bookmarkStart w:id="25" w:name="_Ref40964465"/>
      <w:r w:rsidRPr="00D863C8">
        <w:rPr>
          <w:rFonts w:ascii="Arial Narrow" w:hAnsi="Arial Narrow"/>
          <w:b/>
          <w:sz w:val="20"/>
        </w:rPr>
        <w:t xml:space="preserve">Table </w:t>
      </w:r>
      <w:r w:rsidR="001E47B6" w:rsidRPr="00D863C8">
        <w:rPr>
          <w:rFonts w:ascii="Arial Narrow" w:hAnsi="Arial Narrow"/>
          <w:b/>
          <w:sz w:val="20"/>
        </w:rPr>
        <w:fldChar w:fldCharType="begin"/>
      </w:r>
      <w:r w:rsidR="001E47B6" w:rsidRPr="00D863C8">
        <w:rPr>
          <w:rFonts w:ascii="Arial Narrow" w:hAnsi="Arial Narrow"/>
          <w:b/>
          <w:sz w:val="20"/>
        </w:rPr>
        <w:instrText xml:space="preserve"> SEQ Table \* ARABIC </w:instrText>
      </w:r>
      <w:r w:rsidR="001E47B6" w:rsidRPr="00D863C8">
        <w:rPr>
          <w:rFonts w:ascii="Arial Narrow" w:hAnsi="Arial Narrow"/>
          <w:b/>
          <w:sz w:val="20"/>
        </w:rPr>
        <w:fldChar w:fldCharType="separate"/>
      </w:r>
      <w:r w:rsidRPr="00D863C8">
        <w:rPr>
          <w:rFonts w:ascii="Arial Narrow" w:hAnsi="Arial Narrow"/>
          <w:b/>
          <w:sz w:val="20"/>
        </w:rPr>
        <w:t>11</w:t>
      </w:r>
      <w:r w:rsidR="001E47B6" w:rsidRPr="00D863C8">
        <w:rPr>
          <w:rFonts w:ascii="Arial Narrow" w:hAnsi="Arial Narrow"/>
          <w:b/>
          <w:sz w:val="20"/>
        </w:rPr>
        <w:fldChar w:fldCharType="end"/>
      </w:r>
      <w:bookmarkEnd w:id="25"/>
      <w:r w:rsidRPr="00D863C8">
        <w:rPr>
          <w:rFonts w:ascii="Arial Narrow" w:hAnsi="Arial Narrow"/>
          <w:b/>
          <w:sz w:val="20"/>
        </w:rPr>
        <w:t xml:space="preserve"> </w:t>
      </w:r>
      <w:r w:rsidRPr="00D863C8">
        <w:rPr>
          <w:rFonts w:ascii="Arial Narrow" w:eastAsiaTheme="minorHAnsi" w:hAnsi="Arial Narrow"/>
          <w:b/>
          <w:sz w:val="20"/>
        </w:rPr>
        <w:t>PUL Procedure Cost</w:t>
      </w:r>
      <w:r w:rsidRPr="00D863C8">
        <w:rPr>
          <w:rFonts w:ascii="Arial Narrow" w:hAnsi="Arial Narrow"/>
          <w:b/>
          <w:sz w:val="20"/>
        </w:rPr>
        <w:t xml:space="preserve"> </w:t>
      </w:r>
      <w:r w:rsidRPr="00D863C8">
        <w:rPr>
          <w:rFonts w:ascii="Arial Narrow" w:eastAsiaTheme="minorHAnsi" w:hAnsi="Arial Narrow"/>
          <w:b/>
          <w:sz w:val="20"/>
        </w:rPr>
        <w:t>(</w:t>
      </w:r>
      <w:r w:rsidR="003636DE" w:rsidRPr="00D863C8">
        <w:rPr>
          <w:rFonts w:ascii="Arial Narrow" w:eastAsiaTheme="minorHAnsi" w:hAnsi="Arial Narrow"/>
          <w:b/>
          <w:sz w:val="20"/>
        </w:rPr>
        <w:t>updated in pre-MSAC response</w:t>
      </w:r>
      <w:r w:rsidRPr="00D863C8">
        <w:rPr>
          <w:rFonts w:ascii="Arial Narrow" w:eastAsiaTheme="minorHAnsi" w:hAnsi="Arial Narrow"/>
          <w:b/>
          <w:sz w:val="20"/>
        </w:rPr>
        <w:t>)</w:t>
      </w:r>
    </w:p>
    <w:tbl>
      <w:tblPr>
        <w:tblStyle w:val="TableGrid22"/>
        <w:tblW w:w="0" w:type="auto"/>
        <w:tblLook w:val="04A0" w:firstRow="1" w:lastRow="0" w:firstColumn="1" w:lastColumn="0" w:noHBand="0" w:noVBand="1"/>
        <w:tblDescription w:val="PUL Procedure Cost (updated in pre-MSAC response)"/>
      </w:tblPr>
      <w:tblGrid>
        <w:gridCol w:w="4219"/>
        <w:gridCol w:w="1134"/>
        <w:gridCol w:w="1134"/>
        <w:gridCol w:w="1276"/>
        <w:gridCol w:w="1134"/>
      </w:tblGrid>
      <w:tr w:rsidR="003636DE" w:rsidRPr="007B105E" w14:paraId="5BDA510E" w14:textId="77777777" w:rsidTr="00221228">
        <w:trPr>
          <w:tblHeader/>
        </w:trPr>
        <w:tc>
          <w:tcPr>
            <w:tcW w:w="4219" w:type="dxa"/>
          </w:tcPr>
          <w:p w14:paraId="60758811" w14:textId="77777777" w:rsidR="003636DE" w:rsidRPr="007B105E" w:rsidRDefault="003636DE" w:rsidP="003636DE">
            <w:pPr>
              <w:pStyle w:val="Tabletext"/>
            </w:pPr>
          </w:p>
        </w:tc>
        <w:tc>
          <w:tcPr>
            <w:tcW w:w="1134" w:type="dxa"/>
          </w:tcPr>
          <w:p w14:paraId="17F1D31D" w14:textId="77777777" w:rsidR="003636DE" w:rsidRPr="007B105E" w:rsidRDefault="003636DE" w:rsidP="003636DE">
            <w:pPr>
              <w:pStyle w:val="Tabletext"/>
            </w:pPr>
            <w:r w:rsidRPr="007B105E">
              <w:rPr>
                <w:rFonts w:cs="Arial"/>
              </w:rPr>
              <w:t>MBS Item</w:t>
            </w:r>
          </w:p>
        </w:tc>
        <w:tc>
          <w:tcPr>
            <w:tcW w:w="1134" w:type="dxa"/>
          </w:tcPr>
          <w:p w14:paraId="333CB855" w14:textId="77777777" w:rsidR="003636DE" w:rsidRPr="007B105E" w:rsidRDefault="003636DE" w:rsidP="003636DE">
            <w:pPr>
              <w:pStyle w:val="Tabletext"/>
            </w:pPr>
            <w:r w:rsidRPr="007B105E">
              <w:rPr>
                <w:rFonts w:cs="Arial"/>
              </w:rPr>
              <w:t>Fee</w:t>
            </w:r>
          </w:p>
        </w:tc>
        <w:tc>
          <w:tcPr>
            <w:tcW w:w="1276" w:type="dxa"/>
          </w:tcPr>
          <w:p w14:paraId="3B786295" w14:textId="77777777" w:rsidR="003636DE" w:rsidRPr="007B105E" w:rsidRDefault="003636DE" w:rsidP="003636DE">
            <w:pPr>
              <w:pStyle w:val="Tabletext"/>
            </w:pPr>
            <w:r w:rsidRPr="007B105E">
              <w:t>Health Fund</w:t>
            </w:r>
          </w:p>
        </w:tc>
        <w:tc>
          <w:tcPr>
            <w:tcW w:w="1134" w:type="dxa"/>
          </w:tcPr>
          <w:p w14:paraId="146AAF78" w14:textId="77777777" w:rsidR="003636DE" w:rsidRPr="007B105E" w:rsidRDefault="003636DE" w:rsidP="003636DE">
            <w:pPr>
              <w:pStyle w:val="Tabletext"/>
            </w:pPr>
            <w:r w:rsidRPr="007B105E">
              <w:t>Medicare</w:t>
            </w:r>
          </w:p>
        </w:tc>
      </w:tr>
      <w:tr w:rsidR="003636DE" w:rsidRPr="007B105E" w14:paraId="4D623AE5" w14:textId="77777777" w:rsidTr="003636DE">
        <w:tc>
          <w:tcPr>
            <w:tcW w:w="4219" w:type="dxa"/>
          </w:tcPr>
          <w:p w14:paraId="61646458" w14:textId="77777777" w:rsidR="003636DE" w:rsidRPr="007B105E" w:rsidRDefault="003636DE" w:rsidP="003636DE">
            <w:pPr>
              <w:pStyle w:val="Tabletext"/>
            </w:pPr>
            <w:r w:rsidRPr="007B105E">
              <w:t>Pre-anaesthesia consultation</w:t>
            </w:r>
          </w:p>
        </w:tc>
        <w:tc>
          <w:tcPr>
            <w:tcW w:w="1134" w:type="dxa"/>
          </w:tcPr>
          <w:p w14:paraId="636A7123" w14:textId="77777777" w:rsidR="003636DE" w:rsidRPr="007B105E" w:rsidRDefault="003636DE" w:rsidP="003636DE">
            <w:pPr>
              <w:pStyle w:val="Tabletext"/>
            </w:pPr>
            <w:r w:rsidRPr="007B105E">
              <w:t>17610</w:t>
            </w:r>
          </w:p>
        </w:tc>
        <w:tc>
          <w:tcPr>
            <w:tcW w:w="1134" w:type="dxa"/>
          </w:tcPr>
          <w:p w14:paraId="05833E82" w14:textId="77777777" w:rsidR="003636DE" w:rsidRPr="007B105E" w:rsidRDefault="003636DE" w:rsidP="003636DE">
            <w:pPr>
              <w:pStyle w:val="Tabletext"/>
            </w:pPr>
            <w:r w:rsidRPr="007B105E">
              <w:t>$44.35</w:t>
            </w:r>
          </w:p>
        </w:tc>
        <w:tc>
          <w:tcPr>
            <w:tcW w:w="1276" w:type="dxa"/>
          </w:tcPr>
          <w:p w14:paraId="1701BF32" w14:textId="77777777" w:rsidR="003636DE" w:rsidRPr="007B105E" w:rsidRDefault="003636DE" w:rsidP="003636DE">
            <w:pPr>
              <w:pStyle w:val="Tabletext"/>
            </w:pPr>
            <w:r w:rsidRPr="007B105E">
              <w:t>$11.05</w:t>
            </w:r>
          </w:p>
        </w:tc>
        <w:tc>
          <w:tcPr>
            <w:tcW w:w="1134" w:type="dxa"/>
          </w:tcPr>
          <w:p w14:paraId="39109CF5" w14:textId="77777777" w:rsidR="003636DE" w:rsidRPr="007B105E" w:rsidRDefault="003636DE" w:rsidP="003636DE">
            <w:pPr>
              <w:pStyle w:val="Tabletext"/>
            </w:pPr>
            <w:r w:rsidRPr="007B105E">
              <w:t>$33.30</w:t>
            </w:r>
          </w:p>
        </w:tc>
      </w:tr>
      <w:tr w:rsidR="003636DE" w:rsidRPr="007B105E" w14:paraId="47F6F553" w14:textId="77777777" w:rsidTr="003636DE">
        <w:tc>
          <w:tcPr>
            <w:tcW w:w="4219" w:type="dxa"/>
          </w:tcPr>
          <w:p w14:paraId="4C7A3F81" w14:textId="77777777" w:rsidR="003636DE" w:rsidRPr="007B105E" w:rsidRDefault="003636DE" w:rsidP="003636DE">
            <w:pPr>
              <w:pStyle w:val="Tabletext"/>
            </w:pPr>
            <w:r w:rsidRPr="007B105E">
              <w:t>Initiation of management of anaesthesia</w:t>
            </w:r>
          </w:p>
        </w:tc>
        <w:tc>
          <w:tcPr>
            <w:tcW w:w="1134" w:type="dxa"/>
          </w:tcPr>
          <w:p w14:paraId="08E30950" w14:textId="77777777" w:rsidR="003636DE" w:rsidRPr="007B105E" w:rsidRDefault="003636DE" w:rsidP="003636DE">
            <w:pPr>
              <w:pStyle w:val="Tabletext"/>
            </w:pPr>
            <w:r w:rsidRPr="007B105E">
              <w:t>20902</w:t>
            </w:r>
          </w:p>
        </w:tc>
        <w:tc>
          <w:tcPr>
            <w:tcW w:w="1134" w:type="dxa"/>
          </w:tcPr>
          <w:p w14:paraId="08E9068D" w14:textId="77777777" w:rsidR="003636DE" w:rsidRPr="007B105E" w:rsidRDefault="003636DE" w:rsidP="003636DE">
            <w:pPr>
              <w:pStyle w:val="Tabletext"/>
            </w:pPr>
            <w:r w:rsidRPr="007B105E">
              <w:t>$80.40</w:t>
            </w:r>
          </w:p>
        </w:tc>
        <w:tc>
          <w:tcPr>
            <w:tcW w:w="1276" w:type="dxa"/>
          </w:tcPr>
          <w:p w14:paraId="6EAD0372" w14:textId="77777777" w:rsidR="003636DE" w:rsidRPr="007B105E" w:rsidRDefault="003636DE" w:rsidP="003636DE">
            <w:pPr>
              <w:pStyle w:val="Tabletext"/>
            </w:pPr>
            <w:r w:rsidRPr="007B105E">
              <w:t>$20.10</w:t>
            </w:r>
          </w:p>
        </w:tc>
        <w:tc>
          <w:tcPr>
            <w:tcW w:w="1134" w:type="dxa"/>
          </w:tcPr>
          <w:p w14:paraId="7E6A1D67" w14:textId="77777777" w:rsidR="003636DE" w:rsidRPr="007B105E" w:rsidRDefault="003636DE" w:rsidP="003636DE">
            <w:pPr>
              <w:pStyle w:val="Tabletext"/>
            </w:pPr>
            <w:r w:rsidRPr="007B105E">
              <w:t>$60.30</w:t>
            </w:r>
          </w:p>
        </w:tc>
      </w:tr>
      <w:tr w:rsidR="003636DE" w:rsidRPr="007B105E" w14:paraId="5C62BBE2" w14:textId="77777777" w:rsidTr="003636DE">
        <w:tc>
          <w:tcPr>
            <w:tcW w:w="4219" w:type="dxa"/>
          </w:tcPr>
          <w:p w14:paraId="682E4332" w14:textId="77777777" w:rsidR="003636DE" w:rsidRPr="007B105E" w:rsidRDefault="003636DE" w:rsidP="003636DE">
            <w:pPr>
              <w:pStyle w:val="Tabletext"/>
            </w:pPr>
            <w:r w:rsidRPr="007B105E">
              <w:t>Anaesthesia – time (46-60 minutes)</w:t>
            </w:r>
          </w:p>
        </w:tc>
        <w:tc>
          <w:tcPr>
            <w:tcW w:w="1134" w:type="dxa"/>
          </w:tcPr>
          <w:p w14:paraId="51D4D165" w14:textId="77777777" w:rsidR="003636DE" w:rsidRPr="007B105E" w:rsidRDefault="003636DE" w:rsidP="003636DE">
            <w:pPr>
              <w:pStyle w:val="Tabletext"/>
            </w:pPr>
            <w:r w:rsidRPr="007B105E">
              <w:t xml:space="preserve">23045 </w:t>
            </w:r>
          </w:p>
        </w:tc>
        <w:tc>
          <w:tcPr>
            <w:tcW w:w="1134" w:type="dxa"/>
          </w:tcPr>
          <w:p w14:paraId="6C71EFAC" w14:textId="77777777" w:rsidR="003636DE" w:rsidRPr="007B105E" w:rsidRDefault="003636DE" w:rsidP="003636DE">
            <w:pPr>
              <w:pStyle w:val="Tabletext"/>
            </w:pPr>
            <w:r w:rsidRPr="007B105E">
              <w:t>$80.40</w:t>
            </w:r>
          </w:p>
        </w:tc>
        <w:tc>
          <w:tcPr>
            <w:tcW w:w="1276" w:type="dxa"/>
          </w:tcPr>
          <w:p w14:paraId="6A048D79" w14:textId="77777777" w:rsidR="003636DE" w:rsidRPr="007B105E" w:rsidRDefault="003636DE" w:rsidP="003636DE">
            <w:pPr>
              <w:pStyle w:val="Tabletext"/>
            </w:pPr>
            <w:r w:rsidRPr="007B105E">
              <w:t>$20.10</w:t>
            </w:r>
          </w:p>
        </w:tc>
        <w:tc>
          <w:tcPr>
            <w:tcW w:w="1134" w:type="dxa"/>
          </w:tcPr>
          <w:p w14:paraId="4BB43BB0" w14:textId="77777777" w:rsidR="003636DE" w:rsidRPr="007B105E" w:rsidRDefault="003636DE" w:rsidP="003636DE">
            <w:pPr>
              <w:pStyle w:val="Tabletext"/>
            </w:pPr>
            <w:r w:rsidRPr="007B105E">
              <w:t>$60.30</w:t>
            </w:r>
          </w:p>
        </w:tc>
      </w:tr>
      <w:tr w:rsidR="003636DE" w:rsidRPr="007B105E" w14:paraId="37AB5AE2" w14:textId="77777777" w:rsidTr="003636DE">
        <w:tc>
          <w:tcPr>
            <w:tcW w:w="4219" w:type="dxa"/>
          </w:tcPr>
          <w:p w14:paraId="52CEAAFC" w14:textId="77777777" w:rsidR="003636DE" w:rsidRPr="007B105E" w:rsidRDefault="003636DE" w:rsidP="003636DE">
            <w:pPr>
              <w:pStyle w:val="Tabletext"/>
            </w:pPr>
            <w:r w:rsidRPr="007B105E">
              <w:t>Procedure – surgeon</w:t>
            </w:r>
          </w:p>
        </w:tc>
        <w:tc>
          <w:tcPr>
            <w:tcW w:w="1134" w:type="dxa"/>
          </w:tcPr>
          <w:p w14:paraId="5D82763D" w14:textId="77777777" w:rsidR="003636DE" w:rsidRPr="007B105E" w:rsidRDefault="003636DE" w:rsidP="003636DE">
            <w:pPr>
              <w:pStyle w:val="Tabletext"/>
            </w:pPr>
            <w:r w:rsidRPr="007B105E">
              <w:t>36811</w:t>
            </w:r>
          </w:p>
        </w:tc>
        <w:tc>
          <w:tcPr>
            <w:tcW w:w="1134" w:type="dxa"/>
          </w:tcPr>
          <w:p w14:paraId="70FEE331" w14:textId="77777777" w:rsidR="003636DE" w:rsidRPr="007B105E" w:rsidRDefault="003636DE" w:rsidP="003636DE">
            <w:pPr>
              <w:pStyle w:val="Tabletext"/>
            </w:pPr>
            <w:r w:rsidRPr="007B105E">
              <w:t>$1,058.80</w:t>
            </w:r>
          </w:p>
        </w:tc>
        <w:tc>
          <w:tcPr>
            <w:tcW w:w="1276" w:type="dxa"/>
          </w:tcPr>
          <w:p w14:paraId="7D5EB141" w14:textId="77777777" w:rsidR="003636DE" w:rsidRPr="007B105E" w:rsidRDefault="003636DE" w:rsidP="003636DE">
            <w:pPr>
              <w:pStyle w:val="Tabletext"/>
            </w:pPr>
            <w:r w:rsidRPr="007B105E">
              <w:t>$264.70</w:t>
            </w:r>
          </w:p>
        </w:tc>
        <w:tc>
          <w:tcPr>
            <w:tcW w:w="1134" w:type="dxa"/>
          </w:tcPr>
          <w:p w14:paraId="34C2FE87" w14:textId="77777777" w:rsidR="003636DE" w:rsidRPr="007B105E" w:rsidRDefault="003636DE" w:rsidP="003636DE">
            <w:pPr>
              <w:pStyle w:val="Tabletext"/>
            </w:pPr>
            <w:r w:rsidRPr="007B105E">
              <w:t>$794.10</w:t>
            </w:r>
          </w:p>
        </w:tc>
      </w:tr>
      <w:tr w:rsidR="003636DE" w:rsidRPr="007B105E" w14:paraId="24D08852" w14:textId="77777777" w:rsidTr="003636DE">
        <w:tc>
          <w:tcPr>
            <w:tcW w:w="4219" w:type="dxa"/>
          </w:tcPr>
          <w:p w14:paraId="43CA61C6" w14:textId="77777777" w:rsidR="003636DE" w:rsidRPr="007B105E" w:rsidRDefault="003636DE" w:rsidP="003636DE">
            <w:pPr>
              <w:pStyle w:val="Tabletext"/>
            </w:pPr>
            <w:r w:rsidRPr="007B105E">
              <w:t>Theatre – Band 2</w:t>
            </w:r>
          </w:p>
        </w:tc>
        <w:tc>
          <w:tcPr>
            <w:tcW w:w="1134" w:type="dxa"/>
          </w:tcPr>
          <w:p w14:paraId="4615C252" w14:textId="77777777" w:rsidR="003636DE" w:rsidRPr="007B105E" w:rsidRDefault="003636DE" w:rsidP="003636DE">
            <w:pPr>
              <w:pStyle w:val="Tabletext"/>
            </w:pPr>
          </w:p>
        </w:tc>
        <w:tc>
          <w:tcPr>
            <w:tcW w:w="1134" w:type="dxa"/>
          </w:tcPr>
          <w:p w14:paraId="4BCC9204" w14:textId="77777777" w:rsidR="003636DE" w:rsidRPr="007B105E" w:rsidRDefault="003636DE" w:rsidP="003636DE">
            <w:pPr>
              <w:pStyle w:val="Tabletext"/>
            </w:pPr>
            <w:r w:rsidRPr="007B105E">
              <w:t>$617.30</w:t>
            </w:r>
          </w:p>
        </w:tc>
        <w:tc>
          <w:tcPr>
            <w:tcW w:w="1276" w:type="dxa"/>
          </w:tcPr>
          <w:p w14:paraId="020A6F36" w14:textId="77777777" w:rsidR="003636DE" w:rsidRPr="007B105E" w:rsidRDefault="003636DE" w:rsidP="003636DE">
            <w:pPr>
              <w:pStyle w:val="Tabletext"/>
            </w:pPr>
            <w:r w:rsidRPr="007B105E">
              <w:t>$617.30</w:t>
            </w:r>
          </w:p>
        </w:tc>
        <w:tc>
          <w:tcPr>
            <w:tcW w:w="1134" w:type="dxa"/>
          </w:tcPr>
          <w:p w14:paraId="6559103B" w14:textId="77777777" w:rsidR="003636DE" w:rsidRPr="007B105E" w:rsidRDefault="003636DE" w:rsidP="003636DE">
            <w:pPr>
              <w:pStyle w:val="Tabletext"/>
            </w:pPr>
            <w:r w:rsidRPr="007B105E">
              <w:t>$0.00</w:t>
            </w:r>
          </w:p>
        </w:tc>
      </w:tr>
      <w:tr w:rsidR="003636DE" w:rsidRPr="007B105E" w14:paraId="17B65D2D" w14:textId="77777777" w:rsidTr="003636DE">
        <w:tc>
          <w:tcPr>
            <w:tcW w:w="4219" w:type="dxa"/>
          </w:tcPr>
          <w:p w14:paraId="6F0A76F2" w14:textId="5989A27B" w:rsidR="003636DE" w:rsidRPr="007B105E" w:rsidRDefault="003636DE" w:rsidP="003636DE">
            <w:pPr>
              <w:pStyle w:val="Tabletext"/>
            </w:pPr>
            <w:r w:rsidRPr="007B105E">
              <w:t>Bed-days - one day (overnight)</w:t>
            </w:r>
          </w:p>
        </w:tc>
        <w:tc>
          <w:tcPr>
            <w:tcW w:w="1134" w:type="dxa"/>
          </w:tcPr>
          <w:p w14:paraId="7F8214DA" w14:textId="77777777" w:rsidR="003636DE" w:rsidRPr="007B105E" w:rsidRDefault="003636DE" w:rsidP="003636DE">
            <w:pPr>
              <w:pStyle w:val="Tabletext"/>
            </w:pPr>
          </w:p>
        </w:tc>
        <w:tc>
          <w:tcPr>
            <w:tcW w:w="1134" w:type="dxa"/>
          </w:tcPr>
          <w:p w14:paraId="3C66E19D" w14:textId="77777777" w:rsidR="003636DE" w:rsidRPr="007B105E" w:rsidRDefault="003636DE" w:rsidP="003636DE">
            <w:pPr>
              <w:pStyle w:val="Tabletext"/>
            </w:pPr>
            <w:r w:rsidRPr="007B105E">
              <w:t>$789.10</w:t>
            </w:r>
          </w:p>
        </w:tc>
        <w:tc>
          <w:tcPr>
            <w:tcW w:w="1276" w:type="dxa"/>
          </w:tcPr>
          <w:p w14:paraId="51EA0599" w14:textId="77777777" w:rsidR="003636DE" w:rsidRPr="007B105E" w:rsidRDefault="003636DE" w:rsidP="003636DE">
            <w:pPr>
              <w:pStyle w:val="Tabletext"/>
            </w:pPr>
            <w:r w:rsidRPr="007B105E">
              <w:t>$789.10</w:t>
            </w:r>
          </w:p>
        </w:tc>
        <w:tc>
          <w:tcPr>
            <w:tcW w:w="1134" w:type="dxa"/>
          </w:tcPr>
          <w:p w14:paraId="19E595F3" w14:textId="77777777" w:rsidR="003636DE" w:rsidRPr="007B105E" w:rsidRDefault="003636DE" w:rsidP="003636DE">
            <w:pPr>
              <w:pStyle w:val="Tabletext"/>
            </w:pPr>
            <w:r w:rsidRPr="007B105E">
              <w:t>$0.00</w:t>
            </w:r>
          </w:p>
        </w:tc>
      </w:tr>
      <w:tr w:rsidR="003636DE" w:rsidRPr="007B105E" w14:paraId="05568B97" w14:textId="77777777" w:rsidTr="003636DE">
        <w:tc>
          <w:tcPr>
            <w:tcW w:w="4219" w:type="dxa"/>
          </w:tcPr>
          <w:p w14:paraId="4A214F47" w14:textId="77777777" w:rsidR="003636DE" w:rsidRPr="007B105E" w:rsidRDefault="003636DE" w:rsidP="003636DE">
            <w:pPr>
              <w:pStyle w:val="Tabletext"/>
            </w:pPr>
            <w:r w:rsidRPr="007B105E">
              <w:t>Prostheses 4 @ $712 each</w:t>
            </w:r>
          </w:p>
        </w:tc>
        <w:tc>
          <w:tcPr>
            <w:tcW w:w="1134" w:type="dxa"/>
          </w:tcPr>
          <w:p w14:paraId="7AEB3F04" w14:textId="77777777" w:rsidR="003636DE" w:rsidRPr="007B105E" w:rsidRDefault="003636DE" w:rsidP="003636DE">
            <w:pPr>
              <w:pStyle w:val="Tabletext"/>
            </w:pPr>
          </w:p>
        </w:tc>
        <w:tc>
          <w:tcPr>
            <w:tcW w:w="1134" w:type="dxa"/>
          </w:tcPr>
          <w:p w14:paraId="2DDD6FB2" w14:textId="77777777" w:rsidR="003636DE" w:rsidRPr="007B105E" w:rsidRDefault="003636DE" w:rsidP="003636DE">
            <w:pPr>
              <w:pStyle w:val="Tabletext"/>
            </w:pPr>
            <w:r w:rsidRPr="007B105E">
              <w:t>$2,848.00</w:t>
            </w:r>
          </w:p>
        </w:tc>
        <w:tc>
          <w:tcPr>
            <w:tcW w:w="1276" w:type="dxa"/>
          </w:tcPr>
          <w:p w14:paraId="2312C13A" w14:textId="77777777" w:rsidR="003636DE" w:rsidRPr="007B105E" w:rsidRDefault="003636DE" w:rsidP="003636DE">
            <w:pPr>
              <w:pStyle w:val="Tabletext"/>
            </w:pPr>
            <w:r w:rsidRPr="007B105E">
              <w:t>$2,848.00</w:t>
            </w:r>
          </w:p>
        </w:tc>
        <w:tc>
          <w:tcPr>
            <w:tcW w:w="1134" w:type="dxa"/>
          </w:tcPr>
          <w:p w14:paraId="218BA570" w14:textId="77777777" w:rsidR="003636DE" w:rsidRPr="007B105E" w:rsidRDefault="003636DE" w:rsidP="003636DE">
            <w:pPr>
              <w:pStyle w:val="Tabletext"/>
            </w:pPr>
            <w:r w:rsidRPr="007B105E">
              <w:t>$0.00</w:t>
            </w:r>
          </w:p>
        </w:tc>
      </w:tr>
      <w:tr w:rsidR="003636DE" w:rsidRPr="007B105E" w14:paraId="283D63FD" w14:textId="77777777" w:rsidTr="003636DE">
        <w:tc>
          <w:tcPr>
            <w:tcW w:w="4219" w:type="dxa"/>
          </w:tcPr>
          <w:p w14:paraId="6435C16C" w14:textId="77777777" w:rsidR="003636DE" w:rsidRPr="007B105E" w:rsidRDefault="003636DE" w:rsidP="003636DE">
            <w:pPr>
              <w:pStyle w:val="Tabletext"/>
            </w:pPr>
            <w:r w:rsidRPr="007B105E">
              <w:t>Capital (5 years / 50 patients / 5%)</w:t>
            </w:r>
          </w:p>
        </w:tc>
        <w:tc>
          <w:tcPr>
            <w:tcW w:w="1134" w:type="dxa"/>
          </w:tcPr>
          <w:p w14:paraId="7D4A3475" w14:textId="77777777" w:rsidR="003636DE" w:rsidRPr="007B105E" w:rsidRDefault="003636DE" w:rsidP="003636DE">
            <w:pPr>
              <w:pStyle w:val="Tabletext"/>
            </w:pPr>
          </w:p>
        </w:tc>
        <w:tc>
          <w:tcPr>
            <w:tcW w:w="1134" w:type="dxa"/>
          </w:tcPr>
          <w:p w14:paraId="22CB5FBF" w14:textId="6793AC19" w:rsidR="003636DE" w:rsidRPr="0025213E" w:rsidRDefault="003636DE" w:rsidP="003636DE">
            <w:pPr>
              <w:pStyle w:val="Tabletext"/>
            </w:pPr>
            <w:r w:rsidRPr="0025213E">
              <w:t>$148.90</w:t>
            </w:r>
          </w:p>
        </w:tc>
        <w:tc>
          <w:tcPr>
            <w:tcW w:w="1276" w:type="dxa"/>
          </w:tcPr>
          <w:p w14:paraId="6F24E3F2" w14:textId="145C2BE9" w:rsidR="003636DE" w:rsidRPr="0025213E" w:rsidRDefault="003636DE" w:rsidP="003636DE">
            <w:pPr>
              <w:pStyle w:val="Tabletext"/>
            </w:pPr>
            <w:r w:rsidRPr="0025213E">
              <w:t>$148.90</w:t>
            </w:r>
          </w:p>
        </w:tc>
        <w:tc>
          <w:tcPr>
            <w:tcW w:w="1134" w:type="dxa"/>
          </w:tcPr>
          <w:p w14:paraId="7549B8A4" w14:textId="77777777" w:rsidR="003636DE" w:rsidRPr="007B105E" w:rsidRDefault="003636DE" w:rsidP="003636DE">
            <w:pPr>
              <w:pStyle w:val="Tabletext"/>
            </w:pPr>
            <w:r w:rsidRPr="007B105E">
              <w:t>$0.00</w:t>
            </w:r>
          </w:p>
        </w:tc>
      </w:tr>
      <w:tr w:rsidR="003636DE" w:rsidRPr="007B105E" w14:paraId="2845419F" w14:textId="77777777" w:rsidTr="003636DE">
        <w:tc>
          <w:tcPr>
            <w:tcW w:w="4219" w:type="dxa"/>
          </w:tcPr>
          <w:p w14:paraId="5631B6DA" w14:textId="77777777" w:rsidR="003636DE" w:rsidRPr="007B105E" w:rsidRDefault="003636DE" w:rsidP="003636DE">
            <w:pPr>
              <w:pStyle w:val="Tabletext"/>
            </w:pPr>
            <w:r w:rsidRPr="007B105E">
              <w:t>Annual maintenance per patient</w:t>
            </w:r>
          </w:p>
        </w:tc>
        <w:tc>
          <w:tcPr>
            <w:tcW w:w="1134" w:type="dxa"/>
          </w:tcPr>
          <w:p w14:paraId="4C40B025" w14:textId="77777777" w:rsidR="003636DE" w:rsidRPr="007B105E" w:rsidRDefault="003636DE" w:rsidP="003636DE">
            <w:pPr>
              <w:pStyle w:val="Tabletext"/>
            </w:pPr>
          </w:p>
        </w:tc>
        <w:tc>
          <w:tcPr>
            <w:tcW w:w="1134" w:type="dxa"/>
          </w:tcPr>
          <w:p w14:paraId="68B26B4F" w14:textId="77777777" w:rsidR="003636DE" w:rsidRPr="007B105E" w:rsidRDefault="003636DE" w:rsidP="003636DE">
            <w:pPr>
              <w:pStyle w:val="Tabletext"/>
            </w:pPr>
            <w:r w:rsidRPr="007B105E">
              <w:t>$24.00</w:t>
            </w:r>
          </w:p>
        </w:tc>
        <w:tc>
          <w:tcPr>
            <w:tcW w:w="1276" w:type="dxa"/>
          </w:tcPr>
          <w:p w14:paraId="1FCB96CF" w14:textId="77777777" w:rsidR="003636DE" w:rsidRPr="007B105E" w:rsidRDefault="003636DE" w:rsidP="003636DE">
            <w:pPr>
              <w:pStyle w:val="Tabletext"/>
            </w:pPr>
            <w:r w:rsidRPr="007B105E">
              <w:t>$24.00</w:t>
            </w:r>
          </w:p>
        </w:tc>
        <w:tc>
          <w:tcPr>
            <w:tcW w:w="1134" w:type="dxa"/>
          </w:tcPr>
          <w:p w14:paraId="60654642" w14:textId="77777777" w:rsidR="003636DE" w:rsidRPr="007B105E" w:rsidRDefault="003636DE" w:rsidP="003636DE">
            <w:pPr>
              <w:pStyle w:val="Tabletext"/>
            </w:pPr>
            <w:r w:rsidRPr="007B105E">
              <w:t>$0.00</w:t>
            </w:r>
          </w:p>
        </w:tc>
      </w:tr>
      <w:tr w:rsidR="003636DE" w:rsidRPr="00150DC0" w14:paraId="06598C9B" w14:textId="77777777" w:rsidTr="003636DE">
        <w:tc>
          <w:tcPr>
            <w:tcW w:w="4219" w:type="dxa"/>
          </w:tcPr>
          <w:p w14:paraId="03F33CF8" w14:textId="77777777" w:rsidR="003636DE" w:rsidRPr="00150DC0" w:rsidRDefault="003636DE" w:rsidP="003636DE">
            <w:pPr>
              <w:pStyle w:val="Tabletext"/>
            </w:pPr>
            <w:r w:rsidRPr="00150DC0">
              <w:t>Reintervention @ 1.4</w:t>
            </w:r>
            <w:r>
              <w:t>4</w:t>
            </w:r>
            <w:r w:rsidRPr="00150DC0">
              <w:t>% of TURP cost</w:t>
            </w:r>
          </w:p>
        </w:tc>
        <w:tc>
          <w:tcPr>
            <w:tcW w:w="1134" w:type="dxa"/>
          </w:tcPr>
          <w:p w14:paraId="25769F28" w14:textId="77777777" w:rsidR="003636DE" w:rsidRPr="00150DC0" w:rsidRDefault="003636DE" w:rsidP="003636DE">
            <w:pPr>
              <w:pStyle w:val="Tabletext"/>
            </w:pPr>
          </w:p>
        </w:tc>
        <w:tc>
          <w:tcPr>
            <w:tcW w:w="1134" w:type="dxa"/>
          </w:tcPr>
          <w:p w14:paraId="52C489B0" w14:textId="77777777" w:rsidR="003636DE" w:rsidRPr="00150DC0" w:rsidRDefault="003636DE" w:rsidP="003636DE">
            <w:pPr>
              <w:pStyle w:val="Tabletext"/>
              <w:rPr>
                <w:rFonts w:cs="Tahoma"/>
              </w:rPr>
            </w:pPr>
            <w:r>
              <w:rPr>
                <w:rFonts w:cs="Tahoma"/>
              </w:rPr>
              <w:t>$78.54</w:t>
            </w:r>
          </w:p>
        </w:tc>
        <w:tc>
          <w:tcPr>
            <w:tcW w:w="1276" w:type="dxa"/>
          </w:tcPr>
          <w:p w14:paraId="58E2FBB4" w14:textId="77777777" w:rsidR="003636DE" w:rsidRPr="00150DC0" w:rsidRDefault="003636DE" w:rsidP="003636DE">
            <w:pPr>
              <w:pStyle w:val="Tabletext"/>
              <w:rPr>
                <w:rFonts w:cs="Tahoma"/>
              </w:rPr>
            </w:pPr>
            <w:r>
              <w:rPr>
                <w:rFonts w:cs="Tahoma"/>
              </w:rPr>
              <w:t>$64.24</w:t>
            </w:r>
          </w:p>
        </w:tc>
        <w:tc>
          <w:tcPr>
            <w:tcW w:w="1134" w:type="dxa"/>
          </w:tcPr>
          <w:p w14:paraId="16DF0F45" w14:textId="77777777" w:rsidR="003636DE" w:rsidRPr="00150DC0" w:rsidRDefault="003636DE" w:rsidP="003636DE">
            <w:pPr>
              <w:pStyle w:val="Tabletext"/>
              <w:rPr>
                <w:rFonts w:cs="Tahoma"/>
              </w:rPr>
            </w:pPr>
            <w:r>
              <w:rPr>
                <w:rFonts w:cs="Tahoma"/>
              </w:rPr>
              <w:t>$14.30</w:t>
            </w:r>
          </w:p>
        </w:tc>
      </w:tr>
      <w:tr w:rsidR="003636DE" w:rsidRPr="00150DC0" w14:paraId="211319DE" w14:textId="77777777" w:rsidTr="003636DE">
        <w:tc>
          <w:tcPr>
            <w:tcW w:w="4219" w:type="dxa"/>
          </w:tcPr>
          <w:p w14:paraId="3473D52D" w14:textId="77777777" w:rsidR="003636DE" w:rsidRPr="00150DC0" w:rsidRDefault="003636DE" w:rsidP="003636DE">
            <w:pPr>
              <w:pStyle w:val="Tabletext"/>
            </w:pPr>
            <w:r>
              <w:t>Additional prosthesis 0.7 @ $712</w:t>
            </w:r>
          </w:p>
        </w:tc>
        <w:tc>
          <w:tcPr>
            <w:tcW w:w="1134" w:type="dxa"/>
          </w:tcPr>
          <w:p w14:paraId="5AC5E208" w14:textId="77777777" w:rsidR="003636DE" w:rsidRPr="00150DC0" w:rsidRDefault="003636DE" w:rsidP="003636DE">
            <w:pPr>
              <w:pStyle w:val="Tabletext"/>
            </w:pPr>
          </w:p>
        </w:tc>
        <w:tc>
          <w:tcPr>
            <w:tcW w:w="1134" w:type="dxa"/>
          </w:tcPr>
          <w:p w14:paraId="747D4011" w14:textId="77777777" w:rsidR="003636DE" w:rsidRPr="00150DC0" w:rsidRDefault="003636DE" w:rsidP="003636DE">
            <w:pPr>
              <w:pStyle w:val="Tabletext"/>
              <w:rPr>
                <w:rFonts w:cs="Tahoma"/>
              </w:rPr>
            </w:pPr>
            <w:r>
              <w:rPr>
                <w:rFonts w:cs="Tahoma"/>
              </w:rPr>
              <w:t>$498.4</w:t>
            </w:r>
          </w:p>
        </w:tc>
        <w:tc>
          <w:tcPr>
            <w:tcW w:w="1276" w:type="dxa"/>
          </w:tcPr>
          <w:p w14:paraId="040FD35A" w14:textId="77777777" w:rsidR="003636DE" w:rsidRPr="00150DC0" w:rsidRDefault="003636DE" w:rsidP="003636DE">
            <w:pPr>
              <w:pStyle w:val="Tabletext"/>
              <w:rPr>
                <w:rFonts w:cs="Tahoma"/>
              </w:rPr>
            </w:pPr>
            <w:r>
              <w:rPr>
                <w:rFonts w:cs="Tahoma"/>
              </w:rPr>
              <w:t>$498.4</w:t>
            </w:r>
          </w:p>
        </w:tc>
        <w:tc>
          <w:tcPr>
            <w:tcW w:w="1134" w:type="dxa"/>
          </w:tcPr>
          <w:p w14:paraId="6E2BCAE1" w14:textId="77777777" w:rsidR="003636DE" w:rsidRPr="00150DC0" w:rsidRDefault="003636DE" w:rsidP="003636DE">
            <w:pPr>
              <w:pStyle w:val="Tabletext"/>
              <w:rPr>
                <w:rFonts w:cs="Tahoma"/>
              </w:rPr>
            </w:pPr>
            <w:r>
              <w:rPr>
                <w:rFonts w:cs="Tahoma"/>
              </w:rPr>
              <w:t>$0.00</w:t>
            </w:r>
          </w:p>
        </w:tc>
      </w:tr>
      <w:tr w:rsidR="003636DE" w:rsidRPr="00E07345" w14:paraId="0E4F8697" w14:textId="77777777" w:rsidTr="003636DE">
        <w:tc>
          <w:tcPr>
            <w:tcW w:w="4219" w:type="dxa"/>
          </w:tcPr>
          <w:p w14:paraId="74D42480" w14:textId="77777777" w:rsidR="003636DE" w:rsidRPr="007B105E" w:rsidRDefault="003636DE" w:rsidP="003636DE">
            <w:pPr>
              <w:pStyle w:val="Tabletext"/>
            </w:pPr>
            <w:r w:rsidRPr="007B105E">
              <w:t>Total</w:t>
            </w:r>
          </w:p>
        </w:tc>
        <w:tc>
          <w:tcPr>
            <w:tcW w:w="1134" w:type="dxa"/>
          </w:tcPr>
          <w:p w14:paraId="09892DF3" w14:textId="77777777" w:rsidR="003636DE" w:rsidRPr="007B105E" w:rsidRDefault="003636DE" w:rsidP="003636DE">
            <w:pPr>
              <w:pStyle w:val="Tabletext"/>
            </w:pPr>
          </w:p>
        </w:tc>
        <w:tc>
          <w:tcPr>
            <w:tcW w:w="1134" w:type="dxa"/>
          </w:tcPr>
          <w:p w14:paraId="6EB48908" w14:textId="77777777" w:rsidR="003636DE" w:rsidRPr="0025213E" w:rsidRDefault="003636DE" w:rsidP="003636DE">
            <w:pPr>
              <w:pStyle w:val="Tabletext"/>
            </w:pPr>
            <w:r w:rsidRPr="0025213E">
              <w:t>$6,268.19</w:t>
            </w:r>
          </w:p>
        </w:tc>
        <w:tc>
          <w:tcPr>
            <w:tcW w:w="1276" w:type="dxa"/>
          </w:tcPr>
          <w:p w14:paraId="1EF9FC3B" w14:textId="77777777" w:rsidR="003636DE" w:rsidRPr="0025213E" w:rsidRDefault="003636DE" w:rsidP="003636DE">
            <w:pPr>
              <w:pStyle w:val="Tabletext"/>
            </w:pPr>
            <w:r w:rsidRPr="0025213E">
              <w:t>$5,305.89</w:t>
            </w:r>
          </w:p>
        </w:tc>
        <w:tc>
          <w:tcPr>
            <w:tcW w:w="1134" w:type="dxa"/>
          </w:tcPr>
          <w:p w14:paraId="774E34E1" w14:textId="77777777" w:rsidR="003636DE" w:rsidRPr="00E07345" w:rsidRDefault="003636DE" w:rsidP="003636DE">
            <w:pPr>
              <w:pStyle w:val="Tabletext"/>
            </w:pPr>
            <w:r w:rsidRPr="00E07345">
              <w:t>$962.30</w:t>
            </w:r>
          </w:p>
        </w:tc>
      </w:tr>
    </w:tbl>
    <w:p w14:paraId="48675C67" w14:textId="77777777" w:rsidR="00652235" w:rsidRPr="00A250BF" w:rsidRDefault="00652235" w:rsidP="00C11BBE">
      <w:pPr>
        <w:pStyle w:val="Tablenotes"/>
        <w:rPr>
          <w:rStyle w:val="CritiquetablenotesChar"/>
          <w:rFonts w:eastAsiaTheme="minorHAnsi"/>
          <w:i w:val="0"/>
          <w:color w:val="auto"/>
        </w:rPr>
      </w:pPr>
      <w:proofErr w:type="spellStart"/>
      <w:r w:rsidRPr="00140FD6">
        <w:rPr>
          <w:vertAlign w:val="superscript"/>
        </w:rPr>
        <w:t>a</w:t>
      </w:r>
      <w:proofErr w:type="spellEnd"/>
      <w:r w:rsidRPr="00140FD6">
        <w:t xml:space="preserve"> The MBS item quoted is for anorectal procedures. If the number of units is considered reasonable, then it may be more appropriate to use MBS item 20910, which is </w:t>
      </w:r>
      <w:r w:rsidRPr="00A250BF">
        <w:rPr>
          <w:i/>
        </w:rPr>
        <w:t xml:space="preserve">also for </w:t>
      </w:r>
      <w:r w:rsidRPr="00A250BF">
        <w:rPr>
          <w:rStyle w:val="CritiquetablenotesChar"/>
          <w:rFonts w:eastAsiaTheme="minorHAnsi"/>
          <w:i w:val="0"/>
          <w:color w:val="auto"/>
        </w:rPr>
        <w:t>transurethral procedures (noting that the same fee applies to both).</w:t>
      </w:r>
    </w:p>
    <w:p w14:paraId="70AB94A6" w14:textId="304B2387" w:rsidR="00652235" w:rsidRPr="00C11BBE" w:rsidRDefault="00652235" w:rsidP="00C11BBE">
      <w:pPr>
        <w:pStyle w:val="Tablenotes"/>
        <w:rPr>
          <w:snapToGrid/>
        </w:rPr>
      </w:pPr>
      <w:r w:rsidRPr="00A250BF">
        <w:t xml:space="preserve">Source: Table </w:t>
      </w:r>
      <w:r w:rsidR="003636DE">
        <w:t>26</w:t>
      </w:r>
      <w:r w:rsidRPr="00A250BF">
        <w:t>, p</w:t>
      </w:r>
      <w:r w:rsidR="003636DE">
        <w:t>3</w:t>
      </w:r>
      <w:r w:rsidRPr="00A250BF">
        <w:t xml:space="preserve"> of the </w:t>
      </w:r>
      <w:r w:rsidR="003636DE">
        <w:t>pre-MSAC response</w:t>
      </w:r>
      <w:r w:rsidRPr="00A250BF">
        <w:t xml:space="preserve">. </w:t>
      </w:r>
    </w:p>
    <w:p w14:paraId="0172A110" w14:textId="77777777" w:rsidR="00652235" w:rsidRPr="00D863C8" w:rsidRDefault="00652235" w:rsidP="00D863C8">
      <w:pPr>
        <w:rPr>
          <w:rFonts w:ascii="Arial Narrow" w:eastAsiaTheme="minorHAnsi" w:hAnsi="Arial Narrow"/>
          <w:b/>
          <w:sz w:val="20"/>
        </w:rPr>
      </w:pPr>
      <w:r w:rsidRPr="00D863C8">
        <w:rPr>
          <w:rFonts w:ascii="Arial Narrow" w:hAnsi="Arial Narrow"/>
          <w:b/>
          <w:sz w:val="20"/>
        </w:rPr>
        <w:t xml:space="preserve">Table </w:t>
      </w:r>
      <w:r w:rsidR="00C11BBE" w:rsidRPr="00D863C8">
        <w:rPr>
          <w:rFonts w:ascii="Arial Narrow" w:hAnsi="Arial Narrow"/>
          <w:b/>
          <w:sz w:val="20"/>
        </w:rPr>
        <w:fldChar w:fldCharType="begin"/>
      </w:r>
      <w:r w:rsidR="00C11BBE" w:rsidRPr="00D863C8">
        <w:rPr>
          <w:rFonts w:ascii="Arial Narrow" w:hAnsi="Arial Narrow"/>
          <w:b/>
          <w:sz w:val="20"/>
        </w:rPr>
        <w:instrText xml:space="preserve"> SEQ Table \* ARABIC </w:instrText>
      </w:r>
      <w:r w:rsidR="00C11BBE" w:rsidRPr="00D863C8">
        <w:rPr>
          <w:rFonts w:ascii="Arial Narrow" w:hAnsi="Arial Narrow"/>
          <w:b/>
          <w:sz w:val="20"/>
        </w:rPr>
        <w:fldChar w:fldCharType="separate"/>
      </w:r>
      <w:r w:rsidRPr="00D863C8">
        <w:rPr>
          <w:rFonts w:ascii="Arial Narrow" w:hAnsi="Arial Narrow"/>
          <w:b/>
          <w:sz w:val="20"/>
        </w:rPr>
        <w:t>12</w:t>
      </w:r>
      <w:r w:rsidR="00C11BBE" w:rsidRPr="00D863C8">
        <w:rPr>
          <w:rFonts w:ascii="Arial Narrow" w:hAnsi="Arial Narrow"/>
          <w:b/>
          <w:sz w:val="20"/>
        </w:rPr>
        <w:fldChar w:fldCharType="end"/>
      </w:r>
      <w:r w:rsidRPr="00D863C8">
        <w:rPr>
          <w:rFonts w:ascii="Arial Narrow" w:hAnsi="Arial Narrow"/>
          <w:b/>
          <w:sz w:val="20"/>
        </w:rPr>
        <w:t xml:space="preserve"> </w:t>
      </w:r>
      <w:r w:rsidRPr="00D863C8">
        <w:rPr>
          <w:rFonts w:ascii="Arial Narrow" w:eastAsiaTheme="minorHAnsi" w:hAnsi="Arial Narrow"/>
          <w:b/>
          <w:sz w:val="20"/>
        </w:rPr>
        <w:t>Capital calculations</w:t>
      </w:r>
    </w:p>
    <w:tbl>
      <w:tblPr>
        <w:tblStyle w:val="TableGrid4"/>
        <w:tblW w:w="0" w:type="auto"/>
        <w:tblInd w:w="-5" w:type="dxa"/>
        <w:tblLook w:val="04A0" w:firstRow="1" w:lastRow="0" w:firstColumn="1" w:lastColumn="0" w:noHBand="0" w:noVBand="1"/>
        <w:tblDescription w:val="Capital calculations"/>
      </w:tblPr>
      <w:tblGrid>
        <w:gridCol w:w="3499"/>
        <w:gridCol w:w="1418"/>
      </w:tblGrid>
      <w:tr w:rsidR="00652235" w:rsidRPr="000537B0" w14:paraId="73A60E34" w14:textId="77777777" w:rsidTr="00221228">
        <w:trPr>
          <w:tblHeader/>
        </w:trPr>
        <w:tc>
          <w:tcPr>
            <w:tcW w:w="3499" w:type="dxa"/>
          </w:tcPr>
          <w:p w14:paraId="2599A6ED" w14:textId="77777777" w:rsidR="00652235" w:rsidRPr="000537B0" w:rsidRDefault="00652235" w:rsidP="00F11AFE">
            <w:pPr>
              <w:pStyle w:val="Tabletext"/>
            </w:pPr>
            <w:r w:rsidRPr="000537B0">
              <w:t>Cystoscopy camera/ monitor set</w:t>
            </w:r>
            <w:r w:rsidRPr="000537B0">
              <w:tab/>
            </w:r>
          </w:p>
        </w:tc>
        <w:tc>
          <w:tcPr>
            <w:tcW w:w="1418" w:type="dxa"/>
          </w:tcPr>
          <w:p w14:paraId="12A589D9" w14:textId="77777777" w:rsidR="00652235" w:rsidRPr="000537B0" w:rsidRDefault="00652235" w:rsidP="00F11AFE">
            <w:pPr>
              <w:pStyle w:val="Tabletext"/>
            </w:pPr>
            <w:r w:rsidRPr="000537B0">
              <w:t>$25,000.00</w:t>
            </w:r>
          </w:p>
        </w:tc>
      </w:tr>
      <w:tr w:rsidR="00652235" w:rsidRPr="000537B0" w14:paraId="6A27FBCD" w14:textId="77777777" w:rsidTr="00A250BF">
        <w:tc>
          <w:tcPr>
            <w:tcW w:w="3499" w:type="dxa"/>
          </w:tcPr>
          <w:p w14:paraId="447BC435" w14:textId="77777777" w:rsidR="00652235" w:rsidRPr="000537B0" w:rsidRDefault="00652235" w:rsidP="00F11AFE">
            <w:pPr>
              <w:pStyle w:val="Tabletext"/>
            </w:pPr>
            <w:r w:rsidRPr="000537B0">
              <w:t xml:space="preserve">Irrigation system </w:t>
            </w:r>
            <w:r w:rsidRPr="000537B0">
              <w:tab/>
            </w:r>
          </w:p>
        </w:tc>
        <w:tc>
          <w:tcPr>
            <w:tcW w:w="1418" w:type="dxa"/>
          </w:tcPr>
          <w:p w14:paraId="5B230948" w14:textId="77777777" w:rsidR="00652235" w:rsidRPr="000537B0" w:rsidRDefault="00652235" w:rsidP="00F11AFE">
            <w:pPr>
              <w:pStyle w:val="Tabletext"/>
            </w:pPr>
            <w:r w:rsidRPr="000537B0">
              <w:t>$5,000.00</w:t>
            </w:r>
          </w:p>
        </w:tc>
      </w:tr>
      <w:tr w:rsidR="00652235" w:rsidRPr="000537B0" w14:paraId="50FBA379" w14:textId="77777777" w:rsidTr="00A250BF">
        <w:tc>
          <w:tcPr>
            <w:tcW w:w="3499" w:type="dxa"/>
          </w:tcPr>
          <w:p w14:paraId="1AF3CFDA" w14:textId="77777777" w:rsidR="00652235" w:rsidRPr="000537B0" w:rsidRDefault="00652235" w:rsidP="00F11AFE">
            <w:pPr>
              <w:pStyle w:val="Tabletext"/>
            </w:pPr>
            <w:r w:rsidRPr="000537B0">
              <w:t>Standard endoscopic grasper set kit</w:t>
            </w:r>
          </w:p>
        </w:tc>
        <w:tc>
          <w:tcPr>
            <w:tcW w:w="1418" w:type="dxa"/>
          </w:tcPr>
          <w:p w14:paraId="167992A6" w14:textId="77777777" w:rsidR="00652235" w:rsidRPr="000537B0" w:rsidRDefault="00652235" w:rsidP="00F11AFE">
            <w:pPr>
              <w:pStyle w:val="Tabletext"/>
            </w:pPr>
            <w:r w:rsidRPr="000537B0">
              <w:t>$2,000.00</w:t>
            </w:r>
          </w:p>
        </w:tc>
      </w:tr>
      <w:tr w:rsidR="00652235" w:rsidRPr="000537B0" w14:paraId="64DB5FEA" w14:textId="77777777" w:rsidTr="00A250BF">
        <w:tc>
          <w:tcPr>
            <w:tcW w:w="3499" w:type="dxa"/>
          </w:tcPr>
          <w:p w14:paraId="60BB497F" w14:textId="77777777" w:rsidR="00652235" w:rsidRPr="000537B0" w:rsidRDefault="00652235" w:rsidP="00F11AFE">
            <w:pPr>
              <w:pStyle w:val="Tabletext"/>
            </w:pPr>
            <w:r w:rsidRPr="000537B0">
              <w:t>Total capital</w:t>
            </w:r>
          </w:p>
        </w:tc>
        <w:tc>
          <w:tcPr>
            <w:tcW w:w="1418" w:type="dxa"/>
          </w:tcPr>
          <w:p w14:paraId="0BFF8699" w14:textId="77777777" w:rsidR="00652235" w:rsidRPr="000537B0" w:rsidRDefault="00652235" w:rsidP="00F11AFE">
            <w:pPr>
              <w:pStyle w:val="Tabletext"/>
            </w:pPr>
            <w:r w:rsidRPr="000537B0">
              <w:t>$32,000</w:t>
            </w:r>
          </w:p>
        </w:tc>
      </w:tr>
      <w:tr w:rsidR="00652235" w:rsidRPr="000537B0" w14:paraId="67A8FC83" w14:textId="77777777" w:rsidTr="00A250BF">
        <w:tc>
          <w:tcPr>
            <w:tcW w:w="3499" w:type="dxa"/>
          </w:tcPr>
          <w:p w14:paraId="4EFB8706" w14:textId="77777777" w:rsidR="00652235" w:rsidRPr="000537B0" w:rsidRDefault="00652235" w:rsidP="00F11AFE">
            <w:pPr>
              <w:pStyle w:val="Tabletext"/>
            </w:pPr>
            <w:r w:rsidRPr="000537B0">
              <w:t>Annual cost (discounted @ 5%)</w:t>
            </w:r>
          </w:p>
        </w:tc>
        <w:tc>
          <w:tcPr>
            <w:tcW w:w="1418" w:type="dxa"/>
          </w:tcPr>
          <w:p w14:paraId="2277C40D" w14:textId="77777777" w:rsidR="00652235" w:rsidRPr="000537B0" w:rsidRDefault="00652235" w:rsidP="00F11AFE">
            <w:pPr>
              <w:pStyle w:val="Tabletext"/>
            </w:pPr>
            <w:r w:rsidRPr="000537B0">
              <w:t>$7,445.00</w:t>
            </w:r>
          </w:p>
        </w:tc>
      </w:tr>
      <w:tr w:rsidR="00652235" w:rsidRPr="000537B0" w14:paraId="6981D376" w14:textId="77777777" w:rsidTr="00A250BF">
        <w:tc>
          <w:tcPr>
            <w:tcW w:w="3499" w:type="dxa"/>
          </w:tcPr>
          <w:p w14:paraId="58EC2CF7" w14:textId="77777777" w:rsidR="00652235" w:rsidRPr="000537B0" w:rsidRDefault="00652235" w:rsidP="00F11AFE">
            <w:pPr>
              <w:pStyle w:val="Tabletext"/>
            </w:pPr>
            <w:r w:rsidRPr="000537B0">
              <w:t>Annual cost per patient (50 patients)</w:t>
            </w:r>
          </w:p>
        </w:tc>
        <w:tc>
          <w:tcPr>
            <w:tcW w:w="1418" w:type="dxa"/>
          </w:tcPr>
          <w:p w14:paraId="7785F7D6" w14:textId="77777777" w:rsidR="00652235" w:rsidRPr="000537B0" w:rsidRDefault="00652235" w:rsidP="00F11AFE">
            <w:pPr>
              <w:pStyle w:val="Tabletext"/>
            </w:pPr>
            <w:r w:rsidRPr="000537B0">
              <w:t>$148.90</w:t>
            </w:r>
          </w:p>
        </w:tc>
      </w:tr>
      <w:tr w:rsidR="00652235" w:rsidRPr="000537B0" w14:paraId="0CC561C1" w14:textId="77777777" w:rsidTr="00A250BF">
        <w:tc>
          <w:tcPr>
            <w:tcW w:w="3499" w:type="dxa"/>
          </w:tcPr>
          <w:p w14:paraId="349A467C" w14:textId="77777777" w:rsidR="00652235" w:rsidRPr="000537B0" w:rsidRDefault="00652235" w:rsidP="00F11AFE">
            <w:pPr>
              <w:pStyle w:val="Tabletext"/>
            </w:pPr>
            <w:r w:rsidRPr="000537B0">
              <w:t>Annual maintenance contract</w:t>
            </w:r>
          </w:p>
        </w:tc>
        <w:tc>
          <w:tcPr>
            <w:tcW w:w="1418" w:type="dxa"/>
          </w:tcPr>
          <w:p w14:paraId="1D8EDD1D" w14:textId="77777777" w:rsidR="00652235" w:rsidRPr="000537B0" w:rsidRDefault="00652235" w:rsidP="00F11AFE">
            <w:pPr>
              <w:pStyle w:val="Tabletext"/>
            </w:pPr>
            <w:r w:rsidRPr="000537B0">
              <w:t>$1,200.00</w:t>
            </w:r>
          </w:p>
        </w:tc>
      </w:tr>
      <w:tr w:rsidR="00652235" w:rsidRPr="000537B0" w14:paraId="26987F22" w14:textId="77777777" w:rsidTr="00A250BF">
        <w:tc>
          <w:tcPr>
            <w:tcW w:w="3499" w:type="dxa"/>
          </w:tcPr>
          <w:p w14:paraId="0B43CFC8" w14:textId="77777777" w:rsidR="00652235" w:rsidRPr="000537B0" w:rsidRDefault="00652235" w:rsidP="00F11AFE">
            <w:pPr>
              <w:pStyle w:val="Tabletext"/>
            </w:pPr>
            <w:r w:rsidRPr="000537B0">
              <w:t>Annual maintenance per patient</w:t>
            </w:r>
          </w:p>
        </w:tc>
        <w:tc>
          <w:tcPr>
            <w:tcW w:w="1418" w:type="dxa"/>
          </w:tcPr>
          <w:p w14:paraId="4386D4A4" w14:textId="77777777" w:rsidR="00652235" w:rsidRPr="000537B0" w:rsidRDefault="00652235" w:rsidP="00F11AFE">
            <w:pPr>
              <w:pStyle w:val="Tabletext"/>
            </w:pPr>
            <w:r w:rsidRPr="000537B0">
              <w:t>$24.00</w:t>
            </w:r>
          </w:p>
        </w:tc>
      </w:tr>
    </w:tbl>
    <w:p w14:paraId="396C4AE1" w14:textId="5E787C94" w:rsidR="00652235" w:rsidRPr="00C11BBE" w:rsidRDefault="00652235" w:rsidP="00C11BBE">
      <w:pPr>
        <w:pStyle w:val="Tablenotes"/>
        <w:rPr>
          <w:rStyle w:val="CritiquetablenotesChar"/>
          <w:rFonts w:eastAsiaTheme="minorHAnsi"/>
          <w:i w:val="0"/>
          <w:color w:val="auto"/>
        </w:rPr>
      </w:pPr>
      <w:r w:rsidRPr="00A250BF">
        <w:rPr>
          <w:rStyle w:val="CritiquetablenotesChar"/>
          <w:rFonts w:eastAsiaTheme="minorHAnsi"/>
          <w:i w:val="0"/>
          <w:color w:val="auto"/>
        </w:rPr>
        <w:t>Source: p23 of the commentary.</w:t>
      </w:r>
    </w:p>
    <w:p w14:paraId="2044E895" w14:textId="019B9201" w:rsidR="00652235" w:rsidRDefault="00652235" w:rsidP="00652235">
      <w:r>
        <w:t xml:space="preserve">The commentary noted that the total cost of PUL, including reintervention, is estimated in the ADAR to be </w:t>
      </w:r>
      <w:r w:rsidRPr="00140FD6">
        <w:t>$5,775.13.</w:t>
      </w:r>
      <w:r>
        <w:rPr>
          <w:b/>
        </w:rPr>
        <w:t xml:space="preserve"> </w:t>
      </w:r>
      <w:r w:rsidRPr="00D93FA3">
        <w:t xml:space="preserve">The main component of PUL cost is that of the prostheses. As the ADAR may have underestimated the average number of prostheses implanted, </w:t>
      </w:r>
      <w:r w:rsidRPr="00230E27">
        <w:t xml:space="preserve">did not consider a </w:t>
      </w:r>
      <w:proofErr w:type="gramStart"/>
      <w:r w:rsidRPr="00230E27">
        <w:t>prostheses</w:t>
      </w:r>
      <w:proofErr w:type="gramEnd"/>
      <w:r w:rsidRPr="00230E27">
        <w:t xml:space="preserve"> handling fee</w:t>
      </w:r>
      <w:r w:rsidRPr="00D93FA3">
        <w:t xml:space="preserve"> and likely underestimated both the proportion of patients </w:t>
      </w:r>
      <w:r w:rsidRPr="00D93FA3">
        <w:lastRenderedPageBreak/>
        <w:t>expected to require reintervention and the cost of reintervention, the cost of PUL is likely to be an underestimate, and the cost savings claimed, like</w:t>
      </w:r>
      <w:r>
        <w:t>ly to be further overestimated.</w:t>
      </w:r>
    </w:p>
    <w:p w14:paraId="794967F5" w14:textId="4BA3B06F" w:rsidR="00652235" w:rsidRDefault="00652235" w:rsidP="00C11BBE">
      <w:pPr>
        <w:spacing w:before="240" w:after="240"/>
      </w:pPr>
      <w:r>
        <w:t>The pre-ESC response clarified that t</w:t>
      </w:r>
      <w:r w:rsidRPr="00C2612A">
        <w:t>he number of prostheses implanted depends on the size of the subject’s prostate</w:t>
      </w:r>
      <w:r>
        <w:t xml:space="preserve"> and that the ADAR estimated the number of prostheses used was four based on</w:t>
      </w:r>
      <w:r w:rsidRPr="00C2612A">
        <w:t xml:space="preserve"> data from Sievert et al (2019</w:t>
      </w:r>
      <w:r>
        <w:t xml:space="preserve">). </w:t>
      </w:r>
      <w:r w:rsidRPr="00410FE0">
        <w:t xml:space="preserve">The </w:t>
      </w:r>
      <w:r>
        <w:t>applicant acknowledged</w:t>
      </w:r>
      <w:r w:rsidRPr="00410FE0">
        <w:t xml:space="preserve"> that the sensitivity analysis carried out as part of the ADAR identified that the costing model is sensitive to the number of prostheses implanted.</w:t>
      </w:r>
      <w:r>
        <w:t xml:space="preserve"> However, the applicant claimed t</w:t>
      </w:r>
      <w:r w:rsidRPr="00C2612A">
        <w:t xml:space="preserve">he </w:t>
      </w:r>
      <w:r>
        <w:t>commentary’s estimate of 3.1</w:t>
      </w:r>
      <w:r w:rsidRPr="00C2612A">
        <w:t xml:space="preserve"> prostheses</w:t>
      </w:r>
      <w:r>
        <w:t xml:space="preserve"> based on</w:t>
      </w:r>
      <w:r w:rsidRPr="00C2612A">
        <w:t xml:space="preserve"> feedback from Private Healthcare A</w:t>
      </w:r>
      <w:r>
        <w:t>ustralia to be a</w:t>
      </w:r>
      <w:r w:rsidRPr="00C2612A">
        <w:t xml:space="preserve"> low estimate </w:t>
      </w:r>
      <w:r>
        <w:t xml:space="preserve">that </w:t>
      </w:r>
      <w:r w:rsidRPr="00C2612A">
        <w:t>does not align with number in published papers.</w:t>
      </w:r>
    </w:p>
    <w:p w14:paraId="10261D1D" w14:textId="0E36F459" w:rsidR="00652235" w:rsidRDefault="00652235" w:rsidP="00652235">
      <w:r>
        <w:t xml:space="preserve">The pre-ESC response </w:t>
      </w:r>
      <w:r w:rsidR="0017423B">
        <w:t xml:space="preserve">also </w:t>
      </w:r>
      <w:r>
        <w:t>clarified that:</w:t>
      </w:r>
    </w:p>
    <w:p w14:paraId="2137A5CC" w14:textId="77777777" w:rsidR="00652235" w:rsidRDefault="00652235" w:rsidP="00D70B59">
      <w:pPr>
        <w:pStyle w:val="ListParagraph"/>
        <w:numPr>
          <w:ilvl w:val="0"/>
          <w:numId w:val="9"/>
        </w:numPr>
      </w:pPr>
      <w:r>
        <w:t xml:space="preserve">the </w:t>
      </w:r>
      <w:r w:rsidRPr="009373A2">
        <w:t>net annual reintervention rate used in the model was 1.44% for each of the five years</w:t>
      </w:r>
      <w:r>
        <w:t xml:space="preserve"> and that t</w:t>
      </w:r>
      <w:r w:rsidRPr="009373A2">
        <w:t>his annual cost was added to the total cost of PUL</w:t>
      </w:r>
    </w:p>
    <w:p w14:paraId="6EE048CA" w14:textId="77777777" w:rsidR="00652235" w:rsidRDefault="00652235" w:rsidP="00D70B59">
      <w:pPr>
        <w:pStyle w:val="ListParagraph"/>
        <w:numPr>
          <w:ilvl w:val="0"/>
          <w:numId w:val="9"/>
        </w:numPr>
      </w:pPr>
      <w:r>
        <w:t xml:space="preserve">there is no handling fee, and </w:t>
      </w:r>
    </w:p>
    <w:p w14:paraId="40ECAA27" w14:textId="1B855901" w:rsidR="00652235" w:rsidRDefault="00652235" w:rsidP="00652235">
      <w:pPr>
        <w:pStyle w:val="ListParagraph"/>
        <w:numPr>
          <w:ilvl w:val="0"/>
          <w:numId w:val="9"/>
        </w:numPr>
      </w:pPr>
      <w:r>
        <w:t>the cost of the prosthesis, $712, was taken from the Prostheses List.</w:t>
      </w:r>
    </w:p>
    <w:p w14:paraId="420A11B7" w14:textId="0D786E54" w:rsidR="00652235" w:rsidRPr="00D863C8" w:rsidRDefault="00652235" w:rsidP="00D863C8">
      <w:pPr>
        <w:spacing w:before="240" w:after="240"/>
        <w:rPr>
          <w:u w:val="single"/>
        </w:rPr>
      </w:pPr>
      <w:r w:rsidRPr="00D863C8">
        <w:rPr>
          <w:u w:val="single"/>
        </w:rPr>
        <w:t>VLAP</w:t>
      </w:r>
      <w:bookmarkStart w:id="26" w:name="_Ref40972764"/>
    </w:p>
    <w:p w14:paraId="17567858" w14:textId="77777777" w:rsidR="00652235" w:rsidRPr="00D863C8" w:rsidRDefault="00652235" w:rsidP="00D863C8">
      <w:pPr>
        <w:rPr>
          <w:rFonts w:ascii="Arial Narrow" w:eastAsiaTheme="minorHAnsi" w:hAnsi="Arial Narrow"/>
          <w:b/>
          <w:sz w:val="20"/>
        </w:rPr>
      </w:pPr>
      <w:r w:rsidRPr="00D863C8">
        <w:rPr>
          <w:rFonts w:ascii="Arial Narrow" w:hAnsi="Arial Narrow"/>
          <w:b/>
          <w:sz w:val="20"/>
        </w:rPr>
        <w:t xml:space="preserve">Table </w:t>
      </w:r>
      <w:r w:rsidR="00C11BBE" w:rsidRPr="00D863C8">
        <w:rPr>
          <w:rFonts w:ascii="Arial Narrow" w:hAnsi="Arial Narrow"/>
          <w:b/>
          <w:sz w:val="20"/>
        </w:rPr>
        <w:fldChar w:fldCharType="begin"/>
      </w:r>
      <w:r w:rsidR="00C11BBE" w:rsidRPr="00D863C8">
        <w:rPr>
          <w:rFonts w:ascii="Arial Narrow" w:hAnsi="Arial Narrow"/>
          <w:b/>
          <w:sz w:val="20"/>
        </w:rPr>
        <w:instrText xml:space="preserve"> SEQ Table \* ARABIC </w:instrText>
      </w:r>
      <w:r w:rsidR="00C11BBE" w:rsidRPr="00D863C8">
        <w:rPr>
          <w:rFonts w:ascii="Arial Narrow" w:hAnsi="Arial Narrow"/>
          <w:b/>
          <w:sz w:val="20"/>
        </w:rPr>
        <w:fldChar w:fldCharType="separate"/>
      </w:r>
      <w:r w:rsidRPr="00D863C8">
        <w:rPr>
          <w:rFonts w:ascii="Arial Narrow" w:hAnsi="Arial Narrow"/>
          <w:b/>
          <w:sz w:val="20"/>
        </w:rPr>
        <w:t>13</w:t>
      </w:r>
      <w:r w:rsidR="00C11BBE" w:rsidRPr="00D863C8">
        <w:rPr>
          <w:rFonts w:ascii="Arial Narrow" w:hAnsi="Arial Narrow"/>
          <w:b/>
          <w:sz w:val="20"/>
        </w:rPr>
        <w:fldChar w:fldCharType="end"/>
      </w:r>
      <w:bookmarkEnd w:id="26"/>
      <w:r w:rsidRPr="00D863C8">
        <w:rPr>
          <w:rFonts w:ascii="Arial Narrow" w:eastAsiaTheme="minorHAnsi" w:hAnsi="Arial Narrow"/>
          <w:b/>
          <w:sz w:val="20"/>
        </w:rPr>
        <w:t xml:space="preserve"> VLAP Procedure Cost</w:t>
      </w:r>
    </w:p>
    <w:tbl>
      <w:tblPr>
        <w:tblStyle w:val="TableGrid23"/>
        <w:tblW w:w="0" w:type="auto"/>
        <w:tblLook w:val="04A0" w:firstRow="1" w:lastRow="0" w:firstColumn="1" w:lastColumn="0" w:noHBand="0" w:noVBand="1"/>
        <w:tblDescription w:val="VLAP Procedure Cost"/>
      </w:tblPr>
      <w:tblGrid>
        <w:gridCol w:w="4219"/>
        <w:gridCol w:w="1134"/>
        <w:gridCol w:w="1134"/>
        <w:gridCol w:w="1276"/>
        <w:gridCol w:w="1134"/>
      </w:tblGrid>
      <w:tr w:rsidR="00652235" w:rsidRPr="000537B0" w14:paraId="17459FA5" w14:textId="77777777" w:rsidTr="00221228">
        <w:trPr>
          <w:tblHeader/>
        </w:trPr>
        <w:tc>
          <w:tcPr>
            <w:tcW w:w="4219" w:type="dxa"/>
            <w:tcBorders>
              <w:top w:val="single" w:sz="4" w:space="0" w:color="auto"/>
            </w:tcBorders>
          </w:tcPr>
          <w:p w14:paraId="6B5379CB" w14:textId="77777777" w:rsidR="00652235" w:rsidRPr="000537B0" w:rsidRDefault="00652235" w:rsidP="00F11AFE">
            <w:pPr>
              <w:pStyle w:val="Tabletext"/>
            </w:pPr>
          </w:p>
        </w:tc>
        <w:tc>
          <w:tcPr>
            <w:tcW w:w="1134" w:type="dxa"/>
            <w:tcBorders>
              <w:top w:val="single" w:sz="4" w:space="0" w:color="auto"/>
            </w:tcBorders>
          </w:tcPr>
          <w:p w14:paraId="7C7458ED" w14:textId="77777777" w:rsidR="00652235" w:rsidRPr="000537B0" w:rsidRDefault="00652235" w:rsidP="00F11AFE">
            <w:pPr>
              <w:pStyle w:val="Tabletext"/>
            </w:pPr>
            <w:r w:rsidRPr="000537B0">
              <w:rPr>
                <w:rFonts w:cs="Arial"/>
              </w:rPr>
              <w:t>MBS Item</w:t>
            </w:r>
          </w:p>
        </w:tc>
        <w:tc>
          <w:tcPr>
            <w:tcW w:w="1134" w:type="dxa"/>
            <w:tcBorders>
              <w:top w:val="single" w:sz="4" w:space="0" w:color="auto"/>
            </w:tcBorders>
          </w:tcPr>
          <w:p w14:paraId="168489CA" w14:textId="77777777" w:rsidR="00652235" w:rsidRPr="000537B0" w:rsidRDefault="00652235" w:rsidP="00F11AFE">
            <w:pPr>
              <w:pStyle w:val="Tabletext"/>
            </w:pPr>
            <w:r w:rsidRPr="000537B0">
              <w:rPr>
                <w:rFonts w:cs="Arial"/>
              </w:rPr>
              <w:t>Fee</w:t>
            </w:r>
          </w:p>
        </w:tc>
        <w:tc>
          <w:tcPr>
            <w:tcW w:w="1276" w:type="dxa"/>
            <w:tcBorders>
              <w:top w:val="single" w:sz="4" w:space="0" w:color="auto"/>
            </w:tcBorders>
          </w:tcPr>
          <w:p w14:paraId="75A6D070" w14:textId="77777777" w:rsidR="00652235" w:rsidRPr="000537B0" w:rsidRDefault="00652235" w:rsidP="00F11AFE">
            <w:pPr>
              <w:pStyle w:val="Tabletext"/>
            </w:pPr>
            <w:r w:rsidRPr="000537B0">
              <w:t>Health Fund</w:t>
            </w:r>
          </w:p>
        </w:tc>
        <w:tc>
          <w:tcPr>
            <w:tcW w:w="1134" w:type="dxa"/>
            <w:tcBorders>
              <w:top w:val="single" w:sz="4" w:space="0" w:color="auto"/>
            </w:tcBorders>
          </w:tcPr>
          <w:p w14:paraId="1B975286" w14:textId="77777777" w:rsidR="00652235" w:rsidRPr="000537B0" w:rsidRDefault="00652235" w:rsidP="00F11AFE">
            <w:pPr>
              <w:pStyle w:val="Tabletext"/>
            </w:pPr>
            <w:r w:rsidRPr="000537B0">
              <w:t>Medicare</w:t>
            </w:r>
          </w:p>
        </w:tc>
      </w:tr>
      <w:tr w:rsidR="00652235" w:rsidRPr="000537B0" w14:paraId="51BDE9F4" w14:textId="77777777" w:rsidTr="00F11AFE">
        <w:tc>
          <w:tcPr>
            <w:tcW w:w="4219" w:type="dxa"/>
          </w:tcPr>
          <w:p w14:paraId="650A42EC" w14:textId="77777777" w:rsidR="00652235" w:rsidRPr="000537B0" w:rsidRDefault="00652235" w:rsidP="00F11AFE">
            <w:pPr>
              <w:pStyle w:val="Tabletext"/>
            </w:pPr>
            <w:r w:rsidRPr="000537B0">
              <w:t>Pre-anaesthesia consultation</w:t>
            </w:r>
          </w:p>
        </w:tc>
        <w:tc>
          <w:tcPr>
            <w:tcW w:w="1134" w:type="dxa"/>
          </w:tcPr>
          <w:p w14:paraId="55B64A99" w14:textId="77777777" w:rsidR="00652235" w:rsidRPr="000537B0" w:rsidRDefault="00652235" w:rsidP="00F11AFE">
            <w:pPr>
              <w:pStyle w:val="Tabletext"/>
            </w:pPr>
            <w:r w:rsidRPr="000537B0">
              <w:t>17610</w:t>
            </w:r>
          </w:p>
        </w:tc>
        <w:tc>
          <w:tcPr>
            <w:tcW w:w="1134" w:type="dxa"/>
          </w:tcPr>
          <w:p w14:paraId="4D58BAE1" w14:textId="77777777" w:rsidR="00652235" w:rsidRPr="000537B0" w:rsidRDefault="00652235" w:rsidP="00F11AFE">
            <w:pPr>
              <w:pStyle w:val="Tabletext"/>
            </w:pPr>
            <w:r w:rsidRPr="000537B0">
              <w:t>$44.35</w:t>
            </w:r>
          </w:p>
        </w:tc>
        <w:tc>
          <w:tcPr>
            <w:tcW w:w="1276" w:type="dxa"/>
          </w:tcPr>
          <w:p w14:paraId="600627C6" w14:textId="77777777" w:rsidR="00652235" w:rsidRPr="000537B0" w:rsidRDefault="00652235" w:rsidP="00F11AFE">
            <w:pPr>
              <w:pStyle w:val="Tabletext"/>
            </w:pPr>
            <w:r w:rsidRPr="000537B0">
              <w:t>$11.05</w:t>
            </w:r>
          </w:p>
        </w:tc>
        <w:tc>
          <w:tcPr>
            <w:tcW w:w="1134" w:type="dxa"/>
          </w:tcPr>
          <w:p w14:paraId="6730AF31" w14:textId="77777777" w:rsidR="00652235" w:rsidRPr="000537B0" w:rsidRDefault="00652235" w:rsidP="00F11AFE">
            <w:pPr>
              <w:pStyle w:val="Tabletext"/>
            </w:pPr>
            <w:r w:rsidRPr="000537B0">
              <w:t>$33.30</w:t>
            </w:r>
          </w:p>
        </w:tc>
      </w:tr>
      <w:tr w:rsidR="00652235" w:rsidRPr="000537B0" w14:paraId="21FE9963" w14:textId="77777777" w:rsidTr="00F11AFE">
        <w:tc>
          <w:tcPr>
            <w:tcW w:w="4219" w:type="dxa"/>
          </w:tcPr>
          <w:p w14:paraId="7DC518D8" w14:textId="77777777" w:rsidR="00652235" w:rsidRPr="000537B0" w:rsidRDefault="00652235" w:rsidP="00F11AFE">
            <w:pPr>
              <w:pStyle w:val="Tabletext"/>
            </w:pPr>
            <w:r w:rsidRPr="000537B0">
              <w:t>Initiation of management of anaesthesia</w:t>
            </w:r>
          </w:p>
        </w:tc>
        <w:tc>
          <w:tcPr>
            <w:tcW w:w="1134" w:type="dxa"/>
          </w:tcPr>
          <w:p w14:paraId="0D570331" w14:textId="77777777" w:rsidR="00652235" w:rsidRPr="000537B0" w:rsidRDefault="00652235" w:rsidP="00F11AFE">
            <w:pPr>
              <w:pStyle w:val="Tabletext"/>
            </w:pPr>
            <w:r w:rsidRPr="00140FD6">
              <w:t>20902</w:t>
            </w:r>
            <w:r w:rsidRPr="00140FD6">
              <w:rPr>
                <w:vertAlign w:val="superscript"/>
              </w:rPr>
              <w:t xml:space="preserve"> a</w:t>
            </w:r>
          </w:p>
        </w:tc>
        <w:tc>
          <w:tcPr>
            <w:tcW w:w="1134" w:type="dxa"/>
          </w:tcPr>
          <w:p w14:paraId="5E2237DB" w14:textId="77777777" w:rsidR="00652235" w:rsidRPr="000537B0" w:rsidRDefault="00652235" w:rsidP="00F11AFE">
            <w:pPr>
              <w:pStyle w:val="Tabletext"/>
            </w:pPr>
            <w:r w:rsidRPr="000537B0">
              <w:t>$80.40</w:t>
            </w:r>
          </w:p>
        </w:tc>
        <w:tc>
          <w:tcPr>
            <w:tcW w:w="1276" w:type="dxa"/>
          </w:tcPr>
          <w:p w14:paraId="61C5AA38" w14:textId="77777777" w:rsidR="00652235" w:rsidRPr="000537B0" w:rsidRDefault="00652235" w:rsidP="00F11AFE">
            <w:pPr>
              <w:pStyle w:val="Tabletext"/>
            </w:pPr>
            <w:r w:rsidRPr="000537B0">
              <w:t>$20.10</w:t>
            </w:r>
          </w:p>
        </w:tc>
        <w:tc>
          <w:tcPr>
            <w:tcW w:w="1134" w:type="dxa"/>
          </w:tcPr>
          <w:p w14:paraId="77200221" w14:textId="77777777" w:rsidR="00652235" w:rsidRPr="000537B0" w:rsidRDefault="00652235" w:rsidP="00F11AFE">
            <w:pPr>
              <w:pStyle w:val="Tabletext"/>
            </w:pPr>
            <w:r w:rsidRPr="000537B0">
              <w:t>$60.30</w:t>
            </w:r>
          </w:p>
        </w:tc>
      </w:tr>
      <w:tr w:rsidR="00652235" w:rsidRPr="000537B0" w14:paraId="3DB64243" w14:textId="77777777" w:rsidTr="00F11AFE">
        <w:tc>
          <w:tcPr>
            <w:tcW w:w="4219" w:type="dxa"/>
          </w:tcPr>
          <w:p w14:paraId="3F4F25EF" w14:textId="77777777" w:rsidR="00652235" w:rsidRPr="000537B0" w:rsidRDefault="00652235" w:rsidP="00F11AFE">
            <w:pPr>
              <w:pStyle w:val="Tabletext"/>
            </w:pPr>
            <w:r w:rsidRPr="000537B0">
              <w:t>Anaesthesia – time (61-75 minutes)</w:t>
            </w:r>
          </w:p>
        </w:tc>
        <w:tc>
          <w:tcPr>
            <w:tcW w:w="1134" w:type="dxa"/>
          </w:tcPr>
          <w:p w14:paraId="5A6F19CA" w14:textId="77777777" w:rsidR="00652235" w:rsidRPr="000537B0" w:rsidRDefault="00652235" w:rsidP="00F11AFE">
            <w:pPr>
              <w:pStyle w:val="Tabletext"/>
            </w:pPr>
            <w:r w:rsidRPr="000537B0">
              <w:t xml:space="preserve">23055 </w:t>
            </w:r>
          </w:p>
        </w:tc>
        <w:tc>
          <w:tcPr>
            <w:tcW w:w="1134" w:type="dxa"/>
          </w:tcPr>
          <w:p w14:paraId="733D3DA9" w14:textId="77777777" w:rsidR="00652235" w:rsidRPr="000537B0" w:rsidRDefault="00652235" w:rsidP="00F11AFE">
            <w:pPr>
              <w:pStyle w:val="Tabletext"/>
            </w:pPr>
            <w:r w:rsidRPr="000537B0">
              <w:t>$100.50</w:t>
            </w:r>
          </w:p>
        </w:tc>
        <w:tc>
          <w:tcPr>
            <w:tcW w:w="1276" w:type="dxa"/>
          </w:tcPr>
          <w:p w14:paraId="0F737016" w14:textId="77777777" w:rsidR="00652235" w:rsidRPr="000537B0" w:rsidRDefault="00652235" w:rsidP="00F11AFE">
            <w:pPr>
              <w:pStyle w:val="Tabletext"/>
            </w:pPr>
            <w:r w:rsidRPr="000537B0">
              <w:t>$25.10</w:t>
            </w:r>
          </w:p>
        </w:tc>
        <w:tc>
          <w:tcPr>
            <w:tcW w:w="1134" w:type="dxa"/>
          </w:tcPr>
          <w:p w14:paraId="5A9FC0DA" w14:textId="77777777" w:rsidR="00652235" w:rsidRPr="000537B0" w:rsidRDefault="00652235" w:rsidP="00F11AFE">
            <w:pPr>
              <w:pStyle w:val="Tabletext"/>
            </w:pPr>
            <w:r w:rsidRPr="000537B0">
              <w:t>$75.40</w:t>
            </w:r>
          </w:p>
        </w:tc>
      </w:tr>
      <w:tr w:rsidR="00652235" w:rsidRPr="000537B0" w14:paraId="0A64506A" w14:textId="77777777" w:rsidTr="00F11AFE">
        <w:tc>
          <w:tcPr>
            <w:tcW w:w="4219" w:type="dxa"/>
          </w:tcPr>
          <w:p w14:paraId="1418E0BB" w14:textId="77777777" w:rsidR="00652235" w:rsidRPr="000537B0" w:rsidRDefault="00652235" w:rsidP="00F11AFE">
            <w:pPr>
              <w:pStyle w:val="Tabletext"/>
            </w:pPr>
            <w:r w:rsidRPr="000537B0">
              <w:t>Procedure – surgeon</w:t>
            </w:r>
          </w:p>
        </w:tc>
        <w:tc>
          <w:tcPr>
            <w:tcW w:w="1134" w:type="dxa"/>
          </w:tcPr>
          <w:p w14:paraId="197217FD" w14:textId="77777777" w:rsidR="00652235" w:rsidRPr="000537B0" w:rsidRDefault="00652235" w:rsidP="00F11AFE">
            <w:pPr>
              <w:pStyle w:val="Tabletext"/>
            </w:pPr>
            <w:r w:rsidRPr="000537B0">
              <w:t>37207</w:t>
            </w:r>
          </w:p>
        </w:tc>
        <w:tc>
          <w:tcPr>
            <w:tcW w:w="1134" w:type="dxa"/>
          </w:tcPr>
          <w:p w14:paraId="490F0546" w14:textId="77777777" w:rsidR="00652235" w:rsidRPr="000537B0" w:rsidRDefault="00652235" w:rsidP="00F11AFE">
            <w:pPr>
              <w:pStyle w:val="Tabletext"/>
            </w:pPr>
            <w:r w:rsidRPr="000537B0">
              <w:t>$1,058.80</w:t>
            </w:r>
          </w:p>
        </w:tc>
        <w:tc>
          <w:tcPr>
            <w:tcW w:w="1276" w:type="dxa"/>
          </w:tcPr>
          <w:p w14:paraId="604A2964" w14:textId="77777777" w:rsidR="00652235" w:rsidRPr="000537B0" w:rsidRDefault="00652235" w:rsidP="00F11AFE">
            <w:pPr>
              <w:pStyle w:val="Tabletext"/>
            </w:pPr>
            <w:r w:rsidRPr="000537B0">
              <w:t>$264.70</w:t>
            </w:r>
          </w:p>
        </w:tc>
        <w:tc>
          <w:tcPr>
            <w:tcW w:w="1134" w:type="dxa"/>
          </w:tcPr>
          <w:p w14:paraId="1822CECD" w14:textId="77777777" w:rsidR="00652235" w:rsidRPr="000537B0" w:rsidRDefault="00652235" w:rsidP="00F11AFE">
            <w:pPr>
              <w:pStyle w:val="Tabletext"/>
            </w:pPr>
            <w:r w:rsidRPr="000537B0">
              <w:t>$794.10</w:t>
            </w:r>
          </w:p>
        </w:tc>
      </w:tr>
      <w:tr w:rsidR="00652235" w:rsidRPr="000537B0" w14:paraId="5716C6DC" w14:textId="77777777" w:rsidTr="00F11AFE">
        <w:tc>
          <w:tcPr>
            <w:tcW w:w="4219" w:type="dxa"/>
          </w:tcPr>
          <w:p w14:paraId="456D9FFD" w14:textId="77777777" w:rsidR="00652235" w:rsidRPr="000537B0" w:rsidRDefault="00652235" w:rsidP="00F11AFE">
            <w:pPr>
              <w:pStyle w:val="Tabletext"/>
            </w:pPr>
            <w:r w:rsidRPr="000537B0">
              <w:t>Theatre – Band 2</w:t>
            </w:r>
          </w:p>
        </w:tc>
        <w:tc>
          <w:tcPr>
            <w:tcW w:w="1134" w:type="dxa"/>
          </w:tcPr>
          <w:p w14:paraId="199F9091" w14:textId="77777777" w:rsidR="00652235" w:rsidRPr="000537B0" w:rsidRDefault="00652235" w:rsidP="00F11AFE">
            <w:pPr>
              <w:pStyle w:val="Tabletext"/>
            </w:pPr>
          </w:p>
        </w:tc>
        <w:tc>
          <w:tcPr>
            <w:tcW w:w="1134" w:type="dxa"/>
          </w:tcPr>
          <w:p w14:paraId="1979D47C" w14:textId="77777777" w:rsidR="00652235" w:rsidRPr="000537B0" w:rsidRDefault="00652235" w:rsidP="00F11AFE">
            <w:pPr>
              <w:pStyle w:val="Tabletext"/>
            </w:pPr>
            <w:r w:rsidRPr="000537B0">
              <w:t>$617.30</w:t>
            </w:r>
          </w:p>
        </w:tc>
        <w:tc>
          <w:tcPr>
            <w:tcW w:w="1276" w:type="dxa"/>
          </w:tcPr>
          <w:p w14:paraId="71D9494C" w14:textId="77777777" w:rsidR="00652235" w:rsidRPr="000537B0" w:rsidRDefault="00652235" w:rsidP="00F11AFE">
            <w:pPr>
              <w:pStyle w:val="Tabletext"/>
            </w:pPr>
            <w:r w:rsidRPr="000537B0">
              <w:t>$617.30</w:t>
            </w:r>
          </w:p>
        </w:tc>
        <w:tc>
          <w:tcPr>
            <w:tcW w:w="1134" w:type="dxa"/>
          </w:tcPr>
          <w:p w14:paraId="37DDE7EA" w14:textId="77777777" w:rsidR="00652235" w:rsidRPr="000537B0" w:rsidRDefault="00652235" w:rsidP="00F11AFE">
            <w:pPr>
              <w:pStyle w:val="Tabletext"/>
            </w:pPr>
            <w:r w:rsidRPr="000537B0">
              <w:t>$0.00</w:t>
            </w:r>
          </w:p>
        </w:tc>
      </w:tr>
      <w:tr w:rsidR="00652235" w:rsidRPr="000537B0" w14:paraId="18551B8C" w14:textId="77777777" w:rsidTr="00F11AFE">
        <w:tc>
          <w:tcPr>
            <w:tcW w:w="4219" w:type="dxa"/>
          </w:tcPr>
          <w:p w14:paraId="1FD7D15F" w14:textId="77777777" w:rsidR="00652235" w:rsidRPr="000537B0" w:rsidRDefault="00652235" w:rsidP="00F11AFE">
            <w:pPr>
              <w:pStyle w:val="Tabletext"/>
            </w:pPr>
            <w:r w:rsidRPr="000537B0">
              <w:t>Bed-</w:t>
            </w:r>
            <w:proofErr w:type="gramStart"/>
            <w:r w:rsidRPr="000537B0">
              <w:t>days  -</w:t>
            </w:r>
            <w:proofErr w:type="gramEnd"/>
            <w:r w:rsidRPr="000537B0">
              <w:t xml:space="preserve">  two days</w:t>
            </w:r>
          </w:p>
        </w:tc>
        <w:tc>
          <w:tcPr>
            <w:tcW w:w="1134" w:type="dxa"/>
          </w:tcPr>
          <w:p w14:paraId="3587EF1F" w14:textId="77777777" w:rsidR="00652235" w:rsidRPr="000537B0" w:rsidRDefault="00652235" w:rsidP="00F11AFE">
            <w:pPr>
              <w:pStyle w:val="Tabletext"/>
            </w:pPr>
          </w:p>
        </w:tc>
        <w:tc>
          <w:tcPr>
            <w:tcW w:w="1134" w:type="dxa"/>
          </w:tcPr>
          <w:p w14:paraId="3AED4849" w14:textId="77777777" w:rsidR="00652235" w:rsidRPr="000537B0" w:rsidRDefault="00652235" w:rsidP="00F11AFE">
            <w:pPr>
              <w:pStyle w:val="Tabletext"/>
            </w:pPr>
            <w:r w:rsidRPr="000537B0">
              <w:t>$1,578.20</w:t>
            </w:r>
          </w:p>
        </w:tc>
        <w:tc>
          <w:tcPr>
            <w:tcW w:w="1276" w:type="dxa"/>
          </w:tcPr>
          <w:p w14:paraId="3BFAF20F" w14:textId="77777777" w:rsidR="00652235" w:rsidRPr="000537B0" w:rsidRDefault="00652235" w:rsidP="00F11AFE">
            <w:pPr>
              <w:pStyle w:val="Tabletext"/>
            </w:pPr>
            <w:r w:rsidRPr="000537B0">
              <w:t>$1,578.20</w:t>
            </w:r>
          </w:p>
        </w:tc>
        <w:tc>
          <w:tcPr>
            <w:tcW w:w="1134" w:type="dxa"/>
          </w:tcPr>
          <w:p w14:paraId="2525059D" w14:textId="77777777" w:rsidR="00652235" w:rsidRPr="000537B0" w:rsidRDefault="00652235" w:rsidP="00F11AFE">
            <w:pPr>
              <w:pStyle w:val="Tabletext"/>
            </w:pPr>
            <w:r w:rsidRPr="000537B0">
              <w:t>$0.00</w:t>
            </w:r>
          </w:p>
        </w:tc>
      </w:tr>
      <w:tr w:rsidR="00652235" w:rsidRPr="000537B0" w14:paraId="67E33917" w14:textId="77777777" w:rsidTr="00F11AFE">
        <w:tc>
          <w:tcPr>
            <w:tcW w:w="4219" w:type="dxa"/>
          </w:tcPr>
          <w:p w14:paraId="140E9697" w14:textId="77777777" w:rsidR="00652235" w:rsidRPr="000537B0" w:rsidRDefault="00652235" w:rsidP="00F11AFE">
            <w:pPr>
              <w:pStyle w:val="Tabletext"/>
            </w:pPr>
            <w:r w:rsidRPr="000537B0">
              <w:t>Capital (5 years / 50 patients / 5%)</w:t>
            </w:r>
          </w:p>
        </w:tc>
        <w:tc>
          <w:tcPr>
            <w:tcW w:w="1134" w:type="dxa"/>
          </w:tcPr>
          <w:p w14:paraId="0EB3D256" w14:textId="77777777" w:rsidR="00652235" w:rsidRPr="000537B0" w:rsidRDefault="00652235" w:rsidP="00F11AFE">
            <w:pPr>
              <w:pStyle w:val="Tabletext"/>
            </w:pPr>
          </w:p>
        </w:tc>
        <w:tc>
          <w:tcPr>
            <w:tcW w:w="1134" w:type="dxa"/>
          </w:tcPr>
          <w:p w14:paraId="2398D88E" w14:textId="77777777" w:rsidR="00652235" w:rsidRPr="000537B0" w:rsidRDefault="00652235" w:rsidP="00F11AFE">
            <w:pPr>
              <w:pStyle w:val="Tabletext"/>
            </w:pPr>
            <w:r w:rsidRPr="000537B0">
              <w:t>$913.19</w:t>
            </w:r>
          </w:p>
        </w:tc>
        <w:tc>
          <w:tcPr>
            <w:tcW w:w="1276" w:type="dxa"/>
          </w:tcPr>
          <w:p w14:paraId="39B8729D" w14:textId="77777777" w:rsidR="00652235" w:rsidRPr="000537B0" w:rsidRDefault="00652235" w:rsidP="00F11AFE">
            <w:pPr>
              <w:pStyle w:val="Tabletext"/>
            </w:pPr>
            <w:r w:rsidRPr="000537B0">
              <w:t>$913.19</w:t>
            </w:r>
          </w:p>
        </w:tc>
        <w:tc>
          <w:tcPr>
            <w:tcW w:w="1134" w:type="dxa"/>
          </w:tcPr>
          <w:p w14:paraId="7411BF42" w14:textId="77777777" w:rsidR="00652235" w:rsidRPr="000537B0" w:rsidRDefault="00652235" w:rsidP="00F11AFE">
            <w:pPr>
              <w:pStyle w:val="Tabletext"/>
            </w:pPr>
            <w:r w:rsidRPr="000537B0">
              <w:t>$0.00</w:t>
            </w:r>
          </w:p>
        </w:tc>
      </w:tr>
      <w:tr w:rsidR="00652235" w:rsidRPr="000537B0" w14:paraId="02E9819C" w14:textId="77777777" w:rsidTr="00F11AFE">
        <w:tc>
          <w:tcPr>
            <w:tcW w:w="4219" w:type="dxa"/>
          </w:tcPr>
          <w:p w14:paraId="131219C6" w14:textId="77777777" w:rsidR="00652235" w:rsidRPr="000537B0" w:rsidRDefault="00652235" w:rsidP="00F11AFE">
            <w:pPr>
              <w:pStyle w:val="Tabletext"/>
            </w:pPr>
            <w:r w:rsidRPr="000537B0">
              <w:t>Annual service cost (50 patients)</w:t>
            </w:r>
          </w:p>
        </w:tc>
        <w:tc>
          <w:tcPr>
            <w:tcW w:w="1134" w:type="dxa"/>
          </w:tcPr>
          <w:p w14:paraId="3873826B" w14:textId="77777777" w:rsidR="00652235" w:rsidRPr="000537B0" w:rsidRDefault="00652235" w:rsidP="00F11AFE">
            <w:pPr>
              <w:pStyle w:val="Tabletext"/>
            </w:pPr>
          </w:p>
        </w:tc>
        <w:tc>
          <w:tcPr>
            <w:tcW w:w="1134" w:type="dxa"/>
          </w:tcPr>
          <w:p w14:paraId="425F1345" w14:textId="77777777" w:rsidR="00652235" w:rsidRPr="000537B0" w:rsidRDefault="00652235" w:rsidP="00F11AFE">
            <w:pPr>
              <w:pStyle w:val="Tabletext"/>
            </w:pPr>
            <w:r w:rsidRPr="000537B0">
              <w:t>$358.00</w:t>
            </w:r>
          </w:p>
        </w:tc>
        <w:tc>
          <w:tcPr>
            <w:tcW w:w="1276" w:type="dxa"/>
          </w:tcPr>
          <w:p w14:paraId="54731415" w14:textId="77777777" w:rsidR="00652235" w:rsidRPr="000537B0" w:rsidRDefault="00652235" w:rsidP="00F11AFE">
            <w:pPr>
              <w:pStyle w:val="Tabletext"/>
            </w:pPr>
            <w:r w:rsidRPr="000537B0">
              <w:t>$358.00</w:t>
            </w:r>
          </w:p>
        </w:tc>
        <w:tc>
          <w:tcPr>
            <w:tcW w:w="1134" w:type="dxa"/>
          </w:tcPr>
          <w:p w14:paraId="5DD6578C" w14:textId="77777777" w:rsidR="00652235" w:rsidRPr="000537B0" w:rsidRDefault="00652235" w:rsidP="00F11AFE">
            <w:pPr>
              <w:pStyle w:val="Tabletext"/>
            </w:pPr>
            <w:r w:rsidRPr="000537B0">
              <w:t>$0.00</w:t>
            </w:r>
          </w:p>
        </w:tc>
      </w:tr>
      <w:tr w:rsidR="00652235" w:rsidRPr="000537B0" w14:paraId="2842F3E4" w14:textId="77777777" w:rsidTr="00F11AFE">
        <w:tc>
          <w:tcPr>
            <w:tcW w:w="4219" w:type="dxa"/>
          </w:tcPr>
          <w:p w14:paraId="531DF8CA" w14:textId="77777777" w:rsidR="00652235" w:rsidRPr="000537B0" w:rsidRDefault="00652235" w:rsidP="00F11AFE">
            <w:pPr>
              <w:pStyle w:val="Tabletext"/>
            </w:pPr>
            <w:r w:rsidRPr="000537B0">
              <w:t>Fibre cost per patient (mean)</w:t>
            </w:r>
          </w:p>
        </w:tc>
        <w:tc>
          <w:tcPr>
            <w:tcW w:w="1134" w:type="dxa"/>
          </w:tcPr>
          <w:p w14:paraId="3FDE434A" w14:textId="77777777" w:rsidR="00652235" w:rsidRPr="000537B0" w:rsidRDefault="00652235" w:rsidP="00F11AFE">
            <w:pPr>
              <w:pStyle w:val="Tabletext"/>
            </w:pPr>
          </w:p>
        </w:tc>
        <w:tc>
          <w:tcPr>
            <w:tcW w:w="1134" w:type="dxa"/>
            <w:vAlign w:val="bottom"/>
          </w:tcPr>
          <w:p w14:paraId="4CC8398F" w14:textId="77777777" w:rsidR="00652235" w:rsidRPr="000537B0" w:rsidRDefault="00652235" w:rsidP="00F11AFE">
            <w:pPr>
              <w:pStyle w:val="Tabletext"/>
            </w:pPr>
            <w:r w:rsidRPr="000537B0">
              <w:t>$1,242.00</w:t>
            </w:r>
          </w:p>
        </w:tc>
        <w:tc>
          <w:tcPr>
            <w:tcW w:w="1276" w:type="dxa"/>
            <w:vAlign w:val="bottom"/>
          </w:tcPr>
          <w:p w14:paraId="38550E52" w14:textId="77777777" w:rsidR="00652235" w:rsidRPr="000537B0" w:rsidRDefault="00652235" w:rsidP="00F11AFE">
            <w:pPr>
              <w:pStyle w:val="Tabletext"/>
            </w:pPr>
            <w:r w:rsidRPr="000537B0">
              <w:t>$1,242.00</w:t>
            </w:r>
          </w:p>
        </w:tc>
        <w:tc>
          <w:tcPr>
            <w:tcW w:w="1134" w:type="dxa"/>
          </w:tcPr>
          <w:p w14:paraId="321344CB" w14:textId="77777777" w:rsidR="00652235" w:rsidRPr="000537B0" w:rsidRDefault="00652235" w:rsidP="00F11AFE">
            <w:pPr>
              <w:pStyle w:val="Tabletext"/>
            </w:pPr>
            <w:r w:rsidRPr="000537B0">
              <w:t>$0.00</w:t>
            </w:r>
          </w:p>
        </w:tc>
      </w:tr>
      <w:tr w:rsidR="00652235" w:rsidRPr="000537B0" w14:paraId="2DEC3C28" w14:textId="77777777" w:rsidTr="00F11AFE">
        <w:trPr>
          <w:trHeight w:val="238"/>
        </w:trPr>
        <w:tc>
          <w:tcPr>
            <w:tcW w:w="4219" w:type="dxa"/>
          </w:tcPr>
          <w:p w14:paraId="2B934AFF" w14:textId="77777777" w:rsidR="00652235" w:rsidRPr="000537B0" w:rsidRDefault="00652235" w:rsidP="00F11AFE">
            <w:pPr>
              <w:pStyle w:val="Tabletext"/>
            </w:pPr>
            <w:r w:rsidRPr="000537B0">
              <w:t>Total</w:t>
            </w:r>
          </w:p>
        </w:tc>
        <w:tc>
          <w:tcPr>
            <w:tcW w:w="1134" w:type="dxa"/>
          </w:tcPr>
          <w:p w14:paraId="4CB0D1F5" w14:textId="77777777" w:rsidR="00652235" w:rsidRPr="000537B0" w:rsidRDefault="00652235" w:rsidP="00F11AFE">
            <w:pPr>
              <w:pStyle w:val="Tabletext"/>
            </w:pPr>
          </w:p>
        </w:tc>
        <w:tc>
          <w:tcPr>
            <w:tcW w:w="1134" w:type="dxa"/>
          </w:tcPr>
          <w:p w14:paraId="36737C1F" w14:textId="77777777" w:rsidR="00652235" w:rsidRPr="000537B0" w:rsidRDefault="00652235" w:rsidP="00F11AFE">
            <w:pPr>
              <w:pStyle w:val="Tabletext"/>
            </w:pPr>
            <w:r w:rsidRPr="000537B0">
              <w:t>$5,992.74</w:t>
            </w:r>
          </w:p>
        </w:tc>
        <w:tc>
          <w:tcPr>
            <w:tcW w:w="1276" w:type="dxa"/>
          </w:tcPr>
          <w:p w14:paraId="076D7C1E" w14:textId="77777777" w:rsidR="00652235" w:rsidRPr="000537B0" w:rsidRDefault="00652235" w:rsidP="00F11AFE">
            <w:pPr>
              <w:pStyle w:val="Tabletext"/>
            </w:pPr>
            <w:r w:rsidRPr="000537B0">
              <w:t>$5,029.64</w:t>
            </w:r>
          </w:p>
        </w:tc>
        <w:tc>
          <w:tcPr>
            <w:tcW w:w="1134" w:type="dxa"/>
          </w:tcPr>
          <w:p w14:paraId="0E3F4FFC" w14:textId="77777777" w:rsidR="00652235" w:rsidRPr="000537B0" w:rsidRDefault="00652235" w:rsidP="00F11AFE">
            <w:pPr>
              <w:pStyle w:val="Tabletext"/>
            </w:pPr>
            <w:r w:rsidRPr="000537B0">
              <w:t>$963.10</w:t>
            </w:r>
          </w:p>
        </w:tc>
      </w:tr>
    </w:tbl>
    <w:p w14:paraId="5ACC9A8E" w14:textId="77777777" w:rsidR="00652235" w:rsidRPr="002A26B2" w:rsidRDefault="00652235" w:rsidP="00C11BBE">
      <w:pPr>
        <w:pStyle w:val="Tablenotes"/>
        <w:rPr>
          <w:rStyle w:val="CritiquetablenotesChar"/>
          <w:rFonts w:eastAsiaTheme="minorHAnsi"/>
          <w:color w:val="auto"/>
        </w:rPr>
      </w:pPr>
      <w:proofErr w:type="spellStart"/>
      <w:r w:rsidRPr="00140FD6">
        <w:rPr>
          <w:vertAlign w:val="superscript"/>
        </w:rPr>
        <w:t>a</w:t>
      </w:r>
      <w:proofErr w:type="spellEnd"/>
      <w:r w:rsidRPr="00140FD6">
        <w:t xml:space="preserve"> The MBS item quoted is for anorectal procedures. If the number of units is considered reasonable, then it may be more appropriate to use MBS item 20910, which is also</w:t>
      </w:r>
      <w:r w:rsidRPr="002A26B2">
        <w:rPr>
          <w:i/>
        </w:rPr>
        <w:t xml:space="preserve"> for </w:t>
      </w:r>
      <w:r w:rsidRPr="002A26B2">
        <w:rPr>
          <w:rStyle w:val="CritiquetablenotesChar"/>
          <w:rFonts w:eastAsiaTheme="minorHAnsi"/>
          <w:color w:val="auto"/>
        </w:rPr>
        <w:t>transurethral procedures (noting that the same fee applies to both).</w:t>
      </w:r>
    </w:p>
    <w:p w14:paraId="45B48EC9" w14:textId="720CC282" w:rsidR="00652235" w:rsidRPr="00C11BBE" w:rsidRDefault="00652235" w:rsidP="00C11BBE">
      <w:pPr>
        <w:pStyle w:val="Tablenotes"/>
        <w:rPr>
          <w:rStyle w:val="CritiquetablenotesChar"/>
          <w:rFonts w:eastAsiaTheme="minorHAnsi"/>
          <w:color w:val="auto"/>
        </w:rPr>
      </w:pPr>
      <w:r w:rsidRPr="002A26B2">
        <w:rPr>
          <w:rStyle w:val="CritiquetablenotesChar"/>
          <w:rFonts w:eastAsiaTheme="minorHAnsi"/>
          <w:color w:val="auto"/>
        </w:rPr>
        <w:t>Source: Table 8, p24 of the commentary.</w:t>
      </w:r>
    </w:p>
    <w:p w14:paraId="3AD69F0B" w14:textId="77777777" w:rsidR="00652235" w:rsidRPr="00D863C8" w:rsidRDefault="00652235" w:rsidP="00D863C8">
      <w:pPr>
        <w:rPr>
          <w:rFonts w:ascii="Arial Narrow" w:eastAsiaTheme="minorHAnsi" w:hAnsi="Arial Narrow"/>
          <w:b/>
          <w:sz w:val="20"/>
        </w:rPr>
      </w:pPr>
      <w:r w:rsidRPr="00D863C8">
        <w:rPr>
          <w:rFonts w:ascii="Arial Narrow" w:hAnsi="Arial Narrow"/>
          <w:b/>
          <w:sz w:val="20"/>
        </w:rPr>
        <w:t xml:space="preserve">Table </w:t>
      </w:r>
      <w:r w:rsidR="00C11BBE" w:rsidRPr="00D863C8">
        <w:rPr>
          <w:rFonts w:ascii="Arial Narrow" w:hAnsi="Arial Narrow"/>
          <w:b/>
          <w:sz w:val="20"/>
        </w:rPr>
        <w:fldChar w:fldCharType="begin"/>
      </w:r>
      <w:r w:rsidR="00C11BBE" w:rsidRPr="00D863C8">
        <w:rPr>
          <w:rFonts w:ascii="Arial Narrow" w:hAnsi="Arial Narrow"/>
          <w:b/>
          <w:sz w:val="20"/>
        </w:rPr>
        <w:instrText xml:space="preserve"> SEQ Table \* ARABIC </w:instrText>
      </w:r>
      <w:r w:rsidR="00C11BBE" w:rsidRPr="00D863C8">
        <w:rPr>
          <w:rFonts w:ascii="Arial Narrow" w:hAnsi="Arial Narrow"/>
          <w:b/>
          <w:sz w:val="20"/>
        </w:rPr>
        <w:fldChar w:fldCharType="separate"/>
      </w:r>
      <w:r w:rsidRPr="00D863C8">
        <w:rPr>
          <w:rFonts w:ascii="Arial Narrow" w:hAnsi="Arial Narrow"/>
          <w:b/>
          <w:sz w:val="20"/>
        </w:rPr>
        <w:t>14</w:t>
      </w:r>
      <w:r w:rsidR="00C11BBE" w:rsidRPr="00D863C8">
        <w:rPr>
          <w:rFonts w:ascii="Arial Narrow" w:hAnsi="Arial Narrow"/>
          <w:b/>
          <w:sz w:val="20"/>
        </w:rPr>
        <w:fldChar w:fldCharType="end"/>
      </w:r>
      <w:r w:rsidRPr="00D863C8">
        <w:rPr>
          <w:rFonts w:ascii="Arial Narrow" w:hAnsi="Arial Narrow"/>
          <w:b/>
          <w:sz w:val="20"/>
        </w:rPr>
        <w:t xml:space="preserve"> </w:t>
      </w:r>
      <w:r w:rsidRPr="00D863C8">
        <w:rPr>
          <w:rFonts w:ascii="Arial Narrow" w:eastAsiaTheme="minorHAnsi" w:hAnsi="Arial Narrow"/>
          <w:b/>
          <w:sz w:val="20"/>
        </w:rPr>
        <w:t>Capital calculations</w:t>
      </w:r>
    </w:p>
    <w:tbl>
      <w:tblPr>
        <w:tblStyle w:val="TableGrid5"/>
        <w:tblW w:w="0" w:type="auto"/>
        <w:tblInd w:w="-5" w:type="dxa"/>
        <w:tblLook w:val="04A0" w:firstRow="1" w:lastRow="0" w:firstColumn="1" w:lastColumn="0" w:noHBand="0" w:noVBand="1"/>
        <w:tblDescription w:val="Capital calculations"/>
      </w:tblPr>
      <w:tblGrid>
        <w:gridCol w:w="3499"/>
        <w:gridCol w:w="1418"/>
      </w:tblGrid>
      <w:tr w:rsidR="00652235" w:rsidRPr="000537B0" w14:paraId="73B191B1" w14:textId="77777777" w:rsidTr="00221228">
        <w:trPr>
          <w:tblHeader/>
        </w:trPr>
        <w:tc>
          <w:tcPr>
            <w:tcW w:w="3499" w:type="dxa"/>
          </w:tcPr>
          <w:p w14:paraId="56A043A9" w14:textId="77777777" w:rsidR="00652235" w:rsidRPr="000537B0" w:rsidRDefault="00652235" w:rsidP="00F11AFE">
            <w:pPr>
              <w:pStyle w:val="Tabletext"/>
            </w:pPr>
            <w:r w:rsidRPr="000537B0">
              <w:t>Laser machine</w:t>
            </w:r>
          </w:p>
        </w:tc>
        <w:tc>
          <w:tcPr>
            <w:tcW w:w="1418" w:type="dxa"/>
          </w:tcPr>
          <w:p w14:paraId="5D507BFD" w14:textId="77777777" w:rsidR="00652235" w:rsidRPr="000537B0" w:rsidRDefault="00652235" w:rsidP="00F11AFE">
            <w:pPr>
              <w:pStyle w:val="Tabletext"/>
            </w:pPr>
            <w:r w:rsidRPr="000537B0">
              <w:t>$166,000.00</w:t>
            </w:r>
          </w:p>
        </w:tc>
      </w:tr>
      <w:tr w:rsidR="00652235" w:rsidRPr="000537B0" w14:paraId="20AABD0A" w14:textId="77777777" w:rsidTr="00A250BF">
        <w:tc>
          <w:tcPr>
            <w:tcW w:w="3499" w:type="dxa"/>
          </w:tcPr>
          <w:p w14:paraId="7E2F2C02" w14:textId="77777777" w:rsidR="00652235" w:rsidRPr="000537B0" w:rsidRDefault="00652235" w:rsidP="00F11AFE">
            <w:pPr>
              <w:pStyle w:val="Tabletext"/>
            </w:pPr>
            <w:r w:rsidRPr="000537B0">
              <w:t>Four cystoscopes and adapter</w:t>
            </w:r>
          </w:p>
        </w:tc>
        <w:tc>
          <w:tcPr>
            <w:tcW w:w="1418" w:type="dxa"/>
          </w:tcPr>
          <w:p w14:paraId="72B83A8A" w14:textId="77777777" w:rsidR="00652235" w:rsidRPr="000537B0" w:rsidRDefault="00652235" w:rsidP="00F11AFE">
            <w:pPr>
              <w:pStyle w:val="Tabletext"/>
            </w:pPr>
            <w:r w:rsidRPr="000537B0">
              <w:t>$9,994.00</w:t>
            </w:r>
          </w:p>
        </w:tc>
      </w:tr>
      <w:tr w:rsidR="00652235" w:rsidRPr="000537B0" w14:paraId="4BD0CE40" w14:textId="77777777" w:rsidTr="00A250BF">
        <w:tc>
          <w:tcPr>
            <w:tcW w:w="3499" w:type="dxa"/>
          </w:tcPr>
          <w:p w14:paraId="5122FAAE" w14:textId="77777777" w:rsidR="00652235" w:rsidRPr="000537B0" w:rsidRDefault="00652235" w:rsidP="00F11AFE">
            <w:pPr>
              <w:pStyle w:val="Tabletext"/>
            </w:pPr>
            <w:r w:rsidRPr="000537B0">
              <w:t>Alterations to theatres</w:t>
            </w:r>
          </w:p>
        </w:tc>
        <w:tc>
          <w:tcPr>
            <w:tcW w:w="1418" w:type="dxa"/>
          </w:tcPr>
          <w:p w14:paraId="45F7BB14" w14:textId="77777777" w:rsidR="00652235" w:rsidRPr="000537B0" w:rsidRDefault="00652235" w:rsidP="00F11AFE">
            <w:pPr>
              <w:pStyle w:val="Tabletext"/>
            </w:pPr>
            <w:r w:rsidRPr="000537B0">
              <w:t>$1,000.00</w:t>
            </w:r>
          </w:p>
        </w:tc>
      </w:tr>
      <w:tr w:rsidR="00652235" w:rsidRPr="000537B0" w14:paraId="2E48ECC1" w14:textId="77777777" w:rsidTr="00A250BF">
        <w:tc>
          <w:tcPr>
            <w:tcW w:w="3499" w:type="dxa"/>
          </w:tcPr>
          <w:p w14:paraId="24853AE1" w14:textId="77777777" w:rsidR="00652235" w:rsidRPr="000537B0" w:rsidRDefault="00652235" w:rsidP="00F11AFE">
            <w:pPr>
              <w:pStyle w:val="Tabletext"/>
            </w:pPr>
            <w:r w:rsidRPr="000537B0">
              <w:t>Total capital (2013 values)</w:t>
            </w:r>
          </w:p>
        </w:tc>
        <w:tc>
          <w:tcPr>
            <w:tcW w:w="1418" w:type="dxa"/>
          </w:tcPr>
          <w:p w14:paraId="2630841C" w14:textId="77777777" w:rsidR="00652235" w:rsidRPr="000537B0" w:rsidRDefault="00652235" w:rsidP="00F11AFE">
            <w:pPr>
              <w:pStyle w:val="Tabletext"/>
            </w:pPr>
            <w:r w:rsidRPr="000537B0">
              <w:t>$176,994.00</w:t>
            </w:r>
          </w:p>
        </w:tc>
      </w:tr>
      <w:tr w:rsidR="00652235" w:rsidRPr="000537B0" w14:paraId="1C790F8D" w14:textId="77777777" w:rsidTr="00A250BF">
        <w:tc>
          <w:tcPr>
            <w:tcW w:w="3499" w:type="dxa"/>
          </w:tcPr>
          <w:p w14:paraId="3EAF8600" w14:textId="77777777" w:rsidR="00652235" w:rsidRPr="000537B0" w:rsidRDefault="00652235" w:rsidP="00F11AFE">
            <w:pPr>
              <w:pStyle w:val="Tabletext"/>
            </w:pPr>
            <w:r w:rsidRPr="000537B0">
              <w:t xml:space="preserve">Total capital (2019 </w:t>
            </w:r>
            <w:proofErr w:type="gramStart"/>
            <w:r w:rsidRPr="000537B0">
              <w:t>values)*</w:t>
            </w:r>
            <w:proofErr w:type="gramEnd"/>
          </w:p>
        </w:tc>
        <w:tc>
          <w:tcPr>
            <w:tcW w:w="1418" w:type="dxa"/>
          </w:tcPr>
          <w:p w14:paraId="6EB47854" w14:textId="77777777" w:rsidR="00652235" w:rsidRPr="000537B0" w:rsidRDefault="00652235" w:rsidP="00F11AFE">
            <w:pPr>
              <w:pStyle w:val="Tabletext"/>
            </w:pPr>
            <w:r w:rsidRPr="000537B0">
              <w:t>$196,251.00</w:t>
            </w:r>
          </w:p>
        </w:tc>
      </w:tr>
      <w:tr w:rsidR="00652235" w:rsidRPr="000537B0" w14:paraId="44F6FAE2" w14:textId="77777777" w:rsidTr="00A250BF">
        <w:tc>
          <w:tcPr>
            <w:tcW w:w="3499" w:type="dxa"/>
          </w:tcPr>
          <w:p w14:paraId="6B565063" w14:textId="77777777" w:rsidR="00652235" w:rsidRPr="000537B0" w:rsidRDefault="00652235" w:rsidP="00F11AFE">
            <w:pPr>
              <w:pStyle w:val="Tabletext"/>
            </w:pPr>
            <w:r w:rsidRPr="000537B0">
              <w:t>Annual cost (discounted @ 5%)</w:t>
            </w:r>
          </w:p>
        </w:tc>
        <w:tc>
          <w:tcPr>
            <w:tcW w:w="1418" w:type="dxa"/>
          </w:tcPr>
          <w:p w14:paraId="6956E0B2" w14:textId="77777777" w:rsidR="00652235" w:rsidRPr="000537B0" w:rsidRDefault="00652235" w:rsidP="00F11AFE">
            <w:pPr>
              <w:pStyle w:val="Tabletext"/>
            </w:pPr>
            <w:r w:rsidRPr="000537B0">
              <w:t>$45,659.28</w:t>
            </w:r>
          </w:p>
        </w:tc>
      </w:tr>
      <w:tr w:rsidR="00652235" w:rsidRPr="000537B0" w14:paraId="1C7CBB46" w14:textId="77777777" w:rsidTr="00A250BF">
        <w:tc>
          <w:tcPr>
            <w:tcW w:w="3499" w:type="dxa"/>
          </w:tcPr>
          <w:p w14:paraId="5203915C" w14:textId="77777777" w:rsidR="00652235" w:rsidRPr="000537B0" w:rsidRDefault="00652235" w:rsidP="00F11AFE">
            <w:pPr>
              <w:pStyle w:val="Tabletext"/>
            </w:pPr>
            <w:r w:rsidRPr="000537B0">
              <w:t>Annual cost per patient (50 patients)</w:t>
            </w:r>
          </w:p>
        </w:tc>
        <w:tc>
          <w:tcPr>
            <w:tcW w:w="1418" w:type="dxa"/>
          </w:tcPr>
          <w:p w14:paraId="6DEC476B" w14:textId="77777777" w:rsidR="00652235" w:rsidRPr="000537B0" w:rsidRDefault="00652235" w:rsidP="00F11AFE">
            <w:pPr>
              <w:pStyle w:val="Tabletext"/>
            </w:pPr>
            <w:r w:rsidRPr="000537B0">
              <w:t>$913.19</w:t>
            </w:r>
          </w:p>
        </w:tc>
      </w:tr>
      <w:tr w:rsidR="00652235" w:rsidRPr="000537B0" w14:paraId="56498501" w14:textId="77777777" w:rsidTr="00A250BF">
        <w:tc>
          <w:tcPr>
            <w:tcW w:w="3499" w:type="dxa"/>
          </w:tcPr>
          <w:p w14:paraId="78293961" w14:textId="77777777" w:rsidR="00652235" w:rsidRPr="000537B0" w:rsidRDefault="00652235" w:rsidP="00F11AFE">
            <w:pPr>
              <w:pStyle w:val="Tabletext"/>
            </w:pPr>
            <w:r w:rsidRPr="000537B0">
              <w:t>Annual maintenance contract</w:t>
            </w:r>
          </w:p>
        </w:tc>
        <w:tc>
          <w:tcPr>
            <w:tcW w:w="1418" w:type="dxa"/>
          </w:tcPr>
          <w:p w14:paraId="608B2CFB" w14:textId="77777777" w:rsidR="00652235" w:rsidRPr="000537B0" w:rsidRDefault="00652235" w:rsidP="00F11AFE">
            <w:pPr>
              <w:pStyle w:val="Tabletext"/>
            </w:pPr>
            <w:r w:rsidRPr="000537B0">
              <w:t>$1,7900.00</w:t>
            </w:r>
          </w:p>
        </w:tc>
      </w:tr>
      <w:tr w:rsidR="00652235" w:rsidRPr="000537B0" w14:paraId="14F65B62" w14:textId="77777777" w:rsidTr="00A250BF">
        <w:tc>
          <w:tcPr>
            <w:tcW w:w="3499" w:type="dxa"/>
          </w:tcPr>
          <w:p w14:paraId="5D805FD0" w14:textId="77777777" w:rsidR="00652235" w:rsidRPr="000537B0" w:rsidRDefault="00652235" w:rsidP="00F11AFE">
            <w:pPr>
              <w:pStyle w:val="Tabletext"/>
            </w:pPr>
            <w:r w:rsidRPr="000537B0">
              <w:t>Annual maintenance per patient</w:t>
            </w:r>
          </w:p>
        </w:tc>
        <w:tc>
          <w:tcPr>
            <w:tcW w:w="1418" w:type="dxa"/>
          </w:tcPr>
          <w:p w14:paraId="20E89059" w14:textId="77777777" w:rsidR="00652235" w:rsidRPr="000537B0" w:rsidRDefault="00652235" w:rsidP="00F11AFE">
            <w:pPr>
              <w:pStyle w:val="Tabletext"/>
            </w:pPr>
            <w:r w:rsidRPr="000537B0">
              <w:t>$358.00</w:t>
            </w:r>
          </w:p>
        </w:tc>
      </w:tr>
    </w:tbl>
    <w:p w14:paraId="77CE4B0E" w14:textId="77777777" w:rsidR="00A250BF" w:rsidRDefault="00652235" w:rsidP="00A250BF">
      <w:pPr>
        <w:pStyle w:val="Tablenotes1"/>
        <w:rPr>
          <w:rFonts w:eastAsiaTheme="minorHAnsi"/>
        </w:rPr>
      </w:pPr>
      <w:r w:rsidRPr="00140FD6">
        <w:rPr>
          <w:rFonts w:eastAsiaTheme="minorHAnsi"/>
        </w:rPr>
        <w:t>* CPI increase 2013 to 2019 = 10.88%</w:t>
      </w:r>
    </w:p>
    <w:p w14:paraId="0D401756" w14:textId="25A123FE" w:rsidR="00250EF2" w:rsidRPr="00250EF2" w:rsidRDefault="00250EF2" w:rsidP="00250EF2">
      <w:pPr>
        <w:pStyle w:val="Tablenotes1"/>
        <w:rPr>
          <w:snapToGrid/>
        </w:rPr>
      </w:pPr>
      <w:r>
        <w:rPr>
          <w:rStyle w:val="CritiquetablenotesChar"/>
          <w:i w:val="0"/>
          <w:color w:val="auto"/>
        </w:rPr>
        <w:t>Source: p25 of the commentary.</w:t>
      </w:r>
      <w:r>
        <w:br w:type="page"/>
      </w:r>
    </w:p>
    <w:p w14:paraId="340648E7" w14:textId="46CEF955" w:rsidR="00652235" w:rsidRPr="00D863C8" w:rsidRDefault="00652235" w:rsidP="00D863C8">
      <w:pPr>
        <w:rPr>
          <w:u w:val="single"/>
        </w:rPr>
      </w:pPr>
      <w:r w:rsidRPr="00D863C8">
        <w:rPr>
          <w:u w:val="single"/>
        </w:rPr>
        <w:lastRenderedPageBreak/>
        <w:t>PUL relative to TURP and VLAP</w:t>
      </w:r>
    </w:p>
    <w:p w14:paraId="70279471" w14:textId="77777777" w:rsidR="00652235" w:rsidRPr="00250EF2" w:rsidRDefault="00652235" w:rsidP="00250EF2">
      <w:pPr>
        <w:spacing w:before="240"/>
        <w:rPr>
          <w:rFonts w:ascii="Arial Narrow" w:hAnsi="Arial Narrow"/>
          <w:b/>
          <w:sz w:val="20"/>
        </w:rPr>
      </w:pPr>
      <w:bookmarkStart w:id="27" w:name="_Ref40972663"/>
      <w:r w:rsidRPr="00250EF2">
        <w:rPr>
          <w:rFonts w:ascii="Arial Narrow" w:hAnsi="Arial Narrow"/>
          <w:b/>
          <w:sz w:val="20"/>
        </w:rPr>
        <w:t xml:space="preserve">Table </w:t>
      </w:r>
      <w:r w:rsidR="00C11BBE" w:rsidRPr="00250EF2">
        <w:rPr>
          <w:rFonts w:ascii="Arial Narrow" w:hAnsi="Arial Narrow"/>
          <w:b/>
          <w:sz w:val="20"/>
        </w:rPr>
        <w:fldChar w:fldCharType="begin"/>
      </w:r>
      <w:r w:rsidR="00C11BBE" w:rsidRPr="00250EF2">
        <w:rPr>
          <w:rFonts w:ascii="Arial Narrow" w:hAnsi="Arial Narrow"/>
          <w:b/>
          <w:sz w:val="20"/>
        </w:rPr>
        <w:instrText xml:space="preserve"> SEQ Table \* ARABIC </w:instrText>
      </w:r>
      <w:r w:rsidR="00C11BBE" w:rsidRPr="00250EF2">
        <w:rPr>
          <w:rFonts w:ascii="Arial Narrow" w:hAnsi="Arial Narrow"/>
          <w:b/>
          <w:sz w:val="20"/>
        </w:rPr>
        <w:fldChar w:fldCharType="separate"/>
      </w:r>
      <w:r w:rsidRPr="00250EF2">
        <w:rPr>
          <w:rFonts w:ascii="Arial Narrow" w:hAnsi="Arial Narrow"/>
          <w:b/>
          <w:sz w:val="20"/>
        </w:rPr>
        <w:t>15</w:t>
      </w:r>
      <w:r w:rsidR="00C11BBE" w:rsidRPr="00250EF2">
        <w:rPr>
          <w:rFonts w:ascii="Arial Narrow" w:hAnsi="Arial Narrow"/>
          <w:b/>
          <w:sz w:val="20"/>
        </w:rPr>
        <w:fldChar w:fldCharType="end"/>
      </w:r>
      <w:bookmarkEnd w:id="27"/>
      <w:r w:rsidRPr="00250EF2">
        <w:rPr>
          <w:rFonts w:ascii="Arial Narrow" w:hAnsi="Arial Narrow"/>
          <w:b/>
          <w:sz w:val="20"/>
        </w:rPr>
        <w:t xml:space="preserve"> Disaggregated and aggregated incremental cost of PUL relative to TURP and VLAP</w:t>
      </w:r>
    </w:p>
    <w:tbl>
      <w:tblPr>
        <w:tblStyle w:val="TableGrid"/>
        <w:tblW w:w="0" w:type="auto"/>
        <w:tblLook w:val="04A0" w:firstRow="1" w:lastRow="0" w:firstColumn="1" w:lastColumn="0" w:noHBand="0" w:noVBand="1"/>
        <w:tblDescription w:val="Disaggregated and aggregated incremental cost of PUL relative to TURP and VLAP"/>
      </w:tblPr>
      <w:tblGrid>
        <w:gridCol w:w="2972"/>
        <w:gridCol w:w="1208"/>
        <w:gridCol w:w="1209"/>
        <w:gridCol w:w="1209"/>
        <w:gridCol w:w="1209"/>
        <w:gridCol w:w="1209"/>
      </w:tblGrid>
      <w:tr w:rsidR="00652235" w:rsidRPr="00D93FA3" w14:paraId="3CA469EA" w14:textId="77777777" w:rsidTr="00221228">
        <w:trPr>
          <w:tblHeader/>
        </w:trPr>
        <w:tc>
          <w:tcPr>
            <w:tcW w:w="2972" w:type="dxa"/>
            <w:tcBorders>
              <w:bottom w:val="single" w:sz="4" w:space="0" w:color="auto"/>
            </w:tcBorders>
          </w:tcPr>
          <w:p w14:paraId="39769AAD" w14:textId="77777777" w:rsidR="00652235" w:rsidRPr="00B30AFA" w:rsidRDefault="00652235" w:rsidP="00F11AFE">
            <w:pPr>
              <w:pStyle w:val="Critiquetabletext"/>
              <w:spacing w:before="0" w:after="0"/>
              <w:jc w:val="center"/>
              <w:rPr>
                <w:b/>
                <w:color w:val="auto"/>
              </w:rPr>
            </w:pPr>
          </w:p>
        </w:tc>
        <w:tc>
          <w:tcPr>
            <w:tcW w:w="1208" w:type="dxa"/>
            <w:tcBorders>
              <w:bottom w:val="single" w:sz="4" w:space="0" w:color="auto"/>
            </w:tcBorders>
          </w:tcPr>
          <w:p w14:paraId="1618C0C8" w14:textId="77777777" w:rsidR="00652235" w:rsidRPr="00B30AFA" w:rsidRDefault="00652235" w:rsidP="00F11AFE">
            <w:pPr>
              <w:pStyle w:val="Critiquetabletext"/>
              <w:spacing w:before="0" w:after="0"/>
              <w:jc w:val="center"/>
              <w:rPr>
                <w:b/>
                <w:color w:val="auto"/>
              </w:rPr>
            </w:pPr>
            <w:r w:rsidRPr="00B30AFA">
              <w:rPr>
                <w:b/>
                <w:color w:val="auto"/>
              </w:rPr>
              <w:t>PUL</w:t>
            </w:r>
          </w:p>
        </w:tc>
        <w:tc>
          <w:tcPr>
            <w:tcW w:w="1209" w:type="dxa"/>
            <w:tcBorders>
              <w:bottom w:val="single" w:sz="4" w:space="0" w:color="auto"/>
            </w:tcBorders>
          </w:tcPr>
          <w:p w14:paraId="4EA87BA4" w14:textId="77777777" w:rsidR="00652235" w:rsidRPr="00B30AFA" w:rsidRDefault="00652235" w:rsidP="00F11AFE">
            <w:pPr>
              <w:pStyle w:val="Critiquetabletext"/>
              <w:spacing w:before="0" w:after="0"/>
              <w:jc w:val="center"/>
              <w:rPr>
                <w:b/>
                <w:color w:val="auto"/>
              </w:rPr>
            </w:pPr>
            <w:r w:rsidRPr="00B30AFA">
              <w:rPr>
                <w:b/>
                <w:color w:val="auto"/>
              </w:rPr>
              <w:t>TURP</w:t>
            </w:r>
          </w:p>
        </w:tc>
        <w:tc>
          <w:tcPr>
            <w:tcW w:w="1209" w:type="dxa"/>
            <w:tcBorders>
              <w:bottom w:val="single" w:sz="4" w:space="0" w:color="auto"/>
            </w:tcBorders>
          </w:tcPr>
          <w:p w14:paraId="309C2B41" w14:textId="77777777" w:rsidR="00652235" w:rsidRPr="00B30AFA" w:rsidRDefault="00652235" w:rsidP="00F11AFE">
            <w:pPr>
              <w:pStyle w:val="Critiquetabletext"/>
              <w:spacing w:before="0" w:after="0"/>
              <w:jc w:val="center"/>
              <w:rPr>
                <w:b/>
                <w:color w:val="auto"/>
              </w:rPr>
            </w:pPr>
            <w:r w:rsidRPr="00B30AFA">
              <w:rPr>
                <w:b/>
                <w:color w:val="auto"/>
              </w:rPr>
              <w:t>Incremental cost of PUL</w:t>
            </w:r>
          </w:p>
        </w:tc>
        <w:tc>
          <w:tcPr>
            <w:tcW w:w="1209" w:type="dxa"/>
            <w:tcBorders>
              <w:bottom w:val="single" w:sz="4" w:space="0" w:color="auto"/>
            </w:tcBorders>
          </w:tcPr>
          <w:p w14:paraId="72342CEF" w14:textId="77777777" w:rsidR="00652235" w:rsidRPr="00B30AFA" w:rsidRDefault="00652235" w:rsidP="00F11AFE">
            <w:pPr>
              <w:pStyle w:val="Critiquetabletext"/>
              <w:spacing w:before="0" w:after="0"/>
              <w:jc w:val="center"/>
              <w:rPr>
                <w:b/>
                <w:color w:val="auto"/>
              </w:rPr>
            </w:pPr>
            <w:r w:rsidRPr="00B30AFA">
              <w:rPr>
                <w:b/>
                <w:color w:val="auto"/>
              </w:rPr>
              <w:t>VLAP</w:t>
            </w:r>
          </w:p>
        </w:tc>
        <w:tc>
          <w:tcPr>
            <w:tcW w:w="1209" w:type="dxa"/>
            <w:tcBorders>
              <w:bottom w:val="single" w:sz="4" w:space="0" w:color="auto"/>
            </w:tcBorders>
          </w:tcPr>
          <w:p w14:paraId="56ACC23C" w14:textId="77777777" w:rsidR="00652235" w:rsidRPr="00B30AFA" w:rsidRDefault="00652235" w:rsidP="00F11AFE">
            <w:pPr>
              <w:pStyle w:val="Critiquetabletext"/>
              <w:spacing w:before="0" w:after="0"/>
              <w:jc w:val="center"/>
              <w:rPr>
                <w:b/>
                <w:color w:val="auto"/>
              </w:rPr>
            </w:pPr>
            <w:r w:rsidRPr="00B30AFA">
              <w:rPr>
                <w:b/>
                <w:color w:val="auto"/>
              </w:rPr>
              <w:t>Incremental cost of PUL</w:t>
            </w:r>
          </w:p>
        </w:tc>
      </w:tr>
      <w:tr w:rsidR="00652235" w:rsidRPr="00D93FA3" w14:paraId="633C519F" w14:textId="77777777" w:rsidTr="00F11AFE">
        <w:tc>
          <w:tcPr>
            <w:tcW w:w="2972" w:type="dxa"/>
            <w:tcBorders>
              <w:bottom w:val="nil"/>
              <w:right w:val="single" w:sz="4" w:space="0" w:color="auto"/>
            </w:tcBorders>
          </w:tcPr>
          <w:p w14:paraId="0A8001FD" w14:textId="77777777" w:rsidR="00652235" w:rsidRPr="00B30AFA" w:rsidRDefault="00652235" w:rsidP="00F11AFE">
            <w:pPr>
              <w:pStyle w:val="Critiquetabletext"/>
              <w:spacing w:before="0" w:after="0"/>
              <w:rPr>
                <w:color w:val="auto"/>
              </w:rPr>
            </w:pPr>
            <w:r w:rsidRPr="00B30AFA">
              <w:rPr>
                <w:color w:val="auto"/>
              </w:rPr>
              <w:t>Procedure cost without complications</w:t>
            </w:r>
          </w:p>
        </w:tc>
        <w:tc>
          <w:tcPr>
            <w:tcW w:w="1208" w:type="dxa"/>
            <w:tcBorders>
              <w:left w:val="single" w:sz="4" w:space="0" w:color="auto"/>
              <w:bottom w:val="nil"/>
              <w:right w:val="single" w:sz="4" w:space="0" w:color="auto"/>
            </w:tcBorders>
          </w:tcPr>
          <w:p w14:paraId="6BD9016D" w14:textId="77777777" w:rsidR="00652235" w:rsidRPr="00B30AFA" w:rsidRDefault="00652235" w:rsidP="00F11AFE">
            <w:pPr>
              <w:pStyle w:val="Critiquetabletext"/>
              <w:spacing w:before="0" w:after="0"/>
              <w:jc w:val="right"/>
              <w:rPr>
                <w:color w:val="auto"/>
              </w:rPr>
            </w:pPr>
          </w:p>
        </w:tc>
        <w:tc>
          <w:tcPr>
            <w:tcW w:w="1209" w:type="dxa"/>
            <w:tcBorders>
              <w:left w:val="single" w:sz="4" w:space="0" w:color="auto"/>
              <w:bottom w:val="nil"/>
              <w:right w:val="single" w:sz="4" w:space="0" w:color="auto"/>
            </w:tcBorders>
          </w:tcPr>
          <w:p w14:paraId="7F18AD7A" w14:textId="77777777" w:rsidR="00652235" w:rsidRPr="00B30AFA" w:rsidRDefault="00652235" w:rsidP="00F11AFE">
            <w:pPr>
              <w:pStyle w:val="Critiquetabletext"/>
              <w:spacing w:before="0" w:after="0"/>
              <w:jc w:val="right"/>
              <w:rPr>
                <w:color w:val="auto"/>
              </w:rPr>
            </w:pPr>
          </w:p>
        </w:tc>
        <w:tc>
          <w:tcPr>
            <w:tcW w:w="1209" w:type="dxa"/>
            <w:tcBorders>
              <w:left w:val="single" w:sz="4" w:space="0" w:color="auto"/>
              <w:bottom w:val="nil"/>
              <w:right w:val="single" w:sz="4" w:space="0" w:color="auto"/>
            </w:tcBorders>
          </w:tcPr>
          <w:p w14:paraId="70C41D53" w14:textId="77777777" w:rsidR="00652235" w:rsidRPr="00B30AFA" w:rsidRDefault="00652235" w:rsidP="00F11AFE">
            <w:pPr>
              <w:pStyle w:val="Critiquetabletext"/>
              <w:spacing w:before="0" w:after="0"/>
              <w:jc w:val="right"/>
              <w:rPr>
                <w:color w:val="auto"/>
              </w:rPr>
            </w:pPr>
          </w:p>
        </w:tc>
        <w:tc>
          <w:tcPr>
            <w:tcW w:w="1209" w:type="dxa"/>
            <w:tcBorders>
              <w:left w:val="single" w:sz="4" w:space="0" w:color="auto"/>
              <w:bottom w:val="nil"/>
              <w:right w:val="single" w:sz="4" w:space="0" w:color="auto"/>
            </w:tcBorders>
          </w:tcPr>
          <w:p w14:paraId="2EA5EAAC" w14:textId="77777777" w:rsidR="00652235" w:rsidRPr="00B30AFA" w:rsidRDefault="00652235" w:rsidP="00F11AFE">
            <w:pPr>
              <w:pStyle w:val="Critiquetabletext"/>
              <w:spacing w:before="0" w:after="0"/>
              <w:jc w:val="right"/>
              <w:rPr>
                <w:color w:val="auto"/>
              </w:rPr>
            </w:pPr>
          </w:p>
        </w:tc>
        <w:tc>
          <w:tcPr>
            <w:tcW w:w="1209" w:type="dxa"/>
            <w:tcBorders>
              <w:left w:val="single" w:sz="4" w:space="0" w:color="auto"/>
              <w:bottom w:val="nil"/>
            </w:tcBorders>
          </w:tcPr>
          <w:p w14:paraId="2E288328" w14:textId="77777777" w:rsidR="00652235" w:rsidRPr="00B30AFA" w:rsidRDefault="00652235" w:rsidP="00F11AFE">
            <w:pPr>
              <w:pStyle w:val="Critiquetabletext"/>
              <w:spacing w:before="0" w:after="0"/>
              <w:jc w:val="right"/>
              <w:rPr>
                <w:color w:val="auto"/>
              </w:rPr>
            </w:pPr>
          </w:p>
        </w:tc>
      </w:tr>
      <w:tr w:rsidR="00652235" w:rsidRPr="00D93FA3" w14:paraId="237476BB" w14:textId="77777777" w:rsidTr="00F11AFE">
        <w:tc>
          <w:tcPr>
            <w:tcW w:w="2972" w:type="dxa"/>
            <w:tcBorders>
              <w:top w:val="nil"/>
              <w:bottom w:val="nil"/>
            </w:tcBorders>
          </w:tcPr>
          <w:p w14:paraId="1C143487" w14:textId="77777777" w:rsidR="00652235" w:rsidRPr="00B30AFA" w:rsidRDefault="00652235" w:rsidP="00D70B59">
            <w:pPr>
              <w:pStyle w:val="Critiquetabletext"/>
              <w:numPr>
                <w:ilvl w:val="0"/>
                <w:numId w:val="7"/>
              </w:numPr>
              <w:spacing w:before="0" w:after="0"/>
              <w:ind w:left="164" w:hanging="142"/>
              <w:rPr>
                <w:color w:val="auto"/>
              </w:rPr>
            </w:pPr>
            <w:r w:rsidRPr="00B30AFA">
              <w:rPr>
                <w:color w:val="auto"/>
              </w:rPr>
              <w:t>Procedure costs</w:t>
            </w:r>
          </w:p>
        </w:tc>
        <w:tc>
          <w:tcPr>
            <w:tcW w:w="1208" w:type="dxa"/>
            <w:tcBorders>
              <w:top w:val="nil"/>
              <w:bottom w:val="nil"/>
            </w:tcBorders>
          </w:tcPr>
          <w:p w14:paraId="4E2FEADF" w14:textId="77777777" w:rsidR="00652235" w:rsidRPr="00B30AFA" w:rsidRDefault="00652235" w:rsidP="00F11AFE">
            <w:pPr>
              <w:pStyle w:val="Critiquetabletext"/>
              <w:spacing w:before="0" w:after="0"/>
              <w:jc w:val="right"/>
              <w:rPr>
                <w:color w:val="auto"/>
              </w:rPr>
            </w:pPr>
            <w:r w:rsidRPr="00B30AFA">
              <w:rPr>
                <w:color w:val="auto"/>
              </w:rPr>
              <w:t xml:space="preserve">$1,058.80 </w:t>
            </w:r>
            <w:r w:rsidRPr="00B30AFA">
              <w:rPr>
                <w:color w:val="auto"/>
                <w:vertAlign w:val="superscript"/>
              </w:rPr>
              <w:t>a</w:t>
            </w:r>
          </w:p>
        </w:tc>
        <w:tc>
          <w:tcPr>
            <w:tcW w:w="1209" w:type="dxa"/>
            <w:tcBorders>
              <w:top w:val="nil"/>
              <w:bottom w:val="nil"/>
            </w:tcBorders>
          </w:tcPr>
          <w:p w14:paraId="1F523FF6" w14:textId="77777777" w:rsidR="00652235" w:rsidRPr="00B30AFA" w:rsidRDefault="00652235" w:rsidP="00F11AFE">
            <w:pPr>
              <w:pStyle w:val="Critiquetabletext"/>
              <w:spacing w:before="0" w:after="0"/>
              <w:jc w:val="right"/>
              <w:rPr>
                <w:color w:val="auto"/>
              </w:rPr>
            </w:pPr>
            <w:r w:rsidRPr="00B30AFA">
              <w:rPr>
                <w:color w:val="auto"/>
              </w:rPr>
              <w:t>$1,058.80</w:t>
            </w:r>
          </w:p>
        </w:tc>
        <w:tc>
          <w:tcPr>
            <w:tcW w:w="1209" w:type="dxa"/>
            <w:tcBorders>
              <w:top w:val="nil"/>
              <w:bottom w:val="nil"/>
            </w:tcBorders>
          </w:tcPr>
          <w:p w14:paraId="316C76C4" w14:textId="77777777" w:rsidR="00652235" w:rsidRPr="00B30AFA" w:rsidRDefault="00652235" w:rsidP="00F11AFE">
            <w:pPr>
              <w:pStyle w:val="Critiquetabletext"/>
              <w:spacing w:before="0" w:after="0"/>
              <w:jc w:val="right"/>
              <w:rPr>
                <w:color w:val="auto"/>
              </w:rPr>
            </w:pPr>
            <w:r w:rsidRPr="00B30AFA">
              <w:rPr>
                <w:color w:val="auto"/>
              </w:rPr>
              <w:t>$0.00</w:t>
            </w:r>
          </w:p>
        </w:tc>
        <w:tc>
          <w:tcPr>
            <w:tcW w:w="1209" w:type="dxa"/>
            <w:tcBorders>
              <w:top w:val="nil"/>
              <w:bottom w:val="nil"/>
            </w:tcBorders>
          </w:tcPr>
          <w:p w14:paraId="29151219" w14:textId="77777777" w:rsidR="00652235" w:rsidRPr="00B30AFA" w:rsidRDefault="00652235" w:rsidP="00F11AFE">
            <w:pPr>
              <w:pStyle w:val="Critiquetabletext"/>
              <w:spacing w:before="0" w:after="0"/>
              <w:jc w:val="right"/>
              <w:rPr>
                <w:color w:val="auto"/>
              </w:rPr>
            </w:pPr>
            <w:r w:rsidRPr="00B30AFA">
              <w:rPr>
                <w:color w:val="auto"/>
              </w:rPr>
              <w:t>$1,058.80</w:t>
            </w:r>
          </w:p>
        </w:tc>
        <w:tc>
          <w:tcPr>
            <w:tcW w:w="1209" w:type="dxa"/>
            <w:tcBorders>
              <w:top w:val="nil"/>
              <w:bottom w:val="nil"/>
            </w:tcBorders>
          </w:tcPr>
          <w:p w14:paraId="28641B35" w14:textId="77777777" w:rsidR="00652235" w:rsidRPr="00B30AFA" w:rsidRDefault="00652235" w:rsidP="00F11AFE">
            <w:pPr>
              <w:pStyle w:val="Critiquetabletext"/>
              <w:spacing w:before="0" w:after="0"/>
              <w:jc w:val="right"/>
              <w:rPr>
                <w:color w:val="auto"/>
              </w:rPr>
            </w:pPr>
            <w:r w:rsidRPr="00B30AFA">
              <w:rPr>
                <w:color w:val="auto"/>
              </w:rPr>
              <w:t>$0.00</w:t>
            </w:r>
          </w:p>
        </w:tc>
      </w:tr>
      <w:tr w:rsidR="00652235" w:rsidRPr="00D93FA3" w14:paraId="3D2765AC" w14:textId="77777777" w:rsidTr="00F11AFE">
        <w:tc>
          <w:tcPr>
            <w:tcW w:w="2972" w:type="dxa"/>
            <w:tcBorders>
              <w:top w:val="nil"/>
              <w:bottom w:val="nil"/>
            </w:tcBorders>
          </w:tcPr>
          <w:p w14:paraId="45FB996F" w14:textId="77777777" w:rsidR="00652235" w:rsidRPr="00B30AFA" w:rsidRDefault="00652235" w:rsidP="00D70B59">
            <w:pPr>
              <w:pStyle w:val="Critiquetabletext"/>
              <w:numPr>
                <w:ilvl w:val="0"/>
                <w:numId w:val="7"/>
              </w:numPr>
              <w:spacing w:before="0" w:after="0"/>
              <w:ind w:left="164" w:hanging="142"/>
              <w:rPr>
                <w:color w:val="auto"/>
              </w:rPr>
            </w:pPr>
            <w:r w:rsidRPr="00B30AFA">
              <w:rPr>
                <w:color w:val="auto"/>
              </w:rPr>
              <w:t>Anaesthesia costs</w:t>
            </w:r>
          </w:p>
        </w:tc>
        <w:tc>
          <w:tcPr>
            <w:tcW w:w="1208" w:type="dxa"/>
            <w:tcBorders>
              <w:top w:val="nil"/>
              <w:bottom w:val="nil"/>
            </w:tcBorders>
          </w:tcPr>
          <w:p w14:paraId="603A0553" w14:textId="77777777" w:rsidR="00652235" w:rsidRPr="00B30AFA" w:rsidRDefault="00652235" w:rsidP="00F11AFE">
            <w:pPr>
              <w:pStyle w:val="Critiquetabletext"/>
              <w:spacing w:before="0" w:after="0"/>
              <w:jc w:val="right"/>
              <w:rPr>
                <w:color w:val="auto"/>
              </w:rPr>
            </w:pPr>
            <w:r w:rsidRPr="00B30AFA">
              <w:rPr>
                <w:color w:val="auto"/>
              </w:rPr>
              <w:t>$205.15</w:t>
            </w:r>
          </w:p>
        </w:tc>
        <w:tc>
          <w:tcPr>
            <w:tcW w:w="1209" w:type="dxa"/>
            <w:tcBorders>
              <w:top w:val="nil"/>
              <w:bottom w:val="nil"/>
            </w:tcBorders>
          </w:tcPr>
          <w:p w14:paraId="2CEB1E5D" w14:textId="77777777" w:rsidR="00652235" w:rsidRPr="00B30AFA" w:rsidRDefault="00652235" w:rsidP="00F11AFE">
            <w:pPr>
              <w:pStyle w:val="Critiquetabletext"/>
              <w:spacing w:before="0" w:after="0"/>
              <w:jc w:val="right"/>
              <w:rPr>
                <w:color w:val="auto"/>
              </w:rPr>
            </w:pPr>
            <w:r w:rsidRPr="00B30AFA">
              <w:rPr>
                <w:color w:val="auto"/>
              </w:rPr>
              <w:t>$265.45</w:t>
            </w:r>
          </w:p>
        </w:tc>
        <w:tc>
          <w:tcPr>
            <w:tcW w:w="1209" w:type="dxa"/>
            <w:tcBorders>
              <w:top w:val="nil"/>
              <w:bottom w:val="nil"/>
            </w:tcBorders>
          </w:tcPr>
          <w:p w14:paraId="52F8AE20" w14:textId="77777777" w:rsidR="00652235" w:rsidRPr="00B30AFA" w:rsidRDefault="00652235" w:rsidP="00F11AFE">
            <w:pPr>
              <w:pStyle w:val="Critiquetabletext"/>
              <w:spacing w:before="0" w:after="0"/>
              <w:jc w:val="right"/>
              <w:rPr>
                <w:color w:val="auto"/>
              </w:rPr>
            </w:pPr>
            <w:r w:rsidRPr="00B30AFA">
              <w:rPr>
                <w:color w:val="auto"/>
              </w:rPr>
              <w:t>–$60.30</w:t>
            </w:r>
          </w:p>
        </w:tc>
        <w:tc>
          <w:tcPr>
            <w:tcW w:w="1209" w:type="dxa"/>
            <w:tcBorders>
              <w:top w:val="nil"/>
              <w:bottom w:val="nil"/>
            </w:tcBorders>
          </w:tcPr>
          <w:p w14:paraId="293CE163" w14:textId="77777777" w:rsidR="00652235" w:rsidRPr="00B30AFA" w:rsidRDefault="00652235" w:rsidP="00F11AFE">
            <w:pPr>
              <w:pStyle w:val="Critiquetabletext"/>
              <w:spacing w:before="0" w:after="0"/>
              <w:jc w:val="right"/>
              <w:rPr>
                <w:color w:val="auto"/>
              </w:rPr>
            </w:pPr>
            <w:r w:rsidRPr="00B30AFA">
              <w:rPr>
                <w:color w:val="auto"/>
              </w:rPr>
              <w:t>$225.25</w:t>
            </w:r>
          </w:p>
        </w:tc>
        <w:tc>
          <w:tcPr>
            <w:tcW w:w="1209" w:type="dxa"/>
            <w:tcBorders>
              <w:top w:val="nil"/>
              <w:bottom w:val="nil"/>
            </w:tcBorders>
          </w:tcPr>
          <w:p w14:paraId="1F9F4BB0" w14:textId="77777777" w:rsidR="00652235" w:rsidRPr="00B30AFA" w:rsidRDefault="00652235" w:rsidP="00F11AFE">
            <w:pPr>
              <w:pStyle w:val="Critiquetabletext"/>
              <w:spacing w:before="0" w:after="0"/>
              <w:jc w:val="right"/>
              <w:rPr>
                <w:color w:val="auto"/>
              </w:rPr>
            </w:pPr>
            <w:r w:rsidRPr="00B30AFA">
              <w:rPr>
                <w:color w:val="auto"/>
              </w:rPr>
              <w:t>–$20.10</w:t>
            </w:r>
          </w:p>
        </w:tc>
      </w:tr>
      <w:tr w:rsidR="00652235" w:rsidRPr="00D93FA3" w14:paraId="0A581F4A" w14:textId="77777777" w:rsidTr="00F11AFE">
        <w:tc>
          <w:tcPr>
            <w:tcW w:w="2972" w:type="dxa"/>
            <w:tcBorders>
              <w:top w:val="nil"/>
              <w:bottom w:val="nil"/>
            </w:tcBorders>
          </w:tcPr>
          <w:p w14:paraId="2B743CF2" w14:textId="77777777" w:rsidR="00652235" w:rsidRPr="00B30AFA" w:rsidRDefault="00652235" w:rsidP="00D70B59">
            <w:pPr>
              <w:pStyle w:val="Critiquetabletext"/>
              <w:numPr>
                <w:ilvl w:val="0"/>
                <w:numId w:val="7"/>
              </w:numPr>
              <w:spacing w:before="0" w:after="0"/>
              <w:ind w:left="164" w:hanging="142"/>
              <w:rPr>
                <w:color w:val="auto"/>
              </w:rPr>
            </w:pPr>
            <w:r w:rsidRPr="00B30AFA">
              <w:rPr>
                <w:color w:val="auto"/>
              </w:rPr>
              <w:t>Hospital (non-procedure) costs</w:t>
            </w:r>
          </w:p>
        </w:tc>
        <w:tc>
          <w:tcPr>
            <w:tcW w:w="1208" w:type="dxa"/>
            <w:tcBorders>
              <w:top w:val="nil"/>
              <w:bottom w:val="nil"/>
            </w:tcBorders>
          </w:tcPr>
          <w:p w14:paraId="2552D201" w14:textId="77777777" w:rsidR="00652235" w:rsidRPr="00B30AFA" w:rsidRDefault="00652235" w:rsidP="00F11AFE">
            <w:pPr>
              <w:pStyle w:val="Critiquetabletext"/>
              <w:spacing w:before="0" w:after="0"/>
              <w:jc w:val="right"/>
              <w:rPr>
                <w:color w:val="auto"/>
              </w:rPr>
            </w:pPr>
            <w:r w:rsidRPr="00B30AFA">
              <w:rPr>
                <w:color w:val="auto"/>
              </w:rPr>
              <w:t>$1,406.40</w:t>
            </w:r>
          </w:p>
        </w:tc>
        <w:tc>
          <w:tcPr>
            <w:tcW w:w="1209" w:type="dxa"/>
            <w:tcBorders>
              <w:top w:val="nil"/>
              <w:bottom w:val="nil"/>
            </w:tcBorders>
          </w:tcPr>
          <w:p w14:paraId="754F2BC7" w14:textId="77777777" w:rsidR="00652235" w:rsidRPr="00B30AFA" w:rsidRDefault="00652235" w:rsidP="00F11AFE">
            <w:pPr>
              <w:pStyle w:val="Critiquetabletext"/>
              <w:spacing w:before="0" w:after="0"/>
              <w:jc w:val="right"/>
              <w:rPr>
                <w:color w:val="auto"/>
              </w:rPr>
            </w:pPr>
            <w:r w:rsidRPr="00B30AFA">
              <w:rPr>
                <w:color w:val="auto"/>
              </w:rPr>
              <w:t>$3,647.55</w:t>
            </w:r>
          </w:p>
        </w:tc>
        <w:tc>
          <w:tcPr>
            <w:tcW w:w="1209" w:type="dxa"/>
            <w:tcBorders>
              <w:top w:val="nil"/>
              <w:bottom w:val="nil"/>
            </w:tcBorders>
          </w:tcPr>
          <w:p w14:paraId="794F7311" w14:textId="77777777" w:rsidR="00652235" w:rsidRPr="00B30AFA" w:rsidRDefault="00652235" w:rsidP="00F11AFE">
            <w:pPr>
              <w:pStyle w:val="Critiquetabletext"/>
              <w:spacing w:before="0" w:after="0"/>
              <w:jc w:val="right"/>
              <w:rPr>
                <w:color w:val="auto"/>
              </w:rPr>
            </w:pPr>
            <w:r w:rsidRPr="00B30AFA">
              <w:rPr>
                <w:color w:val="auto"/>
              </w:rPr>
              <w:t>–$2,241.15</w:t>
            </w:r>
          </w:p>
        </w:tc>
        <w:tc>
          <w:tcPr>
            <w:tcW w:w="1209" w:type="dxa"/>
            <w:tcBorders>
              <w:top w:val="nil"/>
              <w:bottom w:val="nil"/>
            </w:tcBorders>
          </w:tcPr>
          <w:p w14:paraId="77FE4417" w14:textId="77777777" w:rsidR="00652235" w:rsidRPr="00B30AFA" w:rsidRDefault="00652235" w:rsidP="00F11AFE">
            <w:pPr>
              <w:pStyle w:val="Critiquetabletext"/>
              <w:spacing w:before="0" w:after="0"/>
              <w:jc w:val="right"/>
              <w:rPr>
                <w:color w:val="auto"/>
              </w:rPr>
            </w:pPr>
            <w:r w:rsidRPr="00B30AFA">
              <w:rPr>
                <w:color w:val="auto"/>
              </w:rPr>
              <w:t>$2,195.50</w:t>
            </w:r>
          </w:p>
        </w:tc>
        <w:tc>
          <w:tcPr>
            <w:tcW w:w="1209" w:type="dxa"/>
            <w:tcBorders>
              <w:top w:val="nil"/>
              <w:bottom w:val="nil"/>
            </w:tcBorders>
          </w:tcPr>
          <w:p w14:paraId="70871C5D" w14:textId="77777777" w:rsidR="00652235" w:rsidRPr="00B30AFA" w:rsidRDefault="00652235" w:rsidP="00F11AFE">
            <w:pPr>
              <w:pStyle w:val="Critiquetabletext"/>
              <w:spacing w:before="0" w:after="0"/>
              <w:jc w:val="right"/>
              <w:rPr>
                <w:color w:val="auto"/>
              </w:rPr>
            </w:pPr>
            <w:r w:rsidRPr="00B30AFA">
              <w:rPr>
                <w:color w:val="auto"/>
              </w:rPr>
              <w:t>–$789.10</w:t>
            </w:r>
          </w:p>
        </w:tc>
      </w:tr>
      <w:tr w:rsidR="00652235" w:rsidRPr="00D93FA3" w14:paraId="5655B3AB" w14:textId="77777777" w:rsidTr="00F11AFE">
        <w:tc>
          <w:tcPr>
            <w:tcW w:w="2972" w:type="dxa"/>
            <w:tcBorders>
              <w:top w:val="nil"/>
              <w:bottom w:val="nil"/>
            </w:tcBorders>
          </w:tcPr>
          <w:p w14:paraId="71B504F7" w14:textId="77777777" w:rsidR="00652235" w:rsidRPr="00B30AFA" w:rsidRDefault="00652235" w:rsidP="00D70B59">
            <w:pPr>
              <w:pStyle w:val="Critiquetabletext"/>
              <w:numPr>
                <w:ilvl w:val="0"/>
                <w:numId w:val="7"/>
              </w:numPr>
              <w:spacing w:before="0" w:after="0"/>
              <w:ind w:left="164" w:hanging="142"/>
              <w:rPr>
                <w:color w:val="auto"/>
              </w:rPr>
            </w:pPr>
            <w:r w:rsidRPr="00B30AFA">
              <w:rPr>
                <w:color w:val="auto"/>
              </w:rPr>
              <w:t>Prostheses/consumables costs</w:t>
            </w:r>
          </w:p>
        </w:tc>
        <w:tc>
          <w:tcPr>
            <w:tcW w:w="1208" w:type="dxa"/>
            <w:tcBorders>
              <w:top w:val="nil"/>
              <w:bottom w:val="nil"/>
            </w:tcBorders>
          </w:tcPr>
          <w:p w14:paraId="488C6294" w14:textId="77777777" w:rsidR="00652235" w:rsidRPr="00B30AFA" w:rsidRDefault="00652235" w:rsidP="00F11AFE">
            <w:pPr>
              <w:pStyle w:val="Critiquetabletext"/>
              <w:spacing w:before="0" w:after="0"/>
              <w:jc w:val="right"/>
              <w:rPr>
                <w:color w:val="auto"/>
              </w:rPr>
            </w:pPr>
            <w:r w:rsidRPr="00B30AFA">
              <w:rPr>
                <w:color w:val="auto"/>
              </w:rPr>
              <w:t>$2,848.00</w:t>
            </w:r>
          </w:p>
        </w:tc>
        <w:tc>
          <w:tcPr>
            <w:tcW w:w="1209" w:type="dxa"/>
            <w:tcBorders>
              <w:top w:val="nil"/>
              <w:bottom w:val="nil"/>
            </w:tcBorders>
          </w:tcPr>
          <w:p w14:paraId="4CAEA281" w14:textId="77777777" w:rsidR="00652235" w:rsidRPr="00B30AFA" w:rsidRDefault="00652235" w:rsidP="00F11AFE">
            <w:pPr>
              <w:pStyle w:val="Critiquetabletext"/>
              <w:spacing w:before="0" w:after="0"/>
              <w:jc w:val="right"/>
              <w:rPr>
                <w:color w:val="auto"/>
              </w:rPr>
            </w:pPr>
            <w:r w:rsidRPr="00B30AFA">
              <w:rPr>
                <w:color w:val="auto"/>
              </w:rPr>
              <w:t>$0.00</w:t>
            </w:r>
          </w:p>
        </w:tc>
        <w:tc>
          <w:tcPr>
            <w:tcW w:w="1209" w:type="dxa"/>
            <w:tcBorders>
              <w:top w:val="nil"/>
              <w:bottom w:val="nil"/>
            </w:tcBorders>
          </w:tcPr>
          <w:p w14:paraId="629D076D" w14:textId="77777777" w:rsidR="00652235" w:rsidRPr="00B30AFA" w:rsidRDefault="00652235" w:rsidP="00F11AFE">
            <w:pPr>
              <w:pStyle w:val="Critiquetabletext"/>
              <w:spacing w:before="0" w:after="0"/>
              <w:jc w:val="right"/>
              <w:rPr>
                <w:color w:val="auto"/>
              </w:rPr>
            </w:pPr>
            <w:r w:rsidRPr="00B30AFA">
              <w:rPr>
                <w:color w:val="auto"/>
              </w:rPr>
              <w:t>$2,848.00</w:t>
            </w:r>
          </w:p>
        </w:tc>
        <w:tc>
          <w:tcPr>
            <w:tcW w:w="1209" w:type="dxa"/>
            <w:tcBorders>
              <w:top w:val="nil"/>
              <w:bottom w:val="nil"/>
            </w:tcBorders>
          </w:tcPr>
          <w:p w14:paraId="3D32D543" w14:textId="77777777" w:rsidR="00652235" w:rsidRPr="00B30AFA" w:rsidRDefault="00652235" w:rsidP="00F11AFE">
            <w:pPr>
              <w:pStyle w:val="Critiquetabletext"/>
              <w:spacing w:before="0" w:after="0"/>
              <w:jc w:val="right"/>
              <w:rPr>
                <w:color w:val="auto"/>
              </w:rPr>
            </w:pPr>
            <w:r w:rsidRPr="00B30AFA">
              <w:rPr>
                <w:color w:val="auto"/>
              </w:rPr>
              <w:t>$1,242.00</w:t>
            </w:r>
          </w:p>
        </w:tc>
        <w:tc>
          <w:tcPr>
            <w:tcW w:w="1209" w:type="dxa"/>
            <w:tcBorders>
              <w:top w:val="nil"/>
              <w:bottom w:val="nil"/>
            </w:tcBorders>
          </w:tcPr>
          <w:p w14:paraId="622C3E0F" w14:textId="77777777" w:rsidR="00652235" w:rsidRPr="00B30AFA" w:rsidRDefault="00652235" w:rsidP="00F11AFE">
            <w:pPr>
              <w:pStyle w:val="Critiquetabletext"/>
              <w:spacing w:before="0" w:after="0"/>
              <w:jc w:val="right"/>
              <w:rPr>
                <w:color w:val="auto"/>
              </w:rPr>
            </w:pPr>
            <w:r w:rsidRPr="00B30AFA">
              <w:rPr>
                <w:color w:val="auto"/>
              </w:rPr>
              <w:t>$1,606.00</w:t>
            </w:r>
          </w:p>
        </w:tc>
      </w:tr>
      <w:tr w:rsidR="00652235" w:rsidRPr="00D93FA3" w14:paraId="1AC5CF90" w14:textId="77777777" w:rsidTr="00F11AFE">
        <w:tc>
          <w:tcPr>
            <w:tcW w:w="2972" w:type="dxa"/>
            <w:tcBorders>
              <w:top w:val="nil"/>
              <w:bottom w:val="nil"/>
            </w:tcBorders>
          </w:tcPr>
          <w:p w14:paraId="30DA8861" w14:textId="77777777" w:rsidR="00652235" w:rsidRPr="00B30AFA" w:rsidRDefault="00652235" w:rsidP="00D70B59">
            <w:pPr>
              <w:pStyle w:val="Critiquetabletext"/>
              <w:numPr>
                <w:ilvl w:val="0"/>
                <w:numId w:val="7"/>
              </w:numPr>
              <w:spacing w:before="0" w:after="0"/>
              <w:ind w:left="164" w:hanging="142"/>
              <w:rPr>
                <w:color w:val="auto"/>
              </w:rPr>
            </w:pPr>
            <w:r w:rsidRPr="00B30AFA">
              <w:rPr>
                <w:color w:val="auto"/>
              </w:rPr>
              <w:t>Capital and maintenance costs</w:t>
            </w:r>
          </w:p>
        </w:tc>
        <w:tc>
          <w:tcPr>
            <w:tcW w:w="1208" w:type="dxa"/>
            <w:tcBorders>
              <w:top w:val="nil"/>
              <w:bottom w:val="nil"/>
            </w:tcBorders>
          </w:tcPr>
          <w:p w14:paraId="4AAEC23C" w14:textId="288A2FF9" w:rsidR="00652235" w:rsidRPr="0025213E" w:rsidRDefault="00652235" w:rsidP="00F11AFE">
            <w:pPr>
              <w:pStyle w:val="Critiquetabletext"/>
              <w:spacing w:before="0" w:after="0"/>
              <w:jc w:val="right"/>
              <w:rPr>
                <w:color w:val="auto"/>
              </w:rPr>
            </w:pPr>
            <w:r w:rsidRPr="0025213E">
              <w:rPr>
                <w:color w:val="auto"/>
              </w:rPr>
              <w:t>$172.90</w:t>
            </w:r>
          </w:p>
        </w:tc>
        <w:tc>
          <w:tcPr>
            <w:tcW w:w="1209" w:type="dxa"/>
            <w:tcBorders>
              <w:top w:val="nil"/>
              <w:bottom w:val="nil"/>
            </w:tcBorders>
          </w:tcPr>
          <w:p w14:paraId="2D5E5F33" w14:textId="77777777" w:rsidR="00652235" w:rsidRPr="0025213E" w:rsidRDefault="00652235" w:rsidP="00F11AFE">
            <w:pPr>
              <w:pStyle w:val="Critiquetabletext"/>
              <w:spacing w:before="0" w:after="0"/>
              <w:jc w:val="right"/>
              <w:rPr>
                <w:color w:val="auto"/>
              </w:rPr>
            </w:pPr>
            <w:r w:rsidRPr="0025213E">
              <w:rPr>
                <w:color w:val="auto"/>
              </w:rPr>
              <w:t>$0.00</w:t>
            </w:r>
          </w:p>
        </w:tc>
        <w:tc>
          <w:tcPr>
            <w:tcW w:w="1209" w:type="dxa"/>
            <w:tcBorders>
              <w:top w:val="nil"/>
              <w:bottom w:val="nil"/>
            </w:tcBorders>
          </w:tcPr>
          <w:p w14:paraId="1876F47B" w14:textId="54C5CC10" w:rsidR="00652235" w:rsidRPr="0025213E" w:rsidRDefault="00652235" w:rsidP="00F11AFE">
            <w:pPr>
              <w:pStyle w:val="Critiquetabletext"/>
              <w:spacing w:before="0" w:after="0"/>
              <w:jc w:val="right"/>
              <w:rPr>
                <w:color w:val="auto"/>
              </w:rPr>
            </w:pPr>
            <w:r w:rsidRPr="0025213E">
              <w:rPr>
                <w:color w:val="auto"/>
              </w:rPr>
              <w:t>$172.90</w:t>
            </w:r>
          </w:p>
        </w:tc>
        <w:tc>
          <w:tcPr>
            <w:tcW w:w="1209" w:type="dxa"/>
            <w:tcBorders>
              <w:top w:val="nil"/>
              <w:bottom w:val="nil"/>
            </w:tcBorders>
          </w:tcPr>
          <w:p w14:paraId="268DDB11" w14:textId="77777777" w:rsidR="00652235" w:rsidRPr="00B30AFA" w:rsidRDefault="00652235" w:rsidP="00F11AFE">
            <w:pPr>
              <w:pStyle w:val="Critiquetabletext"/>
              <w:spacing w:before="0" w:after="0"/>
              <w:jc w:val="right"/>
              <w:rPr>
                <w:color w:val="auto"/>
              </w:rPr>
            </w:pPr>
            <w:r w:rsidRPr="00B30AFA">
              <w:rPr>
                <w:color w:val="auto"/>
              </w:rPr>
              <w:t>$1,271.19</w:t>
            </w:r>
          </w:p>
        </w:tc>
        <w:tc>
          <w:tcPr>
            <w:tcW w:w="1209" w:type="dxa"/>
            <w:tcBorders>
              <w:top w:val="nil"/>
              <w:bottom w:val="nil"/>
            </w:tcBorders>
          </w:tcPr>
          <w:p w14:paraId="2B19E07C" w14:textId="7E09E64D" w:rsidR="00652235" w:rsidRPr="00B30AFA" w:rsidRDefault="00652235" w:rsidP="00F11AFE">
            <w:pPr>
              <w:pStyle w:val="Critiquetabletext"/>
              <w:spacing w:before="0" w:after="0"/>
              <w:jc w:val="right"/>
              <w:rPr>
                <w:color w:val="auto"/>
              </w:rPr>
            </w:pPr>
            <w:r w:rsidRPr="00B30AFA">
              <w:rPr>
                <w:color w:val="auto"/>
              </w:rPr>
              <w:t>–$1,098.28</w:t>
            </w:r>
          </w:p>
        </w:tc>
      </w:tr>
      <w:tr w:rsidR="00652235" w:rsidRPr="00D93FA3" w14:paraId="070F4757" w14:textId="77777777" w:rsidTr="00F11AFE">
        <w:tc>
          <w:tcPr>
            <w:tcW w:w="2972" w:type="dxa"/>
            <w:tcBorders>
              <w:top w:val="nil"/>
              <w:bottom w:val="nil"/>
            </w:tcBorders>
          </w:tcPr>
          <w:p w14:paraId="31B88AF9" w14:textId="77777777" w:rsidR="00652235" w:rsidRPr="00B30AFA" w:rsidRDefault="00652235" w:rsidP="00D70B59">
            <w:pPr>
              <w:pStyle w:val="Critiquetabletext"/>
              <w:numPr>
                <w:ilvl w:val="0"/>
                <w:numId w:val="7"/>
              </w:numPr>
              <w:spacing w:before="0" w:after="0"/>
              <w:ind w:left="164" w:hanging="142"/>
              <w:rPr>
                <w:color w:val="auto"/>
              </w:rPr>
            </w:pPr>
            <w:r w:rsidRPr="00B30AFA">
              <w:rPr>
                <w:color w:val="auto"/>
              </w:rPr>
              <w:t>Reintervention costs</w:t>
            </w:r>
          </w:p>
        </w:tc>
        <w:tc>
          <w:tcPr>
            <w:tcW w:w="1208" w:type="dxa"/>
            <w:tcBorders>
              <w:top w:val="nil"/>
              <w:bottom w:val="nil"/>
            </w:tcBorders>
          </w:tcPr>
          <w:p w14:paraId="0FB84D20" w14:textId="77777777" w:rsidR="00652235" w:rsidRPr="00B30AFA" w:rsidRDefault="00652235" w:rsidP="00F11AFE">
            <w:pPr>
              <w:pStyle w:val="Critiquetabletext"/>
              <w:spacing w:before="0" w:after="0"/>
              <w:jc w:val="right"/>
              <w:rPr>
                <w:color w:val="auto"/>
              </w:rPr>
            </w:pPr>
            <w:r w:rsidRPr="00B30AFA">
              <w:rPr>
                <w:color w:val="auto"/>
              </w:rPr>
              <w:t>$83.88</w:t>
            </w:r>
          </w:p>
        </w:tc>
        <w:tc>
          <w:tcPr>
            <w:tcW w:w="1209" w:type="dxa"/>
            <w:tcBorders>
              <w:top w:val="nil"/>
              <w:bottom w:val="nil"/>
            </w:tcBorders>
          </w:tcPr>
          <w:p w14:paraId="2C736FDC" w14:textId="77777777" w:rsidR="00652235" w:rsidRPr="00B30AFA" w:rsidRDefault="00652235" w:rsidP="00F11AFE">
            <w:pPr>
              <w:pStyle w:val="Critiquetabletext"/>
              <w:spacing w:before="0" w:after="0"/>
              <w:jc w:val="right"/>
              <w:rPr>
                <w:color w:val="auto"/>
              </w:rPr>
            </w:pPr>
            <w:r w:rsidRPr="00B30AFA">
              <w:rPr>
                <w:color w:val="auto"/>
              </w:rPr>
              <w:t>$0.00</w:t>
            </w:r>
          </w:p>
        </w:tc>
        <w:tc>
          <w:tcPr>
            <w:tcW w:w="1209" w:type="dxa"/>
            <w:tcBorders>
              <w:top w:val="nil"/>
              <w:bottom w:val="nil"/>
            </w:tcBorders>
          </w:tcPr>
          <w:p w14:paraId="63971D57" w14:textId="77777777" w:rsidR="00652235" w:rsidRPr="00B30AFA" w:rsidRDefault="00652235" w:rsidP="00F11AFE">
            <w:pPr>
              <w:pStyle w:val="Critiquetabletext"/>
              <w:spacing w:before="0" w:after="0"/>
              <w:jc w:val="right"/>
              <w:rPr>
                <w:color w:val="auto"/>
              </w:rPr>
            </w:pPr>
            <w:r w:rsidRPr="00B30AFA">
              <w:rPr>
                <w:color w:val="auto"/>
              </w:rPr>
              <w:t>$83.88</w:t>
            </w:r>
          </w:p>
        </w:tc>
        <w:tc>
          <w:tcPr>
            <w:tcW w:w="1209" w:type="dxa"/>
            <w:tcBorders>
              <w:top w:val="nil"/>
              <w:bottom w:val="nil"/>
            </w:tcBorders>
          </w:tcPr>
          <w:p w14:paraId="374D8B51" w14:textId="77777777" w:rsidR="00652235" w:rsidRPr="00B30AFA" w:rsidRDefault="00652235" w:rsidP="00F11AFE">
            <w:pPr>
              <w:pStyle w:val="Critiquetabletext"/>
              <w:spacing w:before="0" w:after="0"/>
              <w:jc w:val="right"/>
              <w:rPr>
                <w:color w:val="auto"/>
              </w:rPr>
            </w:pPr>
            <w:r w:rsidRPr="00B30AFA">
              <w:rPr>
                <w:color w:val="auto"/>
              </w:rPr>
              <w:t>$0.00</w:t>
            </w:r>
          </w:p>
        </w:tc>
        <w:tc>
          <w:tcPr>
            <w:tcW w:w="1209" w:type="dxa"/>
            <w:tcBorders>
              <w:top w:val="nil"/>
              <w:bottom w:val="nil"/>
            </w:tcBorders>
          </w:tcPr>
          <w:p w14:paraId="34E66DCE" w14:textId="77777777" w:rsidR="00652235" w:rsidRPr="00B30AFA" w:rsidRDefault="00652235" w:rsidP="00F11AFE">
            <w:pPr>
              <w:pStyle w:val="Critiquetabletext"/>
              <w:spacing w:before="0" w:after="0"/>
              <w:jc w:val="right"/>
              <w:rPr>
                <w:color w:val="auto"/>
              </w:rPr>
            </w:pPr>
            <w:r w:rsidRPr="00B30AFA">
              <w:rPr>
                <w:color w:val="auto"/>
              </w:rPr>
              <w:t>$83.88</w:t>
            </w:r>
          </w:p>
        </w:tc>
      </w:tr>
      <w:tr w:rsidR="00652235" w:rsidRPr="003D4187" w14:paraId="4413E394" w14:textId="77777777" w:rsidTr="00F11AFE">
        <w:tc>
          <w:tcPr>
            <w:tcW w:w="2972" w:type="dxa"/>
            <w:tcBorders>
              <w:top w:val="nil"/>
            </w:tcBorders>
          </w:tcPr>
          <w:p w14:paraId="70307D5D" w14:textId="77777777" w:rsidR="00652235" w:rsidRPr="00B30AFA" w:rsidRDefault="00652235" w:rsidP="00F11AFE">
            <w:pPr>
              <w:pStyle w:val="Critiquetabletext"/>
              <w:spacing w:before="0" w:after="0"/>
              <w:rPr>
                <w:b/>
                <w:color w:val="auto"/>
              </w:rPr>
            </w:pPr>
            <w:r w:rsidRPr="00B30AFA">
              <w:rPr>
                <w:b/>
                <w:color w:val="auto"/>
              </w:rPr>
              <w:t>Subtotal</w:t>
            </w:r>
          </w:p>
        </w:tc>
        <w:tc>
          <w:tcPr>
            <w:tcW w:w="1208" w:type="dxa"/>
            <w:tcBorders>
              <w:top w:val="nil"/>
            </w:tcBorders>
          </w:tcPr>
          <w:p w14:paraId="0F4651CC" w14:textId="77777777" w:rsidR="00652235" w:rsidRPr="00B30AFA" w:rsidRDefault="00652235" w:rsidP="00F11AFE">
            <w:pPr>
              <w:pStyle w:val="Critiquetabletext"/>
              <w:spacing w:before="0" w:after="0"/>
              <w:jc w:val="right"/>
              <w:rPr>
                <w:b/>
                <w:color w:val="auto"/>
              </w:rPr>
            </w:pPr>
            <w:r w:rsidRPr="00B30AFA">
              <w:rPr>
                <w:b/>
                <w:color w:val="auto"/>
              </w:rPr>
              <w:t>$5,775.13</w:t>
            </w:r>
          </w:p>
        </w:tc>
        <w:tc>
          <w:tcPr>
            <w:tcW w:w="1209" w:type="dxa"/>
            <w:tcBorders>
              <w:top w:val="nil"/>
            </w:tcBorders>
          </w:tcPr>
          <w:p w14:paraId="17BCC013" w14:textId="77777777" w:rsidR="00652235" w:rsidRPr="00B30AFA" w:rsidRDefault="00652235" w:rsidP="00F11AFE">
            <w:pPr>
              <w:pStyle w:val="Critiquetabletext"/>
              <w:spacing w:before="0" w:after="0"/>
              <w:jc w:val="right"/>
              <w:rPr>
                <w:b/>
                <w:color w:val="auto"/>
              </w:rPr>
            </w:pPr>
            <w:r w:rsidRPr="00B30AFA">
              <w:rPr>
                <w:b/>
                <w:color w:val="auto"/>
              </w:rPr>
              <w:t>$4,971.80</w:t>
            </w:r>
          </w:p>
        </w:tc>
        <w:tc>
          <w:tcPr>
            <w:tcW w:w="1209" w:type="dxa"/>
            <w:tcBorders>
              <w:top w:val="nil"/>
            </w:tcBorders>
          </w:tcPr>
          <w:p w14:paraId="3F215EE3" w14:textId="77777777" w:rsidR="00652235" w:rsidRPr="00B30AFA" w:rsidRDefault="00652235" w:rsidP="00F11AFE">
            <w:pPr>
              <w:pStyle w:val="Critiquetabletext"/>
              <w:spacing w:before="0" w:after="0"/>
              <w:jc w:val="right"/>
              <w:rPr>
                <w:b/>
                <w:color w:val="auto"/>
              </w:rPr>
            </w:pPr>
            <w:r w:rsidRPr="00B30AFA">
              <w:rPr>
                <w:b/>
                <w:color w:val="auto"/>
              </w:rPr>
              <w:t>$803.33</w:t>
            </w:r>
          </w:p>
        </w:tc>
        <w:tc>
          <w:tcPr>
            <w:tcW w:w="1209" w:type="dxa"/>
            <w:tcBorders>
              <w:top w:val="nil"/>
            </w:tcBorders>
          </w:tcPr>
          <w:p w14:paraId="7E41F6F7" w14:textId="77777777" w:rsidR="00652235" w:rsidRPr="00B30AFA" w:rsidRDefault="00652235" w:rsidP="00F11AFE">
            <w:pPr>
              <w:pStyle w:val="Critiquetabletext"/>
              <w:spacing w:before="0" w:after="0"/>
              <w:jc w:val="right"/>
              <w:rPr>
                <w:b/>
                <w:color w:val="auto"/>
              </w:rPr>
            </w:pPr>
            <w:r w:rsidRPr="00B30AFA">
              <w:rPr>
                <w:b/>
                <w:color w:val="auto"/>
              </w:rPr>
              <w:t>$5,992.74</w:t>
            </w:r>
          </w:p>
        </w:tc>
        <w:tc>
          <w:tcPr>
            <w:tcW w:w="1209" w:type="dxa"/>
            <w:tcBorders>
              <w:top w:val="nil"/>
            </w:tcBorders>
          </w:tcPr>
          <w:p w14:paraId="43AC4D07" w14:textId="77777777" w:rsidR="00652235" w:rsidRPr="00B30AFA" w:rsidRDefault="00652235" w:rsidP="00F11AFE">
            <w:pPr>
              <w:pStyle w:val="Critiquetabletext"/>
              <w:spacing w:before="0" w:after="0"/>
              <w:jc w:val="right"/>
              <w:rPr>
                <w:b/>
                <w:color w:val="auto"/>
              </w:rPr>
            </w:pPr>
            <w:r w:rsidRPr="00B30AFA">
              <w:rPr>
                <w:b/>
                <w:color w:val="auto"/>
              </w:rPr>
              <w:t>–$217.61</w:t>
            </w:r>
          </w:p>
        </w:tc>
      </w:tr>
      <w:tr w:rsidR="00652235" w:rsidRPr="00D93FA3" w14:paraId="5FF451E1" w14:textId="77777777" w:rsidTr="00F11AFE">
        <w:tc>
          <w:tcPr>
            <w:tcW w:w="2972" w:type="dxa"/>
            <w:tcBorders>
              <w:bottom w:val="nil"/>
            </w:tcBorders>
          </w:tcPr>
          <w:p w14:paraId="4A0E7D08" w14:textId="77777777" w:rsidR="00652235" w:rsidRPr="00B30AFA" w:rsidRDefault="00652235" w:rsidP="00F11AFE">
            <w:pPr>
              <w:pStyle w:val="Critiquetabletext"/>
              <w:spacing w:before="0" w:after="0"/>
              <w:rPr>
                <w:color w:val="auto"/>
              </w:rPr>
            </w:pPr>
            <w:r w:rsidRPr="00B30AFA">
              <w:rPr>
                <w:color w:val="auto"/>
              </w:rPr>
              <w:t>Proportion with complications</w:t>
            </w:r>
          </w:p>
        </w:tc>
        <w:tc>
          <w:tcPr>
            <w:tcW w:w="1208" w:type="dxa"/>
            <w:tcBorders>
              <w:bottom w:val="nil"/>
            </w:tcBorders>
          </w:tcPr>
          <w:p w14:paraId="28DF74B3" w14:textId="77777777" w:rsidR="00652235" w:rsidRPr="00B30AFA" w:rsidRDefault="00652235" w:rsidP="00F11AFE">
            <w:pPr>
              <w:pStyle w:val="Critiquetabletext"/>
              <w:spacing w:before="0" w:after="0"/>
              <w:jc w:val="right"/>
              <w:rPr>
                <w:color w:val="auto"/>
              </w:rPr>
            </w:pPr>
            <w:r w:rsidRPr="00B30AFA">
              <w:rPr>
                <w:color w:val="auto"/>
              </w:rPr>
              <w:t>-</w:t>
            </w:r>
          </w:p>
        </w:tc>
        <w:tc>
          <w:tcPr>
            <w:tcW w:w="1209" w:type="dxa"/>
            <w:tcBorders>
              <w:bottom w:val="nil"/>
            </w:tcBorders>
          </w:tcPr>
          <w:p w14:paraId="1F8CB3DF" w14:textId="77777777" w:rsidR="00652235" w:rsidRPr="00B30AFA" w:rsidRDefault="00652235" w:rsidP="00F11AFE">
            <w:pPr>
              <w:pStyle w:val="Critiquetabletext"/>
              <w:spacing w:before="0" w:after="0"/>
              <w:jc w:val="right"/>
              <w:rPr>
                <w:color w:val="auto"/>
              </w:rPr>
            </w:pPr>
            <w:r w:rsidRPr="00B30AFA">
              <w:rPr>
                <w:color w:val="auto"/>
              </w:rPr>
              <w:t>12%</w:t>
            </w:r>
          </w:p>
        </w:tc>
        <w:tc>
          <w:tcPr>
            <w:tcW w:w="1209" w:type="dxa"/>
            <w:tcBorders>
              <w:bottom w:val="nil"/>
            </w:tcBorders>
          </w:tcPr>
          <w:p w14:paraId="73DD385E" w14:textId="77777777" w:rsidR="00652235" w:rsidRPr="00B30AFA" w:rsidRDefault="00652235" w:rsidP="00F11AFE">
            <w:pPr>
              <w:pStyle w:val="Critiquetabletext"/>
              <w:spacing w:before="0" w:after="0"/>
              <w:jc w:val="right"/>
              <w:rPr>
                <w:color w:val="auto"/>
              </w:rPr>
            </w:pPr>
          </w:p>
        </w:tc>
        <w:tc>
          <w:tcPr>
            <w:tcW w:w="1209" w:type="dxa"/>
            <w:tcBorders>
              <w:bottom w:val="nil"/>
            </w:tcBorders>
          </w:tcPr>
          <w:p w14:paraId="08C85D7F" w14:textId="77777777" w:rsidR="00652235" w:rsidRPr="00B30AFA" w:rsidRDefault="00652235" w:rsidP="00F11AFE">
            <w:pPr>
              <w:pStyle w:val="Critiquetabletext"/>
              <w:spacing w:before="0" w:after="0"/>
              <w:jc w:val="right"/>
              <w:rPr>
                <w:color w:val="auto"/>
              </w:rPr>
            </w:pPr>
            <w:r w:rsidRPr="00B30AFA">
              <w:rPr>
                <w:color w:val="auto"/>
              </w:rPr>
              <w:t>-</w:t>
            </w:r>
          </w:p>
        </w:tc>
        <w:tc>
          <w:tcPr>
            <w:tcW w:w="1209" w:type="dxa"/>
            <w:tcBorders>
              <w:bottom w:val="nil"/>
            </w:tcBorders>
          </w:tcPr>
          <w:p w14:paraId="09B7819E" w14:textId="77777777" w:rsidR="00652235" w:rsidRPr="00B30AFA" w:rsidRDefault="00652235" w:rsidP="00F11AFE">
            <w:pPr>
              <w:pStyle w:val="Critiquetabletext"/>
              <w:spacing w:before="0" w:after="0"/>
              <w:jc w:val="right"/>
              <w:rPr>
                <w:color w:val="auto"/>
              </w:rPr>
            </w:pPr>
          </w:p>
        </w:tc>
      </w:tr>
      <w:tr w:rsidR="00652235" w:rsidRPr="00D93FA3" w14:paraId="0DF78F09" w14:textId="77777777" w:rsidTr="00F11AFE">
        <w:tc>
          <w:tcPr>
            <w:tcW w:w="2972" w:type="dxa"/>
            <w:tcBorders>
              <w:top w:val="nil"/>
            </w:tcBorders>
          </w:tcPr>
          <w:p w14:paraId="3AF60984" w14:textId="77777777" w:rsidR="00652235" w:rsidRPr="00B30AFA" w:rsidRDefault="00652235" w:rsidP="00F11AFE">
            <w:pPr>
              <w:pStyle w:val="Critiquetabletext"/>
              <w:spacing w:before="0" w:after="0"/>
              <w:rPr>
                <w:color w:val="auto"/>
              </w:rPr>
            </w:pPr>
            <w:r w:rsidRPr="00B30AFA">
              <w:rPr>
                <w:color w:val="auto"/>
              </w:rPr>
              <w:t>Procedure cost with complications</w:t>
            </w:r>
          </w:p>
        </w:tc>
        <w:tc>
          <w:tcPr>
            <w:tcW w:w="1208" w:type="dxa"/>
            <w:tcBorders>
              <w:top w:val="nil"/>
            </w:tcBorders>
          </w:tcPr>
          <w:p w14:paraId="0BD7F28F" w14:textId="77777777" w:rsidR="00652235" w:rsidRPr="00B30AFA" w:rsidRDefault="00652235" w:rsidP="00F11AFE">
            <w:pPr>
              <w:pStyle w:val="Critiquetabletext"/>
              <w:spacing w:before="0" w:after="0"/>
              <w:jc w:val="right"/>
              <w:rPr>
                <w:color w:val="auto"/>
              </w:rPr>
            </w:pPr>
            <w:r w:rsidRPr="00B30AFA">
              <w:rPr>
                <w:color w:val="auto"/>
              </w:rPr>
              <w:t>-</w:t>
            </w:r>
          </w:p>
        </w:tc>
        <w:tc>
          <w:tcPr>
            <w:tcW w:w="1209" w:type="dxa"/>
            <w:tcBorders>
              <w:top w:val="nil"/>
            </w:tcBorders>
          </w:tcPr>
          <w:p w14:paraId="7681171C" w14:textId="77777777" w:rsidR="00652235" w:rsidRPr="00B30AFA" w:rsidRDefault="00652235" w:rsidP="00F11AFE">
            <w:pPr>
              <w:pStyle w:val="Critiquetabletext"/>
              <w:spacing w:before="0" w:after="0"/>
              <w:jc w:val="right"/>
              <w:rPr>
                <w:color w:val="auto"/>
              </w:rPr>
            </w:pPr>
            <w:r w:rsidRPr="00B30AFA">
              <w:rPr>
                <w:color w:val="auto"/>
              </w:rPr>
              <w:t>$12,079.44</w:t>
            </w:r>
          </w:p>
        </w:tc>
        <w:tc>
          <w:tcPr>
            <w:tcW w:w="1209" w:type="dxa"/>
            <w:tcBorders>
              <w:top w:val="nil"/>
            </w:tcBorders>
          </w:tcPr>
          <w:p w14:paraId="51609218" w14:textId="77777777" w:rsidR="00652235" w:rsidRPr="00B30AFA" w:rsidRDefault="00652235" w:rsidP="00F11AFE">
            <w:pPr>
              <w:pStyle w:val="Critiquetabletext"/>
              <w:spacing w:before="0" w:after="0"/>
              <w:jc w:val="right"/>
              <w:rPr>
                <w:color w:val="auto"/>
              </w:rPr>
            </w:pPr>
          </w:p>
        </w:tc>
        <w:tc>
          <w:tcPr>
            <w:tcW w:w="1209" w:type="dxa"/>
            <w:tcBorders>
              <w:top w:val="nil"/>
            </w:tcBorders>
          </w:tcPr>
          <w:p w14:paraId="00D1858E" w14:textId="77777777" w:rsidR="00652235" w:rsidRPr="00B30AFA" w:rsidRDefault="00652235" w:rsidP="00F11AFE">
            <w:pPr>
              <w:pStyle w:val="Critiquetabletext"/>
              <w:spacing w:before="0" w:after="0"/>
              <w:jc w:val="right"/>
              <w:rPr>
                <w:color w:val="auto"/>
              </w:rPr>
            </w:pPr>
            <w:r w:rsidRPr="00B30AFA">
              <w:rPr>
                <w:color w:val="auto"/>
              </w:rPr>
              <w:t>-</w:t>
            </w:r>
          </w:p>
        </w:tc>
        <w:tc>
          <w:tcPr>
            <w:tcW w:w="1209" w:type="dxa"/>
            <w:tcBorders>
              <w:top w:val="nil"/>
            </w:tcBorders>
          </w:tcPr>
          <w:p w14:paraId="00FD3C1B" w14:textId="77777777" w:rsidR="00652235" w:rsidRPr="00B30AFA" w:rsidRDefault="00652235" w:rsidP="00F11AFE">
            <w:pPr>
              <w:pStyle w:val="Critiquetabletext"/>
              <w:spacing w:before="0" w:after="0"/>
              <w:jc w:val="right"/>
              <w:rPr>
                <w:color w:val="auto"/>
              </w:rPr>
            </w:pPr>
          </w:p>
        </w:tc>
      </w:tr>
      <w:tr w:rsidR="00652235" w:rsidRPr="009A7D61" w14:paraId="50FC08C2" w14:textId="77777777" w:rsidTr="00F11AFE">
        <w:tc>
          <w:tcPr>
            <w:tcW w:w="2972" w:type="dxa"/>
          </w:tcPr>
          <w:p w14:paraId="6D370639" w14:textId="77777777" w:rsidR="00652235" w:rsidRPr="00B30AFA" w:rsidRDefault="00652235" w:rsidP="00F11AFE">
            <w:pPr>
              <w:pStyle w:val="Critiquetabletext"/>
              <w:spacing w:before="0" w:after="0"/>
              <w:rPr>
                <w:b/>
                <w:color w:val="auto"/>
              </w:rPr>
            </w:pPr>
            <w:r w:rsidRPr="00B30AFA">
              <w:rPr>
                <w:b/>
                <w:color w:val="auto"/>
              </w:rPr>
              <w:t>Total</w:t>
            </w:r>
          </w:p>
        </w:tc>
        <w:tc>
          <w:tcPr>
            <w:tcW w:w="1208" w:type="dxa"/>
          </w:tcPr>
          <w:p w14:paraId="72F6A1DE" w14:textId="77777777" w:rsidR="00652235" w:rsidRPr="00B30AFA" w:rsidRDefault="00652235" w:rsidP="00F11AFE">
            <w:pPr>
              <w:pStyle w:val="Critiquetabletext"/>
              <w:spacing w:before="0" w:after="0"/>
              <w:jc w:val="right"/>
              <w:rPr>
                <w:b/>
                <w:color w:val="auto"/>
              </w:rPr>
            </w:pPr>
            <w:r w:rsidRPr="00B30AFA">
              <w:rPr>
                <w:b/>
                <w:color w:val="auto"/>
              </w:rPr>
              <w:t>$5,775.13</w:t>
            </w:r>
          </w:p>
        </w:tc>
        <w:tc>
          <w:tcPr>
            <w:tcW w:w="1209" w:type="dxa"/>
          </w:tcPr>
          <w:p w14:paraId="7AACAC1E" w14:textId="77777777" w:rsidR="00652235" w:rsidRPr="00B30AFA" w:rsidRDefault="00652235" w:rsidP="00F11AFE">
            <w:pPr>
              <w:pStyle w:val="Critiquetabletext"/>
              <w:spacing w:before="0" w:after="0"/>
              <w:jc w:val="right"/>
              <w:rPr>
                <w:b/>
                <w:color w:val="auto"/>
              </w:rPr>
            </w:pPr>
            <w:r w:rsidRPr="00B30AFA">
              <w:rPr>
                <w:b/>
                <w:color w:val="auto"/>
              </w:rPr>
              <w:t>$5,824.72</w:t>
            </w:r>
          </w:p>
        </w:tc>
        <w:tc>
          <w:tcPr>
            <w:tcW w:w="1209" w:type="dxa"/>
          </w:tcPr>
          <w:p w14:paraId="4D53FF72" w14:textId="77777777" w:rsidR="00652235" w:rsidRPr="00B30AFA" w:rsidRDefault="00652235" w:rsidP="00F11AFE">
            <w:pPr>
              <w:pStyle w:val="Critiquetabletext"/>
              <w:spacing w:before="0" w:after="0"/>
              <w:jc w:val="right"/>
              <w:rPr>
                <w:b/>
                <w:color w:val="auto"/>
              </w:rPr>
            </w:pPr>
            <w:r w:rsidRPr="00B30AFA">
              <w:rPr>
                <w:b/>
                <w:color w:val="auto"/>
              </w:rPr>
              <w:t>–$49.59</w:t>
            </w:r>
          </w:p>
        </w:tc>
        <w:tc>
          <w:tcPr>
            <w:tcW w:w="1209" w:type="dxa"/>
          </w:tcPr>
          <w:p w14:paraId="2A7B9EB1" w14:textId="77777777" w:rsidR="00652235" w:rsidRPr="00B30AFA" w:rsidRDefault="00652235" w:rsidP="00F11AFE">
            <w:pPr>
              <w:pStyle w:val="Critiquetabletext"/>
              <w:spacing w:before="0" w:after="0"/>
              <w:jc w:val="right"/>
              <w:rPr>
                <w:b/>
                <w:color w:val="auto"/>
              </w:rPr>
            </w:pPr>
            <w:r w:rsidRPr="00B30AFA">
              <w:rPr>
                <w:b/>
                <w:color w:val="auto"/>
              </w:rPr>
              <w:t>$5,992.74</w:t>
            </w:r>
          </w:p>
        </w:tc>
        <w:tc>
          <w:tcPr>
            <w:tcW w:w="1209" w:type="dxa"/>
          </w:tcPr>
          <w:p w14:paraId="6383C3D1" w14:textId="77777777" w:rsidR="00652235" w:rsidRPr="00B30AFA" w:rsidRDefault="00652235" w:rsidP="00F11AFE">
            <w:pPr>
              <w:pStyle w:val="Critiquetabletext"/>
              <w:spacing w:before="0" w:after="0"/>
              <w:jc w:val="right"/>
              <w:rPr>
                <w:b/>
                <w:color w:val="auto"/>
              </w:rPr>
            </w:pPr>
            <w:r w:rsidRPr="00B30AFA">
              <w:rPr>
                <w:b/>
                <w:color w:val="auto"/>
              </w:rPr>
              <w:t>–$217.61</w:t>
            </w:r>
          </w:p>
        </w:tc>
      </w:tr>
    </w:tbl>
    <w:p w14:paraId="6FE8E087" w14:textId="77777777" w:rsidR="00652235" w:rsidRDefault="00652235" w:rsidP="00C11BBE">
      <w:pPr>
        <w:pStyle w:val="Tablenotes"/>
      </w:pPr>
      <w:r w:rsidRPr="00C36B03">
        <w:rPr>
          <w:vertAlign w:val="superscript"/>
        </w:rPr>
        <w:t>a</w:t>
      </w:r>
      <w:r>
        <w:t xml:space="preserve"> Proposed PUL MBS fee.</w:t>
      </w:r>
    </w:p>
    <w:p w14:paraId="53FA8404" w14:textId="77777777" w:rsidR="00652235" w:rsidRPr="00D93FA3" w:rsidRDefault="00652235" w:rsidP="00C11BBE">
      <w:pPr>
        <w:pStyle w:val="Tablenotes"/>
      </w:pPr>
      <w:r>
        <w:t xml:space="preserve">Abbreviations: </w:t>
      </w:r>
      <w:r w:rsidRPr="00D93FA3">
        <w:t>PUL = prosthetic urethral lift; TURP = transurethral resection of the prostate; VLAP = visual laser ablation of the prostate.</w:t>
      </w:r>
    </w:p>
    <w:p w14:paraId="4FF59A1A" w14:textId="115796E3" w:rsidR="00652235" w:rsidRDefault="00652235" w:rsidP="00C11BBE">
      <w:pPr>
        <w:pStyle w:val="Tablenotes"/>
      </w:pPr>
      <w:r>
        <w:t xml:space="preserve">Source: </w:t>
      </w:r>
      <w:bookmarkStart w:id="28" w:name="_Ref36647803"/>
      <w:r w:rsidRPr="00047E8A">
        <w:t xml:space="preserve">ADAR Critique Table </w:t>
      </w:r>
      <w:r w:rsidR="005F0CE5">
        <w:fldChar w:fldCharType="begin"/>
      </w:r>
      <w:r w:rsidR="005F0CE5">
        <w:instrText xml:space="preserve"> SEQ ADAR_Critique_Table \* ARABIC </w:instrText>
      </w:r>
      <w:r w:rsidR="005F0CE5">
        <w:fldChar w:fldCharType="separate"/>
      </w:r>
      <w:r>
        <w:rPr>
          <w:noProof/>
        </w:rPr>
        <w:t>1</w:t>
      </w:r>
      <w:r w:rsidR="005F0CE5">
        <w:rPr>
          <w:noProof/>
        </w:rPr>
        <w:fldChar w:fldCharType="end"/>
      </w:r>
      <w:bookmarkEnd w:id="28"/>
      <w:r>
        <w:t>, p25 of the commentary.</w:t>
      </w:r>
    </w:p>
    <w:p w14:paraId="704AE9F1" w14:textId="4D808FF7" w:rsidR="00652235" w:rsidRPr="00D93FA3" w:rsidRDefault="00652235" w:rsidP="00652235">
      <w:r>
        <w:t>The commentary noted that r</w:t>
      </w:r>
      <w:r w:rsidRPr="00D93FA3">
        <w:t>elative to TURP, the ADAR estimates that PUL is associated with a slight cost saving ($49.59). This is due to costs related to major complications with TURP being included in the analysis</w:t>
      </w:r>
      <w:r>
        <w:t>, which may not be reasonable</w:t>
      </w:r>
      <w:r w:rsidRPr="00D93FA3">
        <w:t xml:space="preserve">. Relative to VLAP, the ADAR estimates that PUL is associated with a cost saving of $217.61. This is driven by cost offsets related to a reduction in hospital costs and capital expenditure. </w:t>
      </w:r>
      <w:r>
        <w:t>T</w:t>
      </w:r>
      <w:r w:rsidRPr="00D93FA3">
        <w:t>he assumption of differential hospital costs (due to a longer assumed length of stay) has not been justified. Further, the assumptions used to estimate the per patient capital costs (50 patients per year over 5 years) may not be reasonable.</w:t>
      </w:r>
      <w:r>
        <w:t xml:space="preserve"> </w:t>
      </w:r>
    </w:p>
    <w:p w14:paraId="166FF480" w14:textId="71254976" w:rsidR="00652235" w:rsidRDefault="00652235" w:rsidP="00C11BBE">
      <w:pPr>
        <w:spacing w:before="240"/>
      </w:pPr>
      <w:r>
        <w:t>The commentary considered that the cost of PUL is likely to be underestimated, given the assumptions regarding the number of prostheses and reintervention. Therefore,</w:t>
      </w:r>
      <w:r w:rsidRPr="00D93FA3">
        <w:t xml:space="preserve"> the cost savings claimed,</w:t>
      </w:r>
      <w:r>
        <w:t xml:space="preserve"> is </w:t>
      </w:r>
      <w:r w:rsidRPr="00D93FA3">
        <w:t>likely to be overestimated.</w:t>
      </w:r>
    </w:p>
    <w:p w14:paraId="04626089" w14:textId="0AA53616" w:rsidR="00652235" w:rsidRPr="00DB53F6" w:rsidRDefault="00652235" w:rsidP="00C11BBE">
      <w:pPr>
        <w:spacing w:before="240"/>
        <w:jc w:val="both"/>
      </w:pPr>
      <w:r>
        <w:t>The</w:t>
      </w:r>
      <w:r w:rsidRPr="000537B0">
        <w:t xml:space="preserve"> modelled</w:t>
      </w:r>
      <w:r>
        <w:t xml:space="preserve"> results were most sensitive to the number of prostheses (PUL), number of bed-days (TURP) and life of capital (VLAP) as </w:t>
      </w:r>
      <w:r w:rsidRPr="00DB53F6">
        <w:t>show</w:t>
      </w:r>
      <w:r w:rsidR="00DB53F6" w:rsidRPr="00DB53F6">
        <w:t>n in Table 16.</w:t>
      </w:r>
    </w:p>
    <w:p w14:paraId="4D1E250F" w14:textId="77777777" w:rsidR="00652235" w:rsidRPr="00D863C8" w:rsidRDefault="00652235" w:rsidP="00D863C8">
      <w:pPr>
        <w:spacing w:before="240"/>
        <w:rPr>
          <w:rFonts w:ascii="Arial Narrow" w:hAnsi="Arial Narrow"/>
          <w:b/>
          <w:sz w:val="20"/>
        </w:rPr>
      </w:pPr>
      <w:bookmarkStart w:id="29" w:name="_Ref40978439"/>
      <w:r w:rsidRPr="00D863C8">
        <w:rPr>
          <w:rFonts w:ascii="Arial Narrow" w:hAnsi="Arial Narrow"/>
          <w:b/>
          <w:sz w:val="20"/>
        </w:rPr>
        <w:t xml:space="preserve">Table </w:t>
      </w:r>
      <w:r w:rsidR="00C11BBE" w:rsidRPr="00D863C8">
        <w:rPr>
          <w:rFonts w:ascii="Arial Narrow" w:hAnsi="Arial Narrow"/>
          <w:b/>
          <w:sz w:val="20"/>
        </w:rPr>
        <w:fldChar w:fldCharType="begin"/>
      </w:r>
      <w:r w:rsidR="00C11BBE" w:rsidRPr="00D863C8">
        <w:rPr>
          <w:rFonts w:ascii="Arial Narrow" w:hAnsi="Arial Narrow"/>
          <w:b/>
          <w:sz w:val="20"/>
        </w:rPr>
        <w:instrText xml:space="preserve"> SEQ Table \* ARABIC </w:instrText>
      </w:r>
      <w:r w:rsidR="00C11BBE" w:rsidRPr="00D863C8">
        <w:rPr>
          <w:rFonts w:ascii="Arial Narrow" w:hAnsi="Arial Narrow"/>
          <w:b/>
          <w:sz w:val="20"/>
        </w:rPr>
        <w:fldChar w:fldCharType="separate"/>
      </w:r>
      <w:r w:rsidRPr="00D863C8">
        <w:rPr>
          <w:rFonts w:ascii="Arial Narrow" w:hAnsi="Arial Narrow"/>
          <w:b/>
          <w:sz w:val="20"/>
        </w:rPr>
        <w:t>16</w:t>
      </w:r>
      <w:r w:rsidR="00C11BBE" w:rsidRPr="00D863C8">
        <w:rPr>
          <w:rFonts w:ascii="Arial Narrow" w:hAnsi="Arial Narrow"/>
          <w:b/>
          <w:sz w:val="20"/>
        </w:rPr>
        <w:fldChar w:fldCharType="end"/>
      </w:r>
      <w:bookmarkEnd w:id="29"/>
      <w:r w:rsidRPr="00D863C8">
        <w:rPr>
          <w:rFonts w:ascii="Arial Narrow" w:hAnsi="Arial Narrow"/>
          <w:b/>
          <w:sz w:val="20"/>
        </w:rPr>
        <w:t xml:space="preserve"> Key drivers of the economic model</w:t>
      </w:r>
    </w:p>
    <w:tbl>
      <w:tblPr>
        <w:tblStyle w:val="TableGrid1"/>
        <w:tblW w:w="5010" w:type="pct"/>
        <w:tblLook w:val="04A0" w:firstRow="1" w:lastRow="0" w:firstColumn="1" w:lastColumn="0" w:noHBand="0" w:noVBand="1"/>
        <w:tblCaption w:val="Table 8 Key drivers of the economic model"/>
        <w:tblDescription w:val="This table describes what factors and assumptions in the economic model affect the incremental cost-effectiveness to the greatest extent."/>
      </w:tblPr>
      <w:tblGrid>
        <w:gridCol w:w="2626"/>
        <w:gridCol w:w="4471"/>
        <w:gridCol w:w="2163"/>
      </w:tblGrid>
      <w:tr w:rsidR="00652235" w:rsidRPr="000537B0" w14:paraId="068D1B79" w14:textId="77777777" w:rsidTr="000B0156">
        <w:trPr>
          <w:cnfStyle w:val="100000000000" w:firstRow="1" w:lastRow="0" w:firstColumn="0" w:lastColumn="0" w:oddVBand="0" w:evenVBand="0" w:oddHBand="0" w:evenHBand="0" w:firstRowFirstColumn="0" w:firstRowLastColumn="0" w:lastRowFirstColumn="0" w:lastRowLastColumn="0"/>
          <w:tblHeader/>
        </w:trPr>
        <w:tc>
          <w:tcPr>
            <w:tcW w:w="1418" w:type="pct"/>
          </w:tcPr>
          <w:p w14:paraId="1880A09F" w14:textId="77777777" w:rsidR="00652235" w:rsidRPr="00191A30" w:rsidRDefault="00652235" w:rsidP="00F11AFE">
            <w:pPr>
              <w:pStyle w:val="TableHeading"/>
            </w:pPr>
            <w:r w:rsidRPr="00191A30">
              <w:t>Description</w:t>
            </w:r>
          </w:p>
        </w:tc>
        <w:tc>
          <w:tcPr>
            <w:tcW w:w="2414" w:type="pct"/>
          </w:tcPr>
          <w:p w14:paraId="199EA405" w14:textId="77777777" w:rsidR="00652235" w:rsidRPr="00191A30" w:rsidRDefault="00652235" w:rsidP="00F11AFE">
            <w:pPr>
              <w:pStyle w:val="TableHeading"/>
            </w:pPr>
            <w:r w:rsidRPr="00191A30">
              <w:t>Method/Value</w:t>
            </w:r>
          </w:p>
        </w:tc>
        <w:tc>
          <w:tcPr>
            <w:tcW w:w="1168" w:type="pct"/>
          </w:tcPr>
          <w:p w14:paraId="76070664" w14:textId="77777777" w:rsidR="00652235" w:rsidRPr="00191A30" w:rsidRDefault="00652235" w:rsidP="00F11AFE">
            <w:pPr>
              <w:pStyle w:val="TableHeading"/>
            </w:pPr>
            <w:r w:rsidRPr="00191A30">
              <w:t>Impact</w:t>
            </w:r>
          </w:p>
        </w:tc>
      </w:tr>
      <w:tr w:rsidR="00652235" w:rsidRPr="000537B0" w14:paraId="6D0606B5" w14:textId="77777777" w:rsidTr="000B0156">
        <w:tc>
          <w:tcPr>
            <w:tcW w:w="1418" w:type="pct"/>
            <w:tcBorders>
              <w:bottom w:val="single" w:sz="4" w:space="0" w:color="auto"/>
            </w:tcBorders>
          </w:tcPr>
          <w:p w14:paraId="6E63AF38" w14:textId="77777777" w:rsidR="00652235" w:rsidRPr="000537B0" w:rsidRDefault="00652235" w:rsidP="00F11AFE">
            <w:pPr>
              <w:pStyle w:val="Tabletext"/>
              <w:rPr>
                <w:snapToGrid w:val="0"/>
              </w:rPr>
            </w:pPr>
            <w:r w:rsidRPr="000537B0">
              <w:rPr>
                <w:snapToGrid w:val="0"/>
              </w:rPr>
              <w:t>PUL - Number of prostheses</w:t>
            </w:r>
          </w:p>
        </w:tc>
        <w:tc>
          <w:tcPr>
            <w:tcW w:w="2414" w:type="pct"/>
            <w:tcBorders>
              <w:bottom w:val="single" w:sz="4" w:space="0" w:color="auto"/>
            </w:tcBorders>
          </w:tcPr>
          <w:p w14:paraId="0145F561" w14:textId="77777777" w:rsidR="00652235" w:rsidRPr="000537B0" w:rsidRDefault="00652235" w:rsidP="00F11AFE">
            <w:pPr>
              <w:pStyle w:val="Tabletext"/>
              <w:rPr>
                <w:snapToGrid w:val="0"/>
              </w:rPr>
            </w:pPr>
            <w:r w:rsidRPr="000537B0">
              <w:rPr>
                <w:snapToGrid w:val="0"/>
              </w:rPr>
              <w:t>Increase from 4 to 4.5 (12.5%)</w:t>
            </w:r>
          </w:p>
        </w:tc>
        <w:tc>
          <w:tcPr>
            <w:tcW w:w="1168" w:type="pct"/>
            <w:tcBorders>
              <w:bottom w:val="single" w:sz="4" w:space="0" w:color="auto"/>
            </w:tcBorders>
          </w:tcPr>
          <w:p w14:paraId="73E32B6E" w14:textId="77777777" w:rsidR="00652235" w:rsidRPr="000537B0" w:rsidRDefault="00652235" w:rsidP="00F11AFE">
            <w:pPr>
              <w:pStyle w:val="Tabletext"/>
              <w:rPr>
                <w:snapToGrid w:val="0"/>
              </w:rPr>
            </w:pPr>
            <w:r w:rsidRPr="000537B0">
              <w:rPr>
                <w:snapToGrid w:val="0"/>
              </w:rPr>
              <w:t>+ $356.00</w:t>
            </w:r>
          </w:p>
        </w:tc>
      </w:tr>
      <w:tr w:rsidR="00652235" w:rsidRPr="000537B0" w14:paraId="5A275F84" w14:textId="77777777" w:rsidTr="000B0156">
        <w:tc>
          <w:tcPr>
            <w:tcW w:w="1418" w:type="pct"/>
            <w:tcBorders>
              <w:bottom w:val="nil"/>
            </w:tcBorders>
          </w:tcPr>
          <w:p w14:paraId="1B3C3AC7" w14:textId="77777777" w:rsidR="00652235" w:rsidRPr="000537B0" w:rsidRDefault="00652235" w:rsidP="00F11AFE">
            <w:pPr>
              <w:pStyle w:val="Tabletext"/>
              <w:rPr>
                <w:snapToGrid w:val="0"/>
              </w:rPr>
            </w:pPr>
            <w:r w:rsidRPr="000537B0">
              <w:rPr>
                <w:snapToGrid w:val="0"/>
              </w:rPr>
              <w:t>TURP – Number of bed-days</w:t>
            </w:r>
          </w:p>
        </w:tc>
        <w:tc>
          <w:tcPr>
            <w:tcW w:w="2414" w:type="pct"/>
            <w:tcBorders>
              <w:bottom w:val="nil"/>
            </w:tcBorders>
          </w:tcPr>
          <w:p w14:paraId="70A7A2DB" w14:textId="77777777" w:rsidR="00652235" w:rsidRPr="000537B0" w:rsidRDefault="00652235" w:rsidP="00F11AFE">
            <w:pPr>
              <w:pStyle w:val="Tabletext"/>
              <w:rPr>
                <w:snapToGrid w:val="0"/>
              </w:rPr>
            </w:pPr>
            <w:r w:rsidRPr="000537B0">
              <w:rPr>
                <w:snapToGrid w:val="0"/>
              </w:rPr>
              <w:t>Increase from 3.22 to 3.62 (12.5%)</w:t>
            </w:r>
          </w:p>
        </w:tc>
        <w:tc>
          <w:tcPr>
            <w:tcW w:w="1168" w:type="pct"/>
            <w:tcBorders>
              <w:bottom w:val="nil"/>
            </w:tcBorders>
          </w:tcPr>
          <w:p w14:paraId="6A1F9F19" w14:textId="77777777" w:rsidR="00652235" w:rsidRPr="000537B0" w:rsidRDefault="00652235" w:rsidP="00F11AFE">
            <w:pPr>
              <w:pStyle w:val="Tabletext"/>
              <w:rPr>
                <w:snapToGrid w:val="0"/>
              </w:rPr>
            </w:pPr>
            <w:r w:rsidRPr="000537B0">
              <w:rPr>
                <w:snapToGrid w:val="0"/>
              </w:rPr>
              <w:t>+ $337.42</w:t>
            </w:r>
          </w:p>
        </w:tc>
      </w:tr>
      <w:tr w:rsidR="00652235" w:rsidRPr="002F2C3E" w14:paraId="621AB014" w14:textId="77777777" w:rsidTr="000B0156">
        <w:tc>
          <w:tcPr>
            <w:tcW w:w="1418" w:type="pct"/>
            <w:tcBorders>
              <w:top w:val="nil"/>
            </w:tcBorders>
          </w:tcPr>
          <w:p w14:paraId="33883833" w14:textId="77777777" w:rsidR="00652235" w:rsidRPr="002F2C3E" w:rsidRDefault="00652235" w:rsidP="00F11AFE">
            <w:pPr>
              <w:pStyle w:val="Tabletext"/>
              <w:rPr>
                <w:i/>
                <w:snapToGrid w:val="0"/>
              </w:rPr>
            </w:pPr>
            <w:r>
              <w:rPr>
                <w:i/>
                <w:snapToGrid w:val="0"/>
              </w:rPr>
              <w:t>TURP – Number of bed-days</w:t>
            </w:r>
          </w:p>
        </w:tc>
        <w:tc>
          <w:tcPr>
            <w:tcW w:w="2414" w:type="pct"/>
            <w:tcBorders>
              <w:top w:val="nil"/>
            </w:tcBorders>
          </w:tcPr>
          <w:p w14:paraId="0BE0CFED" w14:textId="77777777" w:rsidR="00652235" w:rsidRPr="002F2C3E" w:rsidRDefault="00652235" w:rsidP="00F11AFE">
            <w:pPr>
              <w:pStyle w:val="Tabletext"/>
              <w:rPr>
                <w:i/>
                <w:snapToGrid w:val="0"/>
              </w:rPr>
            </w:pPr>
            <w:r>
              <w:rPr>
                <w:i/>
                <w:snapToGrid w:val="0"/>
              </w:rPr>
              <w:t>Increase from 2.56 to 2.88 (12.5% increase)</w:t>
            </w:r>
          </w:p>
        </w:tc>
        <w:tc>
          <w:tcPr>
            <w:tcW w:w="1168" w:type="pct"/>
            <w:tcBorders>
              <w:top w:val="nil"/>
            </w:tcBorders>
          </w:tcPr>
          <w:p w14:paraId="4A9570F1" w14:textId="77777777" w:rsidR="00652235" w:rsidRPr="002F2C3E" w:rsidRDefault="00652235" w:rsidP="00F11AFE">
            <w:pPr>
              <w:pStyle w:val="Tabletext"/>
              <w:rPr>
                <w:i/>
                <w:snapToGrid w:val="0"/>
              </w:rPr>
            </w:pPr>
            <w:r>
              <w:rPr>
                <w:i/>
                <w:snapToGrid w:val="0"/>
              </w:rPr>
              <w:t>−$309.75</w:t>
            </w:r>
          </w:p>
        </w:tc>
      </w:tr>
      <w:tr w:rsidR="00652235" w:rsidRPr="000537B0" w14:paraId="70D1CA24" w14:textId="77777777" w:rsidTr="00D863C8">
        <w:tc>
          <w:tcPr>
            <w:tcW w:w="1418" w:type="pct"/>
          </w:tcPr>
          <w:p w14:paraId="34E1EA00" w14:textId="77777777" w:rsidR="00652235" w:rsidRPr="000537B0" w:rsidRDefault="00652235" w:rsidP="00F11AFE">
            <w:pPr>
              <w:pStyle w:val="Tabletext"/>
              <w:rPr>
                <w:snapToGrid w:val="0"/>
              </w:rPr>
            </w:pPr>
            <w:r w:rsidRPr="000537B0">
              <w:rPr>
                <w:snapToGrid w:val="0"/>
              </w:rPr>
              <w:t>VLAP – Life of capital</w:t>
            </w:r>
          </w:p>
        </w:tc>
        <w:tc>
          <w:tcPr>
            <w:tcW w:w="2414" w:type="pct"/>
          </w:tcPr>
          <w:p w14:paraId="59DAC9B5" w14:textId="77777777" w:rsidR="00652235" w:rsidRPr="000537B0" w:rsidRDefault="00652235" w:rsidP="00F11AFE">
            <w:pPr>
              <w:pStyle w:val="Tabletext"/>
              <w:rPr>
                <w:snapToGrid w:val="0"/>
              </w:rPr>
            </w:pPr>
            <w:r w:rsidRPr="000537B0">
              <w:rPr>
                <w:snapToGrid w:val="0"/>
              </w:rPr>
              <w:t>Increase from 5 to 7 years</w:t>
            </w:r>
          </w:p>
        </w:tc>
        <w:tc>
          <w:tcPr>
            <w:tcW w:w="1168" w:type="pct"/>
          </w:tcPr>
          <w:p w14:paraId="3978F813" w14:textId="77777777" w:rsidR="00652235" w:rsidRPr="000537B0" w:rsidRDefault="00652235" w:rsidP="00F11AFE">
            <w:pPr>
              <w:pStyle w:val="Tabletext"/>
              <w:rPr>
                <w:snapToGrid w:val="0"/>
              </w:rPr>
            </w:pPr>
            <w:r w:rsidRPr="000537B0">
              <w:rPr>
                <w:snapToGrid w:val="0"/>
              </w:rPr>
              <w:t>-$228.38</w:t>
            </w:r>
          </w:p>
        </w:tc>
      </w:tr>
    </w:tbl>
    <w:p w14:paraId="3B44ADBB" w14:textId="77777777" w:rsidR="00652235" w:rsidRDefault="00652235" w:rsidP="00C11BBE">
      <w:pPr>
        <w:pStyle w:val="Tablenotes"/>
      </w:pPr>
      <w:r>
        <w:t>Note: Analyses in italics were conducted by the commentary as the results presented in the ADAR could not be verified.</w:t>
      </w:r>
    </w:p>
    <w:p w14:paraId="54C9B314" w14:textId="77777777" w:rsidR="00652235" w:rsidRPr="00D93FA3" w:rsidRDefault="00652235" w:rsidP="00C11BBE">
      <w:pPr>
        <w:pStyle w:val="Tablenotes"/>
      </w:pPr>
      <w:r>
        <w:t xml:space="preserve">Abbreviations: </w:t>
      </w:r>
      <w:r w:rsidRPr="00D93FA3">
        <w:t>PUL = prosthetic urethral lift; TURP = transurethral resection of the prostate; VLAP = visual laser ablation of the prostate.</w:t>
      </w:r>
    </w:p>
    <w:p w14:paraId="52735EA5" w14:textId="75121E28" w:rsidR="00652235" w:rsidRDefault="00652235" w:rsidP="00C11BBE">
      <w:pPr>
        <w:pStyle w:val="Tablenotes"/>
      </w:pPr>
      <w:r>
        <w:t>Source: Table 9, p26 of the commentary.</w:t>
      </w:r>
    </w:p>
    <w:p w14:paraId="67831ADF" w14:textId="2A587D14" w:rsidR="00C11BBE" w:rsidRPr="00C11BBE" w:rsidRDefault="00652235" w:rsidP="00C11BBE">
      <w:pPr>
        <w:spacing w:after="240"/>
      </w:pPr>
      <w:r>
        <w:t>The commentary noted that t</w:t>
      </w:r>
      <w:r w:rsidRPr="002D5795">
        <w:t xml:space="preserve">he sensitivity analyses presented in the ADAR </w:t>
      </w:r>
      <w:r>
        <w:t>were based on</w:t>
      </w:r>
      <w:r w:rsidRPr="002D5795">
        <w:t xml:space="preserve"> arbitrary increases (12.5%</w:t>
      </w:r>
      <w:r>
        <w:t xml:space="preserve"> for the number of PUL prostheses or number of TURP bed days, or </w:t>
      </w:r>
      <w:proofErr w:type="gramStart"/>
      <w:r>
        <w:t>2 year</w:t>
      </w:r>
      <w:proofErr w:type="gramEnd"/>
      <w:r>
        <w:t xml:space="preserve"> increase for VLAP capital).</w:t>
      </w:r>
      <w:r w:rsidRPr="002D5795">
        <w:t xml:space="preserve"> These arbitrary values do not reflect the range of uncerta</w:t>
      </w:r>
      <w:r>
        <w:t xml:space="preserve">inty in the parameters tested. </w:t>
      </w:r>
      <w:r w:rsidRPr="00FD633A">
        <w:t xml:space="preserve">Additional sensitivity analyses conducted </w:t>
      </w:r>
      <w:r>
        <w:t>by the commentary</w:t>
      </w:r>
      <w:r w:rsidRPr="00FD633A">
        <w:t xml:space="preserve"> are </w:t>
      </w:r>
      <w:r w:rsidRPr="00DB53F6">
        <w:t>present</w:t>
      </w:r>
      <w:r w:rsidR="00DB53F6" w:rsidRPr="00DB53F6">
        <w:t>ed in Table 17</w:t>
      </w:r>
      <w:r w:rsidRPr="00DB53F6">
        <w:t>.</w:t>
      </w:r>
      <w:bookmarkStart w:id="30" w:name="_Ref40975009"/>
      <w:r w:rsidR="00C11BBE">
        <w:br w:type="page"/>
      </w:r>
    </w:p>
    <w:p w14:paraId="5E058F6B" w14:textId="28DAA89B" w:rsidR="00652235" w:rsidRPr="00D863C8" w:rsidRDefault="00652235" w:rsidP="00D863C8">
      <w:pPr>
        <w:rPr>
          <w:rFonts w:ascii="Arial Narrow" w:hAnsi="Arial Narrow"/>
          <w:b/>
          <w:sz w:val="20"/>
        </w:rPr>
      </w:pPr>
      <w:bookmarkStart w:id="31" w:name="_Ref116378540"/>
      <w:r w:rsidRPr="00D863C8">
        <w:rPr>
          <w:rFonts w:ascii="Arial Narrow" w:hAnsi="Arial Narrow"/>
          <w:b/>
          <w:sz w:val="20"/>
        </w:rPr>
        <w:lastRenderedPageBreak/>
        <w:t xml:space="preserve">Table </w:t>
      </w:r>
      <w:r w:rsidR="00C11BBE" w:rsidRPr="00D863C8">
        <w:rPr>
          <w:rFonts w:ascii="Arial Narrow" w:hAnsi="Arial Narrow"/>
          <w:b/>
          <w:sz w:val="20"/>
        </w:rPr>
        <w:fldChar w:fldCharType="begin"/>
      </w:r>
      <w:r w:rsidR="00C11BBE" w:rsidRPr="00D863C8">
        <w:rPr>
          <w:rFonts w:ascii="Arial Narrow" w:hAnsi="Arial Narrow"/>
          <w:b/>
          <w:sz w:val="20"/>
        </w:rPr>
        <w:instrText xml:space="preserve"> SEQ Table \* ARABIC </w:instrText>
      </w:r>
      <w:r w:rsidR="00C11BBE" w:rsidRPr="00D863C8">
        <w:rPr>
          <w:rFonts w:ascii="Arial Narrow" w:hAnsi="Arial Narrow"/>
          <w:b/>
          <w:sz w:val="20"/>
        </w:rPr>
        <w:fldChar w:fldCharType="separate"/>
      </w:r>
      <w:r w:rsidRPr="00D863C8">
        <w:rPr>
          <w:rFonts w:ascii="Arial Narrow" w:hAnsi="Arial Narrow"/>
          <w:b/>
          <w:sz w:val="20"/>
        </w:rPr>
        <w:t>17</w:t>
      </w:r>
      <w:r w:rsidR="00C11BBE" w:rsidRPr="00D863C8">
        <w:rPr>
          <w:rFonts w:ascii="Arial Narrow" w:hAnsi="Arial Narrow"/>
          <w:b/>
          <w:sz w:val="20"/>
        </w:rPr>
        <w:fldChar w:fldCharType="end"/>
      </w:r>
      <w:bookmarkEnd w:id="30"/>
      <w:bookmarkEnd w:id="31"/>
      <w:r w:rsidRPr="00D863C8">
        <w:rPr>
          <w:rFonts w:ascii="Arial Narrow" w:hAnsi="Arial Narrow"/>
          <w:b/>
          <w:sz w:val="20"/>
        </w:rPr>
        <w:t xml:space="preserve"> Sensitivity analyses conducted by the commentary</w:t>
      </w:r>
    </w:p>
    <w:tbl>
      <w:tblPr>
        <w:tblStyle w:val="TableGrid"/>
        <w:tblW w:w="0" w:type="auto"/>
        <w:tblLook w:val="04A0" w:firstRow="1" w:lastRow="0" w:firstColumn="1" w:lastColumn="0" w:noHBand="0" w:noVBand="1"/>
        <w:tblDescription w:val="Sensitivity analyses conducted by the commentary"/>
      </w:tblPr>
      <w:tblGrid>
        <w:gridCol w:w="3539"/>
        <w:gridCol w:w="1095"/>
        <w:gridCol w:w="1095"/>
        <w:gridCol w:w="1096"/>
        <w:gridCol w:w="1095"/>
        <w:gridCol w:w="1096"/>
      </w:tblGrid>
      <w:tr w:rsidR="00652235" w:rsidRPr="00FD633A" w14:paraId="3E27402E" w14:textId="77777777" w:rsidTr="00221228">
        <w:trPr>
          <w:tblHeader/>
        </w:trPr>
        <w:tc>
          <w:tcPr>
            <w:tcW w:w="3539" w:type="dxa"/>
          </w:tcPr>
          <w:p w14:paraId="165BE7D8" w14:textId="77777777" w:rsidR="00652235" w:rsidRPr="000014F2" w:rsidRDefault="00652235" w:rsidP="0083662B">
            <w:pPr>
              <w:pStyle w:val="Critiquetabletext"/>
              <w:spacing w:before="0" w:after="0"/>
              <w:rPr>
                <w:b/>
                <w:color w:val="auto"/>
              </w:rPr>
            </w:pPr>
          </w:p>
        </w:tc>
        <w:tc>
          <w:tcPr>
            <w:tcW w:w="1095" w:type="dxa"/>
          </w:tcPr>
          <w:p w14:paraId="5EDA197E" w14:textId="77777777" w:rsidR="00652235" w:rsidRPr="000014F2" w:rsidRDefault="00652235" w:rsidP="0083662B">
            <w:pPr>
              <w:pStyle w:val="Critiquetabletext"/>
              <w:spacing w:before="0" w:after="0"/>
              <w:jc w:val="center"/>
              <w:rPr>
                <w:b/>
                <w:color w:val="auto"/>
              </w:rPr>
            </w:pPr>
            <w:r w:rsidRPr="000014F2">
              <w:rPr>
                <w:b/>
                <w:color w:val="auto"/>
              </w:rPr>
              <w:t>PUL</w:t>
            </w:r>
          </w:p>
        </w:tc>
        <w:tc>
          <w:tcPr>
            <w:tcW w:w="1095" w:type="dxa"/>
          </w:tcPr>
          <w:p w14:paraId="7010D04F" w14:textId="77777777" w:rsidR="00652235" w:rsidRPr="000014F2" w:rsidRDefault="00652235" w:rsidP="0083662B">
            <w:pPr>
              <w:pStyle w:val="Critiquetabletext"/>
              <w:spacing w:before="0" w:after="0"/>
              <w:jc w:val="center"/>
              <w:rPr>
                <w:b/>
                <w:color w:val="auto"/>
              </w:rPr>
            </w:pPr>
            <w:r w:rsidRPr="000014F2">
              <w:rPr>
                <w:b/>
                <w:color w:val="auto"/>
              </w:rPr>
              <w:t>TURP</w:t>
            </w:r>
          </w:p>
        </w:tc>
        <w:tc>
          <w:tcPr>
            <w:tcW w:w="1096" w:type="dxa"/>
          </w:tcPr>
          <w:p w14:paraId="50146939" w14:textId="77777777" w:rsidR="00652235" w:rsidRPr="000014F2" w:rsidRDefault="00652235" w:rsidP="0083662B">
            <w:pPr>
              <w:pStyle w:val="Critiquetabletext"/>
              <w:spacing w:before="0" w:after="0"/>
              <w:jc w:val="center"/>
              <w:rPr>
                <w:b/>
                <w:color w:val="auto"/>
              </w:rPr>
            </w:pPr>
            <w:r w:rsidRPr="000014F2">
              <w:rPr>
                <w:b/>
                <w:color w:val="auto"/>
              </w:rPr>
              <w:t>Inc. cost</w:t>
            </w:r>
          </w:p>
        </w:tc>
        <w:tc>
          <w:tcPr>
            <w:tcW w:w="1095" w:type="dxa"/>
          </w:tcPr>
          <w:p w14:paraId="3A1599BB" w14:textId="77777777" w:rsidR="00652235" w:rsidRPr="000014F2" w:rsidRDefault="00652235" w:rsidP="0083662B">
            <w:pPr>
              <w:pStyle w:val="Critiquetabletext"/>
              <w:spacing w:before="0" w:after="0"/>
              <w:jc w:val="center"/>
              <w:rPr>
                <w:b/>
                <w:color w:val="auto"/>
              </w:rPr>
            </w:pPr>
            <w:r w:rsidRPr="000014F2">
              <w:rPr>
                <w:b/>
                <w:color w:val="auto"/>
              </w:rPr>
              <w:t>VLAP</w:t>
            </w:r>
          </w:p>
        </w:tc>
        <w:tc>
          <w:tcPr>
            <w:tcW w:w="1096" w:type="dxa"/>
          </w:tcPr>
          <w:p w14:paraId="69B77598" w14:textId="77777777" w:rsidR="00652235" w:rsidRPr="000014F2" w:rsidRDefault="00652235" w:rsidP="0083662B">
            <w:pPr>
              <w:pStyle w:val="Critiquetabletext"/>
              <w:spacing w:before="0" w:after="0"/>
              <w:jc w:val="center"/>
              <w:rPr>
                <w:b/>
                <w:color w:val="auto"/>
              </w:rPr>
            </w:pPr>
            <w:r w:rsidRPr="000014F2">
              <w:rPr>
                <w:b/>
                <w:color w:val="auto"/>
              </w:rPr>
              <w:t>Inc. cost</w:t>
            </w:r>
          </w:p>
        </w:tc>
      </w:tr>
      <w:tr w:rsidR="00652235" w:rsidRPr="00FD633A" w14:paraId="484A52F9" w14:textId="77777777" w:rsidTr="00F11AFE">
        <w:tc>
          <w:tcPr>
            <w:tcW w:w="3539" w:type="dxa"/>
          </w:tcPr>
          <w:p w14:paraId="02D5F723" w14:textId="77777777" w:rsidR="00652235" w:rsidRPr="000014F2" w:rsidRDefault="00652235" w:rsidP="0083662B">
            <w:pPr>
              <w:pStyle w:val="Critiquetabletext"/>
              <w:spacing w:before="0" w:after="0"/>
              <w:rPr>
                <w:b/>
                <w:color w:val="auto"/>
              </w:rPr>
            </w:pPr>
            <w:r w:rsidRPr="000014F2">
              <w:rPr>
                <w:b/>
                <w:color w:val="auto"/>
              </w:rPr>
              <w:t>Base case</w:t>
            </w:r>
          </w:p>
        </w:tc>
        <w:tc>
          <w:tcPr>
            <w:tcW w:w="1095" w:type="dxa"/>
          </w:tcPr>
          <w:p w14:paraId="6576A5B2" w14:textId="77777777" w:rsidR="00652235" w:rsidRPr="000014F2" w:rsidRDefault="00652235" w:rsidP="0083662B">
            <w:pPr>
              <w:pStyle w:val="Critiquetabletext"/>
              <w:spacing w:before="0" w:after="0"/>
              <w:jc w:val="right"/>
              <w:rPr>
                <w:b/>
                <w:color w:val="auto"/>
              </w:rPr>
            </w:pPr>
            <w:r w:rsidRPr="000014F2">
              <w:rPr>
                <w:b/>
                <w:color w:val="auto"/>
              </w:rPr>
              <w:t>$5,775.13</w:t>
            </w:r>
          </w:p>
        </w:tc>
        <w:tc>
          <w:tcPr>
            <w:tcW w:w="1095" w:type="dxa"/>
          </w:tcPr>
          <w:p w14:paraId="13BF8F69" w14:textId="77777777" w:rsidR="00652235" w:rsidRPr="000014F2" w:rsidRDefault="00652235" w:rsidP="0083662B">
            <w:pPr>
              <w:pStyle w:val="Critiquetabletext"/>
              <w:spacing w:before="0" w:after="0"/>
              <w:jc w:val="right"/>
              <w:rPr>
                <w:b/>
                <w:color w:val="auto"/>
              </w:rPr>
            </w:pPr>
            <w:r w:rsidRPr="000014F2">
              <w:rPr>
                <w:b/>
                <w:color w:val="auto"/>
              </w:rPr>
              <w:t>$5,824.72</w:t>
            </w:r>
          </w:p>
        </w:tc>
        <w:tc>
          <w:tcPr>
            <w:tcW w:w="1096" w:type="dxa"/>
          </w:tcPr>
          <w:p w14:paraId="36ED6F49" w14:textId="77777777" w:rsidR="00652235" w:rsidRPr="000014F2" w:rsidRDefault="00652235" w:rsidP="0083662B">
            <w:pPr>
              <w:pStyle w:val="Critiquetabletext"/>
              <w:spacing w:before="0" w:after="0"/>
              <w:jc w:val="right"/>
              <w:rPr>
                <w:b/>
                <w:color w:val="auto"/>
              </w:rPr>
            </w:pPr>
            <w:r w:rsidRPr="000014F2">
              <w:rPr>
                <w:b/>
                <w:color w:val="auto"/>
              </w:rPr>
              <w:t>–$49.59</w:t>
            </w:r>
          </w:p>
        </w:tc>
        <w:tc>
          <w:tcPr>
            <w:tcW w:w="1095" w:type="dxa"/>
          </w:tcPr>
          <w:p w14:paraId="4DD30994" w14:textId="77777777" w:rsidR="00652235" w:rsidRPr="000014F2" w:rsidRDefault="00652235" w:rsidP="0083662B">
            <w:pPr>
              <w:pStyle w:val="Critiquetabletext"/>
              <w:spacing w:before="0" w:after="0"/>
              <w:jc w:val="right"/>
              <w:rPr>
                <w:b/>
                <w:color w:val="auto"/>
              </w:rPr>
            </w:pPr>
            <w:r w:rsidRPr="000014F2">
              <w:rPr>
                <w:b/>
                <w:color w:val="auto"/>
              </w:rPr>
              <w:t>$5,992.74</w:t>
            </w:r>
          </w:p>
        </w:tc>
        <w:tc>
          <w:tcPr>
            <w:tcW w:w="1096" w:type="dxa"/>
          </w:tcPr>
          <w:p w14:paraId="3423463D" w14:textId="77777777" w:rsidR="00652235" w:rsidRPr="000014F2" w:rsidRDefault="00652235" w:rsidP="0083662B">
            <w:pPr>
              <w:pStyle w:val="Critiquetabletext"/>
              <w:spacing w:before="0" w:after="0"/>
              <w:jc w:val="right"/>
              <w:rPr>
                <w:b/>
                <w:color w:val="auto"/>
              </w:rPr>
            </w:pPr>
            <w:r w:rsidRPr="000014F2">
              <w:rPr>
                <w:b/>
                <w:color w:val="auto"/>
              </w:rPr>
              <w:t>–$217.61</w:t>
            </w:r>
          </w:p>
        </w:tc>
      </w:tr>
      <w:tr w:rsidR="00652235" w:rsidRPr="00FD633A" w14:paraId="50EB6D17" w14:textId="77777777" w:rsidTr="00F11AFE">
        <w:tc>
          <w:tcPr>
            <w:tcW w:w="3539" w:type="dxa"/>
            <w:tcBorders>
              <w:right w:val="nil"/>
            </w:tcBorders>
          </w:tcPr>
          <w:p w14:paraId="665DF8DD" w14:textId="77777777" w:rsidR="00652235" w:rsidRPr="000014F2" w:rsidRDefault="00652235" w:rsidP="0083662B">
            <w:pPr>
              <w:pStyle w:val="Critiquetabletext"/>
              <w:spacing w:before="0" w:after="0"/>
              <w:rPr>
                <w:i/>
                <w:iCs/>
                <w:color w:val="auto"/>
              </w:rPr>
            </w:pPr>
            <w:r w:rsidRPr="000014F2">
              <w:rPr>
                <w:i/>
                <w:iCs/>
                <w:color w:val="auto"/>
              </w:rPr>
              <w:t>Hospital length of stay</w:t>
            </w:r>
          </w:p>
        </w:tc>
        <w:tc>
          <w:tcPr>
            <w:tcW w:w="1095" w:type="dxa"/>
            <w:tcBorders>
              <w:left w:val="nil"/>
              <w:right w:val="nil"/>
            </w:tcBorders>
          </w:tcPr>
          <w:p w14:paraId="3E213165" w14:textId="77777777" w:rsidR="00652235" w:rsidRPr="000014F2" w:rsidRDefault="00652235" w:rsidP="0083662B">
            <w:pPr>
              <w:pStyle w:val="Critiquetabletext"/>
              <w:spacing w:before="0" w:after="0"/>
              <w:jc w:val="right"/>
              <w:rPr>
                <w:i/>
                <w:iCs/>
                <w:color w:val="auto"/>
              </w:rPr>
            </w:pPr>
          </w:p>
        </w:tc>
        <w:tc>
          <w:tcPr>
            <w:tcW w:w="1095" w:type="dxa"/>
            <w:tcBorders>
              <w:left w:val="nil"/>
              <w:right w:val="nil"/>
            </w:tcBorders>
          </w:tcPr>
          <w:p w14:paraId="1A70B3E1" w14:textId="77777777" w:rsidR="00652235" w:rsidRPr="000014F2" w:rsidRDefault="00652235" w:rsidP="0083662B">
            <w:pPr>
              <w:pStyle w:val="Critiquetabletext"/>
              <w:spacing w:before="0" w:after="0"/>
              <w:jc w:val="right"/>
              <w:rPr>
                <w:i/>
                <w:iCs/>
                <w:color w:val="auto"/>
              </w:rPr>
            </w:pPr>
          </w:p>
        </w:tc>
        <w:tc>
          <w:tcPr>
            <w:tcW w:w="1096" w:type="dxa"/>
            <w:tcBorders>
              <w:left w:val="nil"/>
              <w:right w:val="nil"/>
            </w:tcBorders>
          </w:tcPr>
          <w:p w14:paraId="70B17D73" w14:textId="77777777" w:rsidR="00652235" w:rsidRPr="000014F2" w:rsidRDefault="00652235" w:rsidP="0083662B">
            <w:pPr>
              <w:pStyle w:val="Critiquetabletext"/>
              <w:spacing w:before="0" w:after="0"/>
              <w:jc w:val="right"/>
              <w:rPr>
                <w:i/>
                <w:iCs/>
                <w:color w:val="auto"/>
              </w:rPr>
            </w:pPr>
          </w:p>
        </w:tc>
        <w:tc>
          <w:tcPr>
            <w:tcW w:w="1095" w:type="dxa"/>
            <w:tcBorders>
              <w:left w:val="nil"/>
              <w:right w:val="nil"/>
            </w:tcBorders>
          </w:tcPr>
          <w:p w14:paraId="6426A640" w14:textId="77777777" w:rsidR="00652235" w:rsidRPr="000014F2" w:rsidRDefault="00652235" w:rsidP="0083662B">
            <w:pPr>
              <w:pStyle w:val="Critiquetabletext"/>
              <w:spacing w:before="0" w:after="0"/>
              <w:jc w:val="right"/>
              <w:rPr>
                <w:i/>
                <w:iCs/>
                <w:color w:val="auto"/>
              </w:rPr>
            </w:pPr>
          </w:p>
        </w:tc>
        <w:tc>
          <w:tcPr>
            <w:tcW w:w="1096" w:type="dxa"/>
            <w:tcBorders>
              <w:left w:val="nil"/>
            </w:tcBorders>
          </w:tcPr>
          <w:p w14:paraId="39C4E0A8" w14:textId="77777777" w:rsidR="00652235" w:rsidRPr="000014F2" w:rsidRDefault="00652235" w:rsidP="0083662B">
            <w:pPr>
              <w:pStyle w:val="Critiquetabletext"/>
              <w:spacing w:before="0" w:after="0"/>
              <w:jc w:val="right"/>
              <w:rPr>
                <w:i/>
                <w:iCs/>
                <w:color w:val="auto"/>
              </w:rPr>
            </w:pPr>
          </w:p>
        </w:tc>
      </w:tr>
      <w:tr w:rsidR="00652235" w:rsidRPr="00FD633A" w14:paraId="1E937F52" w14:textId="77777777" w:rsidTr="00F11AFE">
        <w:tc>
          <w:tcPr>
            <w:tcW w:w="3539" w:type="dxa"/>
            <w:tcBorders>
              <w:bottom w:val="nil"/>
            </w:tcBorders>
          </w:tcPr>
          <w:p w14:paraId="72C4DFF2" w14:textId="77777777" w:rsidR="00652235" w:rsidRPr="000014F2" w:rsidRDefault="00652235" w:rsidP="0083662B">
            <w:pPr>
              <w:pStyle w:val="Critiquetabletext"/>
              <w:spacing w:before="0" w:after="0"/>
              <w:rPr>
                <w:i/>
                <w:iCs/>
                <w:color w:val="auto"/>
              </w:rPr>
            </w:pPr>
            <w:r w:rsidRPr="000014F2">
              <w:rPr>
                <w:i/>
                <w:iCs/>
                <w:color w:val="auto"/>
              </w:rPr>
              <w:t xml:space="preserve">TURP, 1.9 days (base case: 2.56) </w:t>
            </w:r>
            <w:r w:rsidRPr="000014F2">
              <w:rPr>
                <w:b/>
                <w:i/>
                <w:iCs/>
                <w:color w:val="auto"/>
              </w:rPr>
              <w:t>(#5)</w:t>
            </w:r>
          </w:p>
        </w:tc>
        <w:tc>
          <w:tcPr>
            <w:tcW w:w="1095" w:type="dxa"/>
            <w:tcBorders>
              <w:bottom w:val="nil"/>
            </w:tcBorders>
          </w:tcPr>
          <w:p w14:paraId="05D049E5" w14:textId="77777777" w:rsidR="00652235" w:rsidRPr="000014F2" w:rsidRDefault="00652235" w:rsidP="0083662B">
            <w:pPr>
              <w:pStyle w:val="Critiquetabletext"/>
              <w:spacing w:before="0" w:after="0"/>
              <w:jc w:val="right"/>
              <w:rPr>
                <w:i/>
                <w:iCs/>
                <w:color w:val="auto"/>
              </w:rPr>
            </w:pPr>
            <w:r w:rsidRPr="000014F2">
              <w:rPr>
                <w:i/>
                <w:iCs/>
                <w:color w:val="auto"/>
              </w:rPr>
              <w:t>$5,765.79</w:t>
            </w:r>
          </w:p>
        </w:tc>
        <w:tc>
          <w:tcPr>
            <w:tcW w:w="1095" w:type="dxa"/>
            <w:tcBorders>
              <w:bottom w:val="nil"/>
            </w:tcBorders>
          </w:tcPr>
          <w:p w14:paraId="22AF76CA" w14:textId="77777777" w:rsidR="00652235" w:rsidRPr="000014F2" w:rsidRDefault="00652235" w:rsidP="0083662B">
            <w:pPr>
              <w:pStyle w:val="Critiquetabletext"/>
              <w:spacing w:before="0" w:after="0"/>
              <w:jc w:val="right"/>
              <w:rPr>
                <w:i/>
                <w:iCs/>
                <w:color w:val="auto"/>
              </w:rPr>
            </w:pPr>
            <w:r w:rsidRPr="000014F2">
              <w:rPr>
                <w:i/>
                <w:iCs/>
                <w:color w:val="auto"/>
              </w:rPr>
              <w:t>$5,176.52</w:t>
            </w:r>
          </w:p>
        </w:tc>
        <w:tc>
          <w:tcPr>
            <w:tcW w:w="1096" w:type="dxa"/>
            <w:tcBorders>
              <w:bottom w:val="nil"/>
            </w:tcBorders>
          </w:tcPr>
          <w:p w14:paraId="406CD762" w14:textId="77777777" w:rsidR="00652235" w:rsidRPr="000014F2" w:rsidRDefault="00652235" w:rsidP="0083662B">
            <w:pPr>
              <w:pStyle w:val="Critiquetabletext"/>
              <w:spacing w:before="0" w:after="0"/>
              <w:jc w:val="right"/>
              <w:rPr>
                <w:i/>
                <w:iCs/>
                <w:color w:val="auto"/>
              </w:rPr>
            </w:pPr>
            <w:r w:rsidRPr="000014F2">
              <w:rPr>
                <w:i/>
                <w:iCs/>
                <w:color w:val="auto"/>
              </w:rPr>
              <w:t>$589.27</w:t>
            </w:r>
          </w:p>
        </w:tc>
        <w:tc>
          <w:tcPr>
            <w:tcW w:w="1095" w:type="dxa"/>
            <w:tcBorders>
              <w:bottom w:val="nil"/>
            </w:tcBorders>
          </w:tcPr>
          <w:p w14:paraId="2A8FA6B1" w14:textId="77777777" w:rsidR="00652235" w:rsidRPr="000014F2" w:rsidRDefault="00652235" w:rsidP="0083662B">
            <w:pPr>
              <w:pStyle w:val="Critiquetabletext"/>
              <w:spacing w:before="0" w:after="0"/>
              <w:jc w:val="right"/>
              <w:rPr>
                <w:i/>
                <w:iCs/>
                <w:color w:val="auto"/>
              </w:rPr>
            </w:pPr>
            <w:r w:rsidRPr="000014F2">
              <w:rPr>
                <w:i/>
                <w:iCs/>
                <w:color w:val="auto"/>
              </w:rPr>
              <w:t>$5,992.74</w:t>
            </w:r>
          </w:p>
        </w:tc>
        <w:tc>
          <w:tcPr>
            <w:tcW w:w="1096" w:type="dxa"/>
            <w:tcBorders>
              <w:bottom w:val="nil"/>
            </w:tcBorders>
          </w:tcPr>
          <w:p w14:paraId="63FA90D7" w14:textId="77777777" w:rsidR="00652235" w:rsidRPr="000014F2" w:rsidRDefault="00652235" w:rsidP="0083662B">
            <w:pPr>
              <w:pStyle w:val="Critiquetabletext"/>
              <w:spacing w:before="0" w:after="0"/>
              <w:jc w:val="right"/>
              <w:rPr>
                <w:i/>
                <w:iCs/>
                <w:color w:val="auto"/>
              </w:rPr>
            </w:pPr>
            <w:r w:rsidRPr="000014F2">
              <w:rPr>
                <w:i/>
                <w:iCs/>
                <w:color w:val="auto"/>
              </w:rPr>
              <w:t>–$226.94</w:t>
            </w:r>
          </w:p>
        </w:tc>
      </w:tr>
      <w:tr w:rsidR="00652235" w:rsidRPr="00FD633A" w14:paraId="02476DDC" w14:textId="77777777" w:rsidTr="00F11AFE">
        <w:tc>
          <w:tcPr>
            <w:tcW w:w="3539" w:type="dxa"/>
            <w:tcBorders>
              <w:top w:val="nil"/>
            </w:tcBorders>
          </w:tcPr>
          <w:p w14:paraId="1B881FE5" w14:textId="77777777" w:rsidR="00652235" w:rsidRPr="000014F2" w:rsidRDefault="00652235" w:rsidP="0083662B">
            <w:pPr>
              <w:pStyle w:val="Critiquetabletext"/>
              <w:spacing w:before="0" w:after="0"/>
              <w:rPr>
                <w:i/>
                <w:iCs/>
                <w:color w:val="auto"/>
              </w:rPr>
            </w:pPr>
            <w:r w:rsidRPr="000014F2">
              <w:rPr>
                <w:i/>
                <w:iCs/>
                <w:color w:val="auto"/>
              </w:rPr>
              <w:t>VLAP, 1 day (base case: 2 days)</w:t>
            </w:r>
          </w:p>
        </w:tc>
        <w:tc>
          <w:tcPr>
            <w:tcW w:w="1095" w:type="dxa"/>
            <w:tcBorders>
              <w:top w:val="nil"/>
            </w:tcBorders>
          </w:tcPr>
          <w:p w14:paraId="503C4305" w14:textId="77777777" w:rsidR="00652235" w:rsidRPr="000014F2" w:rsidRDefault="00652235" w:rsidP="0083662B">
            <w:pPr>
              <w:pStyle w:val="Critiquetabletext"/>
              <w:spacing w:before="0" w:after="0"/>
              <w:jc w:val="right"/>
              <w:rPr>
                <w:i/>
                <w:iCs/>
                <w:color w:val="auto"/>
              </w:rPr>
            </w:pPr>
            <w:r w:rsidRPr="000014F2">
              <w:rPr>
                <w:i/>
                <w:iCs/>
                <w:color w:val="auto"/>
              </w:rPr>
              <w:t>$5,775.13</w:t>
            </w:r>
          </w:p>
        </w:tc>
        <w:tc>
          <w:tcPr>
            <w:tcW w:w="1095" w:type="dxa"/>
            <w:tcBorders>
              <w:top w:val="nil"/>
            </w:tcBorders>
          </w:tcPr>
          <w:p w14:paraId="32E404D0" w14:textId="77777777" w:rsidR="00652235" w:rsidRPr="000014F2" w:rsidRDefault="00652235" w:rsidP="0083662B">
            <w:pPr>
              <w:pStyle w:val="Critiquetabletext"/>
              <w:spacing w:before="0" w:after="0"/>
              <w:jc w:val="right"/>
              <w:rPr>
                <w:i/>
                <w:iCs/>
                <w:color w:val="auto"/>
              </w:rPr>
            </w:pPr>
            <w:r w:rsidRPr="000014F2">
              <w:rPr>
                <w:i/>
                <w:iCs/>
                <w:color w:val="auto"/>
              </w:rPr>
              <w:t>$5,824.72</w:t>
            </w:r>
          </w:p>
        </w:tc>
        <w:tc>
          <w:tcPr>
            <w:tcW w:w="1096" w:type="dxa"/>
            <w:tcBorders>
              <w:top w:val="nil"/>
            </w:tcBorders>
          </w:tcPr>
          <w:p w14:paraId="70996BE9" w14:textId="77777777" w:rsidR="00652235" w:rsidRPr="000014F2" w:rsidRDefault="00652235" w:rsidP="0083662B">
            <w:pPr>
              <w:pStyle w:val="Critiquetabletext"/>
              <w:spacing w:before="0" w:after="0"/>
              <w:jc w:val="right"/>
              <w:rPr>
                <w:i/>
                <w:iCs/>
                <w:color w:val="auto"/>
              </w:rPr>
            </w:pPr>
            <w:r w:rsidRPr="000014F2">
              <w:rPr>
                <w:i/>
                <w:iCs/>
                <w:color w:val="auto"/>
              </w:rPr>
              <w:t>–$49.59</w:t>
            </w:r>
          </w:p>
        </w:tc>
        <w:tc>
          <w:tcPr>
            <w:tcW w:w="1095" w:type="dxa"/>
            <w:tcBorders>
              <w:top w:val="nil"/>
            </w:tcBorders>
          </w:tcPr>
          <w:p w14:paraId="48CDCD5E" w14:textId="77777777" w:rsidR="00652235" w:rsidRPr="000014F2" w:rsidRDefault="00652235" w:rsidP="0083662B">
            <w:pPr>
              <w:pStyle w:val="Critiquetabletext"/>
              <w:spacing w:before="0" w:after="0"/>
              <w:jc w:val="right"/>
              <w:rPr>
                <w:i/>
                <w:iCs/>
                <w:color w:val="auto"/>
              </w:rPr>
            </w:pPr>
            <w:r w:rsidRPr="000014F2">
              <w:rPr>
                <w:i/>
                <w:iCs/>
                <w:color w:val="auto"/>
              </w:rPr>
              <w:t>$5,203.64</w:t>
            </w:r>
          </w:p>
        </w:tc>
        <w:tc>
          <w:tcPr>
            <w:tcW w:w="1096" w:type="dxa"/>
            <w:tcBorders>
              <w:top w:val="nil"/>
            </w:tcBorders>
          </w:tcPr>
          <w:p w14:paraId="1A4C7594" w14:textId="77777777" w:rsidR="00652235" w:rsidRPr="000014F2" w:rsidRDefault="00652235" w:rsidP="0083662B">
            <w:pPr>
              <w:pStyle w:val="Critiquetabletext"/>
              <w:spacing w:before="0" w:after="0"/>
              <w:jc w:val="right"/>
              <w:rPr>
                <w:i/>
                <w:iCs/>
                <w:color w:val="auto"/>
              </w:rPr>
            </w:pPr>
            <w:r w:rsidRPr="000014F2">
              <w:rPr>
                <w:i/>
                <w:iCs/>
                <w:color w:val="auto"/>
              </w:rPr>
              <w:t>$571.49</w:t>
            </w:r>
          </w:p>
        </w:tc>
      </w:tr>
      <w:tr w:rsidR="00652235" w:rsidRPr="00FD633A" w14:paraId="731616D6" w14:textId="77777777" w:rsidTr="00F11AFE">
        <w:tc>
          <w:tcPr>
            <w:tcW w:w="3539" w:type="dxa"/>
            <w:tcBorders>
              <w:right w:val="nil"/>
            </w:tcBorders>
          </w:tcPr>
          <w:p w14:paraId="094E4227" w14:textId="77777777" w:rsidR="00652235" w:rsidRPr="000014F2" w:rsidRDefault="00652235" w:rsidP="0083662B">
            <w:pPr>
              <w:pStyle w:val="Critiquetabletext"/>
              <w:spacing w:before="0" w:after="0"/>
              <w:rPr>
                <w:i/>
                <w:iCs/>
                <w:color w:val="auto"/>
              </w:rPr>
            </w:pPr>
            <w:r w:rsidRPr="000014F2">
              <w:rPr>
                <w:i/>
                <w:iCs/>
                <w:color w:val="auto"/>
              </w:rPr>
              <w:t xml:space="preserve">Source of TURP major cost weight multiplier </w:t>
            </w:r>
            <w:r w:rsidRPr="000014F2">
              <w:rPr>
                <w:i/>
                <w:iCs/>
                <w:color w:val="auto"/>
              </w:rPr>
              <w:br/>
              <w:t>(base case: 2018-19, 2.43)</w:t>
            </w:r>
          </w:p>
        </w:tc>
        <w:tc>
          <w:tcPr>
            <w:tcW w:w="1095" w:type="dxa"/>
            <w:tcBorders>
              <w:left w:val="nil"/>
              <w:right w:val="nil"/>
            </w:tcBorders>
          </w:tcPr>
          <w:p w14:paraId="1A4C929C" w14:textId="77777777" w:rsidR="00652235" w:rsidRPr="000014F2" w:rsidRDefault="00652235" w:rsidP="0083662B">
            <w:pPr>
              <w:pStyle w:val="Critiquetabletext"/>
              <w:spacing w:before="0" w:after="0"/>
              <w:jc w:val="right"/>
              <w:rPr>
                <w:i/>
                <w:iCs/>
                <w:color w:val="auto"/>
              </w:rPr>
            </w:pPr>
          </w:p>
        </w:tc>
        <w:tc>
          <w:tcPr>
            <w:tcW w:w="1095" w:type="dxa"/>
            <w:tcBorders>
              <w:left w:val="nil"/>
              <w:right w:val="nil"/>
            </w:tcBorders>
          </w:tcPr>
          <w:p w14:paraId="06A13D3D" w14:textId="77777777" w:rsidR="00652235" w:rsidRPr="000014F2" w:rsidRDefault="00652235" w:rsidP="0083662B">
            <w:pPr>
              <w:pStyle w:val="Critiquetabletext"/>
              <w:spacing w:before="0" w:after="0"/>
              <w:jc w:val="right"/>
              <w:rPr>
                <w:i/>
                <w:iCs/>
                <w:color w:val="auto"/>
              </w:rPr>
            </w:pPr>
          </w:p>
        </w:tc>
        <w:tc>
          <w:tcPr>
            <w:tcW w:w="1096" w:type="dxa"/>
            <w:tcBorders>
              <w:left w:val="nil"/>
              <w:right w:val="nil"/>
            </w:tcBorders>
          </w:tcPr>
          <w:p w14:paraId="72B6F7D4" w14:textId="77777777" w:rsidR="00652235" w:rsidRPr="000014F2" w:rsidRDefault="00652235" w:rsidP="0083662B">
            <w:pPr>
              <w:pStyle w:val="Critiquetabletext"/>
              <w:spacing w:before="0" w:after="0"/>
              <w:jc w:val="right"/>
              <w:rPr>
                <w:i/>
                <w:iCs/>
                <w:color w:val="auto"/>
              </w:rPr>
            </w:pPr>
          </w:p>
        </w:tc>
        <w:tc>
          <w:tcPr>
            <w:tcW w:w="1095" w:type="dxa"/>
            <w:tcBorders>
              <w:left w:val="nil"/>
              <w:right w:val="nil"/>
            </w:tcBorders>
          </w:tcPr>
          <w:p w14:paraId="704E7E14" w14:textId="77777777" w:rsidR="00652235" w:rsidRPr="000014F2" w:rsidRDefault="00652235" w:rsidP="0083662B">
            <w:pPr>
              <w:pStyle w:val="Critiquetabletext"/>
              <w:spacing w:before="0" w:after="0"/>
              <w:jc w:val="right"/>
              <w:rPr>
                <w:i/>
                <w:iCs/>
                <w:color w:val="auto"/>
              </w:rPr>
            </w:pPr>
          </w:p>
        </w:tc>
        <w:tc>
          <w:tcPr>
            <w:tcW w:w="1096" w:type="dxa"/>
            <w:tcBorders>
              <w:left w:val="nil"/>
            </w:tcBorders>
          </w:tcPr>
          <w:p w14:paraId="0E47C9D1" w14:textId="77777777" w:rsidR="00652235" w:rsidRPr="000014F2" w:rsidRDefault="00652235" w:rsidP="0083662B">
            <w:pPr>
              <w:pStyle w:val="Critiquetabletext"/>
              <w:spacing w:before="0" w:after="0"/>
              <w:jc w:val="right"/>
              <w:rPr>
                <w:i/>
                <w:iCs/>
                <w:color w:val="auto"/>
              </w:rPr>
            </w:pPr>
          </w:p>
        </w:tc>
      </w:tr>
      <w:tr w:rsidR="00652235" w:rsidRPr="00FD633A" w14:paraId="769EF216" w14:textId="77777777" w:rsidTr="00F11AFE">
        <w:tc>
          <w:tcPr>
            <w:tcW w:w="3539" w:type="dxa"/>
            <w:tcBorders>
              <w:bottom w:val="nil"/>
            </w:tcBorders>
          </w:tcPr>
          <w:p w14:paraId="31770D9F" w14:textId="77777777" w:rsidR="00652235" w:rsidRPr="000014F2" w:rsidRDefault="00652235" w:rsidP="0083662B">
            <w:pPr>
              <w:pStyle w:val="Critiquetabletext"/>
              <w:spacing w:before="0" w:after="0"/>
              <w:rPr>
                <w:i/>
                <w:iCs/>
                <w:color w:val="auto"/>
              </w:rPr>
            </w:pPr>
            <w:r w:rsidRPr="000014F2">
              <w:rPr>
                <w:i/>
                <w:iCs/>
                <w:color w:val="auto"/>
              </w:rPr>
              <w:t xml:space="preserve">2019-20 (2.13) </w:t>
            </w:r>
            <w:r w:rsidRPr="000014F2">
              <w:rPr>
                <w:b/>
                <w:i/>
                <w:iCs/>
                <w:color w:val="auto"/>
              </w:rPr>
              <w:t>(#1)</w:t>
            </w:r>
          </w:p>
        </w:tc>
        <w:tc>
          <w:tcPr>
            <w:tcW w:w="1095" w:type="dxa"/>
            <w:tcBorders>
              <w:bottom w:val="nil"/>
            </w:tcBorders>
          </w:tcPr>
          <w:p w14:paraId="3F526C98" w14:textId="77777777" w:rsidR="00652235" w:rsidRPr="000014F2" w:rsidRDefault="00652235" w:rsidP="0083662B">
            <w:pPr>
              <w:pStyle w:val="Critiquetabletext"/>
              <w:spacing w:before="0" w:after="0"/>
              <w:jc w:val="right"/>
              <w:rPr>
                <w:i/>
                <w:iCs/>
                <w:color w:val="auto"/>
              </w:rPr>
            </w:pPr>
            <w:r w:rsidRPr="000014F2">
              <w:rPr>
                <w:i/>
                <w:iCs/>
                <w:color w:val="auto"/>
              </w:rPr>
              <w:t>$5,772.58</w:t>
            </w:r>
          </w:p>
        </w:tc>
        <w:tc>
          <w:tcPr>
            <w:tcW w:w="1095" w:type="dxa"/>
            <w:tcBorders>
              <w:bottom w:val="nil"/>
            </w:tcBorders>
          </w:tcPr>
          <w:p w14:paraId="581CE945" w14:textId="77777777" w:rsidR="00652235" w:rsidRPr="000014F2" w:rsidRDefault="00652235" w:rsidP="0083662B">
            <w:pPr>
              <w:pStyle w:val="Critiquetabletext"/>
              <w:spacing w:before="0" w:after="0"/>
              <w:jc w:val="right"/>
              <w:rPr>
                <w:i/>
                <w:iCs/>
                <w:color w:val="auto"/>
              </w:rPr>
            </w:pPr>
            <w:r w:rsidRPr="000014F2">
              <w:rPr>
                <w:i/>
                <w:iCs/>
                <w:color w:val="auto"/>
              </w:rPr>
              <w:t>$5,647.82</w:t>
            </w:r>
          </w:p>
        </w:tc>
        <w:tc>
          <w:tcPr>
            <w:tcW w:w="1096" w:type="dxa"/>
            <w:tcBorders>
              <w:bottom w:val="nil"/>
            </w:tcBorders>
          </w:tcPr>
          <w:p w14:paraId="682DE50A" w14:textId="77777777" w:rsidR="00652235" w:rsidRPr="000014F2" w:rsidRDefault="00652235" w:rsidP="0083662B">
            <w:pPr>
              <w:pStyle w:val="Critiquetabletext"/>
              <w:spacing w:before="0" w:after="0"/>
              <w:jc w:val="right"/>
              <w:rPr>
                <w:i/>
                <w:iCs/>
                <w:color w:val="auto"/>
              </w:rPr>
            </w:pPr>
            <w:r w:rsidRPr="000014F2">
              <w:rPr>
                <w:i/>
                <w:iCs/>
                <w:color w:val="auto"/>
              </w:rPr>
              <w:t>$124.76</w:t>
            </w:r>
          </w:p>
        </w:tc>
        <w:tc>
          <w:tcPr>
            <w:tcW w:w="1095" w:type="dxa"/>
            <w:tcBorders>
              <w:bottom w:val="nil"/>
            </w:tcBorders>
          </w:tcPr>
          <w:p w14:paraId="43B89CD4" w14:textId="77777777" w:rsidR="00652235" w:rsidRPr="000014F2" w:rsidRDefault="00652235" w:rsidP="0083662B">
            <w:pPr>
              <w:pStyle w:val="Critiquetabletext"/>
              <w:spacing w:before="0" w:after="0"/>
              <w:jc w:val="right"/>
              <w:rPr>
                <w:i/>
                <w:iCs/>
                <w:color w:val="auto"/>
              </w:rPr>
            </w:pPr>
            <w:r w:rsidRPr="000014F2">
              <w:rPr>
                <w:i/>
                <w:iCs/>
                <w:color w:val="auto"/>
              </w:rPr>
              <w:t>$5,992.74</w:t>
            </w:r>
          </w:p>
        </w:tc>
        <w:tc>
          <w:tcPr>
            <w:tcW w:w="1096" w:type="dxa"/>
            <w:tcBorders>
              <w:bottom w:val="nil"/>
            </w:tcBorders>
          </w:tcPr>
          <w:p w14:paraId="1C6555F2" w14:textId="77777777" w:rsidR="00652235" w:rsidRPr="000014F2" w:rsidRDefault="00652235" w:rsidP="0083662B">
            <w:pPr>
              <w:pStyle w:val="Critiquetabletext"/>
              <w:spacing w:before="0" w:after="0"/>
              <w:jc w:val="right"/>
              <w:rPr>
                <w:i/>
                <w:iCs/>
                <w:color w:val="auto"/>
              </w:rPr>
            </w:pPr>
            <w:r w:rsidRPr="000014F2">
              <w:rPr>
                <w:i/>
                <w:iCs/>
                <w:color w:val="auto"/>
              </w:rPr>
              <w:t>–$220.16</w:t>
            </w:r>
          </w:p>
        </w:tc>
      </w:tr>
      <w:tr w:rsidR="00652235" w:rsidRPr="00FD633A" w14:paraId="2A25BD24" w14:textId="77777777" w:rsidTr="00F11AFE">
        <w:tc>
          <w:tcPr>
            <w:tcW w:w="3539" w:type="dxa"/>
            <w:tcBorders>
              <w:top w:val="nil"/>
            </w:tcBorders>
          </w:tcPr>
          <w:p w14:paraId="4ABA39A4" w14:textId="77777777" w:rsidR="00652235" w:rsidRPr="000014F2" w:rsidRDefault="00652235" w:rsidP="0083662B">
            <w:pPr>
              <w:pStyle w:val="Critiquetabletext"/>
              <w:spacing w:before="0" w:after="0"/>
              <w:rPr>
                <w:i/>
                <w:iCs/>
                <w:color w:val="auto"/>
              </w:rPr>
            </w:pPr>
            <w:r w:rsidRPr="000014F2">
              <w:rPr>
                <w:i/>
                <w:iCs/>
                <w:color w:val="auto"/>
              </w:rPr>
              <w:t>2020-21 (1.98)</w:t>
            </w:r>
          </w:p>
        </w:tc>
        <w:tc>
          <w:tcPr>
            <w:tcW w:w="1095" w:type="dxa"/>
            <w:tcBorders>
              <w:top w:val="nil"/>
            </w:tcBorders>
          </w:tcPr>
          <w:p w14:paraId="654227F6" w14:textId="77777777" w:rsidR="00652235" w:rsidRPr="000014F2" w:rsidRDefault="00652235" w:rsidP="0083662B">
            <w:pPr>
              <w:pStyle w:val="Critiquetabletext"/>
              <w:spacing w:before="0" w:after="0"/>
              <w:jc w:val="right"/>
              <w:rPr>
                <w:i/>
                <w:iCs/>
                <w:color w:val="auto"/>
              </w:rPr>
            </w:pPr>
            <w:r w:rsidRPr="000014F2">
              <w:rPr>
                <w:i/>
                <w:iCs/>
                <w:color w:val="auto"/>
              </w:rPr>
              <w:t>$5,771.30</w:t>
            </w:r>
          </w:p>
        </w:tc>
        <w:tc>
          <w:tcPr>
            <w:tcW w:w="1095" w:type="dxa"/>
            <w:tcBorders>
              <w:top w:val="nil"/>
            </w:tcBorders>
          </w:tcPr>
          <w:p w14:paraId="3603EAF9" w14:textId="77777777" w:rsidR="00652235" w:rsidRPr="000014F2" w:rsidRDefault="00652235" w:rsidP="0083662B">
            <w:pPr>
              <w:pStyle w:val="Critiquetabletext"/>
              <w:spacing w:before="0" w:after="0"/>
              <w:jc w:val="right"/>
              <w:rPr>
                <w:i/>
                <w:iCs/>
                <w:color w:val="auto"/>
              </w:rPr>
            </w:pPr>
            <w:r w:rsidRPr="000014F2">
              <w:rPr>
                <w:i/>
                <w:iCs/>
                <w:color w:val="auto"/>
              </w:rPr>
              <w:t>$5,559.16</w:t>
            </w:r>
          </w:p>
        </w:tc>
        <w:tc>
          <w:tcPr>
            <w:tcW w:w="1096" w:type="dxa"/>
            <w:tcBorders>
              <w:top w:val="nil"/>
            </w:tcBorders>
          </w:tcPr>
          <w:p w14:paraId="4F5A2DCB" w14:textId="77777777" w:rsidR="00652235" w:rsidRPr="000014F2" w:rsidRDefault="00652235" w:rsidP="0083662B">
            <w:pPr>
              <w:pStyle w:val="Critiquetabletext"/>
              <w:spacing w:before="0" w:after="0"/>
              <w:jc w:val="right"/>
              <w:rPr>
                <w:i/>
                <w:iCs/>
                <w:color w:val="auto"/>
              </w:rPr>
            </w:pPr>
            <w:r w:rsidRPr="000014F2">
              <w:rPr>
                <w:i/>
                <w:iCs/>
                <w:color w:val="auto"/>
              </w:rPr>
              <w:t>$212.14</w:t>
            </w:r>
          </w:p>
        </w:tc>
        <w:tc>
          <w:tcPr>
            <w:tcW w:w="1095" w:type="dxa"/>
            <w:tcBorders>
              <w:top w:val="nil"/>
            </w:tcBorders>
          </w:tcPr>
          <w:p w14:paraId="519BAEB2" w14:textId="77777777" w:rsidR="00652235" w:rsidRPr="000014F2" w:rsidRDefault="00652235" w:rsidP="0083662B">
            <w:pPr>
              <w:pStyle w:val="Critiquetabletext"/>
              <w:spacing w:before="0" w:after="0"/>
              <w:jc w:val="right"/>
              <w:rPr>
                <w:i/>
                <w:iCs/>
                <w:color w:val="auto"/>
              </w:rPr>
            </w:pPr>
            <w:r w:rsidRPr="000014F2">
              <w:rPr>
                <w:i/>
                <w:iCs/>
                <w:color w:val="auto"/>
              </w:rPr>
              <w:t>$5,992.74</w:t>
            </w:r>
          </w:p>
        </w:tc>
        <w:tc>
          <w:tcPr>
            <w:tcW w:w="1096" w:type="dxa"/>
            <w:tcBorders>
              <w:top w:val="nil"/>
            </w:tcBorders>
          </w:tcPr>
          <w:p w14:paraId="5C89B65C" w14:textId="77777777" w:rsidR="00652235" w:rsidRPr="000014F2" w:rsidRDefault="00652235" w:rsidP="0083662B">
            <w:pPr>
              <w:pStyle w:val="Critiquetabletext"/>
              <w:spacing w:before="0" w:after="0"/>
              <w:jc w:val="right"/>
              <w:rPr>
                <w:i/>
                <w:iCs/>
                <w:color w:val="auto"/>
              </w:rPr>
            </w:pPr>
            <w:r w:rsidRPr="000014F2">
              <w:rPr>
                <w:i/>
                <w:iCs/>
                <w:color w:val="auto"/>
              </w:rPr>
              <w:t>–$221.43</w:t>
            </w:r>
          </w:p>
        </w:tc>
      </w:tr>
      <w:tr w:rsidR="00652235" w:rsidRPr="00FD633A" w14:paraId="31CE8E48" w14:textId="77777777" w:rsidTr="00F11AFE">
        <w:tc>
          <w:tcPr>
            <w:tcW w:w="3539" w:type="dxa"/>
          </w:tcPr>
          <w:p w14:paraId="04D5E021" w14:textId="77777777" w:rsidR="00652235" w:rsidRPr="000014F2" w:rsidRDefault="00652235" w:rsidP="0083662B">
            <w:pPr>
              <w:pStyle w:val="Critiquetabletext"/>
              <w:spacing w:before="0" w:after="0"/>
              <w:rPr>
                <w:i/>
                <w:iCs/>
                <w:color w:val="auto"/>
              </w:rPr>
            </w:pPr>
            <w:r w:rsidRPr="000014F2">
              <w:rPr>
                <w:i/>
                <w:iCs/>
                <w:color w:val="auto"/>
              </w:rPr>
              <w:t>Proportion of TURP major complications, 6%</w:t>
            </w:r>
            <w:r w:rsidRPr="000014F2">
              <w:rPr>
                <w:i/>
                <w:iCs/>
                <w:color w:val="auto"/>
                <w:vertAlign w:val="superscript"/>
              </w:rPr>
              <w:t>a</w:t>
            </w:r>
            <w:r w:rsidRPr="000014F2">
              <w:rPr>
                <w:i/>
                <w:iCs/>
                <w:color w:val="auto"/>
              </w:rPr>
              <w:t xml:space="preserve"> (base case: 12%)</w:t>
            </w:r>
          </w:p>
        </w:tc>
        <w:tc>
          <w:tcPr>
            <w:tcW w:w="1095" w:type="dxa"/>
          </w:tcPr>
          <w:p w14:paraId="1C04017F" w14:textId="77777777" w:rsidR="00652235" w:rsidRPr="000014F2" w:rsidRDefault="00652235" w:rsidP="0083662B">
            <w:pPr>
              <w:pStyle w:val="Critiquetabletext"/>
              <w:spacing w:before="0" w:after="0"/>
              <w:jc w:val="right"/>
              <w:rPr>
                <w:i/>
                <w:iCs/>
                <w:color w:val="auto"/>
              </w:rPr>
            </w:pPr>
            <w:r w:rsidRPr="000014F2">
              <w:rPr>
                <w:i/>
                <w:iCs/>
                <w:color w:val="auto"/>
              </w:rPr>
              <w:t>$5,768.99</w:t>
            </w:r>
          </w:p>
        </w:tc>
        <w:tc>
          <w:tcPr>
            <w:tcW w:w="1095" w:type="dxa"/>
          </w:tcPr>
          <w:p w14:paraId="60BA1EC1" w14:textId="77777777" w:rsidR="00652235" w:rsidRPr="000014F2" w:rsidRDefault="00652235" w:rsidP="0083662B">
            <w:pPr>
              <w:pStyle w:val="Critiquetabletext"/>
              <w:spacing w:before="0" w:after="0"/>
              <w:jc w:val="right"/>
              <w:rPr>
                <w:i/>
                <w:iCs/>
                <w:color w:val="auto"/>
              </w:rPr>
            </w:pPr>
            <w:r w:rsidRPr="000014F2">
              <w:rPr>
                <w:i/>
                <w:iCs/>
                <w:color w:val="auto"/>
              </w:rPr>
              <w:t>$5,398.26</w:t>
            </w:r>
          </w:p>
        </w:tc>
        <w:tc>
          <w:tcPr>
            <w:tcW w:w="1096" w:type="dxa"/>
          </w:tcPr>
          <w:p w14:paraId="5F3AC61A" w14:textId="77777777" w:rsidR="00652235" w:rsidRPr="000014F2" w:rsidRDefault="00652235" w:rsidP="0083662B">
            <w:pPr>
              <w:pStyle w:val="Critiquetabletext"/>
              <w:spacing w:before="0" w:after="0"/>
              <w:jc w:val="right"/>
              <w:rPr>
                <w:i/>
                <w:iCs/>
                <w:color w:val="auto"/>
              </w:rPr>
            </w:pPr>
            <w:r w:rsidRPr="000014F2">
              <w:rPr>
                <w:i/>
                <w:iCs/>
                <w:color w:val="auto"/>
              </w:rPr>
              <w:t>$370.73</w:t>
            </w:r>
          </w:p>
        </w:tc>
        <w:tc>
          <w:tcPr>
            <w:tcW w:w="1095" w:type="dxa"/>
          </w:tcPr>
          <w:p w14:paraId="6CCEB42D" w14:textId="77777777" w:rsidR="00652235" w:rsidRPr="000014F2" w:rsidRDefault="00652235" w:rsidP="0083662B">
            <w:pPr>
              <w:pStyle w:val="Critiquetabletext"/>
              <w:spacing w:before="0" w:after="0"/>
              <w:jc w:val="right"/>
              <w:rPr>
                <w:i/>
                <w:iCs/>
                <w:color w:val="auto"/>
              </w:rPr>
            </w:pPr>
            <w:r w:rsidRPr="000014F2">
              <w:rPr>
                <w:i/>
                <w:iCs/>
                <w:color w:val="auto"/>
              </w:rPr>
              <w:t>$5,992.74</w:t>
            </w:r>
          </w:p>
        </w:tc>
        <w:tc>
          <w:tcPr>
            <w:tcW w:w="1096" w:type="dxa"/>
          </w:tcPr>
          <w:p w14:paraId="50E30F4B" w14:textId="77777777" w:rsidR="00652235" w:rsidRPr="000014F2" w:rsidRDefault="00652235" w:rsidP="0083662B">
            <w:pPr>
              <w:pStyle w:val="Critiquetabletext"/>
              <w:spacing w:before="0" w:after="0"/>
              <w:jc w:val="right"/>
              <w:rPr>
                <w:i/>
                <w:iCs/>
                <w:color w:val="auto"/>
              </w:rPr>
            </w:pPr>
            <w:r w:rsidRPr="000014F2">
              <w:rPr>
                <w:i/>
                <w:iCs/>
                <w:color w:val="auto"/>
              </w:rPr>
              <w:t>–$223.75</w:t>
            </w:r>
          </w:p>
        </w:tc>
      </w:tr>
      <w:tr w:rsidR="00652235" w:rsidRPr="00FD633A" w14:paraId="11016854" w14:textId="77777777" w:rsidTr="00F11AFE">
        <w:tc>
          <w:tcPr>
            <w:tcW w:w="3539" w:type="dxa"/>
            <w:tcBorders>
              <w:bottom w:val="single" w:sz="4" w:space="0" w:color="auto"/>
              <w:right w:val="nil"/>
            </w:tcBorders>
          </w:tcPr>
          <w:p w14:paraId="5C35386C" w14:textId="77777777" w:rsidR="00652235" w:rsidRPr="000014F2" w:rsidRDefault="00652235" w:rsidP="0083662B">
            <w:pPr>
              <w:pStyle w:val="Critiquetabletext"/>
              <w:spacing w:before="0" w:after="0"/>
              <w:rPr>
                <w:i/>
                <w:iCs/>
                <w:color w:val="auto"/>
              </w:rPr>
            </w:pPr>
            <w:r w:rsidRPr="000014F2">
              <w:rPr>
                <w:i/>
                <w:iCs/>
                <w:color w:val="auto"/>
              </w:rPr>
              <w:t>No. PUL prostheses implanted (base case: 4)</w:t>
            </w:r>
          </w:p>
        </w:tc>
        <w:tc>
          <w:tcPr>
            <w:tcW w:w="1095" w:type="dxa"/>
            <w:tcBorders>
              <w:left w:val="nil"/>
              <w:bottom w:val="single" w:sz="4" w:space="0" w:color="auto"/>
              <w:right w:val="nil"/>
            </w:tcBorders>
          </w:tcPr>
          <w:p w14:paraId="00C26007" w14:textId="77777777" w:rsidR="00652235" w:rsidRPr="000014F2" w:rsidRDefault="00652235" w:rsidP="0083662B">
            <w:pPr>
              <w:pStyle w:val="Critiquetabletext"/>
              <w:spacing w:before="0" w:after="0"/>
              <w:jc w:val="right"/>
              <w:rPr>
                <w:i/>
                <w:iCs/>
                <w:color w:val="auto"/>
              </w:rPr>
            </w:pPr>
          </w:p>
        </w:tc>
        <w:tc>
          <w:tcPr>
            <w:tcW w:w="1095" w:type="dxa"/>
            <w:tcBorders>
              <w:left w:val="nil"/>
              <w:bottom w:val="single" w:sz="4" w:space="0" w:color="auto"/>
              <w:right w:val="nil"/>
            </w:tcBorders>
          </w:tcPr>
          <w:p w14:paraId="3BEAA963" w14:textId="77777777" w:rsidR="00652235" w:rsidRPr="000014F2" w:rsidRDefault="00652235" w:rsidP="0083662B">
            <w:pPr>
              <w:pStyle w:val="Critiquetabletext"/>
              <w:spacing w:before="0" w:after="0"/>
              <w:jc w:val="right"/>
              <w:rPr>
                <w:i/>
                <w:iCs/>
                <w:color w:val="auto"/>
              </w:rPr>
            </w:pPr>
          </w:p>
        </w:tc>
        <w:tc>
          <w:tcPr>
            <w:tcW w:w="1096" w:type="dxa"/>
            <w:tcBorders>
              <w:left w:val="nil"/>
              <w:bottom w:val="single" w:sz="4" w:space="0" w:color="auto"/>
              <w:right w:val="nil"/>
            </w:tcBorders>
          </w:tcPr>
          <w:p w14:paraId="34710153" w14:textId="77777777" w:rsidR="00652235" w:rsidRPr="000014F2" w:rsidRDefault="00652235" w:rsidP="0083662B">
            <w:pPr>
              <w:pStyle w:val="Critiquetabletext"/>
              <w:spacing w:before="0" w:after="0"/>
              <w:jc w:val="right"/>
              <w:rPr>
                <w:i/>
                <w:iCs/>
                <w:color w:val="auto"/>
              </w:rPr>
            </w:pPr>
          </w:p>
        </w:tc>
        <w:tc>
          <w:tcPr>
            <w:tcW w:w="1095" w:type="dxa"/>
            <w:tcBorders>
              <w:left w:val="nil"/>
              <w:bottom w:val="single" w:sz="4" w:space="0" w:color="auto"/>
              <w:right w:val="nil"/>
            </w:tcBorders>
          </w:tcPr>
          <w:p w14:paraId="6E4CA198" w14:textId="77777777" w:rsidR="00652235" w:rsidRPr="000014F2" w:rsidRDefault="00652235" w:rsidP="0083662B">
            <w:pPr>
              <w:pStyle w:val="Critiquetabletext"/>
              <w:spacing w:before="0" w:after="0"/>
              <w:jc w:val="right"/>
              <w:rPr>
                <w:i/>
                <w:iCs/>
                <w:color w:val="auto"/>
              </w:rPr>
            </w:pPr>
          </w:p>
        </w:tc>
        <w:tc>
          <w:tcPr>
            <w:tcW w:w="1096" w:type="dxa"/>
            <w:tcBorders>
              <w:left w:val="nil"/>
              <w:bottom w:val="single" w:sz="4" w:space="0" w:color="auto"/>
            </w:tcBorders>
          </w:tcPr>
          <w:p w14:paraId="0CE03943" w14:textId="77777777" w:rsidR="00652235" w:rsidRPr="000014F2" w:rsidRDefault="00652235" w:rsidP="0083662B">
            <w:pPr>
              <w:pStyle w:val="Critiquetabletext"/>
              <w:spacing w:before="0" w:after="0"/>
              <w:jc w:val="right"/>
              <w:rPr>
                <w:i/>
                <w:iCs/>
                <w:color w:val="auto"/>
              </w:rPr>
            </w:pPr>
          </w:p>
        </w:tc>
      </w:tr>
      <w:tr w:rsidR="00652235" w:rsidRPr="00FD633A" w14:paraId="0D0B5DB0" w14:textId="77777777" w:rsidTr="00F11AFE">
        <w:tc>
          <w:tcPr>
            <w:tcW w:w="3539" w:type="dxa"/>
            <w:tcBorders>
              <w:bottom w:val="nil"/>
            </w:tcBorders>
          </w:tcPr>
          <w:p w14:paraId="7E0C1FB3" w14:textId="77777777" w:rsidR="00652235" w:rsidRPr="000014F2" w:rsidRDefault="00652235" w:rsidP="0083662B">
            <w:pPr>
              <w:pStyle w:val="Critiquetabletext"/>
              <w:spacing w:before="0" w:after="0"/>
              <w:rPr>
                <w:i/>
                <w:iCs/>
                <w:color w:val="auto"/>
              </w:rPr>
            </w:pPr>
            <w:r w:rsidRPr="000014F2">
              <w:rPr>
                <w:i/>
                <w:iCs/>
                <w:color w:val="auto"/>
              </w:rPr>
              <w:t xml:space="preserve">4.7 </w:t>
            </w:r>
            <w:r w:rsidRPr="000014F2">
              <w:rPr>
                <w:b/>
                <w:i/>
                <w:iCs/>
                <w:color w:val="auto"/>
              </w:rPr>
              <w:t>(#6)</w:t>
            </w:r>
          </w:p>
        </w:tc>
        <w:tc>
          <w:tcPr>
            <w:tcW w:w="1095" w:type="dxa"/>
            <w:tcBorders>
              <w:bottom w:val="nil"/>
            </w:tcBorders>
          </w:tcPr>
          <w:p w14:paraId="32291748" w14:textId="77777777" w:rsidR="00652235" w:rsidRPr="000014F2" w:rsidRDefault="00652235" w:rsidP="0083662B">
            <w:pPr>
              <w:pStyle w:val="Critiquetabletext"/>
              <w:spacing w:before="0" w:after="0"/>
              <w:jc w:val="right"/>
              <w:rPr>
                <w:i/>
                <w:iCs/>
                <w:color w:val="auto"/>
              </w:rPr>
            </w:pPr>
            <w:r w:rsidRPr="000014F2">
              <w:rPr>
                <w:i/>
                <w:iCs/>
                <w:color w:val="auto"/>
              </w:rPr>
              <w:t>$6,273.53</w:t>
            </w:r>
          </w:p>
        </w:tc>
        <w:tc>
          <w:tcPr>
            <w:tcW w:w="1095" w:type="dxa"/>
            <w:tcBorders>
              <w:bottom w:val="nil"/>
            </w:tcBorders>
          </w:tcPr>
          <w:p w14:paraId="6D6EE55E" w14:textId="77777777" w:rsidR="00652235" w:rsidRPr="000014F2" w:rsidRDefault="00652235" w:rsidP="0083662B">
            <w:pPr>
              <w:pStyle w:val="Critiquetabletext"/>
              <w:spacing w:before="0" w:after="0"/>
              <w:jc w:val="right"/>
              <w:rPr>
                <w:i/>
                <w:iCs/>
                <w:color w:val="auto"/>
              </w:rPr>
            </w:pPr>
            <w:r w:rsidRPr="000014F2">
              <w:rPr>
                <w:i/>
                <w:iCs/>
                <w:color w:val="auto"/>
              </w:rPr>
              <w:t>$5,824.72</w:t>
            </w:r>
          </w:p>
        </w:tc>
        <w:tc>
          <w:tcPr>
            <w:tcW w:w="1096" w:type="dxa"/>
            <w:tcBorders>
              <w:bottom w:val="nil"/>
            </w:tcBorders>
          </w:tcPr>
          <w:p w14:paraId="52623A8A" w14:textId="77777777" w:rsidR="00652235" w:rsidRPr="000014F2" w:rsidRDefault="00652235" w:rsidP="0083662B">
            <w:pPr>
              <w:pStyle w:val="Critiquetabletext"/>
              <w:spacing w:before="0" w:after="0"/>
              <w:jc w:val="right"/>
              <w:rPr>
                <w:i/>
                <w:iCs/>
                <w:color w:val="auto"/>
              </w:rPr>
            </w:pPr>
            <w:r w:rsidRPr="000014F2">
              <w:rPr>
                <w:i/>
                <w:iCs/>
                <w:color w:val="auto"/>
              </w:rPr>
              <w:t>$448.81</w:t>
            </w:r>
          </w:p>
        </w:tc>
        <w:tc>
          <w:tcPr>
            <w:tcW w:w="1095" w:type="dxa"/>
            <w:tcBorders>
              <w:bottom w:val="nil"/>
            </w:tcBorders>
          </w:tcPr>
          <w:p w14:paraId="1D6C8F7C" w14:textId="77777777" w:rsidR="00652235" w:rsidRPr="000014F2" w:rsidRDefault="00652235" w:rsidP="0083662B">
            <w:pPr>
              <w:pStyle w:val="Critiquetabletext"/>
              <w:spacing w:before="0" w:after="0"/>
              <w:jc w:val="right"/>
              <w:rPr>
                <w:i/>
                <w:iCs/>
                <w:color w:val="auto"/>
              </w:rPr>
            </w:pPr>
            <w:r w:rsidRPr="000014F2">
              <w:rPr>
                <w:i/>
                <w:iCs/>
                <w:color w:val="auto"/>
              </w:rPr>
              <w:t>$5,992.74</w:t>
            </w:r>
          </w:p>
        </w:tc>
        <w:tc>
          <w:tcPr>
            <w:tcW w:w="1096" w:type="dxa"/>
            <w:tcBorders>
              <w:bottom w:val="nil"/>
            </w:tcBorders>
          </w:tcPr>
          <w:p w14:paraId="68C9493B" w14:textId="77777777" w:rsidR="00652235" w:rsidRPr="000014F2" w:rsidRDefault="00652235" w:rsidP="0083662B">
            <w:pPr>
              <w:pStyle w:val="Critiquetabletext"/>
              <w:spacing w:before="0" w:after="0"/>
              <w:jc w:val="right"/>
              <w:rPr>
                <w:i/>
                <w:iCs/>
                <w:color w:val="auto"/>
              </w:rPr>
            </w:pPr>
            <w:r w:rsidRPr="000014F2">
              <w:rPr>
                <w:i/>
                <w:iCs/>
                <w:color w:val="auto"/>
              </w:rPr>
              <w:t>$280.79</w:t>
            </w:r>
          </w:p>
        </w:tc>
      </w:tr>
      <w:tr w:rsidR="00652235" w:rsidRPr="00FD633A" w14:paraId="74D088B3" w14:textId="77777777" w:rsidTr="00F11AFE">
        <w:tc>
          <w:tcPr>
            <w:tcW w:w="3539" w:type="dxa"/>
            <w:tcBorders>
              <w:top w:val="nil"/>
            </w:tcBorders>
          </w:tcPr>
          <w:p w14:paraId="0815E914" w14:textId="77777777" w:rsidR="00652235" w:rsidRPr="000014F2" w:rsidRDefault="00652235" w:rsidP="0083662B">
            <w:pPr>
              <w:pStyle w:val="Critiquetabletext"/>
              <w:spacing w:before="0" w:after="0"/>
              <w:rPr>
                <w:i/>
                <w:iCs/>
                <w:color w:val="auto"/>
              </w:rPr>
            </w:pPr>
            <w:r w:rsidRPr="000014F2">
              <w:rPr>
                <w:i/>
                <w:iCs/>
                <w:color w:val="auto"/>
              </w:rPr>
              <w:t xml:space="preserve">3.1 </w:t>
            </w:r>
            <w:r w:rsidRPr="000014F2">
              <w:rPr>
                <w:i/>
                <w:iCs/>
                <w:color w:val="auto"/>
                <w:vertAlign w:val="superscript"/>
              </w:rPr>
              <w:t>b</w:t>
            </w:r>
          </w:p>
        </w:tc>
        <w:tc>
          <w:tcPr>
            <w:tcW w:w="1095" w:type="dxa"/>
            <w:tcBorders>
              <w:top w:val="nil"/>
            </w:tcBorders>
          </w:tcPr>
          <w:p w14:paraId="4B9B6A53" w14:textId="77777777" w:rsidR="00652235" w:rsidRPr="000014F2" w:rsidRDefault="00652235" w:rsidP="0083662B">
            <w:pPr>
              <w:pStyle w:val="Critiquetabletext"/>
              <w:spacing w:before="0" w:after="0"/>
              <w:jc w:val="right"/>
              <w:rPr>
                <w:i/>
                <w:iCs/>
                <w:color w:val="auto"/>
              </w:rPr>
            </w:pPr>
            <w:r w:rsidRPr="000014F2">
              <w:rPr>
                <w:i/>
                <w:color w:val="auto"/>
              </w:rPr>
              <w:t>$5,134.33</w:t>
            </w:r>
          </w:p>
        </w:tc>
        <w:tc>
          <w:tcPr>
            <w:tcW w:w="1095" w:type="dxa"/>
            <w:tcBorders>
              <w:top w:val="nil"/>
            </w:tcBorders>
          </w:tcPr>
          <w:p w14:paraId="244AC5A0" w14:textId="77777777" w:rsidR="00652235" w:rsidRPr="000014F2" w:rsidRDefault="00652235" w:rsidP="0083662B">
            <w:pPr>
              <w:pStyle w:val="Critiquetabletext"/>
              <w:spacing w:before="0" w:after="0"/>
              <w:jc w:val="right"/>
              <w:rPr>
                <w:i/>
                <w:iCs/>
                <w:color w:val="auto"/>
              </w:rPr>
            </w:pPr>
            <w:r w:rsidRPr="000014F2">
              <w:rPr>
                <w:i/>
                <w:color w:val="auto"/>
              </w:rPr>
              <w:t>$5,824.72</w:t>
            </w:r>
          </w:p>
        </w:tc>
        <w:tc>
          <w:tcPr>
            <w:tcW w:w="1096" w:type="dxa"/>
            <w:tcBorders>
              <w:top w:val="nil"/>
            </w:tcBorders>
          </w:tcPr>
          <w:p w14:paraId="638C4BF0" w14:textId="77777777" w:rsidR="00652235" w:rsidRPr="000014F2" w:rsidRDefault="00652235" w:rsidP="0083662B">
            <w:pPr>
              <w:pStyle w:val="Critiquetabletext"/>
              <w:spacing w:before="0" w:after="0"/>
              <w:jc w:val="right"/>
              <w:rPr>
                <w:i/>
                <w:iCs/>
                <w:color w:val="auto"/>
              </w:rPr>
            </w:pPr>
            <w:r w:rsidRPr="000014F2">
              <w:rPr>
                <w:i/>
                <w:color w:val="auto"/>
              </w:rPr>
              <w:t>-$690.39</w:t>
            </w:r>
          </w:p>
        </w:tc>
        <w:tc>
          <w:tcPr>
            <w:tcW w:w="1095" w:type="dxa"/>
            <w:tcBorders>
              <w:top w:val="nil"/>
            </w:tcBorders>
          </w:tcPr>
          <w:p w14:paraId="184A149A" w14:textId="77777777" w:rsidR="00652235" w:rsidRPr="000014F2" w:rsidRDefault="00652235" w:rsidP="0083662B">
            <w:pPr>
              <w:pStyle w:val="Critiquetabletext"/>
              <w:spacing w:before="0" w:after="0"/>
              <w:jc w:val="right"/>
              <w:rPr>
                <w:i/>
                <w:iCs/>
                <w:color w:val="auto"/>
              </w:rPr>
            </w:pPr>
            <w:r w:rsidRPr="000014F2">
              <w:rPr>
                <w:i/>
                <w:color w:val="auto"/>
              </w:rPr>
              <w:t>$5,992.74</w:t>
            </w:r>
          </w:p>
        </w:tc>
        <w:tc>
          <w:tcPr>
            <w:tcW w:w="1096" w:type="dxa"/>
            <w:tcBorders>
              <w:top w:val="nil"/>
            </w:tcBorders>
          </w:tcPr>
          <w:p w14:paraId="6D050653" w14:textId="77777777" w:rsidR="00652235" w:rsidRPr="000014F2" w:rsidRDefault="00652235" w:rsidP="0083662B">
            <w:pPr>
              <w:pStyle w:val="Critiquetabletext"/>
              <w:spacing w:before="0" w:after="0"/>
              <w:jc w:val="right"/>
              <w:rPr>
                <w:i/>
                <w:iCs/>
                <w:color w:val="auto"/>
              </w:rPr>
            </w:pPr>
            <w:r w:rsidRPr="000014F2">
              <w:rPr>
                <w:i/>
                <w:color w:val="auto"/>
              </w:rPr>
              <w:t>-$858.41</w:t>
            </w:r>
          </w:p>
        </w:tc>
      </w:tr>
      <w:tr w:rsidR="00652235" w:rsidRPr="00FD633A" w14:paraId="4990BEEC" w14:textId="77777777" w:rsidTr="00F11AFE">
        <w:tc>
          <w:tcPr>
            <w:tcW w:w="3539" w:type="dxa"/>
          </w:tcPr>
          <w:p w14:paraId="7F192040" w14:textId="77777777" w:rsidR="00652235" w:rsidRPr="000014F2" w:rsidRDefault="00652235" w:rsidP="0083662B">
            <w:pPr>
              <w:pStyle w:val="Critiquetabletext"/>
              <w:spacing w:before="0" w:after="0"/>
              <w:rPr>
                <w:i/>
                <w:iCs/>
                <w:color w:val="auto"/>
              </w:rPr>
            </w:pPr>
            <w:r w:rsidRPr="000014F2">
              <w:rPr>
                <w:i/>
                <w:iCs/>
                <w:color w:val="auto"/>
              </w:rPr>
              <w:t xml:space="preserve">Prosthesis handling fee (5%) included </w:t>
            </w:r>
            <w:r w:rsidRPr="000014F2">
              <w:rPr>
                <w:i/>
                <w:iCs/>
                <w:color w:val="auto"/>
              </w:rPr>
              <w:br/>
              <w:t>(base case: not included)</w:t>
            </w:r>
          </w:p>
        </w:tc>
        <w:tc>
          <w:tcPr>
            <w:tcW w:w="1095" w:type="dxa"/>
          </w:tcPr>
          <w:p w14:paraId="01F746BE" w14:textId="77777777" w:rsidR="00652235" w:rsidRPr="000014F2" w:rsidRDefault="00652235" w:rsidP="0083662B">
            <w:pPr>
              <w:pStyle w:val="Critiquetabletext"/>
              <w:spacing w:before="0" w:after="0"/>
              <w:jc w:val="right"/>
              <w:rPr>
                <w:i/>
                <w:iCs/>
                <w:color w:val="auto"/>
              </w:rPr>
            </w:pPr>
            <w:r w:rsidRPr="000014F2">
              <w:rPr>
                <w:i/>
                <w:iCs/>
                <w:color w:val="auto"/>
              </w:rPr>
              <w:t>$5,917.53</w:t>
            </w:r>
          </w:p>
        </w:tc>
        <w:tc>
          <w:tcPr>
            <w:tcW w:w="1095" w:type="dxa"/>
          </w:tcPr>
          <w:p w14:paraId="06619482" w14:textId="77777777" w:rsidR="00652235" w:rsidRPr="000014F2" w:rsidRDefault="00652235" w:rsidP="0083662B">
            <w:pPr>
              <w:pStyle w:val="Critiquetabletext"/>
              <w:spacing w:before="0" w:after="0"/>
              <w:jc w:val="right"/>
              <w:rPr>
                <w:i/>
                <w:iCs/>
                <w:color w:val="auto"/>
              </w:rPr>
            </w:pPr>
            <w:r w:rsidRPr="000014F2">
              <w:rPr>
                <w:i/>
                <w:iCs/>
                <w:color w:val="auto"/>
              </w:rPr>
              <w:t>$5,824.72</w:t>
            </w:r>
          </w:p>
        </w:tc>
        <w:tc>
          <w:tcPr>
            <w:tcW w:w="1096" w:type="dxa"/>
          </w:tcPr>
          <w:p w14:paraId="688AFC85" w14:textId="77777777" w:rsidR="00652235" w:rsidRPr="000014F2" w:rsidRDefault="00652235" w:rsidP="0083662B">
            <w:pPr>
              <w:pStyle w:val="Critiquetabletext"/>
              <w:spacing w:before="0" w:after="0"/>
              <w:jc w:val="right"/>
              <w:rPr>
                <w:i/>
                <w:iCs/>
                <w:color w:val="auto"/>
              </w:rPr>
            </w:pPr>
            <w:r w:rsidRPr="000014F2">
              <w:rPr>
                <w:i/>
                <w:iCs/>
                <w:color w:val="auto"/>
              </w:rPr>
              <w:t>$92.81</w:t>
            </w:r>
          </w:p>
        </w:tc>
        <w:tc>
          <w:tcPr>
            <w:tcW w:w="1095" w:type="dxa"/>
          </w:tcPr>
          <w:p w14:paraId="37065B1E" w14:textId="77777777" w:rsidR="00652235" w:rsidRPr="000014F2" w:rsidRDefault="00652235" w:rsidP="0083662B">
            <w:pPr>
              <w:pStyle w:val="Critiquetabletext"/>
              <w:spacing w:before="0" w:after="0"/>
              <w:jc w:val="right"/>
              <w:rPr>
                <w:i/>
                <w:iCs/>
                <w:color w:val="auto"/>
              </w:rPr>
            </w:pPr>
            <w:r w:rsidRPr="000014F2">
              <w:rPr>
                <w:i/>
                <w:iCs/>
                <w:color w:val="auto"/>
              </w:rPr>
              <w:t>$5,992.74</w:t>
            </w:r>
          </w:p>
        </w:tc>
        <w:tc>
          <w:tcPr>
            <w:tcW w:w="1096" w:type="dxa"/>
          </w:tcPr>
          <w:p w14:paraId="09E24C2B" w14:textId="77777777" w:rsidR="00652235" w:rsidRPr="000014F2" w:rsidRDefault="00652235" w:rsidP="0083662B">
            <w:pPr>
              <w:pStyle w:val="Critiquetabletext"/>
              <w:spacing w:before="0" w:after="0"/>
              <w:jc w:val="right"/>
              <w:rPr>
                <w:i/>
                <w:iCs/>
                <w:color w:val="auto"/>
              </w:rPr>
            </w:pPr>
            <w:r w:rsidRPr="000014F2">
              <w:rPr>
                <w:i/>
                <w:iCs/>
                <w:color w:val="auto"/>
              </w:rPr>
              <w:t>–$75.21</w:t>
            </w:r>
          </w:p>
        </w:tc>
      </w:tr>
      <w:tr w:rsidR="00652235" w:rsidRPr="00FD633A" w14:paraId="1B2024B0" w14:textId="77777777" w:rsidTr="00F11AFE">
        <w:tc>
          <w:tcPr>
            <w:tcW w:w="3539" w:type="dxa"/>
          </w:tcPr>
          <w:p w14:paraId="50F95181" w14:textId="77777777" w:rsidR="00652235" w:rsidRPr="000014F2" w:rsidRDefault="00652235" w:rsidP="0083662B">
            <w:pPr>
              <w:pStyle w:val="Critiquetabletext"/>
              <w:spacing w:before="0" w:after="0"/>
              <w:rPr>
                <w:i/>
                <w:iCs/>
                <w:color w:val="auto"/>
              </w:rPr>
            </w:pPr>
            <w:r w:rsidRPr="000014F2">
              <w:rPr>
                <w:i/>
                <w:iCs/>
                <w:color w:val="auto"/>
              </w:rPr>
              <w:t>No. VLAP fibres, 1.08 (base case: 1.38)</w:t>
            </w:r>
          </w:p>
        </w:tc>
        <w:tc>
          <w:tcPr>
            <w:tcW w:w="1095" w:type="dxa"/>
          </w:tcPr>
          <w:p w14:paraId="07B89FAD" w14:textId="77777777" w:rsidR="00652235" w:rsidRPr="000014F2" w:rsidRDefault="00652235" w:rsidP="0083662B">
            <w:pPr>
              <w:pStyle w:val="Critiquetabletext"/>
              <w:spacing w:before="0" w:after="0"/>
              <w:jc w:val="right"/>
              <w:rPr>
                <w:i/>
                <w:iCs/>
                <w:color w:val="auto"/>
              </w:rPr>
            </w:pPr>
            <w:r w:rsidRPr="000014F2">
              <w:rPr>
                <w:i/>
                <w:iCs/>
                <w:color w:val="auto"/>
              </w:rPr>
              <w:t>$5,775.13</w:t>
            </w:r>
          </w:p>
        </w:tc>
        <w:tc>
          <w:tcPr>
            <w:tcW w:w="1095" w:type="dxa"/>
          </w:tcPr>
          <w:p w14:paraId="50D27335" w14:textId="77777777" w:rsidR="00652235" w:rsidRPr="000014F2" w:rsidRDefault="00652235" w:rsidP="0083662B">
            <w:pPr>
              <w:pStyle w:val="Critiquetabletext"/>
              <w:spacing w:before="0" w:after="0"/>
              <w:jc w:val="right"/>
              <w:rPr>
                <w:i/>
                <w:iCs/>
                <w:color w:val="auto"/>
              </w:rPr>
            </w:pPr>
            <w:r w:rsidRPr="000014F2">
              <w:rPr>
                <w:i/>
                <w:iCs/>
                <w:color w:val="auto"/>
              </w:rPr>
              <w:t>$5,824.72</w:t>
            </w:r>
          </w:p>
        </w:tc>
        <w:tc>
          <w:tcPr>
            <w:tcW w:w="1096" w:type="dxa"/>
          </w:tcPr>
          <w:p w14:paraId="349A9D68" w14:textId="77777777" w:rsidR="00652235" w:rsidRPr="000014F2" w:rsidRDefault="00652235" w:rsidP="0083662B">
            <w:pPr>
              <w:pStyle w:val="Critiquetabletext"/>
              <w:spacing w:before="0" w:after="0"/>
              <w:jc w:val="right"/>
              <w:rPr>
                <w:i/>
                <w:iCs/>
                <w:color w:val="auto"/>
              </w:rPr>
            </w:pPr>
            <w:r w:rsidRPr="000014F2">
              <w:rPr>
                <w:i/>
                <w:iCs/>
                <w:color w:val="auto"/>
              </w:rPr>
              <w:t>–$49.59</w:t>
            </w:r>
          </w:p>
        </w:tc>
        <w:tc>
          <w:tcPr>
            <w:tcW w:w="1095" w:type="dxa"/>
          </w:tcPr>
          <w:p w14:paraId="2A9580DD" w14:textId="77777777" w:rsidR="00652235" w:rsidRPr="000014F2" w:rsidRDefault="00652235" w:rsidP="0083662B">
            <w:pPr>
              <w:pStyle w:val="Critiquetabletext"/>
              <w:spacing w:before="0" w:after="0"/>
              <w:jc w:val="right"/>
              <w:rPr>
                <w:i/>
                <w:iCs/>
                <w:color w:val="auto"/>
              </w:rPr>
            </w:pPr>
            <w:r w:rsidRPr="000014F2">
              <w:rPr>
                <w:i/>
                <w:iCs/>
                <w:color w:val="auto"/>
              </w:rPr>
              <w:t>$5,722.74</w:t>
            </w:r>
          </w:p>
        </w:tc>
        <w:tc>
          <w:tcPr>
            <w:tcW w:w="1096" w:type="dxa"/>
          </w:tcPr>
          <w:p w14:paraId="447D6F35" w14:textId="77777777" w:rsidR="00652235" w:rsidRPr="000014F2" w:rsidRDefault="00652235" w:rsidP="0083662B">
            <w:pPr>
              <w:pStyle w:val="Critiquetabletext"/>
              <w:spacing w:before="0" w:after="0"/>
              <w:jc w:val="right"/>
              <w:rPr>
                <w:i/>
                <w:iCs/>
                <w:color w:val="auto"/>
              </w:rPr>
            </w:pPr>
            <w:r w:rsidRPr="000014F2">
              <w:rPr>
                <w:i/>
                <w:iCs/>
                <w:color w:val="auto"/>
              </w:rPr>
              <w:t>$52.39</w:t>
            </w:r>
          </w:p>
        </w:tc>
      </w:tr>
      <w:tr w:rsidR="00652235" w:rsidRPr="00FD633A" w14:paraId="2E3F7EAF" w14:textId="77777777" w:rsidTr="00F11AFE">
        <w:tc>
          <w:tcPr>
            <w:tcW w:w="3539" w:type="dxa"/>
          </w:tcPr>
          <w:p w14:paraId="3B2C4503" w14:textId="77777777" w:rsidR="00652235" w:rsidRPr="000014F2" w:rsidRDefault="00652235" w:rsidP="0083662B">
            <w:pPr>
              <w:pStyle w:val="Critiquetabletext"/>
              <w:spacing w:before="0" w:after="0"/>
              <w:rPr>
                <w:i/>
                <w:iCs/>
                <w:color w:val="auto"/>
              </w:rPr>
            </w:pPr>
            <w:r w:rsidRPr="000014F2">
              <w:rPr>
                <w:i/>
                <w:iCs/>
                <w:color w:val="auto"/>
              </w:rPr>
              <w:t xml:space="preserve">VLAP capital cost, $254.15 </w:t>
            </w:r>
            <w:r w:rsidRPr="000014F2">
              <w:rPr>
                <w:i/>
                <w:iCs/>
                <w:color w:val="auto"/>
                <w:vertAlign w:val="superscript"/>
              </w:rPr>
              <w:t xml:space="preserve">c </w:t>
            </w:r>
            <w:r w:rsidRPr="000014F2">
              <w:rPr>
                <w:i/>
                <w:iCs/>
                <w:color w:val="auto"/>
              </w:rPr>
              <w:br/>
              <w:t xml:space="preserve">(base case: $913.19) </w:t>
            </w:r>
            <w:r w:rsidRPr="000014F2">
              <w:rPr>
                <w:b/>
                <w:i/>
                <w:iCs/>
                <w:color w:val="auto"/>
              </w:rPr>
              <w:t>(#3)</w:t>
            </w:r>
          </w:p>
        </w:tc>
        <w:tc>
          <w:tcPr>
            <w:tcW w:w="1095" w:type="dxa"/>
          </w:tcPr>
          <w:p w14:paraId="2C604C19" w14:textId="77777777" w:rsidR="00652235" w:rsidRPr="000014F2" w:rsidRDefault="00652235" w:rsidP="0083662B">
            <w:pPr>
              <w:pStyle w:val="Critiquetabletext"/>
              <w:spacing w:before="0" w:after="0"/>
              <w:jc w:val="right"/>
              <w:rPr>
                <w:i/>
                <w:iCs/>
                <w:color w:val="auto"/>
              </w:rPr>
            </w:pPr>
            <w:r w:rsidRPr="000014F2">
              <w:rPr>
                <w:i/>
                <w:iCs/>
                <w:color w:val="auto"/>
              </w:rPr>
              <w:t>$5,775.13</w:t>
            </w:r>
          </w:p>
        </w:tc>
        <w:tc>
          <w:tcPr>
            <w:tcW w:w="1095" w:type="dxa"/>
          </w:tcPr>
          <w:p w14:paraId="055423EB" w14:textId="77777777" w:rsidR="00652235" w:rsidRPr="000014F2" w:rsidRDefault="00652235" w:rsidP="0083662B">
            <w:pPr>
              <w:pStyle w:val="Critiquetabletext"/>
              <w:spacing w:before="0" w:after="0"/>
              <w:jc w:val="right"/>
              <w:rPr>
                <w:i/>
                <w:iCs/>
                <w:color w:val="auto"/>
              </w:rPr>
            </w:pPr>
            <w:r w:rsidRPr="000014F2">
              <w:rPr>
                <w:i/>
                <w:iCs/>
                <w:color w:val="auto"/>
              </w:rPr>
              <w:t>$5,824.72</w:t>
            </w:r>
          </w:p>
        </w:tc>
        <w:tc>
          <w:tcPr>
            <w:tcW w:w="1096" w:type="dxa"/>
          </w:tcPr>
          <w:p w14:paraId="07F290C4" w14:textId="77777777" w:rsidR="00652235" w:rsidRPr="000014F2" w:rsidRDefault="00652235" w:rsidP="0083662B">
            <w:pPr>
              <w:pStyle w:val="Critiquetabletext"/>
              <w:spacing w:before="0" w:after="0"/>
              <w:jc w:val="right"/>
              <w:rPr>
                <w:i/>
                <w:iCs/>
                <w:color w:val="auto"/>
              </w:rPr>
            </w:pPr>
            <w:r w:rsidRPr="000014F2">
              <w:rPr>
                <w:i/>
                <w:iCs/>
                <w:color w:val="auto"/>
              </w:rPr>
              <w:t>–$49.59</w:t>
            </w:r>
          </w:p>
        </w:tc>
        <w:tc>
          <w:tcPr>
            <w:tcW w:w="1095" w:type="dxa"/>
          </w:tcPr>
          <w:p w14:paraId="7FA870FD" w14:textId="77777777" w:rsidR="00652235" w:rsidRPr="000014F2" w:rsidRDefault="00652235" w:rsidP="0083662B">
            <w:pPr>
              <w:pStyle w:val="Critiquetabletext"/>
              <w:spacing w:before="0" w:after="0"/>
              <w:jc w:val="right"/>
              <w:rPr>
                <w:i/>
                <w:iCs/>
                <w:color w:val="auto"/>
              </w:rPr>
            </w:pPr>
            <w:r w:rsidRPr="000014F2">
              <w:rPr>
                <w:i/>
                <w:iCs/>
                <w:color w:val="auto"/>
              </w:rPr>
              <w:t>$5,333.70</w:t>
            </w:r>
          </w:p>
        </w:tc>
        <w:tc>
          <w:tcPr>
            <w:tcW w:w="1096" w:type="dxa"/>
          </w:tcPr>
          <w:p w14:paraId="7C03862E" w14:textId="77777777" w:rsidR="00652235" w:rsidRPr="000014F2" w:rsidRDefault="00652235" w:rsidP="0083662B">
            <w:pPr>
              <w:pStyle w:val="Critiquetabletext"/>
              <w:spacing w:before="0" w:after="0"/>
              <w:jc w:val="right"/>
              <w:rPr>
                <w:i/>
                <w:iCs/>
                <w:color w:val="auto"/>
              </w:rPr>
            </w:pPr>
            <w:r w:rsidRPr="000014F2">
              <w:rPr>
                <w:i/>
                <w:iCs/>
                <w:color w:val="auto"/>
              </w:rPr>
              <w:t>$441.42</w:t>
            </w:r>
          </w:p>
        </w:tc>
      </w:tr>
      <w:tr w:rsidR="00652235" w:rsidRPr="00FD633A" w14:paraId="749C899C" w14:textId="77777777" w:rsidTr="00F11AFE">
        <w:tc>
          <w:tcPr>
            <w:tcW w:w="3539" w:type="dxa"/>
          </w:tcPr>
          <w:p w14:paraId="54EBCFAC" w14:textId="77777777" w:rsidR="00652235" w:rsidRPr="000014F2" w:rsidRDefault="00652235" w:rsidP="0083662B">
            <w:pPr>
              <w:pStyle w:val="Critiquetabletext"/>
              <w:spacing w:before="0" w:after="0"/>
              <w:rPr>
                <w:i/>
                <w:iCs/>
                <w:color w:val="auto"/>
              </w:rPr>
            </w:pPr>
            <w:r w:rsidRPr="000014F2">
              <w:rPr>
                <w:i/>
                <w:iCs/>
                <w:color w:val="auto"/>
              </w:rPr>
              <w:t xml:space="preserve">VLAP capital maintenance costs, $179 </w:t>
            </w:r>
            <w:r w:rsidRPr="000014F2">
              <w:rPr>
                <w:i/>
                <w:iCs/>
                <w:color w:val="auto"/>
                <w:vertAlign w:val="superscript"/>
              </w:rPr>
              <w:t>d</w:t>
            </w:r>
            <w:r w:rsidRPr="000014F2">
              <w:rPr>
                <w:i/>
                <w:iCs/>
                <w:color w:val="auto"/>
              </w:rPr>
              <w:t xml:space="preserve"> </w:t>
            </w:r>
            <w:r w:rsidRPr="000014F2">
              <w:rPr>
                <w:i/>
                <w:iCs/>
                <w:color w:val="auto"/>
              </w:rPr>
              <w:br/>
              <w:t xml:space="preserve">(base case: $358) </w:t>
            </w:r>
            <w:r w:rsidRPr="000014F2">
              <w:rPr>
                <w:b/>
                <w:i/>
                <w:iCs/>
                <w:color w:val="auto"/>
              </w:rPr>
              <w:t>(#3)</w:t>
            </w:r>
          </w:p>
        </w:tc>
        <w:tc>
          <w:tcPr>
            <w:tcW w:w="1095" w:type="dxa"/>
          </w:tcPr>
          <w:p w14:paraId="758AD9FD" w14:textId="77777777" w:rsidR="00652235" w:rsidRPr="000014F2" w:rsidRDefault="00652235" w:rsidP="0083662B">
            <w:pPr>
              <w:pStyle w:val="Critiquetabletext"/>
              <w:spacing w:before="0" w:after="0"/>
              <w:jc w:val="right"/>
              <w:rPr>
                <w:i/>
                <w:iCs/>
                <w:color w:val="auto"/>
              </w:rPr>
            </w:pPr>
            <w:r w:rsidRPr="000014F2">
              <w:rPr>
                <w:i/>
                <w:iCs/>
                <w:color w:val="auto"/>
              </w:rPr>
              <w:t>$5,775.13</w:t>
            </w:r>
          </w:p>
        </w:tc>
        <w:tc>
          <w:tcPr>
            <w:tcW w:w="1095" w:type="dxa"/>
          </w:tcPr>
          <w:p w14:paraId="6AD9BD50" w14:textId="77777777" w:rsidR="00652235" w:rsidRPr="000014F2" w:rsidRDefault="00652235" w:rsidP="0083662B">
            <w:pPr>
              <w:pStyle w:val="Critiquetabletext"/>
              <w:spacing w:before="0" w:after="0"/>
              <w:jc w:val="right"/>
              <w:rPr>
                <w:i/>
                <w:iCs/>
                <w:color w:val="auto"/>
              </w:rPr>
            </w:pPr>
            <w:r w:rsidRPr="000014F2">
              <w:rPr>
                <w:i/>
                <w:iCs/>
                <w:color w:val="auto"/>
              </w:rPr>
              <w:t>$5,824.72</w:t>
            </w:r>
          </w:p>
        </w:tc>
        <w:tc>
          <w:tcPr>
            <w:tcW w:w="1096" w:type="dxa"/>
          </w:tcPr>
          <w:p w14:paraId="3E409063" w14:textId="77777777" w:rsidR="00652235" w:rsidRPr="000014F2" w:rsidRDefault="00652235" w:rsidP="0083662B">
            <w:pPr>
              <w:pStyle w:val="Critiquetabletext"/>
              <w:spacing w:before="0" w:after="0"/>
              <w:jc w:val="right"/>
              <w:rPr>
                <w:i/>
                <w:iCs/>
                <w:color w:val="auto"/>
              </w:rPr>
            </w:pPr>
            <w:r w:rsidRPr="000014F2">
              <w:rPr>
                <w:i/>
                <w:iCs/>
                <w:color w:val="auto"/>
              </w:rPr>
              <w:t>–$49.59</w:t>
            </w:r>
          </w:p>
        </w:tc>
        <w:tc>
          <w:tcPr>
            <w:tcW w:w="1095" w:type="dxa"/>
          </w:tcPr>
          <w:p w14:paraId="4DEFF636" w14:textId="77777777" w:rsidR="00652235" w:rsidRPr="000014F2" w:rsidRDefault="00652235" w:rsidP="0083662B">
            <w:pPr>
              <w:pStyle w:val="Critiquetabletext"/>
              <w:spacing w:before="0" w:after="0"/>
              <w:jc w:val="right"/>
              <w:rPr>
                <w:i/>
                <w:iCs/>
                <w:color w:val="auto"/>
              </w:rPr>
            </w:pPr>
            <w:r w:rsidRPr="000014F2">
              <w:rPr>
                <w:i/>
                <w:iCs/>
                <w:color w:val="auto"/>
              </w:rPr>
              <w:t>$5,813.74</w:t>
            </w:r>
          </w:p>
        </w:tc>
        <w:tc>
          <w:tcPr>
            <w:tcW w:w="1096" w:type="dxa"/>
          </w:tcPr>
          <w:p w14:paraId="09C56411" w14:textId="77777777" w:rsidR="00652235" w:rsidRPr="000014F2" w:rsidRDefault="00652235" w:rsidP="0083662B">
            <w:pPr>
              <w:pStyle w:val="Critiquetabletext"/>
              <w:spacing w:before="0" w:after="0"/>
              <w:jc w:val="right"/>
              <w:rPr>
                <w:i/>
                <w:iCs/>
                <w:color w:val="auto"/>
              </w:rPr>
            </w:pPr>
            <w:r w:rsidRPr="000014F2">
              <w:rPr>
                <w:i/>
                <w:iCs/>
                <w:color w:val="auto"/>
              </w:rPr>
              <w:t>–$38.61</w:t>
            </w:r>
          </w:p>
        </w:tc>
      </w:tr>
      <w:tr w:rsidR="00652235" w:rsidRPr="00FD633A" w14:paraId="04A44F6A" w14:textId="77777777" w:rsidTr="00F11AFE">
        <w:tc>
          <w:tcPr>
            <w:tcW w:w="3539" w:type="dxa"/>
          </w:tcPr>
          <w:p w14:paraId="345810AC" w14:textId="77777777" w:rsidR="00652235" w:rsidRPr="000014F2" w:rsidRDefault="00652235" w:rsidP="0083662B">
            <w:pPr>
              <w:pStyle w:val="Critiquetabletext"/>
              <w:spacing w:before="0" w:after="0"/>
              <w:rPr>
                <w:i/>
                <w:iCs/>
                <w:color w:val="auto"/>
              </w:rPr>
            </w:pPr>
            <w:r w:rsidRPr="000014F2">
              <w:rPr>
                <w:i/>
                <w:iCs/>
                <w:color w:val="auto"/>
              </w:rPr>
              <w:t xml:space="preserve">Reintervention cost after PUL, $6.105.77 </w:t>
            </w:r>
            <w:r w:rsidRPr="000014F2">
              <w:rPr>
                <w:i/>
                <w:iCs/>
                <w:color w:val="auto"/>
              </w:rPr>
              <w:br/>
              <w:t>(base case: $5,824.72)</w:t>
            </w:r>
          </w:p>
        </w:tc>
        <w:tc>
          <w:tcPr>
            <w:tcW w:w="1095" w:type="dxa"/>
          </w:tcPr>
          <w:p w14:paraId="318458A6" w14:textId="77777777" w:rsidR="00652235" w:rsidRPr="000014F2" w:rsidRDefault="00652235" w:rsidP="0083662B">
            <w:pPr>
              <w:pStyle w:val="Critiquetabletext"/>
              <w:spacing w:before="0" w:after="0"/>
              <w:jc w:val="right"/>
              <w:rPr>
                <w:i/>
                <w:iCs/>
                <w:color w:val="auto"/>
              </w:rPr>
            </w:pPr>
            <w:r w:rsidRPr="000014F2">
              <w:rPr>
                <w:i/>
                <w:iCs/>
                <w:color w:val="auto"/>
              </w:rPr>
              <w:t>$5,779.17</w:t>
            </w:r>
          </w:p>
        </w:tc>
        <w:tc>
          <w:tcPr>
            <w:tcW w:w="1095" w:type="dxa"/>
          </w:tcPr>
          <w:p w14:paraId="3D499AB1" w14:textId="77777777" w:rsidR="00652235" w:rsidRPr="000014F2" w:rsidRDefault="00652235" w:rsidP="0083662B">
            <w:pPr>
              <w:pStyle w:val="Critiquetabletext"/>
              <w:spacing w:before="0" w:after="0"/>
              <w:jc w:val="right"/>
              <w:rPr>
                <w:i/>
                <w:iCs/>
                <w:color w:val="auto"/>
              </w:rPr>
            </w:pPr>
            <w:r w:rsidRPr="000014F2">
              <w:rPr>
                <w:i/>
                <w:iCs/>
                <w:color w:val="auto"/>
              </w:rPr>
              <w:t>$5,824.72</w:t>
            </w:r>
          </w:p>
        </w:tc>
        <w:tc>
          <w:tcPr>
            <w:tcW w:w="1096" w:type="dxa"/>
          </w:tcPr>
          <w:p w14:paraId="4BC04F98" w14:textId="77777777" w:rsidR="00652235" w:rsidRPr="000014F2" w:rsidRDefault="00652235" w:rsidP="0083662B">
            <w:pPr>
              <w:pStyle w:val="Critiquetabletext"/>
              <w:spacing w:before="0" w:after="0"/>
              <w:jc w:val="right"/>
              <w:rPr>
                <w:i/>
                <w:iCs/>
                <w:color w:val="auto"/>
              </w:rPr>
            </w:pPr>
            <w:r w:rsidRPr="000014F2">
              <w:rPr>
                <w:i/>
                <w:iCs/>
                <w:color w:val="auto"/>
              </w:rPr>
              <w:t>–$45.54</w:t>
            </w:r>
          </w:p>
        </w:tc>
        <w:tc>
          <w:tcPr>
            <w:tcW w:w="1095" w:type="dxa"/>
          </w:tcPr>
          <w:p w14:paraId="2BBA4526" w14:textId="77777777" w:rsidR="00652235" w:rsidRPr="000014F2" w:rsidRDefault="00652235" w:rsidP="0083662B">
            <w:pPr>
              <w:pStyle w:val="Critiquetabletext"/>
              <w:spacing w:before="0" w:after="0"/>
              <w:jc w:val="right"/>
              <w:rPr>
                <w:i/>
                <w:iCs/>
                <w:color w:val="auto"/>
              </w:rPr>
            </w:pPr>
            <w:r w:rsidRPr="000014F2">
              <w:rPr>
                <w:i/>
                <w:iCs/>
                <w:color w:val="auto"/>
              </w:rPr>
              <w:t>$5,992.74</w:t>
            </w:r>
          </w:p>
        </w:tc>
        <w:tc>
          <w:tcPr>
            <w:tcW w:w="1096" w:type="dxa"/>
          </w:tcPr>
          <w:p w14:paraId="23FB8EDC" w14:textId="77777777" w:rsidR="00652235" w:rsidRPr="000014F2" w:rsidRDefault="00652235" w:rsidP="0083662B">
            <w:pPr>
              <w:pStyle w:val="Critiquetabletext"/>
              <w:spacing w:before="0" w:after="0"/>
              <w:jc w:val="right"/>
              <w:rPr>
                <w:i/>
                <w:iCs/>
                <w:color w:val="auto"/>
              </w:rPr>
            </w:pPr>
            <w:r w:rsidRPr="000014F2">
              <w:rPr>
                <w:i/>
                <w:iCs/>
                <w:color w:val="auto"/>
              </w:rPr>
              <w:t>–$213.56</w:t>
            </w:r>
          </w:p>
        </w:tc>
      </w:tr>
      <w:tr w:rsidR="00652235" w:rsidRPr="00FD633A" w14:paraId="490B5565" w14:textId="77777777" w:rsidTr="00F11AFE">
        <w:tc>
          <w:tcPr>
            <w:tcW w:w="3539" w:type="dxa"/>
            <w:tcBorders>
              <w:right w:val="nil"/>
            </w:tcBorders>
          </w:tcPr>
          <w:p w14:paraId="2E873F8B" w14:textId="77777777" w:rsidR="00652235" w:rsidRPr="000014F2" w:rsidRDefault="00652235" w:rsidP="0083662B">
            <w:pPr>
              <w:pStyle w:val="Critiquetabletext"/>
              <w:spacing w:before="0" w:after="0"/>
              <w:rPr>
                <w:i/>
                <w:iCs/>
                <w:color w:val="auto"/>
              </w:rPr>
            </w:pPr>
            <w:r w:rsidRPr="000014F2">
              <w:rPr>
                <w:i/>
                <w:iCs/>
                <w:color w:val="auto"/>
              </w:rPr>
              <w:t>Proportion of additional reintervention after PUL (base case: 1.44%)</w:t>
            </w:r>
          </w:p>
        </w:tc>
        <w:tc>
          <w:tcPr>
            <w:tcW w:w="1095" w:type="dxa"/>
            <w:tcBorders>
              <w:left w:val="nil"/>
              <w:right w:val="nil"/>
            </w:tcBorders>
          </w:tcPr>
          <w:p w14:paraId="159D8D84" w14:textId="77777777" w:rsidR="00652235" w:rsidRPr="000014F2" w:rsidRDefault="00652235" w:rsidP="0083662B">
            <w:pPr>
              <w:pStyle w:val="Critiquetabletext"/>
              <w:spacing w:before="0" w:after="0"/>
              <w:jc w:val="right"/>
              <w:rPr>
                <w:i/>
                <w:iCs/>
                <w:color w:val="auto"/>
              </w:rPr>
            </w:pPr>
          </w:p>
        </w:tc>
        <w:tc>
          <w:tcPr>
            <w:tcW w:w="1095" w:type="dxa"/>
            <w:tcBorders>
              <w:left w:val="nil"/>
              <w:right w:val="nil"/>
            </w:tcBorders>
          </w:tcPr>
          <w:p w14:paraId="584AC882" w14:textId="77777777" w:rsidR="00652235" w:rsidRPr="000014F2" w:rsidRDefault="00652235" w:rsidP="0083662B">
            <w:pPr>
              <w:pStyle w:val="Critiquetabletext"/>
              <w:spacing w:before="0" w:after="0"/>
              <w:jc w:val="right"/>
              <w:rPr>
                <w:i/>
                <w:iCs/>
                <w:color w:val="auto"/>
              </w:rPr>
            </w:pPr>
          </w:p>
        </w:tc>
        <w:tc>
          <w:tcPr>
            <w:tcW w:w="1096" w:type="dxa"/>
            <w:tcBorders>
              <w:left w:val="nil"/>
              <w:right w:val="nil"/>
            </w:tcBorders>
          </w:tcPr>
          <w:p w14:paraId="47FB0EF9" w14:textId="77777777" w:rsidR="00652235" w:rsidRPr="000014F2" w:rsidRDefault="00652235" w:rsidP="0083662B">
            <w:pPr>
              <w:pStyle w:val="Critiquetabletext"/>
              <w:spacing w:before="0" w:after="0"/>
              <w:jc w:val="right"/>
              <w:rPr>
                <w:i/>
                <w:iCs/>
                <w:color w:val="auto"/>
              </w:rPr>
            </w:pPr>
          </w:p>
        </w:tc>
        <w:tc>
          <w:tcPr>
            <w:tcW w:w="1095" w:type="dxa"/>
            <w:tcBorders>
              <w:left w:val="nil"/>
              <w:right w:val="nil"/>
            </w:tcBorders>
          </w:tcPr>
          <w:p w14:paraId="057A47F1" w14:textId="77777777" w:rsidR="00652235" w:rsidRPr="000014F2" w:rsidRDefault="00652235" w:rsidP="0083662B">
            <w:pPr>
              <w:pStyle w:val="Critiquetabletext"/>
              <w:spacing w:before="0" w:after="0"/>
              <w:jc w:val="right"/>
              <w:rPr>
                <w:i/>
                <w:iCs/>
                <w:color w:val="auto"/>
              </w:rPr>
            </w:pPr>
          </w:p>
        </w:tc>
        <w:tc>
          <w:tcPr>
            <w:tcW w:w="1096" w:type="dxa"/>
            <w:tcBorders>
              <w:left w:val="nil"/>
            </w:tcBorders>
          </w:tcPr>
          <w:p w14:paraId="3F26A817" w14:textId="77777777" w:rsidR="00652235" w:rsidRPr="000014F2" w:rsidRDefault="00652235" w:rsidP="0083662B">
            <w:pPr>
              <w:pStyle w:val="Critiquetabletext"/>
              <w:spacing w:before="0" w:after="0"/>
              <w:jc w:val="right"/>
              <w:rPr>
                <w:i/>
                <w:iCs/>
                <w:color w:val="auto"/>
              </w:rPr>
            </w:pPr>
          </w:p>
        </w:tc>
      </w:tr>
      <w:tr w:rsidR="00652235" w:rsidRPr="00FD633A" w14:paraId="22D45247" w14:textId="77777777" w:rsidTr="00F11AFE">
        <w:tc>
          <w:tcPr>
            <w:tcW w:w="3539" w:type="dxa"/>
            <w:tcBorders>
              <w:bottom w:val="nil"/>
            </w:tcBorders>
          </w:tcPr>
          <w:p w14:paraId="52D7D1C4" w14:textId="77777777" w:rsidR="00652235" w:rsidRPr="000014F2" w:rsidRDefault="00652235" w:rsidP="0083662B">
            <w:pPr>
              <w:pStyle w:val="Critiquetabletext"/>
              <w:spacing w:before="0" w:after="0"/>
              <w:rPr>
                <w:i/>
                <w:iCs/>
                <w:color w:val="auto"/>
              </w:rPr>
            </w:pPr>
            <w:r w:rsidRPr="000014F2">
              <w:rPr>
                <w:i/>
                <w:iCs/>
                <w:color w:val="auto"/>
              </w:rPr>
              <w:t xml:space="preserve">7.2% </w:t>
            </w:r>
            <w:r w:rsidRPr="000014F2">
              <w:rPr>
                <w:b/>
                <w:i/>
                <w:iCs/>
                <w:color w:val="auto"/>
              </w:rPr>
              <w:t>(#2)</w:t>
            </w:r>
          </w:p>
        </w:tc>
        <w:tc>
          <w:tcPr>
            <w:tcW w:w="1095" w:type="dxa"/>
            <w:tcBorders>
              <w:bottom w:val="nil"/>
            </w:tcBorders>
          </w:tcPr>
          <w:p w14:paraId="3C973062" w14:textId="77777777" w:rsidR="00652235" w:rsidRPr="000014F2" w:rsidRDefault="00652235" w:rsidP="0083662B">
            <w:pPr>
              <w:pStyle w:val="Critiquetabletext"/>
              <w:spacing w:before="0" w:after="0"/>
              <w:jc w:val="right"/>
              <w:rPr>
                <w:i/>
                <w:iCs/>
                <w:color w:val="auto"/>
              </w:rPr>
            </w:pPr>
            <w:r w:rsidRPr="000014F2">
              <w:rPr>
                <w:i/>
                <w:iCs/>
                <w:color w:val="auto"/>
              </w:rPr>
              <w:t>$6,110.63</w:t>
            </w:r>
          </w:p>
        </w:tc>
        <w:tc>
          <w:tcPr>
            <w:tcW w:w="1095" w:type="dxa"/>
            <w:tcBorders>
              <w:bottom w:val="nil"/>
            </w:tcBorders>
          </w:tcPr>
          <w:p w14:paraId="0F27F3D3" w14:textId="77777777" w:rsidR="00652235" w:rsidRPr="000014F2" w:rsidRDefault="00652235" w:rsidP="0083662B">
            <w:pPr>
              <w:pStyle w:val="Critiquetabletext"/>
              <w:spacing w:before="0" w:after="0"/>
              <w:jc w:val="right"/>
              <w:rPr>
                <w:i/>
                <w:iCs/>
                <w:color w:val="auto"/>
              </w:rPr>
            </w:pPr>
            <w:r w:rsidRPr="000014F2">
              <w:rPr>
                <w:i/>
                <w:iCs/>
                <w:color w:val="auto"/>
              </w:rPr>
              <w:t>$5,824.72</w:t>
            </w:r>
          </w:p>
        </w:tc>
        <w:tc>
          <w:tcPr>
            <w:tcW w:w="1096" w:type="dxa"/>
            <w:tcBorders>
              <w:bottom w:val="nil"/>
            </w:tcBorders>
          </w:tcPr>
          <w:p w14:paraId="0AC19F6D" w14:textId="77777777" w:rsidR="00652235" w:rsidRPr="000014F2" w:rsidRDefault="00652235" w:rsidP="0083662B">
            <w:pPr>
              <w:pStyle w:val="Critiquetabletext"/>
              <w:spacing w:before="0" w:after="0"/>
              <w:jc w:val="right"/>
              <w:rPr>
                <w:i/>
                <w:iCs/>
                <w:color w:val="auto"/>
              </w:rPr>
            </w:pPr>
            <w:r w:rsidRPr="000014F2">
              <w:rPr>
                <w:i/>
                <w:iCs/>
                <w:color w:val="auto"/>
              </w:rPr>
              <w:t>$285.92</w:t>
            </w:r>
          </w:p>
        </w:tc>
        <w:tc>
          <w:tcPr>
            <w:tcW w:w="1095" w:type="dxa"/>
            <w:tcBorders>
              <w:bottom w:val="nil"/>
            </w:tcBorders>
          </w:tcPr>
          <w:p w14:paraId="410DCDCC" w14:textId="77777777" w:rsidR="00652235" w:rsidRPr="000014F2" w:rsidRDefault="00652235" w:rsidP="0083662B">
            <w:pPr>
              <w:pStyle w:val="Critiquetabletext"/>
              <w:spacing w:before="0" w:after="0"/>
              <w:jc w:val="right"/>
              <w:rPr>
                <w:i/>
                <w:iCs/>
                <w:color w:val="auto"/>
              </w:rPr>
            </w:pPr>
            <w:r w:rsidRPr="000014F2">
              <w:rPr>
                <w:i/>
                <w:iCs/>
                <w:color w:val="auto"/>
              </w:rPr>
              <w:t>$5,992.74</w:t>
            </w:r>
          </w:p>
        </w:tc>
        <w:tc>
          <w:tcPr>
            <w:tcW w:w="1096" w:type="dxa"/>
            <w:tcBorders>
              <w:bottom w:val="nil"/>
            </w:tcBorders>
          </w:tcPr>
          <w:p w14:paraId="499CE399" w14:textId="77777777" w:rsidR="00652235" w:rsidRPr="000014F2" w:rsidRDefault="00652235" w:rsidP="0083662B">
            <w:pPr>
              <w:pStyle w:val="Critiquetabletext"/>
              <w:spacing w:before="0" w:after="0"/>
              <w:jc w:val="right"/>
              <w:rPr>
                <w:i/>
                <w:iCs/>
                <w:color w:val="auto"/>
              </w:rPr>
            </w:pPr>
            <w:r w:rsidRPr="000014F2">
              <w:rPr>
                <w:i/>
                <w:iCs/>
                <w:color w:val="auto"/>
              </w:rPr>
              <w:t>$117.89</w:t>
            </w:r>
          </w:p>
        </w:tc>
      </w:tr>
      <w:tr w:rsidR="00652235" w:rsidRPr="00FD633A" w14:paraId="69D980C2" w14:textId="77777777" w:rsidTr="00F11AFE">
        <w:tc>
          <w:tcPr>
            <w:tcW w:w="3539" w:type="dxa"/>
            <w:tcBorders>
              <w:top w:val="nil"/>
              <w:bottom w:val="single" w:sz="4" w:space="0" w:color="auto"/>
            </w:tcBorders>
          </w:tcPr>
          <w:p w14:paraId="466544A3" w14:textId="77777777" w:rsidR="00652235" w:rsidRPr="000014F2" w:rsidDel="00CF37A7" w:rsidRDefault="00652235" w:rsidP="0083662B">
            <w:pPr>
              <w:pStyle w:val="Critiquetabletext"/>
              <w:spacing w:before="0" w:after="0"/>
              <w:rPr>
                <w:i/>
                <w:iCs/>
                <w:color w:val="auto"/>
              </w:rPr>
            </w:pPr>
            <w:r w:rsidRPr="000014F2">
              <w:rPr>
                <w:i/>
                <w:iCs/>
                <w:color w:val="auto"/>
              </w:rPr>
              <w:t>7.9%</w:t>
            </w:r>
          </w:p>
        </w:tc>
        <w:tc>
          <w:tcPr>
            <w:tcW w:w="1095" w:type="dxa"/>
            <w:tcBorders>
              <w:top w:val="nil"/>
              <w:bottom w:val="single" w:sz="4" w:space="0" w:color="auto"/>
            </w:tcBorders>
          </w:tcPr>
          <w:p w14:paraId="3606E8B3" w14:textId="77777777" w:rsidR="00652235" w:rsidRPr="000014F2" w:rsidRDefault="00652235" w:rsidP="0083662B">
            <w:pPr>
              <w:pStyle w:val="Critiquetabletext"/>
              <w:spacing w:before="0" w:after="0"/>
              <w:jc w:val="right"/>
              <w:rPr>
                <w:i/>
                <w:iCs/>
                <w:color w:val="auto"/>
              </w:rPr>
            </w:pPr>
            <w:r w:rsidRPr="000014F2">
              <w:rPr>
                <w:i/>
                <w:iCs/>
                <w:color w:val="auto"/>
              </w:rPr>
              <w:t>$6,151.40</w:t>
            </w:r>
          </w:p>
        </w:tc>
        <w:tc>
          <w:tcPr>
            <w:tcW w:w="1095" w:type="dxa"/>
            <w:tcBorders>
              <w:top w:val="nil"/>
              <w:bottom w:val="single" w:sz="4" w:space="0" w:color="auto"/>
            </w:tcBorders>
          </w:tcPr>
          <w:p w14:paraId="4219D971" w14:textId="77777777" w:rsidR="00652235" w:rsidRPr="000014F2" w:rsidRDefault="00652235" w:rsidP="0083662B">
            <w:pPr>
              <w:pStyle w:val="Critiquetabletext"/>
              <w:spacing w:before="0" w:after="0"/>
              <w:jc w:val="right"/>
              <w:rPr>
                <w:i/>
                <w:iCs/>
                <w:color w:val="auto"/>
              </w:rPr>
            </w:pPr>
            <w:r w:rsidRPr="000014F2">
              <w:rPr>
                <w:i/>
                <w:iCs/>
                <w:color w:val="auto"/>
              </w:rPr>
              <w:t>$5,824.72</w:t>
            </w:r>
          </w:p>
        </w:tc>
        <w:tc>
          <w:tcPr>
            <w:tcW w:w="1096" w:type="dxa"/>
            <w:tcBorders>
              <w:top w:val="nil"/>
              <w:bottom w:val="single" w:sz="4" w:space="0" w:color="auto"/>
            </w:tcBorders>
          </w:tcPr>
          <w:p w14:paraId="74B7A9A7" w14:textId="77777777" w:rsidR="00652235" w:rsidRPr="000014F2" w:rsidRDefault="00652235" w:rsidP="0083662B">
            <w:pPr>
              <w:pStyle w:val="Critiquetabletext"/>
              <w:spacing w:before="0" w:after="0"/>
              <w:jc w:val="right"/>
              <w:rPr>
                <w:i/>
                <w:iCs/>
                <w:color w:val="auto"/>
              </w:rPr>
            </w:pPr>
            <w:r w:rsidRPr="000014F2">
              <w:rPr>
                <w:i/>
                <w:iCs/>
                <w:color w:val="auto"/>
              </w:rPr>
              <w:t>$326.69</w:t>
            </w:r>
          </w:p>
        </w:tc>
        <w:tc>
          <w:tcPr>
            <w:tcW w:w="1095" w:type="dxa"/>
            <w:tcBorders>
              <w:top w:val="nil"/>
              <w:bottom w:val="single" w:sz="4" w:space="0" w:color="auto"/>
            </w:tcBorders>
          </w:tcPr>
          <w:p w14:paraId="44F45132" w14:textId="77777777" w:rsidR="00652235" w:rsidRPr="000014F2" w:rsidRDefault="00652235" w:rsidP="0083662B">
            <w:pPr>
              <w:pStyle w:val="Critiquetabletext"/>
              <w:spacing w:before="0" w:after="0"/>
              <w:jc w:val="right"/>
              <w:rPr>
                <w:i/>
                <w:iCs/>
                <w:color w:val="auto"/>
              </w:rPr>
            </w:pPr>
            <w:r w:rsidRPr="000014F2">
              <w:rPr>
                <w:i/>
                <w:iCs/>
                <w:color w:val="auto"/>
              </w:rPr>
              <w:t>$5,992.74</w:t>
            </w:r>
          </w:p>
        </w:tc>
        <w:tc>
          <w:tcPr>
            <w:tcW w:w="1096" w:type="dxa"/>
            <w:tcBorders>
              <w:top w:val="nil"/>
              <w:bottom w:val="single" w:sz="4" w:space="0" w:color="auto"/>
            </w:tcBorders>
          </w:tcPr>
          <w:p w14:paraId="6BDBC9CC" w14:textId="77777777" w:rsidR="00652235" w:rsidRPr="000014F2" w:rsidRDefault="00652235" w:rsidP="0083662B">
            <w:pPr>
              <w:pStyle w:val="Critiquetabletext"/>
              <w:spacing w:before="0" w:after="0"/>
              <w:jc w:val="right"/>
              <w:rPr>
                <w:i/>
                <w:iCs/>
                <w:color w:val="auto"/>
              </w:rPr>
            </w:pPr>
            <w:r w:rsidRPr="000014F2">
              <w:rPr>
                <w:i/>
                <w:iCs/>
                <w:color w:val="auto"/>
              </w:rPr>
              <w:t>$158.67</w:t>
            </w:r>
          </w:p>
        </w:tc>
      </w:tr>
      <w:tr w:rsidR="00652235" w:rsidRPr="00FD633A" w14:paraId="5B36756C" w14:textId="77777777" w:rsidTr="00F11AFE">
        <w:tc>
          <w:tcPr>
            <w:tcW w:w="3539" w:type="dxa"/>
            <w:tcBorders>
              <w:bottom w:val="single" w:sz="4" w:space="0" w:color="auto"/>
            </w:tcBorders>
          </w:tcPr>
          <w:p w14:paraId="582D70CF" w14:textId="77777777" w:rsidR="00652235" w:rsidRPr="000014F2" w:rsidRDefault="00652235" w:rsidP="0083662B">
            <w:pPr>
              <w:pStyle w:val="Critiquetabletext"/>
              <w:spacing w:before="0" w:after="0"/>
              <w:rPr>
                <w:i/>
                <w:iCs/>
                <w:color w:val="auto"/>
              </w:rPr>
            </w:pPr>
            <w:r w:rsidRPr="000014F2">
              <w:rPr>
                <w:i/>
                <w:iCs/>
                <w:color w:val="auto"/>
              </w:rPr>
              <w:t xml:space="preserve">Inclusion of TURP disposable loop costs </w:t>
            </w:r>
            <w:r w:rsidRPr="000014F2">
              <w:rPr>
                <w:i/>
                <w:iCs/>
                <w:color w:val="auto"/>
                <w:vertAlign w:val="superscript"/>
              </w:rPr>
              <w:t>e</w:t>
            </w:r>
            <w:r w:rsidRPr="000014F2">
              <w:rPr>
                <w:i/>
                <w:iCs/>
                <w:color w:val="auto"/>
              </w:rPr>
              <w:t xml:space="preserve"> </w:t>
            </w:r>
            <w:r w:rsidRPr="000014F2">
              <w:rPr>
                <w:i/>
                <w:iCs/>
                <w:color w:val="auto"/>
              </w:rPr>
              <w:br/>
              <w:t xml:space="preserve">(base case: not included) </w:t>
            </w:r>
            <w:r w:rsidRPr="000014F2">
              <w:rPr>
                <w:b/>
                <w:i/>
                <w:iCs/>
                <w:color w:val="auto"/>
              </w:rPr>
              <w:t>(#4)</w:t>
            </w:r>
          </w:p>
        </w:tc>
        <w:tc>
          <w:tcPr>
            <w:tcW w:w="1095" w:type="dxa"/>
            <w:tcBorders>
              <w:bottom w:val="single" w:sz="4" w:space="0" w:color="auto"/>
            </w:tcBorders>
          </w:tcPr>
          <w:p w14:paraId="624DA956" w14:textId="77777777" w:rsidR="00652235" w:rsidRPr="000014F2" w:rsidRDefault="00652235" w:rsidP="0083662B">
            <w:pPr>
              <w:pStyle w:val="Critiquetabletext"/>
              <w:spacing w:before="0" w:after="0"/>
              <w:jc w:val="right"/>
              <w:rPr>
                <w:i/>
                <w:iCs/>
                <w:color w:val="auto"/>
              </w:rPr>
            </w:pPr>
            <w:r w:rsidRPr="000014F2">
              <w:rPr>
                <w:i/>
                <w:iCs/>
                <w:color w:val="auto"/>
              </w:rPr>
              <w:t>$5,782.07</w:t>
            </w:r>
          </w:p>
        </w:tc>
        <w:tc>
          <w:tcPr>
            <w:tcW w:w="1095" w:type="dxa"/>
            <w:tcBorders>
              <w:bottom w:val="single" w:sz="4" w:space="0" w:color="auto"/>
            </w:tcBorders>
          </w:tcPr>
          <w:p w14:paraId="586636E9" w14:textId="77777777" w:rsidR="00652235" w:rsidRPr="000014F2" w:rsidRDefault="00652235" w:rsidP="0083662B">
            <w:pPr>
              <w:pStyle w:val="Critiquetabletext"/>
              <w:spacing w:before="0" w:after="0"/>
              <w:jc w:val="right"/>
              <w:rPr>
                <w:i/>
                <w:iCs/>
                <w:color w:val="auto"/>
              </w:rPr>
            </w:pPr>
            <w:r w:rsidRPr="000014F2">
              <w:rPr>
                <w:i/>
                <w:iCs/>
                <w:color w:val="auto"/>
              </w:rPr>
              <w:t>$6,306.98</w:t>
            </w:r>
          </w:p>
        </w:tc>
        <w:tc>
          <w:tcPr>
            <w:tcW w:w="1096" w:type="dxa"/>
            <w:tcBorders>
              <w:bottom w:val="single" w:sz="4" w:space="0" w:color="auto"/>
            </w:tcBorders>
          </w:tcPr>
          <w:p w14:paraId="64556D59" w14:textId="77777777" w:rsidR="00652235" w:rsidRPr="000014F2" w:rsidRDefault="00652235" w:rsidP="0083662B">
            <w:pPr>
              <w:pStyle w:val="Critiquetabletext"/>
              <w:spacing w:before="0" w:after="0"/>
              <w:jc w:val="right"/>
              <w:rPr>
                <w:i/>
                <w:iCs/>
                <w:color w:val="auto"/>
              </w:rPr>
            </w:pPr>
            <w:r w:rsidRPr="000014F2">
              <w:rPr>
                <w:i/>
                <w:iCs/>
                <w:color w:val="auto"/>
              </w:rPr>
              <w:t>–$524.91</w:t>
            </w:r>
          </w:p>
        </w:tc>
        <w:tc>
          <w:tcPr>
            <w:tcW w:w="1095" w:type="dxa"/>
            <w:tcBorders>
              <w:bottom w:val="single" w:sz="4" w:space="0" w:color="auto"/>
            </w:tcBorders>
          </w:tcPr>
          <w:p w14:paraId="3C50CDF8" w14:textId="77777777" w:rsidR="00652235" w:rsidRPr="000014F2" w:rsidRDefault="00652235" w:rsidP="0083662B">
            <w:pPr>
              <w:pStyle w:val="Critiquetabletext"/>
              <w:spacing w:before="0" w:after="0"/>
              <w:jc w:val="right"/>
              <w:rPr>
                <w:i/>
                <w:iCs/>
                <w:color w:val="auto"/>
              </w:rPr>
            </w:pPr>
            <w:r w:rsidRPr="000014F2">
              <w:rPr>
                <w:i/>
                <w:iCs/>
                <w:color w:val="auto"/>
              </w:rPr>
              <w:t>$5,992.74</w:t>
            </w:r>
          </w:p>
        </w:tc>
        <w:tc>
          <w:tcPr>
            <w:tcW w:w="1096" w:type="dxa"/>
            <w:tcBorders>
              <w:bottom w:val="single" w:sz="4" w:space="0" w:color="auto"/>
            </w:tcBorders>
          </w:tcPr>
          <w:p w14:paraId="02FA6662" w14:textId="77777777" w:rsidR="00652235" w:rsidRPr="000014F2" w:rsidRDefault="00652235" w:rsidP="0083662B">
            <w:pPr>
              <w:pStyle w:val="Critiquetabletext"/>
              <w:spacing w:before="0" w:after="0"/>
              <w:jc w:val="right"/>
              <w:rPr>
                <w:i/>
                <w:iCs/>
                <w:color w:val="auto"/>
              </w:rPr>
            </w:pPr>
            <w:r w:rsidRPr="000014F2">
              <w:rPr>
                <w:i/>
                <w:iCs/>
                <w:color w:val="auto"/>
              </w:rPr>
              <w:t>–$210.66</w:t>
            </w:r>
          </w:p>
        </w:tc>
      </w:tr>
      <w:tr w:rsidR="00652235" w:rsidRPr="00FD633A" w14:paraId="347C09DD" w14:textId="77777777" w:rsidTr="00F11AFE">
        <w:tc>
          <w:tcPr>
            <w:tcW w:w="3539" w:type="dxa"/>
            <w:tcBorders>
              <w:top w:val="single" w:sz="4" w:space="0" w:color="auto"/>
              <w:bottom w:val="single" w:sz="4" w:space="0" w:color="auto"/>
            </w:tcBorders>
          </w:tcPr>
          <w:p w14:paraId="53439670" w14:textId="77777777" w:rsidR="00652235" w:rsidRPr="000014F2" w:rsidRDefault="00652235" w:rsidP="0083662B">
            <w:pPr>
              <w:pStyle w:val="Critiquetabletext"/>
              <w:spacing w:before="0" w:after="0"/>
              <w:rPr>
                <w:i/>
                <w:iCs/>
                <w:color w:val="auto"/>
              </w:rPr>
            </w:pPr>
            <w:r w:rsidRPr="000014F2">
              <w:rPr>
                <w:i/>
                <w:iCs/>
                <w:color w:val="auto"/>
              </w:rPr>
              <w:t xml:space="preserve">PHDB AR-DRG hospital cost data </w:t>
            </w:r>
            <w:r w:rsidRPr="000014F2">
              <w:rPr>
                <w:i/>
                <w:iCs/>
                <w:color w:val="auto"/>
                <w:vertAlign w:val="superscript"/>
              </w:rPr>
              <w:t>f</w:t>
            </w:r>
            <w:r w:rsidRPr="000014F2">
              <w:rPr>
                <w:i/>
                <w:iCs/>
                <w:color w:val="auto"/>
              </w:rPr>
              <w:t xml:space="preserve"> (2.56 days of TURP, 2 </w:t>
            </w:r>
            <w:proofErr w:type="gramStart"/>
            <w:r w:rsidRPr="000014F2">
              <w:rPr>
                <w:i/>
                <w:iCs/>
                <w:color w:val="auto"/>
              </w:rPr>
              <w:t>day</w:t>
            </w:r>
            <w:proofErr w:type="gramEnd"/>
            <w:r w:rsidRPr="000014F2">
              <w:rPr>
                <w:i/>
                <w:iCs/>
                <w:color w:val="auto"/>
              </w:rPr>
              <w:t xml:space="preserve"> of VLAP)</w:t>
            </w:r>
          </w:p>
        </w:tc>
        <w:tc>
          <w:tcPr>
            <w:tcW w:w="1095" w:type="dxa"/>
            <w:tcBorders>
              <w:top w:val="single" w:sz="4" w:space="0" w:color="auto"/>
              <w:bottom w:val="single" w:sz="4" w:space="0" w:color="auto"/>
            </w:tcBorders>
          </w:tcPr>
          <w:p w14:paraId="62EF2E3D" w14:textId="77777777" w:rsidR="00652235" w:rsidRPr="000014F2" w:rsidRDefault="00652235" w:rsidP="0083662B">
            <w:pPr>
              <w:pStyle w:val="Critiquetabletext"/>
              <w:spacing w:before="0" w:after="0"/>
              <w:jc w:val="right"/>
              <w:rPr>
                <w:i/>
                <w:color w:val="auto"/>
              </w:rPr>
            </w:pPr>
            <w:r w:rsidRPr="000014F2">
              <w:rPr>
                <w:i/>
                <w:color w:val="auto"/>
              </w:rPr>
              <w:t>$5,661.00</w:t>
            </w:r>
          </w:p>
        </w:tc>
        <w:tc>
          <w:tcPr>
            <w:tcW w:w="1095" w:type="dxa"/>
            <w:tcBorders>
              <w:top w:val="single" w:sz="4" w:space="0" w:color="auto"/>
              <w:bottom w:val="single" w:sz="4" w:space="0" w:color="auto"/>
            </w:tcBorders>
          </w:tcPr>
          <w:p w14:paraId="0CCDB50D" w14:textId="77777777" w:rsidR="00652235" w:rsidRPr="000014F2" w:rsidRDefault="00652235" w:rsidP="0083662B">
            <w:pPr>
              <w:pStyle w:val="Critiquetabletext"/>
              <w:spacing w:before="0" w:after="0"/>
              <w:jc w:val="right"/>
              <w:rPr>
                <w:i/>
                <w:color w:val="auto"/>
              </w:rPr>
            </w:pPr>
            <w:r w:rsidRPr="000014F2">
              <w:rPr>
                <w:i/>
                <w:color w:val="auto"/>
              </w:rPr>
              <w:t>$5,763.67</w:t>
            </w:r>
          </w:p>
        </w:tc>
        <w:tc>
          <w:tcPr>
            <w:tcW w:w="1096" w:type="dxa"/>
            <w:tcBorders>
              <w:top w:val="single" w:sz="4" w:space="0" w:color="auto"/>
              <w:bottom w:val="single" w:sz="4" w:space="0" w:color="auto"/>
            </w:tcBorders>
          </w:tcPr>
          <w:p w14:paraId="4AA773DC" w14:textId="77777777" w:rsidR="00652235" w:rsidRPr="000014F2" w:rsidRDefault="00652235" w:rsidP="0083662B">
            <w:pPr>
              <w:pStyle w:val="Critiquetabletext"/>
              <w:spacing w:before="0" w:after="0"/>
              <w:jc w:val="right"/>
              <w:rPr>
                <w:i/>
                <w:color w:val="auto"/>
              </w:rPr>
            </w:pPr>
            <w:r w:rsidRPr="000014F2">
              <w:rPr>
                <w:i/>
                <w:color w:val="auto"/>
              </w:rPr>
              <w:t>−$102.67</w:t>
            </w:r>
          </w:p>
        </w:tc>
        <w:tc>
          <w:tcPr>
            <w:tcW w:w="1095" w:type="dxa"/>
            <w:tcBorders>
              <w:top w:val="single" w:sz="4" w:space="0" w:color="auto"/>
              <w:bottom w:val="single" w:sz="4" w:space="0" w:color="auto"/>
            </w:tcBorders>
          </w:tcPr>
          <w:p w14:paraId="1514AB59" w14:textId="77777777" w:rsidR="00652235" w:rsidRPr="000014F2" w:rsidRDefault="00652235" w:rsidP="0083662B">
            <w:pPr>
              <w:pStyle w:val="Critiquetabletext"/>
              <w:spacing w:before="0" w:after="0"/>
              <w:jc w:val="right"/>
              <w:rPr>
                <w:i/>
                <w:color w:val="auto"/>
              </w:rPr>
            </w:pPr>
            <w:r w:rsidRPr="000014F2">
              <w:rPr>
                <w:i/>
                <w:color w:val="auto"/>
              </w:rPr>
              <w:t>$7,265.53</w:t>
            </w:r>
          </w:p>
        </w:tc>
        <w:tc>
          <w:tcPr>
            <w:tcW w:w="1096" w:type="dxa"/>
            <w:tcBorders>
              <w:top w:val="single" w:sz="4" w:space="0" w:color="auto"/>
              <w:bottom w:val="single" w:sz="4" w:space="0" w:color="auto"/>
            </w:tcBorders>
          </w:tcPr>
          <w:p w14:paraId="54FE2270" w14:textId="77777777" w:rsidR="00652235" w:rsidRPr="000014F2" w:rsidRDefault="00652235" w:rsidP="0083662B">
            <w:pPr>
              <w:pStyle w:val="Critiquetabletext"/>
              <w:spacing w:before="0" w:after="0"/>
              <w:jc w:val="right"/>
              <w:rPr>
                <w:i/>
                <w:color w:val="auto"/>
              </w:rPr>
            </w:pPr>
            <w:r w:rsidRPr="000014F2">
              <w:rPr>
                <w:i/>
                <w:color w:val="auto"/>
              </w:rPr>
              <w:t>−$1,604.54</w:t>
            </w:r>
          </w:p>
        </w:tc>
      </w:tr>
      <w:tr w:rsidR="00652235" w:rsidRPr="00FD633A" w14:paraId="6CB9138D" w14:textId="77777777" w:rsidTr="00F11AFE">
        <w:tc>
          <w:tcPr>
            <w:tcW w:w="3539" w:type="dxa"/>
            <w:tcBorders>
              <w:top w:val="single" w:sz="4" w:space="0" w:color="auto"/>
              <w:bottom w:val="double" w:sz="4" w:space="0" w:color="auto"/>
            </w:tcBorders>
          </w:tcPr>
          <w:p w14:paraId="159341B3" w14:textId="77777777" w:rsidR="00652235" w:rsidRPr="000014F2" w:rsidRDefault="00652235" w:rsidP="0083662B">
            <w:pPr>
              <w:pStyle w:val="Critiquetabletext"/>
              <w:spacing w:before="0" w:after="0"/>
              <w:rPr>
                <w:i/>
                <w:iCs/>
                <w:color w:val="auto"/>
              </w:rPr>
            </w:pPr>
            <w:r w:rsidRPr="000014F2">
              <w:rPr>
                <w:i/>
                <w:iCs/>
                <w:color w:val="auto"/>
              </w:rPr>
              <w:t xml:space="preserve">PHDB AR-DRG hospital cost data </w:t>
            </w:r>
            <w:r w:rsidRPr="000014F2">
              <w:rPr>
                <w:i/>
                <w:iCs/>
                <w:color w:val="auto"/>
                <w:vertAlign w:val="superscript"/>
              </w:rPr>
              <w:t>f</w:t>
            </w:r>
            <w:r w:rsidRPr="000014F2">
              <w:rPr>
                <w:i/>
                <w:iCs/>
                <w:color w:val="auto"/>
              </w:rPr>
              <w:t xml:space="preserve"> (1.9 days of TURP, 1 day of VLAP)</w:t>
            </w:r>
          </w:p>
        </w:tc>
        <w:tc>
          <w:tcPr>
            <w:tcW w:w="1095" w:type="dxa"/>
            <w:tcBorders>
              <w:top w:val="single" w:sz="4" w:space="0" w:color="auto"/>
              <w:bottom w:val="double" w:sz="4" w:space="0" w:color="auto"/>
            </w:tcBorders>
          </w:tcPr>
          <w:p w14:paraId="4D4C1E68" w14:textId="77777777" w:rsidR="00652235" w:rsidRPr="000014F2" w:rsidRDefault="00652235" w:rsidP="0083662B">
            <w:pPr>
              <w:pStyle w:val="Critiquetabletext"/>
              <w:spacing w:before="0" w:after="0"/>
              <w:jc w:val="right"/>
              <w:rPr>
                <w:i/>
                <w:iCs/>
                <w:color w:val="auto"/>
              </w:rPr>
            </w:pPr>
            <w:r w:rsidRPr="000014F2">
              <w:rPr>
                <w:i/>
                <w:color w:val="auto"/>
              </w:rPr>
              <w:t>$5,644.52</w:t>
            </w:r>
          </w:p>
        </w:tc>
        <w:tc>
          <w:tcPr>
            <w:tcW w:w="1095" w:type="dxa"/>
            <w:tcBorders>
              <w:top w:val="single" w:sz="4" w:space="0" w:color="auto"/>
              <w:bottom w:val="double" w:sz="4" w:space="0" w:color="auto"/>
            </w:tcBorders>
          </w:tcPr>
          <w:p w14:paraId="7C376653" w14:textId="77777777" w:rsidR="00652235" w:rsidRPr="000014F2" w:rsidRDefault="00652235" w:rsidP="0083662B">
            <w:pPr>
              <w:pStyle w:val="Critiquetabletext"/>
              <w:spacing w:before="0" w:after="0"/>
              <w:jc w:val="right"/>
              <w:rPr>
                <w:i/>
                <w:iCs/>
                <w:color w:val="auto"/>
              </w:rPr>
            </w:pPr>
            <w:r w:rsidRPr="000014F2">
              <w:rPr>
                <w:i/>
                <w:color w:val="auto"/>
              </w:rPr>
              <w:t>$4,619.13</w:t>
            </w:r>
          </w:p>
        </w:tc>
        <w:tc>
          <w:tcPr>
            <w:tcW w:w="1096" w:type="dxa"/>
            <w:tcBorders>
              <w:top w:val="single" w:sz="4" w:space="0" w:color="auto"/>
              <w:bottom w:val="double" w:sz="4" w:space="0" w:color="auto"/>
            </w:tcBorders>
          </w:tcPr>
          <w:p w14:paraId="745D8997" w14:textId="77777777" w:rsidR="00652235" w:rsidRPr="000014F2" w:rsidRDefault="00652235" w:rsidP="0083662B">
            <w:pPr>
              <w:pStyle w:val="Critiquetabletext"/>
              <w:spacing w:before="0" w:after="0"/>
              <w:jc w:val="right"/>
              <w:rPr>
                <w:i/>
                <w:iCs/>
                <w:color w:val="auto"/>
              </w:rPr>
            </w:pPr>
            <w:r w:rsidRPr="000014F2">
              <w:rPr>
                <w:i/>
                <w:color w:val="auto"/>
              </w:rPr>
              <w:t>$1,025.38</w:t>
            </w:r>
          </w:p>
        </w:tc>
        <w:tc>
          <w:tcPr>
            <w:tcW w:w="1095" w:type="dxa"/>
            <w:tcBorders>
              <w:top w:val="single" w:sz="4" w:space="0" w:color="auto"/>
              <w:bottom w:val="double" w:sz="4" w:space="0" w:color="auto"/>
            </w:tcBorders>
          </w:tcPr>
          <w:p w14:paraId="43746768" w14:textId="77777777" w:rsidR="00652235" w:rsidRPr="000014F2" w:rsidRDefault="00652235" w:rsidP="0083662B">
            <w:pPr>
              <w:pStyle w:val="Critiquetabletext"/>
              <w:spacing w:before="0" w:after="0"/>
              <w:jc w:val="right"/>
              <w:rPr>
                <w:i/>
                <w:iCs/>
                <w:color w:val="auto"/>
              </w:rPr>
            </w:pPr>
            <w:r w:rsidRPr="000014F2">
              <w:rPr>
                <w:i/>
                <w:color w:val="auto"/>
              </w:rPr>
              <w:t>$5,531.38</w:t>
            </w:r>
          </w:p>
        </w:tc>
        <w:tc>
          <w:tcPr>
            <w:tcW w:w="1096" w:type="dxa"/>
            <w:tcBorders>
              <w:top w:val="single" w:sz="4" w:space="0" w:color="auto"/>
              <w:bottom w:val="double" w:sz="4" w:space="0" w:color="auto"/>
            </w:tcBorders>
          </w:tcPr>
          <w:p w14:paraId="63AFDCDE" w14:textId="77777777" w:rsidR="00652235" w:rsidRPr="000014F2" w:rsidRDefault="00652235" w:rsidP="0083662B">
            <w:pPr>
              <w:pStyle w:val="Critiquetabletext"/>
              <w:spacing w:before="0" w:after="0"/>
              <w:jc w:val="right"/>
              <w:rPr>
                <w:i/>
                <w:iCs/>
                <w:color w:val="auto"/>
              </w:rPr>
            </w:pPr>
            <w:r w:rsidRPr="000014F2">
              <w:rPr>
                <w:i/>
                <w:color w:val="auto"/>
              </w:rPr>
              <w:t>$113.13</w:t>
            </w:r>
          </w:p>
        </w:tc>
      </w:tr>
      <w:tr w:rsidR="00652235" w:rsidRPr="00FD633A" w14:paraId="65A99B43" w14:textId="77777777" w:rsidTr="00F11AFE">
        <w:tc>
          <w:tcPr>
            <w:tcW w:w="3539" w:type="dxa"/>
            <w:tcBorders>
              <w:top w:val="double" w:sz="4" w:space="0" w:color="auto"/>
              <w:right w:val="nil"/>
            </w:tcBorders>
          </w:tcPr>
          <w:p w14:paraId="132FFF70" w14:textId="77777777" w:rsidR="00652235" w:rsidRPr="000014F2" w:rsidRDefault="00652235" w:rsidP="0083662B">
            <w:pPr>
              <w:pStyle w:val="Critiquetabletext"/>
              <w:spacing w:before="0" w:after="0"/>
              <w:rPr>
                <w:i/>
                <w:iCs/>
                <w:color w:val="auto"/>
              </w:rPr>
            </w:pPr>
            <w:r w:rsidRPr="000014F2">
              <w:rPr>
                <w:i/>
                <w:iCs/>
                <w:color w:val="auto"/>
              </w:rPr>
              <w:t>Multivariate analyses</w:t>
            </w:r>
          </w:p>
        </w:tc>
        <w:tc>
          <w:tcPr>
            <w:tcW w:w="1095" w:type="dxa"/>
            <w:tcBorders>
              <w:top w:val="double" w:sz="4" w:space="0" w:color="auto"/>
              <w:left w:val="nil"/>
              <w:right w:val="nil"/>
            </w:tcBorders>
          </w:tcPr>
          <w:p w14:paraId="33671EDD" w14:textId="77777777" w:rsidR="00652235" w:rsidRPr="000014F2" w:rsidRDefault="00652235" w:rsidP="0083662B">
            <w:pPr>
              <w:pStyle w:val="Critiquetabletext"/>
              <w:spacing w:before="0" w:after="0"/>
              <w:jc w:val="right"/>
              <w:rPr>
                <w:i/>
                <w:iCs/>
                <w:color w:val="auto"/>
              </w:rPr>
            </w:pPr>
          </w:p>
        </w:tc>
        <w:tc>
          <w:tcPr>
            <w:tcW w:w="1095" w:type="dxa"/>
            <w:tcBorders>
              <w:top w:val="double" w:sz="4" w:space="0" w:color="auto"/>
              <w:left w:val="nil"/>
              <w:right w:val="nil"/>
            </w:tcBorders>
          </w:tcPr>
          <w:p w14:paraId="1617E073" w14:textId="77777777" w:rsidR="00652235" w:rsidRPr="000014F2" w:rsidRDefault="00652235" w:rsidP="0083662B">
            <w:pPr>
              <w:pStyle w:val="Critiquetabletext"/>
              <w:spacing w:before="0" w:after="0"/>
              <w:jc w:val="right"/>
              <w:rPr>
                <w:i/>
                <w:iCs/>
                <w:color w:val="auto"/>
              </w:rPr>
            </w:pPr>
          </w:p>
        </w:tc>
        <w:tc>
          <w:tcPr>
            <w:tcW w:w="1096" w:type="dxa"/>
            <w:tcBorders>
              <w:top w:val="double" w:sz="4" w:space="0" w:color="auto"/>
              <w:left w:val="nil"/>
              <w:right w:val="nil"/>
            </w:tcBorders>
          </w:tcPr>
          <w:p w14:paraId="2D0A5F4A" w14:textId="77777777" w:rsidR="00652235" w:rsidRPr="000014F2" w:rsidRDefault="00652235" w:rsidP="0083662B">
            <w:pPr>
              <w:pStyle w:val="Critiquetabletext"/>
              <w:spacing w:before="0" w:after="0"/>
              <w:jc w:val="right"/>
              <w:rPr>
                <w:i/>
                <w:iCs/>
                <w:color w:val="auto"/>
              </w:rPr>
            </w:pPr>
          </w:p>
        </w:tc>
        <w:tc>
          <w:tcPr>
            <w:tcW w:w="1095" w:type="dxa"/>
            <w:tcBorders>
              <w:top w:val="double" w:sz="4" w:space="0" w:color="auto"/>
              <w:left w:val="nil"/>
              <w:right w:val="nil"/>
            </w:tcBorders>
          </w:tcPr>
          <w:p w14:paraId="01F6669D" w14:textId="77777777" w:rsidR="00652235" w:rsidRPr="000014F2" w:rsidRDefault="00652235" w:rsidP="0083662B">
            <w:pPr>
              <w:pStyle w:val="Critiquetabletext"/>
              <w:spacing w:before="0" w:after="0"/>
              <w:jc w:val="right"/>
              <w:rPr>
                <w:i/>
                <w:iCs/>
                <w:color w:val="auto"/>
              </w:rPr>
            </w:pPr>
          </w:p>
        </w:tc>
        <w:tc>
          <w:tcPr>
            <w:tcW w:w="1096" w:type="dxa"/>
            <w:tcBorders>
              <w:top w:val="double" w:sz="4" w:space="0" w:color="auto"/>
              <w:left w:val="nil"/>
            </w:tcBorders>
          </w:tcPr>
          <w:p w14:paraId="64CB4882" w14:textId="77777777" w:rsidR="00652235" w:rsidRPr="000014F2" w:rsidRDefault="00652235" w:rsidP="0083662B">
            <w:pPr>
              <w:pStyle w:val="Critiquetabletext"/>
              <w:spacing w:before="0" w:after="0"/>
              <w:jc w:val="right"/>
              <w:rPr>
                <w:i/>
                <w:iCs/>
                <w:color w:val="auto"/>
              </w:rPr>
            </w:pPr>
          </w:p>
        </w:tc>
      </w:tr>
      <w:tr w:rsidR="00652235" w:rsidRPr="00FD633A" w14:paraId="037F563C" w14:textId="77777777" w:rsidTr="00F11AFE">
        <w:tc>
          <w:tcPr>
            <w:tcW w:w="3539" w:type="dxa"/>
            <w:tcBorders>
              <w:bottom w:val="nil"/>
            </w:tcBorders>
          </w:tcPr>
          <w:p w14:paraId="36B649BC" w14:textId="77777777" w:rsidR="00652235" w:rsidRPr="000014F2" w:rsidRDefault="00652235" w:rsidP="0083662B">
            <w:pPr>
              <w:pStyle w:val="Critiquetabletext"/>
              <w:spacing w:before="0" w:after="0"/>
              <w:rPr>
                <w:i/>
                <w:iCs/>
                <w:color w:val="auto"/>
              </w:rPr>
            </w:pPr>
            <w:r w:rsidRPr="000014F2">
              <w:rPr>
                <w:i/>
                <w:iCs/>
                <w:color w:val="auto"/>
              </w:rPr>
              <w:t>#1 AND #2</w:t>
            </w:r>
          </w:p>
        </w:tc>
        <w:tc>
          <w:tcPr>
            <w:tcW w:w="1095" w:type="dxa"/>
            <w:tcBorders>
              <w:bottom w:val="nil"/>
            </w:tcBorders>
          </w:tcPr>
          <w:p w14:paraId="0A377676" w14:textId="77777777" w:rsidR="00652235" w:rsidRPr="000014F2" w:rsidRDefault="00652235" w:rsidP="0083662B">
            <w:pPr>
              <w:pStyle w:val="Critiquetabletext"/>
              <w:spacing w:before="0" w:after="0"/>
              <w:jc w:val="right"/>
              <w:rPr>
                <w:i/>
                <w:iCs/>
                <w:color w:val="auto"/>
              </w:rPr>
            </w:pPr>
            <w:r w:rsidRPr="000014F2">
              <w:rPr>
                <w:i/>
                <w:iCs/>
                <w:color w:val="auto"/>
              </w:rPr>
              <w:t>$6,097.89</w:t>
            </w:r>
          </w:p>
        </w:tc>
        <w:tc>
          <w:tcPr>
            <w:tcW w:w="1095" w:type="dxa"/>
            <w:tcBorders>
              <w:bottom w:val="nil"/>
            </w:tcBorders>
          </w:tcPr>
          <w:p w14:paraId="0CC83316" w14:textId="77777777" w:rsidR="00652235" w:rsidRPr="000014F2" w:rsidRDefault="00652235" w:rsidP="0083662B">
            <w:pPr>
              <w:pStyle w:val="Critiquetabletext"/>
              <w:spacing w:before="0" w:after="0"/>
              <w:jc w:val="right"/>
              <w:rPr>
                <w:i/>
                <w:iCs/>
                <w:color w:val="auto"/>
              </w:rPr>
            </w:pPr>
            <w:r w:rsidRPr="000014F2">
              <w:rPr>
                <w:i/>
                <w:iCs/>
                <w:color w:val="auto"/>
              </w:rPr>
              <w:t>$5,647.82</w:t>
            </w:r>
          </w:p>
        </w:tc>
        <w:tc>
          <w:tcPr>
            <w:tcW w:w="1096" w:type="dxa"/>
            <w:tcBorders>
              <w:bottom w:val="nil"/>
            </w:tcBorders>
          </w:tcPr>
          <w:p w14:paraId="775C7887" w14:textId="77777777" w:rsidR="00652235" w:rsidRPr="000014F2" w:rsidRDefault="00652235" w:rsidP="0083662B">
            <w:pPr>
              <w:pStyle w:val="Critiquetabletext"/>
              <w:spacing w:before="0" w:after="0"/>
              <w:jc w:val="right"/>
              <w:rPr>
                <w:i/>
                <w:iCs/>
                <w:color w:val="auto"/>
              </w:rPr>
            </w:pPr>
            <w:r w:rsidRPr="000014F2">
              <w:rPr>
                <w:i/>
                <w:iCs/>
                <w:color w:val="auto"/>
              </w:rPr>
              <w:t>$450.07</w:t>
            </w:r>
          </w:p>
        </w:tc>
        <w:tc>
          <w:tcPr>
            <w:tcW w:w="1095" w:type="dxa"/>
            <w:tcBorders>
              <w:bottom w:val="nil"/>
            </w:tcBorders>
          </w:tcPr>
          <w:p w14:paraId="3188D352" w14:textId="77777777" w:rsidR="00652235" w:rsidRPr="000014F2" w:rsidRDefault="00652235" w:rsidP="0083662B">
            <w:pPr>
              <w:pStyle w:val="Critiquetabletext"/>
              <w:spacing w:before="0" w:after="0"/>
              <w:jc w:val="right"/>
              <w:rPr>
                <w:i/>
                <w:iCs/>
                <w:color w:val="auto"/>
              </w:rPr>
            </w:pPr>
            <w:r w:rsidRPr="000014F2">
              <w:rPr>
                <w:i/>
                <w:iCs/>
                <w:color w:val="auto"/>
              </w:rPr>
              <w:t>$5,992.74</w:t>
            </w:r>
          </w:p>
        </w:tc>
        <w:tc>
          <w:tcPr>
            <w:tcW w:w="1096" w:type="dxa"/>
            <w:tcBorders>
              <w:bottom w:val="nil"/>
            </w:tcBorders>
          </w:tcPr>
          <w:p w14:paraId="691FC96D" w14:textId="77777777" w:rsidR="00652235" w:rsidRPr="000014F2" w:rsidRDefault="00652235" w:rsidP="0083662B">
            <w:pPr>
              <w:pStyle w:val="Critiquetabletext"/>
              <w:spacing w:before="0" w:after="0"/>
              <w:jc w:val="right"/>
              <w:rPr>
                <w:i/>
                <w:iCs/>
                <w:color w:val="auto"/>
              </w:rPr>
            </w:pPr>
            <w:r w:rsidRPr="000014F2">
              <w:rPr>
                <w:i/>
                <w:iCs/>
                <w:color w:val="auto"/>
              </w:rPr>
              <w:t>$105.16</w:t>
            </w:r>
          </w:p>
        </w:tc>
      </w:tr>
      <w:tr w:rsidR="00652235" w:rsidRPr="00FD633A" w14:paraId="492BAEEA" w14:textId="77777777" w:rsidTr="00F11AFE">
        <w:tc>
          <w:tcPr>
            <w:tcW w:w="3539" w:type="dxa"/>
            <w:tcBorders>
              <w:top w:val="nil"/>
              <w:bottom w:val="nil"/>
            </w:tcBorders>
          </w:tcPr>
          <w:p w14:paraId="471BE409" w14:textId="77777777" w:rsidR="00652235" w:rsidRPr="000014F2" w:rsidRDefault="00652235" w:rsidP="0083662B">
            <w:pPr>
              <w:pStyle w:val="Critiquetabletext"/>
              <w:spacing w:before="0" w:after="0"/>
              <w:rPr>
                <w:i/>
                <w:iCs/>
                <w:color w:val="auto"/>
              </w:rPr>
            </w:pPr>
            <w:r w:rsidRPr="000014F2">
              <w:rPr>
                <w:i/>
                <w:iCs/>
                <w:color w:val="auto"/>
              </w:rPr>
              <w:t>#1, #2 AND #3</w:t>
            </w:r>
          </w:p>
        </w:tc>
        <w:tc>
          <w:tcPr>
            <w:tcW w:w="1095" w:type="dxa"/>
            <w:tcBorders>
              <w:top w:val="nil"/>
              <w:bottom w:val="nil"/>
            </w:tcBorders>
          </w:tcPr>
          <w:p w14:paraId="1407F581" w14:textId="77777777" w:rsidR="00652235" w:rsidRPr="000014F2" w:rsidRDefault="00652235" w:rsidP="0083662B">
            <w:pPr>
              <w:pStyle w:val="Critiquetabletext"/>
              <w:spacing w:before="0" w:after="0"/>
              <w:jc w:val="right"/>
              <w:rPr>
                <w:i/>
                <w:iCs/>
                <w:color w:val="auto"/>
              </w:rPr>
            </w:pPr>
            <w:r w:rsidRPr="000014F2">
              <w:rPr>
                <w:i/>
                <w:iCs/>
                <w:color w:val="auto"/>
              </w:rPr>
              <w:t>$6,097.89</w:t>
            </w:r>
          </w:p>
        </w:tc>
        <w:tc>
          <w:tcPr>
            <w:tcW w:w="1095" w:type="dxa"/>
            <w:tcBorders>
              <w:top w:val="nil"/>
              <w:bottom w:val="nil"/>
            </w:tcBorders>
          </w:tcPr>
          <w:p w14:paraId="10620D3D" w14:textId="77777777" w:rsidR="00652235" w:rsidRPr="000014F2" w:rsidRDefault="00652235" w:rsidP="0083662B">
            <w:pPr>
              <w:pStyle w:val="Critiquetabletext"/>
              <w:spacing w:before="0" w:after="0"/>
              <w:jc w:val="right"/>
              <w:rPr>
                <w:i/>
                <w:iCs/>
                <w:color w:val="auto"/>
              </w:rPr>
            </w:pPr>
            <w:r w:rsidRPr="000014F2">
              <w:rPr>
                <w:i/>
                <w:iCs/>
                <w:color w:val="auto"/>
              </w:rPr>
              <w:t>$5,647.82</w:t>
            </w:r>
          </w:p>
        </w:tc>
        <w:tc>
          <w:tcPr>
            <w:tcW w:w="1096" w:type="dxa"/>
            <w:tcBorders>
              <w:top w:val="nil"/>
              <w:bottom w:val="nil"/>
            </w:tcBorders>
          </w:tcPr>
          <w:p w14:paraId="1CA2998E" w14:textId="77777777" w:rsidR="00652235" w:rsidRPr="000014F2" w:rsidRDefault="00652235" w:rsidP="0083662B">
            <w:pPr>
              <w:pStyle w:val="Critiquetabletext"/>
              <w:spacing w:before="0" w:after="0"/>
              <w:jc w:val="right"/>
              <w:rPr>
                <w:i/>
                <w:iCs/>
                <w:color w:val="auto"/>
              </w:rPr>
            </w:pPr>
            <w:r w:rsidRPr="000014F2">
              <w:rPr>
                <w:i/>
                <w:iCs/>
                <w:color w:val="auto"/>
              </w:rPr>
              <w:t>$450.07</w:t>
            </w:r>
          </w:p>
        </w:tc>
        <w:tc>
          <w:tcPr>
            <w:tcW w:w="1095" w:type="dxa"/>
            <w:tcBorders>
              <w:top w:val="nil"/>
              <w:bottom w:val="nil"/>
            </w:tcBorders>
          </w:tcPr>
          <w:p w14:paraId="24E99F80" w14:textId="77777777" w:rsidR="00652235" w:rsidRPr="000014F2" w:rsidRDefault="00652235" w:rsidP="0083662B">
            <w:pPr>
              <w:pStyle w:val="Critiquetabletext"/>
              <w:spacing w:before="0" w:after="0"/>
              <w:jc w:val="right"/>
              <w:rPr>
                <w:i/>
                <w:iCs/>
                <w:color w:val="auto"/>
              </w:rPr>
            </w:pPr>
            <w:r w:rsidRPr="000014F2">
              <w:rPr>
                <w:i/>
                <w:iCs/>
                <w:color w:val="auto"/>
              </w:rPr>
              <w:t>$5,154.70</w:t>
            </w:r>
          </w:p>
        </w:tc>
        <w:tc>
          <w:tcPr>
            <w:tcW w:w="1096" w:type="dxa"/>
            <w:tcBorders>
              <w:top w:val="nil"/>
              <w:bottom w:val="nil"/>
            </w:tcBorders>
          </w:tcPr>
          <w:p w14:paraId="3198ACD8" w14:textId="77777777" w:rsidR="00652235" w:rsidRPr="000014F2" w:rsidRDefault="00652235" w:rsidP="0083662B">
            <w:pPr>
              <w:pStyle w:val="Critiquetabletext"/>
              <w:spacing w:before="0" w:after="0"/>
              <w:jc w:val="right"/>
              <w:rPr>
                <w:i/>
                <w:iCs/>
                <w:color w:val="auto"/>
              </w:rPr>
            </w:pPr>
            <w:r w:rsidRPr="000014F2">
              <w:rPr>
                <w:i/>
                <w:iCs/>
                <w:color w:val="auto"/>
              </w:rPr>
              <w:t>$943.19</w:t>
            </w:r>
          </w:p>
        </w:tc>
      </w:tr>
      <w:tr w:rsidR="00652235" w:rsidRPr="00FD633A" w14:paraId="0941B680" w14:textId="77777777" w:rsidTr="00F11AFE">
        <w:tc>
          <w:tcPr>
            <w:tcW w:w="3539" w:type="dxa"/>
            <w:tcBorders>
              <w:top w:val="nil"/>
              <w:bottom w:val="nil"/>
            </w:tcBorders>
          </w:tcPr>
          <w:p w14:paraId="2BE215AF" w14:textId="77777777" w:rsidR="00652235" w:rsidRPr="000014F2" w:rsidRDefault="00652235" w:rsidP="0083662B">
            <w:pPr>
              <w:pStyle w:val="Critiquetabletext"/>
              <w:spacing w:before="0" w:after="0"/>
              <w:rPr>
                <w:i/>
                <w:iCs/>
                <w:color w:val="auto"/>
              </w:rPr>
            </w:pPr>
            <w:r w:rsidRPr="000014F2">
              <w:rPr>
                <w:i/>
                <w:iCs/>
                <w:color w:val="auto"/>
              </w:rPr>
              <w:t>#1, #2, #3 AND #4</w:t>
            </w:r>
          </w:p>
        </w:tc>
        <w:tc>
          <w:tcPr>
            <w:tcW w:w="1095" w:type="dxa"/>
            <w:tcBorders>
              <w:top w:val="nil"/>
              <w:bottom w:val="nil"/>
            </w:tcBorders>
          </w:tcPr>
          <w:p w14:paraId="1B66A9C7" w14:textId="77777777" w:rsidR="00652235" w:rsidRPr="000014F2" w:rsidRDefault="00652235" w:rsidP="0083662B">
            <w:pPr>
              <w:pStyle w:val="Critiquetabletext"/>
              <w:spacing w:before="0" w:after="0"/>
              <w:jc w:val="right"/>
              <w:rPr>
                <w:i/>
                <w:iCs/>
                <w:color w:val="auto"/>
              </w:rPr>
            </w:pPr>
            <w:r w:rsidRPr="000014F2">
              <w:rPr>
                <w:i/>
                <w:iCs/>
                <w:color w:val="auto"/>
              </w:rPr>
              <w:t>$6,131.56</w:t>
            </w:r>
          </w:p>
        </w:tc>
        <w:tc>
          <w:tcPr>
            <w:tcW w:w="1095" w:type="dxa"/>
            <w:tcBorders>
              <w:top w:val="nil"/>
              <w:bottom w:val="nil"/>
            </w:tcBorders>
          </w:tcPr>
          <w:p w14:paraId="4C8BEA8B" w14:textId="77777777" w:rsidR="00652235" w:rsidRPr="000014F2" w:rsidRDefault="00652235" w:rsidP="0083662B">
            <w:pPr>
              <w:pStyle w:val="Critiquetabletext"/>
              <w:spacing w:before="0" w:after="0"/>
              <w:jc w:val="right"/>
              <w:rPr>
                <w:i/>
                <w:iCs/>
                <w:color w:val="auto"/>
              </w:rPr>
            </w:pPr>
            <w:r w:rsidRPr="000014F2">
              <w:rPr>
                <w:i/>
                <w:iCs/>
                <w:color w:val="auto"/>
              </w:rPr>
              <w:t>$6,115.44</w:t>
            </w:r>
          </w:p>
        </w:tc>
        <w:tc>
          <w:tcPr>
            <w:tcW w:w="1096" w:type="dxa"/>
            <w:tcBorders>
              <w:top w:val="nil"/>
              <w:bottom w:val="nil"/>
            </w:tcBorders>
          </w:tcPr>
          <w:p w14:paraId="2EB1B9A1" w14:textId="77777777" w:rsidR="00652235" w:rsidRPr="000014F2" w:rsidRDefault="00652235" w:rsidP="0083662B">
            <w:pPr>
              <w:pStyle w:val="Critiquetabletext"/>
              <w:spacing w:before="0" w:after="0"/>
              <w:jc w:val="right"/>
              <w:rPr>
                <w:i/>
                <w:iCs/>
                <w:color w:val="auto"/>
              </w:rPr>
            </w:pPr>
            <w:r w:rsidRPr="000014F2">
              <w:rPr>
                <w:i/>
                <w:iCs/>
                <w:color w:val="auto"/>
              </w:rPr>
              <w:t>$16.12</w:t>
            </w:r>
          </w:p>
        </w:tc>
        <w:tc>
          <w:tcPr>
            <w:tcW w:w="1095" w:type="dxa"/>
            <w:tcBorders>
              <w:top w:val="nil"/>
              <w:bottom w:val="nil"/>
            </w:tcBorders>
          </w:tcPr>
          <w:p w14:paraId="732B14E0" w14:textId="77777777" w:rsidR="00652235" w:rsidRPr="000014F2" w:rsidRDefault="00652235" w:rsidP="0083662B">
            <w:pPr>
              <w:pStyle w:val="Critiquetabletext"/>
              <w:spacing w:before="0" w:after="0"/>
              <w:jc w:val="right"/>
              <w:rPr>
                <w:i/>
                <w:iCs/>
                <w:color w:val="auto"/>
              </w:rPr>
            </w:pPr>
            <w:r w:rsidRPr="000014F2">
              <w:rPr>
                <w:i/>
                <w:iCs/>
                <w:color w:val="auto"/>
              </w:rPr>
              <w:t>$5,154.70</w:t>
            </w:r>
          </w:p>
        </w:tc>
        <w:tc>
          <w:tcPr>
            <w:tcW w:w="1096" w:type="dxa"/>
            <w:tcBorders>
              <w:top w:val="nil"/>
              <w:bottom w:val="nil"/>
            </w:tcBorders>
          </w:tcPr>
          <w:p w14:paraId="56CCC8D7" w14:textId="77777777" w:rsidR="00652235" w:rsidRPr="000014F2" w:rsidRDefault="00652235" w:rsidP="0083662B">
            <w:pPr>
              <w:pStyle w:val="Critiquetabletext"/>
              <w:spacing w:before="0" w:after="0"/>
              <w:jc w:val="right"/>
              <w:rPr>
                <w:i/>
                <w:iCs/>
                <w:color w:val="auto"/>
              </w:rPr>
            </w:pPr>
            <w:r w:rsidRPr="000014F2">
              <w:rPr>
                <w:i/>
                <w:iCs/>
                <w:color w:val="auto"/>
              </w:rPr>
              <w:t>$976.86</w:t>
            </w:r>
          </w:p>
        </w:tc>
      </w:tr>
      <w:tr w:rsidR="00652235" w:rsidRPr="00FD633A" w14:paraId="22E509CC" w14:textId="77777777" w:rsidTr="00F11AFE">
        <w:tc>
          <w:tcPr>
            <w:tcW w:w="3539" w:type="dxa"/>
            <w:tcBorders>
              <w:top w:val="nil"/>
              <w:bottom w:val="nil"/>
            </w:tcBorders>
          </w:tcPr>
          <w:p w14:paraId="39031089" w14:textId="77777777" w:rsidR="00652235" w:rsidRPr="000014F2" w:rsidRDefault="00652235" w:rsidP="0083662B">
            <w:pPr>
              <w:pStyle w:val="Critiquetabletext"/>
              <w:spacing w:before="0" w:after="0"/>
              <w:rPr>
                <w:i/>
                <w:iCs/>
                <w:color w:val="auto"/>
              </w:rPr>
            </w:pPr>
            <w:r w:rsidRPr="000014F2">
              <w:rPr>
                <w:i/>
                <w:iCs/>
                <w:color w:val="auto"/>
              </w:rPr>
              <w:t>#1, #2, #3, #4 AND #5</w:t>
            </w:r>
          </w:p>
        </w:tc>
        <w:tc>
          <w:tcPr>
            <w:tcW w:w="1095" w:type="dxa"/>
            <w:tcBorders>
              <w:top w:val="nil"/>
              <w:bottom w:val="nil"/>
            </w:tcBorders>
          </w:tcPr>
          <w:p w14:paraId="459E2EE9" w14:textId="77777777" w:rsidR="00652235" w:rsidRPr="000014F2" w:rsidRDefault="00652235" w:rsidP="0083662B">
            <w:pPr>
              <w:pStyle w:val="Critiquetabletext"/>
              <w:spacing w:before="0" w:after="0"/>
              <w:jc w:val="right"/>
              <w:rPr>
                <w:i/>
                <w:iCs/>
                <w:color w:val="auto"/>
              </w:rPr>
            </w:pPr>
            <w:r w:rsidRPr="000014F2">
              <w:rPr>
                <w:i/>
                <w:iCs/>
                <w:color w:val="auto"/>
              </w:rPr>
              <w:t>$6,086.31</w:t>
            </w:r>
          </w:p>
        </w:tc>
        <w:tc>
          <w:tcPr>
            <w:tcW w:w="1095" w:type="dxa"/>
            <w:tcBorders>
              <w:top w:val="nil"/>
              <w:bottom w:val="nil"/>
            </w:tcBorders>
          </w:tcPr>
          <w:p w14:paraId="607A83FF" w14:textId="77777777" w:rsidR="00652235" w:rsidRPr="000014F2" w:rsidRDefault="00652235" w:rsidP="0083662B">
            <w:pPr>
              <w:pStyle w:val="Critiquetabletext"/>
              <w:spacing w:before="0" w:after="0"/>
              <w:jc w:val="right"/>
              <w:rPr>
                <w:i/>
                <w:iCs/>
                <w:color w:val="auto"/>
              </w:rPr>
            </w:pPr>
            <w:r w:rsidRPr="000014F2">
              <w:rPr>
                <w:i/>
                <w:iCs/>
                <w:color w:val="auto"/>
              </w:rPr>
              <w:t>$5,486.93</w:t>
            </w:r>
          </w:p>
        </w:tc>
        <w:tc>
          <w:tcPr>
            <w:tcW w:w="1096" w:type="dxa"/>
            <w:tcBorders>
              <w:top w:val="nil"/>
              <w:bottom w:val="nil"/>
            </w:tcBorders>
          </w:tcPr>
          <w:p w14:paraId="5726C84B" w14:textId="77777777" w:rsidR="00652235" w:rsidRPr="000014F2" w:rsidRDefault="00652235" w:rsidP="0083662B">
            <w:pPr>
              <w:pStyle w:val="Critiquetabletext"/>
              <w:spacing w:before="0" w:after="0"/>
              <w:jc w:val="right"/>
              <w:rPr>
                <w:i/>
                <w:iCs/>
                <w:color w:val="auto"/>
              </w:rPr>
            </w:pPr>
            <w:r w:rsidRPr="000014F2">
              <w:rPr>
                <w:i/>
                <w:iCs/>
                <w:color w:val="auto"/>
              </w:rPr>
              <w:t>$599.38</w:t>
            </w:r>
          </w:p>
        </w:tc>
        <w:tc>
          <w:tcPr>
            <w:tcW w:w="1095" w:type="dxa"/>
            <w:tcBorders>
              <w:top w:val="nil"/>
              <w:bottom w:val="nil"/>
            </w:tcBorders>
          </w:tcPr>
          <w:p w14:paraId="05DECC5A" w14:textId="77777777" w:rsidR="00652235" w:rsidRPr="000014F2" w:rsidRDefault="00652235" w:rsidP="0083662B">
            <w:pPr>
              <w:pStyle w:val="Critiquetabletext"/>
              <w:spacing w:before="0" w:after="0"/>
              <w:jc w:val="right"/>
              <w:rPr>
                <w:i/>
                <w:iCs/>
                <w:color w:val="auto"/>
              </w:rPr>
            </w:pPr>
            <w:r w:rsidRPr="000014F2">
              <w:rPr>
                <w:i/>
                <w:iCs/>
                <w:color w:val="auto"/>
              </w:rPr>
              <w:t>$5,154.70</w:t>
            </w:r>
          </w:p>
        </w:tc>
        <w:tc>
          <w:tcPr>
            <w:tcW w:w="1096" w:type="dxa"/>
            <w:tcBorders>
              <w:top w:val="nil"/>
              <w:bottom w:val="nil"/>
            </w:tcBorders>
          </w:tcPr>
          <w:p w14:paraId="4F5249C6" w14:textId="77777777" w:rsidR="00652235" w:rsidRPr="000014F2" w:rsidRDefault="00652235" w:rsidP="0083662B">
            <w:pPr>
              <w:pStyle w:val="Critiquetabletext"/>
              <w:spacing w:before="0" w:after="0"/>
              <w:jc w:val="right"/>
              <w:rPr>
                <w:i/>
                <w:iCs/>
                <w:color w:val="auto"/>
              </w:rPr>
            </w:pPr>
            <w:r w:rsidRPr="000014F2">
              <w:rPr>
                <w:i/>
                <w:iCs/>
                <w:color w:val="auto"/>
              </w:rPr>
              <w:t>$931.61</w:t>
            </w:r>
          </w:p>
        </w:tc>
      </w:tr>
      <w:tr w:rsidR="00652235" w:rsidRPr="00FD633A" w14:paraId="04C11292" w14:textId="77777777" w:rsidTr="00F11AFE">
        <w:tc>
          <w:tcPr>
            <w:tcW w:w="3539" w:type="dxa"/>
            <w:tcBorders>
              <w:top w:val="nil"/>
            </w:tcBorders>
          </w:tcPr>
          <w:p w14:paraId="47B59AEB" w14:textId="77777777" w:rsidR="00652235" w:rsidRPr="000014F2" w:rsidRDefault="00652235" w:rsidP="0083662B">
            <w:pPr>
              <w:pStyle w:val="Critiquetabletext"/>
              <w:spacing w:before="0" w:after="0"/>
              <w:rPr>
                <w:i/>
                <w:iCs/>
                <w:color w:val="auto"/>
              </w:rPr>
            </w:pPr>
            <w:r w:rsidRPr="000014F2">
              <w:rPr>
                <w:i/>
                <w:iCs/>
                <w:color w:val="auto"/>
              </w:rPr>
              <w:t>#1, #2, #3, #4, #5 AND #6</w:t>
            </w:r>
          </w:p>
        </w:tc>
        <w:tc>
          <w:tcPr>
            <w:tcW w:w="1095" w:type="dxa"/>
            <w:tcBorders>
              <w:top w:val="nil"/>
            </w:tcBorders>
          </w:tcPr>
          <w:p w14:paraId="1D0511F9" w14:textId="77777777" w:rsidR="00652235" w:rsidRPr="000014F2" w:rsidRDefault="00652235" w:rsidP="0083662B">
            <w:pPr>
              <w:pStyle w:val="Critiquetabletext"/>
              <w:spacing w:before="0" w:after="0"/>
              <w:jc w:val="right"/>
              <w:rPr>
                <w:i/>
                <w:iCs/>
                <w:color w:val="auto"/>
              </w:rPr>
            </w:pPr>
            <w:r w:rsidRPr="000014F2">
              <w:rPr>
                <w:i/>
                <w:iCs/>
                <w:color w:val="auto"/>
              </w:rPr>
              <w:t>$6,584.71</w:t>
            </w:r>
          </w:p>
        </w:tc>
        <w:tc>
          <w:tcPr>
            <w:tcW w:w="1095" w:type="dxa"/>
            <w:tcBorders>
              <w:top w:val="nil"/>
            </w:tcBorders>
          </w:tcPr>
          <w:p w14:paraId="668F46CF" w14:textId="77777777" w:rsidR="00652235" w:rsidRPr="000014F2" w:rsidRDefault="00652235" w:rsidP="0083662B">
            <w:pPr>
              <w:pStyle w:val="Critiquetabletext"/>
              <w:spacing w:before="0" w:after="0"/>
              <w:jc w:val="right"/>
              <w:rPr>
                <w:i/>
                <w:iCs/>
                <w:color w:val="auto"/>
              </w:rPr>
            </w:pPr>
            <w:r w:rsidRPr="000014F2">
              <w:rPr>
                <w:i/>
                <w:iCs/>
                <w:color w:val="auto"/>
              </w:rPr>
              <w:t>$5,486.93</w:t>
            </w:r>
          </w:p>
        </w:tc>
        <w:tc>
          <w:tcPr>
            <w:tcW w:w="1096" w:type="dxa"/>
            <w:tcBorders>
              <w:top w:val="nil"/>
            </w:tcBorders>
          </w:tcPr>
          <w:p w14:paraId="219C6CBC" w14:textId="77777777" w:rsidR="00652235" w:rsidRPr="000014F2" w:rsidRDefault="00652235" w:rsidP="0083662B">
            <w:pPr>
              <w:pStyle w:val="Critiquetabletext"/>
              <w:spacing w:before="0" w:after="0"/>
              <w:jc w:val="right"/>
              <w:rPr>
                <w:i/>
                <w:iCs/>
                <w:color w:val="auto"/>
              </w:rPr>
            </w:pPr>
            <w:r w:rsidRPr="000014F2">
              <w:rPr>
                <w:i/>
                <w:iCs/>
                <w:color w:val="auto"/>
              </w:rPr>
              <w:t>$1,097.78</w:t>
            </w:r>
          </w:p>
        </w:tc>
        <w:tc>
          <w:tcPr>
            <w:tcW w:w="1095" w:type="dxa"/>
            <w:tcBorders>
              <w:top w:val="nil"/>
            </w:tcBorders>
          </w:tcPr>
          <w:p w14:paraId="0904339A" w14:textId="77777777" w:rsidR="00652235" w:rsidRPr="000014F2" w:rsidRDefault="00652235" w:rsidP="0083662B">
            <w:pPr>
              <w:pStyle w:val="Critiquetabletext"/>
              <w:spacing w:before="0" w:after="0"/>
              <w:jc w:val="right"/>
              <w:rPr>
                <w:i/>
                <w:iCs/>
                <w:color w:val="auto"/>
              </w:rPr>
            </w:pPr>
            <w:r w:rsidRPr="000014F2">
              <w:rPr>
                <w:i/>
                <w:iCs/>
                <w:color w:val="auto"/>
              </w:rPr>
              <w:t>$5,154.70</w:t>
            </w:r>
          </w:p>
        </w:tc>
        <w:tc>
          <w:tcPr>
            <w:tcW w:w="1096" w:type="dxa"/>
            <w:tcBorders>
              <w:top w:val="nil"/>
            </w:tcBorders>
          </w:tcPr>
          <w:p w14:paraId="013C637B" w14:textId="77777777" w:rsidR="00652235" w:rsidRPr="000014F2" w:rsidRDefault="00652235" w:rsidP="0083662B">
            <w:pPr>
              <w:pStyle w:val="Critiquetabletext"/>
              <w:spacing w:before="0" w:after="0"/>
              <w:jc w:val="right"/>
              <w:rPr>
                <w:i/>
                <w:iCs/>
                <w:color w:val="auto"/>
              </w:rPr>
            </w:pPr>
            <w:r w:rsidRPr="000014F2">
              <w:rPr>
                <w:i/>
                <w:iCs/>
                <w:color w:val="auto"/>
              </w:rPr>
              <w:t>$1,430.01</w:t>
            </w:r>
          </w:p>
        </w:tc>
      </w:tr>
    </w:tbl>
    <w:p w14:paraId="7DF216F2" w14:textId="77777777" w:rsidR="00652235" w:rsidRPr="00FD633A" w:rsidRDefault="00652235" w:rsidP="00C11BBE">
      <w:pPr>
        <w:pStyle w:val="Tablenotes"/>
      </w:pPr>
      <w:r>
        <w:t xml:space="preserve">Abbreviations: PHDB = Private Hospital Data Bureau; </w:t>
      </w:r>
      <w:r w:rsidRPr="00FD633A">
        <w:t>PUL = prosthetic urethral lift; TURP = transurethral resection of the prostate; VLAP = visual laser ablation of the prostate.</w:t>
      </w:r>
    </w:p>
    <w:p w14:paraId="4B67382F" w14:textId="77777777" w:rsidR="00652235" w:rsidRPr="00FD633A" w:rsidRDefault="00652235" w:rsidP="00C11BBE">
      <w:pPr>
        <w:pStyle w:val="Tablenotes"/>
      </w:pPr>
      <w:r w:rsidRPr="00FD633A">
        <w:rPr>
          <w:vertAlign w:val="superscript"/>
        </w:rPr>
        <w:t>a</w:t>
      </w:r>
      <w:r w:rsidRPr="00FD633A">
        <w:t xml:space="preserve"> Proportion of </w:t>
      </w:r>
      <w:proofErr w:type="spellStart"/>
      <w:r w:rsidRPr="00FD633A">
        <w:t>Clavien-Dindo</w:t>
      </w:r>
      <w:proofErr w:type="spellEnd"/>
      <w:r w:rsidRPr="00FD633A">
        <w:t xml:space="preserve"> grade 3b bleeding events with TURP in the BPH6 study. Note that this was not significantly different to the proportion of </w:t>
      </w:r>
      <w:proofErr w:type="spellStart"/>
      <w:r w:rsidRPr="00FD633A">
        <w:t>Clavien-Dindo</w:t>
      </w:r>
      <w:proofErr w:type="spellEnd"/>
      <w:r w:rsidRPr="00FD633A">
        <w:t xml:space="preserve"> grade 3b bleeding events with PUL in the BPH6 study.</w:t>
      </w:r>
    </w:p>
    <w:p w14:paraId="51E33DD0" w14:textId="77777777" w:rsidR="00652235" w:rsidRPr="00FD633A" w:rsidRDefault="00652235" w:rsidP="00C11BBE">
      <w:pPr>
        <w:pStyle w:val="Tablenotes"/>
      </w:pPr>
      <w:r w:rsidRPr="00FD633A">
        <w:rPr>
          <w:vertAlign w:val="superscript"/>
        </w:rPr>
        <w:t>b</w:t>
      </w:r>
      <w:r w:rsidRPr="00FD633A">
        <w:t xml:space="preserve"> </w:t>
      </w:r>
      <w:proofErr w:type="gramStart"/>
      <w:r>
        <w:t>The</w:t>
      </w:r>
      <w:proofErr w:type="gramEnd"/>
      <w:r>
        <w:t xml:space="preserve"> average number of prostheses implanted per patient as reported in the Private Healthcare Australia targeted consultation feedback. It should be noted however that this number is lower than the average number of prostheses used in the BPH6 trial that was the basis for the claim of non-inferiority. The ADAR did not consider whether the number of implants used would affect the relative treatment effect if PUL. </w:t>
      </w:r>
    </w:p>
    <w:p w14:paraId="15C72D21" w14:textId="77777777" w:rsidR="00652235" w:rsidRPr="00FD633A" w:rsidRDefault="00652235" w:rsidP="00C11BBE">
      <w:pPr>
        <w:pStyle w:val="Tablenotes"/>
      </w:pPr>
      <w:r w:rsidRPr="00FD633A">
        <w:rPr>
          <w:vertAlign w:val="superscript"/>
        </w:rPr>
        <w:t>c</w:t>
      </w:r>
      <w:r w:rsidRPr="00FD633A">
        <w:t xml:space="preserve"> Assuming the VLAP capital costs are amortised over 10 years, assuming 100 patients per year (base case: discounted over 5 years, assuming 50 patients per year).</w:t>
      </w:r>
    </w:p>
    <w:p w14:paraId="151B194B" w14:textId="77777777" w:rsidR="00652235" w:rsidRDefault="00652235" w:rsidP="00C11BBE">
      <w:pPr>
        <w:pStyle w:val="Tablenotes"/>
      </w:pPr>
      <w:r w:rsidRPr="00FD633A">
        <w:rPr>
          <w:vertAlign w:val="superscript"/>
        </w:rPr>
        <w:t>d</w:t>
      </w:r>
      <w:r w:rsidRPr="00FD633A">
        <w:t xml:space="preserve"> Assuming 100 patients per year (base case: 50 patients per year).</w:t>
      </w:r>
    </w:p>
    <w:p w14:paraId="4BA5FE9A" w14:textId="77777777" w:rsidR="00652235" w:rsidRDefault="00652235" w:rsidP="00C11BBE">
      <w:pPr>
        <w:pStyle w:val="Tablenotes"/>
      </w:pPr>
      <w:r w:rsidRPr="00EA1AAB">
        <w:rPr>
          <w:vertAlign w:val="superscript"/>
        </w:rPr>
        <w:t>e</w:t>
      </w:r>
      <w:r>
        <w:t xml:space="preserve"> </w:t>
      </w:r>
      <w:r w:rsidRPr="00FD633A">
        <w:t xml:space="preserve">1.1278 loops, as per the GOLIATH trial, at a cost of $365 each assumed, based on Whitty et al. </w:t>
      </w:r>
      <w:r>
        <w:fldChar w:fldCharType="begin">
          <w:fldData xml:space="preserve">PEVuZE5vdGU+PENpdGUgRXhjbHVkZUF1dGg9IjEiPjxBdXRob3I+V2hpdHR5PC9BdXRob3I+PFll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</w:fldData>
        </w:fldChar>
      </w:r>
      <w:r>
        <w:instrText xml:space="preserve"> ADDIN EN.CITE </w:instrText>
      </w:r>
      <w:r>
        <w:fldChar w:fldCharType="begin">
          <w:fldData xml:space="preserve">PEVuZE5vdGU+PENpdGUgRXhjbHVkZUF1dGg9IjEiPjxBdXRob3I+V2hpdHR5PC9BdXRob3I+PFll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</w:fldData>
        </w:fldChar>
      </w:r>
      <w:r>
        <w:instrText xml:space="preserve"> ADDIN EN.CITE.DATA </w:instrText>
      </w:r>
      <w:r>
        <w:fldChar w:fldCharType="end"/>
      </w:r>
      <w:r>
        <w:fldChar w:fldCharType="separate"/>
      </w:r>
      <w:r>
        <w:rPr>
          <w:noProof/>
        </w:rPr>
        <w:t>(</w:t>
      </w:r>
      <w:hyperlink w:anchor="_ENREF_30" w:tooltip="Whitty, 2014 #82" w:history="1">
        <w:r>
          <w:rPr>
            <w:noProof/>
          </w:rPr>
          <w:t>2014</w:t>
        </w:r>
      </w:hyperlink>
      <w:r>
        <w:rPr>
          <w:noProof/>
        </w:rPr>
        <w:t>)</w:t>
      </w:r>
      <w:r>
        <w:fldChar w:fldCharType="end"/>
      </w:r>
      <w:r w:rsidRPr="00FD633A">
        <w:t>.</w:t>
      </w:r>
    </w:p>
    <w:p w14:paraId="3A25482A" w14:textId="74BCBE46" w:rsidR="00652235" w:rsidRPr="00FD633A" w:rsidRDefault="00652235" w:rsidP="00C11BBE">
      <w:pPr>
        <w:pStyle w:val="Tablenotes"/>
      </w:pPr>
      <w:proofErr w:type="spellStart"/>
      <w:r>
        <w:t>f</w:t>
      </w:r>
      <w:proofErr w:type="spellEnd"/>
      <w:r>
        <w:t xml:space="preserve"> </w:t>
      </w:r>
      <w:proofErr w:type="gramStart"/>
      <w:r>
        <w:t>The</w:t>
      </w:r>
      <w:proofErr w:type="gramEnd"/>
      <w:r>
        <w:t xml:space="preserve"> average hospital cost per day was estimated from the average cost </w:t>
      </w:r>
      <w:r w:rsidR="0083662B">
        <w:t xml:space="preserve">of TURP separation presented in ADAR Critique Table 15 </w:t>
      </w:r>
      <w:r>
        <w:t>($1,734). This was applied per day stay for TURP and VLAP. No additional costs were applied to account for TURP complexity as the AR-DRG costs already consider this. The average cost of PUL hospitalisation was applied as estimated in</w:t>
      </w:r>
      <w:r w:rsidR="0083662B">
        <w:t xml:space="preserve"> ADAR Critique Table 15 (</w:t>
      </w:r>
      <w:r>
        <w:t>$1,293).</w:t>
      </w:r>
    </w:p>
    <w:p w14:paraId="2F0D1CF4" w14:textId="7EC88CAC" w:rsidR="00652235" w:rsidRPr="00FD633A" w:rsidRDefault="00652235" w:rsidP="00C11BBE">
      <w:pPr>
        <w:pStyle w:val="Tablenotes"/>
      </w:pPr>
      <w:r>
        <w:t>Source: ADAR Commentary</w:t>
      </w:r>
      <w:r w:rsidR="0083662B">
        <w:t xml:space="preserve"> Table 3, p26 of the commentary</w:t>
      </w:r>
    </w:p>
    <w:p w14:paraId="510E4929" w14:textId="78FBC7DF" w:rsidR="00652235" w:rsidRDefault="00652235" w:rsidP="00652235">
      <w:r>
        <w:t>The m</w:t>
      </w:r>
      <w:r w:rsidRPr="00FD633A">
        <w:t xml:space="preserve">ultivariate analyses </w:t>
      </w:r>
      <w:r>
        <w:t>conducted by the commentary provide</w:t>
      </w:r>
      <w:r w:rsidRPr="00FD633A">
        <w:t xml:space="preserve"> alternate assumptions in a stepped manner</w:t>
      </w:r>
      <w:r>
        <w:t xml:space="preserve"> (</w:t>
      </w:r>
      <w:proofErr w:type="gramStart"/>
      <w:r>
        <w:t>i.e.</w:t>
      </w:r>
      <w:proofErr w:type="gramEnd"/>
      <w:r>
        <w:t xml:space="preserve"> TURP cost weight multiplier, using the five-year reintervention rate rather than the annualised rate applied once, VLAP capital assumptions, TURP consumables and length of hospital stay and number of PUL prostheses)</w:t>
      </w:r>
      <w:r w:rsidRPr="00FD633A">
        <w:t xml:space="preserve">. </w:t>
      </w:r>
      <w:r>
        <w:t xml:space="preserve">The commentary proposed that </w:t>
      </w:r>
      <w:r>
        <w:lastRenderedPageBreak/>
        <w:t xml:space="preserve">MSAC may wish to consider whether the base case should be respecified to apply these changes. </w:t>
      </w:r>
      <w:r w:rsidRPr="00FD633A">
        <w:t>PUL was observed to be associated with substantial costs when these alternate assumptions</w:t>
      </w:r>
      <w:r w:rsidR="00D2501B">
        <w:t xml:space="preserve"> were changed at the same time.</w:t>
      </w:r>
    </w:p>
    <w:p w14:paraId="6D0190E2" w14:textId="68437E74" w:rsidR="00652235" w:rsidRDefault="00652235" w:rsidP="00D2501B">
      <w:pPr>
        <w:spacing w:before="240"/>
      </w:pPr>
      <w:r>
        <w:t>The commentary considers</w:t>
      </w:r>
      <w:r w:rsidR="003A2225">
        <w:t xml:space="preserve"> the proposed increase in fee not well justified</w:t>
      </w:r>
      <w:r>
        <w:t xml:space="preserve"> g</w:t>
      </w:r>
      <w:r w:rsidRPr="00FD633A">
        <w:t>iven that the claim of non-inferiority was not well supported in the ADAR, and that PUL may be associated with substantial additional costs</w:t>
      </w:r>
      <w:r w:rsidR="003A2225">
        <w:t>.</w:t>
      </w:r>
    </w:p>
    <w:p w14:paraId="1DB716D9" w14:textId="14675646" w:rsidR="00652235" w:rsidRDefault="00D70B59" w:rsidP="00D2501B">
      <w:pPr>
        <w:spacing w:before="240" w:after="240"/>
      </w:pPr>
      <w:r>
        <w:t>In the pre-ESC response, t</w:t>
      </w:r>
      <w:r w:rsidR="00652235">
        <w:t>he applicant noted the commentary’s analysis used a bed-day stay of 1.9 days for TURP.  According to the IHPA National Efficient Price Determination 2018</w:t>
      </w:r>
      <w:r w:rsidR="008F0CB8">
        <w:noBreakHyphen/>
      </w:r>
      <w:r w:rsidR="00652235">
        <w:t>19 the length of stay for TURP with minor complications, ignoring the impact of including with major complications, was 2.56 days.  The multivaria</w:t>
      </w:r>
      <w:r w:rsidR="00D52151">
        <w:t>te</w:t>
      </w:r>
      <w:r w:rsidR="00652235">
        <w:t xml:space="preserve"> analysis also (incorrectly) looked at the effect of a 5% handling</w:t>
      </w:r>
      <w:r w:rsidR="004A6094">
        <w:t xml:space="preserve"> fee.</w:t>
      </w:r>
    </w:p>
    <w:p w14:paraId="13F43736" w14:textId="77777777" w:rsidR="00652235" w:rsidRPr="00250EF2" w:rsidRDefault="00652235" w:rsidP="00250EF2">
      <w:pPr>
        <w:rPr>
          <w:rFonts w:ascii="Arial Narrow" w:hAnsi="Arial Narrow"/>
          <w:b/>
          <w:sz w:val="20"/>
        </w:rPr>
      </w:pPr>
      <w:r w:rsidRPr="00250EF2">
        <w:rPr>
          <w:rFonts w:ascii="Arial Narrow" w:hAnsi="Arial Narrow"/>
          <w:b/>
          <w:sz w:val="20"/>
        </w:rPr>
        <w:t>Table 18</w:t>
      </w:r>
      <w:r w:rsidRPr="00250EF2">
        <w:rPr>
          <w:rFonts w:ascii="Arial Narrow" w:hAnsi="Arial Narrow"/>
          <w:b/>
          <w:sz w:val="20"/>
        </w:rPr>
        <w:tab/>
        <w:t>ESC Revised multivariate sensitivity analysis: Disaggregated and aggregated incremental cost of PUL relative to TURP and VLAP (revised inputs in italic text)</w:t>
      </w:r>
    </w:p>
    <w:tbl>
      <w:tblPr>
        <w:tblStyle w:val="TableGrid7"/>
        <w:tblW w:w="0" w:type="auto"/>
        <w:tblLook w:val="04A0" w:firstRow="1" w:lastRow="0" w:firstColumn="1" w:lastColumn="0" w:noHBand="0" w:noVBand="1"/>
        <w:tblDescription w:val="Revised multivariate sensitivity analysis: Disaggregated and aggregated incremental cost of PUL relative to TURP and VLAP"/>
      </w:tblPr>
      <w:tblGrid>
        <w:gridCol w:w="2972"/>
        <w:gridCol w:w="1208"/>
        <w:gridCol w:w="1209"/>
        <w:gridCol w:w="1209"/>
        <w:gridCol w:w="1209"/>
        <w:gridCol w:w="1209"/>
      </w:tblGrid>
      <w:tr w:rsidR="00652235" w:rsidRPr="00652235" w14:paraId="2CF71DF7" w14:textId="77777777" w:rsidTr="00221228">
        <w:trPr>
          <w:tblHeader/>
        </w:trPr>
        <w:tc>
          <w:tcPr>
            <w:tcW w:w="2972" w:type="dxa"/>
            <w:tcBorders>
              <w:bottom w:val="single" w:sz="4" w:space="0" w:color="auto"/>
            </w:tcBorders>
          </w:tcPr>
          <w:p w14:paraId="1AF6C4D2" w14:textId="77777777" w:rsidR="00652235" w:rsidRPr="00652235" w:rsidRDefault="00652235" w:rsidP="00F11AFE">
            <w:pPr>
              <w:jc w:val="center"/>
              <w:rPr>
                <w:rFonts w:ascii="Arial Narrow" w:hAnsi="Arial Narrow" w:cs="Tahoma"/>
                <w:b/>
                <w:sz w:val="20"/>
              </w:rPr>
            </w:pPr>
          </w:p>
        </w:tc>
        <w:tc>
          <w:tcPr>
            <w:tcW w:w="1208" w:type="dxa"/>
            <w:tcBorders>
              <w:bottom w:val="single" w:sz="4" w:space="0" w:color="auto"/>
            </w:tcBorders>
          </w:tcPr>
          <w:p w14:paraId="07E97A98" w14:textId="77777777" w:rsidR="00652235" w:rsidRPr="00652235" w:rsidRDefault="00652235" w:rsidP="00F11AFE">
            <w:pPr>
              <w:jc w:val="center"/>
              <w:rPr>
                <w:rFonts w:ascii="Arial Narrow" w:hAnsi="Arial Narrow" w:cs="Tahoma"/>
                <w:b/>
                <w:sz w:val="20"/>
              </w:rPr>
            </w:pPr>
            <w:r w:rsidRPr="00652235">
              <w:rPr>
                <w:rFonts w:ascii="Arial Narrow" w:hAnsi="Arial Narrow" w:cs="Tahoma"/>
                <w:b/>
                <w:sz w:val="20"/>
              </w:rPr>
              <w:t>PUL</w:t>
            </w:r>
          </w:p>
        </w:tc>
        <w:tc>
          <w:tcPr>
            <w:tcW w:w="1209" w:type="dxa"/>
            <w:tcBorders>
              <w:bottom w:val="single" w:sz="4" w:space="0" w:color="auto"/>
            </w:tcBorders>
          </w:tcPr>
          <w:p w14:paraId="2310C594" w14:textId="77777777" w:rsidR="00652235" w:rsidRPr="00652235" w:rsidRDefault="00652235" w:rsidP="00F11AFE">
            <w:pPr>
              <w:jc w:val="center"/>
              <w:rPr>
                <w:rFonts w:ascii="Arial Narrow" w:hAnsi="Arial Narrow" w:cs="Tahoma"/>
                <w:b/>
                <w:sz w:val="20"/>
              </w:rPr>
            </w:pPr>
            <w:r w:rsidRPr="00652235">
              <w:rPr>
                <w:rFonts w:ascii="Arial Narrow" w:hAnsi="Arial Narrow" w:cs="Tahoma"/>
                <w:b/>
                <w:sz w:val="20"/>
              </w:rPr>
              <w:t>TURP</w:t>
            </w:r>
          </w:p>
        </w:tc>
        <w:tc>
          <w:tcPr>
            <w:tcW w:w="1209" w:type="dxa"/>
            <w:tcBorders>
              <w:bottom w:val="single" w:sz="4" w:space="0" w:color="auto"/>
            </w:tcBorders>
          </w:tcPr>
          <w:p w14:paraId="5578869F" w14:textId="77777777" w:rsidR="00652235" w:rsidRPr="00652235" w:rsidRDefault="00652235" w:rsidP="00F11AFE">
            <w:pPr>
              <w:jc w:val="center"/>
              <w:rPr>
                <w:rFonts w:ascii="Arial Narrow" w:hAnsi="Arial Narrow" w:cs="Tahoma"/>
                <w:b/>
                <w:sz w:val="20"/>
              </w:rPr>
            </w:pPr>
            <w:r w:rsidRPr="00652235">
              <w:rPr>
                <w:rFonts w:ascii="Arial Narrow" w:hAnsi="Arial Narrow" w:cs="Tahoma"/>
                <w:b/>
                <w:sz w:val="20"/>
              </w:rPr>
              <w:t>Incremental cost of PUL</w:t>
            </w:r>
          </w:p>
        </w:tc>
        <w:tc>
          <w:tcPr>
            <w:tcW w:w="1209" w:type="dxa"/>
            <w:tcBorders>
              <w:bottom w:val="single" w:sz="4" w:space="0" w:color="auto"/>
            </w:tcBorders>
          </w:tcPr>
          <w:p w14:paraId="0BD16306" w14:textId="77777777" w:rsidR="00652235" w:rsidRPr="00652235" w:rsidRDefault="00652235" w:rsidP="00F11AFE">
            <w:pPr>
              <w:jc w:val="center"/>
              <w:rPr>
                <w:rFonts w:ascii="Arial Narrow" w:hAnsi="Arial Narrow" w:cs="Tahoma"/>
                <w:b/>
                <w:sz w:val="20"/>
              </w:rPr>
            </w:pPr>
            <w:r w:rsidRPr="00652235">
              <w:rPr>
                <w:rFonts w:ascii="Arial Narrow" w:hAnsi="Arial Narrow" w:cs="Tahoma"/>
                <w:b/>
                <w:sz w:val="20"/>
              </w:rPr>
              <w:t>VLAP</w:t>
            </w:r>
          </w:p>
        </w:tc>
        <w:tc>
          <w:tcPr>
            <w:tcW w:w="1209" w:type="dxa"/>
            <w:tcBorders>
              <w:bottom w:val="single" w:sz="4" w:space="0" w:color="auto"/>
            </w:tcBorders>
          </w:tcPr>
          <w:p w14:paraId="7AD087D0" w14:textId="77777777" w:rsidR="00652235" w:rsidRPr="00652235" w:rsidRDefault="00652235" w:rsidP="00F11AFE">
            <w:pPr>
              <w:jc w:val="center"/>
              <w:rPr>
                <w:rFonts w:ascii="Arial Narrow" w:hAnsi="Arial Narrow" w:cs="Tahoma"/>
                <w:b/>
                <w:sz w:val="20"/>
              </w:rPr>
            </w:pPr>
            <w:r w:rsidRPr="00652235">
              <w:rPr>
                <w:rFonts w:ascii="Arial Narrow" w:hAnsi="Arial Narrow" w:cs="Tahoma"/>
                <w:b/>
                <w:sz w:val="20"/>
              </w:rPr>
              <w:t>Incremental cost of PUL</w:t>
            </w:r>
          </w:p>
        </w:tc>
      </w:tr>
      <w:tr w:rsidR="00652235" w:rsidRPr="00652235" w14:paraId="0CD99217" w14:textId="77777777" w:rsidTr="00F11AFE">
        <w:tc>
          <w:tcPr>
            <w:tcW w:w="2972" w:type="dxa"/>
            <w:tcBorders>
              <w:bottom w:val="nil"/>
              <w:right w:val="single" w:sz="4" w:space="0" w:color="auto"/>
            </w:tcBorders>
          </w:tcPr>
          <w:p w14:paraId="1F4559AF" w14:textId="77777777" w:rsidR="00652235" w:rsidRPr="00652235" w:rsidRDefault="00652235" w:rsidP="00F11AFE">
            <w:pPr>
              <w:rPr>
                <w:rFonts w:ascii="Arial Narrow" w:hAnsi="Arial Narrow" w:cs="Tahoma"/>
                <w:sz w:val="20"/>
              </w:rPr>
            </w:pPr>
            <w:r w:rsidRPr="00652235">
              <w:rPr>
                <w:rFonts w:ascii="Arial Narrow" w:hAnsi="Arial Narrow" w:cs="Tahoma"/>
                <w:sz w:val="20"/>
              </w:rPr>
              <w:t>Procedure cost without complications</w:t>
            </w:r>
          </w:p>
        </w:tc>
        <w:tc>
          <w:tcPr>
            <w:tcW w:w="1208" w:type="dxa"/>
            <w:tcBorders>
              <w:left w:val="single" w:sz="4" w:space="0" w:color="auto"/>
              <w:bottom w:val="nil"/>
              <w:right w:val="single" w:sz="4" w:space="0" w:color="auto"/>
            </w:tcBorders>
          </w:tcPr>
          <w:p w14:paraId="428E56F5" w14:textId="77777777" w:rsidR="00652235" w:rsidRPr="00652235" w:rsidRDefault="00652235" w:rsidP="00F11AFE">
            <w:pPr>
              <w:jc w:val="right"/>
              <w:rPr>
                <w:rFonts w:ascii="Arial Narrow" w:hAnsi="Arial Narrow" w:cs="Tahoma"/>
                <w:sz w:val="20"/>
              </w:rPr>
            </w:pPr>
          </w:p>
        </w:tc>
        <w:tc>
          <w:tcPr>
            <w:tcW w:w="1209" w:type="dxa"/>
            <w:tcBorders>
              <w:left w:val="single" w:sz="4" w:space="0" w:color="auto"/>
              <w:bottom w:val="nil"/>
              <w:right w:val="single" w:sz="4" w:space="0" w:color="auto"/>
            </w:tcBorders>
          </w:tcPr>
          <w:p w14:paraId="69AABA4F" w14:textId="77777777" w:rsidR="00652235" w:rsidRPr="00652235" w:rsidRDefault="00652235" w:rsidP="00F11AFE">
            <w:pPr>
              <w:jc w:val="right"/>
              <w:rPr>
                <w:rFonts w:ascii="Arial Narrow" w:hAnsi="Arial Narrow" w:cs="Tahoma"/>
                <w:sz w:val="20"/>
              </w:rPr>
            </w:pPr>
          </w:p>
        </w:tc>
        <w:tc>
          <w:tcPr>
            <w:tcW w:w="1209" w:type="dxa"/>
            <w:tcBorders>
              <w:left w:val="single" w:sz="4" w:space="0" w:color="auto"/>
              <w:bottom w:val="nil"/>
              <w:right w:val="single" w:sz="4" w:space="0" w:color="auto"/>
            </w:tcBorders>
          </w:tcPr>
          <w:p w14:paraId="55BA6993" w14:textId="77777777" w:rsidR="00652235" w:rsidRPr="00652235" w:rsidRDefault="00652235" w:rsidP="00F11AFE">
            <w:pPr>
              <w:jc w:val="right"/>
              <w:rPr>
                <w:rFonts w:ascii="Arial Narrow" w:hAnsi="Arial Narrow" w:cs="Tahoma"/>
                <w:sz w:val="20"/>
              </w:rPr>
            </w:pPr>
          </w:p>
        </w:tc>
        <w:tc>
          <w:tcPr>
            <w:tcW w:w="1209" w:type="dxa"/>
            <w:tcBorders>
              <w:left w:val="single" w:sz="4" w:space="0" w:color="auto"/>
              <w:bottom w:val="nil"/>
              <w:right w:val="single" w:sz="4" w:space="0" w:color="auto"/>
            </w:tcBorders>
          </w:tcPr>
          <w:p w14:paraId="6B71166C" w14:textId="77777777" w:rsidR="00652235" w:rsidRPr="00652235" w:rsidRDefault="00652235" w:rsidP="00F11AFE">
            <w:pPr>
              <w:jc w:val="right"/>
              <w:rPr>
                <w:rFonts w:ascii="Arial Narrow" w:hAnsi="Arial Narrow" w:cs="Tahoma"/>
                <w:sz w:val="20"/>
              </w:rPr>
            </w:pPr>
          </w:p>
        </w:tc>
        <w:tc>
          <w:tcPr>
            <w:tcW w:w="1209" w:type="dxa"/>
            <w:tcBorders>
              <w:left w:val="single" w:sz="4" w:space="0" w:color="auto"/>
              <w:bottom w:val="nil"/>
            </w:tcBorders>
          </w:tcPr>
          <w:p w14:paraId="6C762E42" w14:textId="77777777" w:rsidR="00652235" w:rsidRPr="00652235" w:rsidRDefault="00652235" w:rsidP="00F11AFE">
            <w:pPr>
              <w:jc w:val="right"/>
              <w:rPr>
                <w:rFonts w:ascii="Arial Narrow" w:hAnsi="Arial Narrow" w:cs="Tahoma"/>
                <w:sz w:val="20"/>
              </w:rPr>
            </w:pPr>
          </w:p>
        </w:tc>
      </w:tr>
      <w:tr w:rsidR="00652235" w:rsidRPr="00652235" w14:paraId="572221D7" w14:textId="77777777" w:rsidTr="00F11AFE">
        <w:tc>
          <w:tcPr>
            <w:tcW w:w="2972" w:type="dxa"/>
            <w:tcBorders>
              <w:top w:val="nil"/>
              <w:bottom w:val="nil"/>
            </w:tcBorders>
          </w:tcPr>
          <w:p w14:paraId="11C6366E" w14:textId="77777777" w:rsidR="00652235" w:rsidRPr="00652235" w:rsidRDefault="00652235" w:rsidP="00D70B59">
            <w:pPr>
              <w:numPr>
                <w:ilvl w:val="0"/>
                <w:numId w:val="7"/>
              </w:numPr>
              <w:ind w:left="164" w:hanging="142"/>
              <w:rPr>
                <w:rFonts w:ascii="Arial Narrow" w:hAnsi="Arial Narrow" w:cs="Tahoma"/>
                <w:sz w:val="20"/>
              </w:rPr>
            </w:pPr>
            <w:r w:rsidRPr="00652235">
              <w:rPr>
                <w:rFonts w:ascii="Arial Narrow" w:hAnsi="Arial Narrow" w:cs="Tahoma"/>
                <w:sz w:val="20"/>
              </w:rPr>
              <w:t>Procedure costs</w:t>
            </w:r>
          </w:p>
        </w:tc>
        <w:tc>
          <w:tcPr>
            <w:tcW w:w="1208" w:type="dxa"/>
            <w:tcBorders>
              <w:top w:val="nil"/>
              <w:left w:val="single" w:sz="8" w:space="0" w:color="auto"/>
              <w:bottom w:val="nil"/>
              <w:right w:val="single" w:sz="8" w:space="0" w:color="auto"/>
            </w:tcBorders>
            <w:shd w:val="clear" w:color="auto" w:fill="auto"/>
            <w:vAlign w:val="center"/>
          </w:tcPr>
          <w:p w14:paraId="7C22C4AB" w14:textId="77777777" w:rsidR="00652235" w:rsidRPr="00652235" w:rsidRDefault="00652235" w:rsidP="00F11AFE">
            <w:pPr>
              <w:jc w:val="right"/>
              <w:rPr>
                <w:rFonts w:ascii="Arial Narrow" w:eastAsiaTheme="minorHAnsi" w:hAnsi="Arial Narrow" w:cs="Calibri"/>
                <w:sz w:val="20"/>
              </w:rPr>
            </w:pPr>
            <w:r w:rsidRPr="00652235">
              <w:rPr>
                <w:rFonts w:ascii="Arial Narrow" w:eastAsiaTheme="minorHAnsi" w:hAnsi="Arial Narrow" w:cs="Calibri"/>
                <w:sz w:val="20"/>
              </w:rPr>
              <w:t xml:space="preserve"> </w:t>
            </w:r>
            <w:proofErr w:type="gramStart"/>
            <w:r w:rsidRPr="00652235">
              <w:rPr>
                <w:rFonts w:ascii="Arial Narrow" w:eastAsiaTheme="minorHAnsi" w:hAnsi="Arial Narrow" w:cs="Calibri"/>
                <w:sz w:val="20"/>
              </w:rPr>
              <w:t>$  1,058.80</w:t>
            </w:r>
            <w:proofErr w:type="gramEnd"/>
            <w:r w:rsidRPr="00652235">
              <w:rPr>
                <w:rFonts w:ascii="Arial Narrow" w:eastAsiaTheme="minorHAnsi" w:hAnsi="Arial Narrow" w:cs="Calibri"/>
                <w:sz w:val="20"/>
              </w:rPr>
              <w:t xml:space="preserve"> </w:t>
            </w:r>
          </w:p>
        </w:tc>
        <w:tc>
          <w:tcPr>
            <w:tcW w:w="1209" w:type="dxa"/>
            <w:tcBorders>
              <w:top w:val="nil"/>
              <w:left w:val="nil"/>
              <w:bottom w:val="nil"/>
              <w:right w:val="single" w:sz="8" w:space="0" w:color="auto"/>
            </w:tcBorders>
            <w:shd w:val="clear" w:color="auto" w:fill="auto"/>
            <w:vAlign w:val="center"/>
          </w:tcPr>
          <w:p w14:paraId="5CDFC27D" w14:textId="77777777" w:rsidR="00652235" w:rsidRPr="00652235" w:rsidRDefault="00652235" w:rsidP="00F11AFE">
            <w:pPr>
              <w:jc w:val="right"/>
              <w:rPr>
                <w:rFonts w:ascii="Arial Narrow" w:eastAsiaTheme="minorHAnsi" w:hAnsi="Arial Narrow" w:cs="Calibri"/>
                <w:sz w:val="20"/>
              </w:rPr>
            </w:pPr>
            <w:r w:rsidRPr="00652235">
              <w:rPr>
                <w:rFonts w:ascii="Arial Narrow" w:eastAsiaTheme="minorHAnsi" w:hAnsi="Arial Narrow" w:cs="Calibri"/>
                <w:sz w:val="20"/>
              </w:rPr>
              <w:t xml:space="preserve"> </w:t>
            </w:r>
            <w:proofErr w:type="gramStart"/>
            <w:r w:rsidRPr="00652235">
              <w:rPr>
                <w:rFonts w:ascii="Arial Narrow" w:eastAsiaTheme="minorHAnsi" w:hAnsi="Arial Narrow" w:cs="Calibri"/>
                <w:sz w:val="20"/>
              </w:rPr>
              <w:t>$  1,058.80</w:t>
            </w:r>
            <w:proofErr w:type="gramEnd"/>
            <w:r w:rsidRPr="00652235">
              <w:rPr>
                <w:rFonts w:ascii="Arial Narrow" w:eastAsiaTheme="minorHAnsi" w:hAnsi="Arial Narrow" w:cs="Calibri"/>
                <w:sz w:val="20"/>
              </w:rPr>
              <w:t xml:space="preserve"> </w:t>
            </w:r>
          </w:p>
        </w:tc>
        <w:tc>
          <w:tcPr>
            <w:tcW w:w="1209" w:type="dxa"/>
            <w:tcBorders>
              <w:top w:val="nil"/>
              <w:left w:val="nil"/>
              <w:bottom w:val="nil"/>
              <w:right w:val="single" w:sz="8" w:space="0" w:color="auto"/>
            </w:tcBorders>
            <w:shd w:val="clear" w:color="auto" w:fill="auto"/>
            <w:vAlign w:val="center"/>
          </w:tcPr>
          <w:p w14:paraId="0F3524AF" w14:textId="77777777" w:rsidR="00652235" w:rsidRPr="00652235" w:rsidRDefault="00652235" w:rsidP="00F11AFE">
            <w:pPr>
              <w:jc w:val="right"/>
              <w:rPr>
                <w:rFonts w:ascii="Arial Narrow" w:eastAsiaTheme="minorHAnsi" w:hAnsi="Arial Narrow" w:cs="Calibri"/>
                <w:sz w:val="20"/>
              </w:rPr>
            </w:pPr>
            <w:r w:rsidRPr="00652235">
              <w:rPr>
                <w:rFonts w:ascii="Arial Narrow" w:eastAsiaTheme="minorHAnsi" w:hAnsi="Arial Narrow" w:cs="Calibri"/>
                <w:sz w:val="20"/>
              </w:rPr>
              <w:t xml:space="preserve"> $   -   </w:t>
            </w:r>
          </w:p>
        </w:tc>
        <w:tc>
          <w:tcPr>
            <w:tcW w:w="1209" w:type="dxa"/>
            <w:tcBorders>
              <w:top w:val="nil"/>
              <w:left w:val="nil"/>
              <w:bottom w:val="nil"/>
              <w:right w:val="single" w:sz="8" w:space="0" w:color="auto"/>
            </w:tcBorders>
            <w:shd w:val="clear" w:color="auto" w:fill="auto"/>
            <w:vAlign w:val="center"/>
          </w:tcPr>
          <w:p w14:paraId="04CCF6F0" w14:textId="77777777" w:rsidR="00652235" w:rsidRPr="00652235" w:rsidRDefault="00652235" w:rsidP="00F11AFE">
            <w:pPr>
              <w:jc w:val="right"/>
              <w:rPr>
                <w:rFonts w:ascii="Arial Narrow" w:eastAsiaTheme="minorHAnsi" w:hAnsi="Arial Narrow" w:cs="Calibri"/>
                <w:sz w:val="20"/>
              </w:rPr>
            </w:pPr>
            <w:r w:rsidRPr="00652235">
              <w:rPr>
                <w:rFonts w:ascii="Arial Narrow" w:eastAsiaTheme="minorHAnsi" w:hAnsi="Arial Narrow" w:cs="Calibri"/>
                <w:sz w:val="20"/>
              </w:rPr>
              <w:t xml:space="preserve"> $ 1,058.80 </w:t>
            </w:r>
          </w:p>
        </w:tc>
        <w:tc>
          <w:tcPr>
            <w:tcW w:w="1209" w:type="dxa"/>
            <w:tcBorders>
              <w:top w:val="nil"/>
              <w:left w:val="nil"/>
              <w:bottom w:val="nil"/>
              <w:right w:val="single" w:sz="8" w:space="0" w:color="auto"/>
            </w:tcBorders>
            <w:shd w:val="clear" w:color="auto" w:fill="auto"/>
            <w:vAlign w:val="center"/>
          </w:tcPr>
          <w:p w14:paraId="462A12DA" w14:textId="77777777" w:rsidR="00652235" w:rsidRPr="00652235" w:rsidRDefault="00652235" w:rsidP="00F11AFE">
            <w:pPr>
              <w:jc w:val="right"/>
              <w:rPr>
                <w:rFonts w:ascii="Arial Narrow" w:eastAsiaTheme="minorHAnsi" w:hAnsi="Arial Narrow" w:cs="Calibri"/>
                <w:sz w:val="20"/>
              </w:rPr>
            </w:pPr>
            <w:r w:rsidRPr="00652235">
              <w:rPr>
                <w:rFonts w:ascii="Arial Narrow" w:eastAsiaTheme="minorHAnsi" w:hAnsi="Arial Narrow" w:cs="Calibri"/>
                <w:sz w:val="20"/>
              </w:rPr>
              <w:t xml:space="preserve"> $   -   </w:t>
            </w:r>
          </w:p>
        </w:tc>
      </w:tr>
      <w:tr w:rsidR="00652235" w:rsidRPr="00652235" w14:paraId="103DBBD9" w14:textId="77777777" w:rsidTr="00F11AFE">
        <w:tc>
          <w:tcPr>
            <w:tcW w:w="2972" w:type="dxa"/>
            <w:tcBorders>
              <w:top w:val="nil"/>
              <w:bottom w:val="nil"/>
            </w:tcBorders>
          </w:tcPr>
          <w:p w14:paraId="53791D7B" w14:textId="77777777" w:rsidR="00652235" w:rsidRPr="00652235" w:rsidRDefault="00652235" w:rsidP="00D70B59">
            <w:pPr>
              <w:numPr>
                <w:ilvl w:val="0"/>
                <w:numId w:val="7"/>
              </w:numPr>
              <w:ind w:left="164" w:hanging="142"/>
              <w:rPr>
                <w:rFonts w:ascii="Arial Narrow" w:hAnsi="Arial Narrow" w:cs="Tahoma"/>
                <w:sz w:val="20"/>
              </w:rPr>
            </w:pPr>
            <w:r w:rsidRPr="00652235">
              <w:rPr>
                <w:rFonts w:ascii="Arial Narrow" w:hAnsi="Arial Narrow" w:cs="Tahoma"/>
                <w:sz w:val="20"/>
              </w:rPr>
              <w:t>Anaesthesia costs</w:t>
            </w:r>
          </w:p>
        </w:tc>
        <w:tc>
          <w:tcPr>
            <w:tcW w:w="1208" w:type="dxa"/>
            <w:tcBorders>
              <w:top w:val="nil"/>
              <w:left w:val="single" w:sz="8" w:space="0" w:color="auto"/>
              <w:bottom w:val="nil"/>
              <w:right w:val="single" w:sz="8" w:space="0" w:color="auto"/>
            </w:tcBorders>
            <w:shd w:val="clear" w:color="auto" w:fill="auto"/>
            <w:vAlign w:val="center"/>
          </w:tcPr>
          <w:p w14:paraId="686CD27F" w14:textId="77777777" w:rsidR="00652235" w:rsidRPr="00652235" w:rsidRDefault="00652235" w:rsidP="00F11AFE">
            <w:pPr>
              <w:jc w:val="right"/>
              <w:rPr>
                <w:rFonts w:ascii="Arial Narrow" w:eastAsiaTheme="minorHAnsi" w:hAnsi="Arial Narrow" w:cs="Calibri"/>
                <w:sz w:val="20"/>
              </w:rPr>
            </w:pPr>
            <w:r w:rsidRPr="00652235">
              <w:rPr>
                <w:rFonts w:ascii="Arial Narrow" w:eastAsiaTheme="minorHAnsi" w:hAnsi="Arial Narrow" w:cs="Calibri"/>
                <w:sz w:val="20"/>
              </w:rPr>
              <w:t xml:space="preserve"> </w:t>
            </w:r>
            <w:proofErr w:type="gramStart"/>
            <w:r w:rsidRPr="00652235">
              <w:rPr>
                <w:rFonts w:ascii="Arial Narrow" w:eastAsiaTheme="minorHAnsi" w:hAnsi="Arial Narrow" w:cs="Calibri"/>
                <w:sz w:val="20"/>
              </w:rPr>
              <w:t>$  205.15</w:t>
            </w:r>
            <w:proofErr w:type="gramEnd"/>
            <w:r w:rsidRPr="00652235">
              <w:rPr>
                <w:rFonts w:ascii="Arial Narrow" w:eastAsiaTheme="minorHAnsi" w:hAnsi="Arial Narrow" w:cs="Calibri"/>
                <w:sz w:val="20"/>
              </w:rPr>
              <w:t xml:space="preserve"> </w:t>
            </w:r>
          </w:p>
        </w:tc>
        <w:tc>
          <w:tcPr>
            <w:tcW w:w="1209" w:type="dxa"/>
            <w:tcBorders>
              <w:top w:val="nil"/>
              <w:left w:val="nil"/>
              <w:bottom w:val="nil"/>
              <w:right w:val="single" w:sz="8" w:space="0" w:color="auto"/>
            </w:tcBorders>
            <w:shd w:val="clear" w:color="auto" w:fill="auto"/>
            <w:vAlign w:val="center"/>
          </w:tcPr>
          <w:p w14:paraId="31D431AC" w14:textId="77777777" w:rsidR="00652235" w:rsidRPr="00652235" w:rsidRDefault="00652235" w:rsidP="00F11AFE">
            <w:pPr>
              <w:jc w:val="right"/>
              <w:rPr>
                <w:rFonts w:ascii="Arial Narrow" w:eastAsiaTheme="minorHAnsi" w:hAnsi="Arial Narrow" w:cs="Calibri"/>
                <w:sz w:val="20"/>
              </w:rPr>
            </w:pPr>
            <w:r w:rsidRPr="00652235">
              <w:rPr>
                <w:rFonts w:ascii="Arial Narrow" w:eastAsiaTheme="minorHAnsi" w:hAnsi="Arial Narrow" w:cs="Calibri"/>
                <w:sz w:val="20"/>
              </w:rPr>
              <w:t xml:space="preserve"> </w:t>
            </w:r>
            <w:proofErr w:type="gramStart"/>
            <w:r w:rsidRPr="00652235">
              <w:rPr>
                <w:rFonts w:ascii="Arial Narrow" w:eastAsiaTheme="minorHAnsi" w:hAnsi="Arial Narrow" w:cs="Calibri"/>
                <w:sz w:val="20"/>
              </w:rPr>
              <w:t>$  265.45</w:t>
            </w:r>
            <w:proofErr w:type="gramEnd"/>
            <w:r w:rsidRPr="00652235">
              <w:rPr>
                <w:rFonts w:ascii="Arial Narrow" w:eastAsiaTheme="minorHAnsi" w:hAnsi="Arial Narrow" w:cs="Calibri"/>
                <w:sz w:val="20"/>
              </w:rPr>
              <w:t xml:space="preserve"> </w:t>
            </w:r>
          </w:p>
        </w:tc>
        <w:tc>
          <w:tcPr>
            <w:tcW w:w="1209" w:type="dxa"/>
            <w:tcBorders>
              <w:top w:val="nil"/>
              <w:left w:val="nil"/>
              <w:bottom w:val="nil"/>
              <w:right w:val="single" w:sz="8" w:space="0" w:color="auto"/>
            </w:tcBorders>
            <w:shd w:val="clear" w:color="auto" w:fill="auto"/>
            <w:vAlign w:val="center"/>
          </w:tcPr>
          <w:p w14:paraId="34825DAA" w14:textId="77777777" w:rsidR="00652235" w:rsidRPr="00652235" w:rsidRDefault="00652235" w:rsidP="00F11AFE">
            <w:pPr>
              <w:jc w:val="right"/>
              <w:rPr>
                <w:rFonts w:ascii="Arial Narrow" w:eastAsiaTheme="minorHAnsi" w:hAnsi="Arial Narrow" w:cs="Calibri"/>
                <w:sz w:val="20"/>
              </w:rPr>
            </w:pPr>
            <w:r w:rsidRPr="00652235">
              <w:rPr>
                <w:rFonts w:ascii="Arial Narrow" w:eastAsiaTheme="minorHAnsi" w:hAnsi="Arial Narrow" w:cs="Calibri"/>
                <w:sz w:val="20"/>
              </w:rPr>
              <w:t>-</w:t>
            </w:r>
            <w:proofErr w:type="gramStart"/>
            <w:r w:rsidRPr="00652235">
              <w:rPr>
                <w:rFonts w:ascii="Arial Narrow" w:eastAsiaTheme="minorHAnsi" w:hAnsi="Arial Narrow" w:cs="Calibri"/>
                <w:sz w:val="20"/>
              </w:rPr>
              <w:t>$  60.30</w:t>
            </w:r>
            <w:proofErr w:type="gramEnd"/>
            <w:r w:rsidRPr="00652235">
              <w:rPr>
                <w:rFonts w:ascii="Arial Narrow" w:eastAsiaTheme="minorHAnsi" w:hAnsi="Arial Narrow" w:cs="Calibri"/>
                <w:sz w:val="20"/>
              </w:rPr>
              <w:t xml:space="preserve"> </w:t>
            </w:r>
          </w:p>
        </w:tc>
        <w:tc>
          <w:tcPr>
            <w:tcW w:w="1209" w:type="dxa"/>
            <w:tcBorders>
              <w:top w:val="nil"/>
              <w:left w:val="nil"/>
              <w:bottom w:val="nil"/>
              <w:right w:val="single" w:sz="8" w:space="0" w:color="auto"/>
            </w:tcBorders>
            <w:shd w:val="clear" w:color="auto" w:fill="auto"/>
            <w:vAlign w:val="center"/>
          </w:tcPr>
          <w:p w14:paraId="085015DB" w14:textId="77777777" w:rsidR="00652235" w:rsidRPr="00652235" w:rsidRDefault="00652235" w:rsidP="00F11AFE">
            <w:pPr>
              <w:jc w:val="right"/>
              <w:rPr>
                <w:rFonts w:ascii="Arial Narrow" w:eastAsiaTheme="minorHAnsi" w:hAnsi="Arial Narrow" w:cs="Calibri"/>
                <w:sz w:val="20"/>
              </w:rPr>
            </w:pPr>
            <w:r w:rsidRPr="00652235">
              <w:rPr>
                <w:rFonts w:ascii="Arial Narrow" w:eastAsiaTheme="minorHAnsi" w:hAnsi="Arial Narrow" w:cs="Calibri"/>
                <w:sz w:val="20"/>
              </w:rPr>
              <w:t xml:space="preserve"> </w:t>
            </w:r>
            <w:proofErr w:type="gramStart"/>
            <w:r w:rsidRPr="00652235">
              <w:rPr>
                <w:rFonts w:ascii="Arial Narrow" w:eastAsiaTheme="minorHAnsi" w:hAnsi="Arial Narrow" w:cs="Calibri"/>
                <w:sz w:val="20"/>
              </w:rPr>
              <w:t>$  225.25</w:t>
            </w:r>
            <w:proofErr w:type="gramEnd"/>
            <w:r w:rsidRPr="00652235">
              <w:rPr>
                <w:rFonts w:ascii="Arial Narrow" w:eastAsiaTheme="minorHAnsi" w:hAnsi="Arial Narrow" w:cs="Calibri"/>
                <w:sz w:val="20"/>
              </w:rPr>
              <w:t xml:space="preserve"> </w:t>
            </w:r>
          </w:p>
        </w:tc>
        <w:tc>
          <w:tcPr>
            <w:tcW w:w="1209" w:type="dxa"/>
            <w:tcBorders>
              <w:top w:val="nil"/>
              <w:left w:val="nil"/>
              <w:bottom w:val="nil"/>
              <w:right w:val="single" w:sz="8" w:space="0" w:color="auto"/>
            </w:tcBorders>
            <w:shd w:val="clear" w:color="auto" w:fill="auto"/>
            <w:vAlign w:val="center"/>
          </w:tcPr>
          <w:p w14:paraId="036336E6" w14:textId="77777777" w:rsidR="00652235" w:rsidRPr="00652235" w:rsidRDefault="00652235" w:rsidP="00F11AFE">
            <w:pPr>
              <w:jc w:val="right"/>
              <w:rPr>
                <w:rFonts w:ascii="Arial Narrow" w:eastAsiaTheme="minorHAnsi" w:hAnsi="Arial Narrow" w:cs="Calibri"/>
                <w:sz w:val="20"/>
              </w:rPr>
            </w:pPr>
            <w:r w:rsidRPr="00652235">
              <w:rPr>
                <w:rFonts w:ascii="Arial Narrow" w:eastAsiaTheme="minorHAnsi" w:hAnsi="Arial Narrow" w:cs="Calibri"/>
                <w:sz w:val="20"/>
              </w:rPr>
              <w:t>-</w:t>
            </w:r>
            <w:proofErr w:type="gramStart"/>
            <w:r w:rsidRPr="00652235">
              <w:rPr>
                <w:rFonts w:ascii="Arial Narrow" w:eastAsiaTheme="minorHAnsi" w:hAnsi="Arial Narrow" w:cs="Calibri"/>
                <w:sz w:val="20"/>
              </w:rPr>
              <w:t>$  20.10</w:t>
            </w:r>
            <w:proofErr w:type="gramEnd"/>
            <w:r w:rsidRPr="00652235">
              <w:rPr>
                <w:rFonts w:ascii="Arial Narrow" w:eastAsiaTheme="minorHAnsi" w:hAnsi="Arial Narrow" w:cs="Calibri"/>
                <w:sz w:val="20"/>
              </w:rPr>
              <w:t xml:space="preserve"> </w:t>
            </w:r>
          </w:p>
        </w:tc>
      </w:tr>
      <w:tr w:rsidR="00652235" w:rsidRPr="00652235" w14:paraId="71444098" w14:textId="77777777" w:rsidTr="00F11AFE">
        <w:tc>
          <w:tcPr>
            <w:tcW w:w="2972" w:type="dxa"/>
            <w:tcBorders>
              <w:top w:val="nil"/>
              <w:bottom w:val="nil"/>
            </w:tcBorders>
          </w:tcPr>
          <w:p w14:paraId="2B5C2057" w14:textId="77777777" w:rsidR="00652235" w:rsidRPr="00652235" w:rsidRDefault="00652235" w:rsidP="00D70B59">
            <w:pPr>
              <w:numPr>
                <w:ilvl w:val="0"/>
                <w:numId w:val="7"/>
              </w:numPr>
              <w:ind w:left="164" w:hanging="142"/>
              <w:rPr>
                <w:rFonts w:ascii="Arial Narrow" w:hAnsi="Arial Narrow" w:cs="Tahoma"/>
                <w:sz w:val="20"/>
              </w:rPr>
            </w:pPr>
            <w:r w:rsidRPr="00652235">
              <w:rPr>
                <w:rFonts w:ascii="Arial Narrow" w:hAnsi="Arial Narrow" w:cs="Tahoma"/>
                <w:sz w:val="20"/>
              </w:rPr>
              <w:t>Hospital (non-procedure) costs</w:t>
            </w:r>
          </w:p>
        </w:tc>
        <w:tc>
          <w:tcPr>
            <w:tcW w:w="1208" w:type="dxa"/>
            <w:tcBorders>
              <w:top w:val="nil"/>
              <w:left w:val="single" w:sz="8" w:space="0" w:color="auto"/>
              <w:bottom w:val="nil"/>
              <w:right w:val="single" w:sz="8" w:space="0" w:color="auto"/>
            </w:tcBorders>
            <w:shd w:val="clear" w:color="auto" w:fill="auto"/>
            <w:vAlign w:val="center"/>
          </w:tcPr>
          <w:p w14:paraId="08517F67" w14:textId="77777777" w:rsidR="00652235" w:rsidRPr="00652235" w:rsidRDefault="00652235" w:rsidP="00F11AFE">
            <w:pPr>
              <w:jc w:val="right"/>
              <w:rPr>
                <w:rFonts w:ascii="Arial Narrow" w:eastAsiaTheme="minorHAnsi" w:hAnsi="Arial Narrow" w:cs="Calibri"/>
                <w:sz w:val="20"/>
              </w:rPr>
            </w:pPr>
            <w:r w:rsidRPr="00652235">
              <w:rPr>
                <w:rFonts w:ascii="Arial Narrow" w:eastAsiaTheme="minorHAnsi" w:hAnsi="Arial Narrow" w:cs="Calibri"/>
                <w:sz w:val="20"/>
              </w:rPr>
              <w:t xml:space="preserve"> $ 1,406.40 </w:t>
            </w:r>
          </w:p>
        </w:tc>
        <w:tc>
          <w:tcPr>
            <w:tcW w:w="1209" w:type="dxa"/>
            <w:tcBorders>
              <w:top w:val="nil"/>
              <w:left w:val="nil"/>
              <w:bottom w:val="nil"/>
              <w:right w:val="single" w:sz="8" w:space="0" w:color="auto"/>
            </w:tcBorders>
            <w:shd w:val="clear" w:color="auto" w:fill="auto"/>
            <w:vAlign w:val="center"/>
          </w:tcPr>
          <w:p w14:paraId="39914512" w14:textId="77777777" w:rsidR="00652235" w:rsidRPr="00652235" w:rsidRDefault="00652235" w:rsidP="00F11AFE">
            <w:pPr>
              <w:jc w:val="right"/>
              <w:rPr>
                <w:rFonts w:ascii="Arial Narrow" w:eastAsiaTheme="minorHAnsi" w:hAnsi="Arial Narrow" w:cs="Calibri"/>
                <w:sz w:val="20"/>
              </w:rPr>
            </w:pPr>
            <w:r w:rsidRPr="00652235">
              <w:rPr>
                <w:rFonts w:ascii="Arial Narrow" w:eastAsiaTheme="minorHAnsi" w:hAnsi="Arial Narrow" w:cs="Calibri"/>
                <w:sz w:val="20"/>
              </w:rPr>
              <w:t xml:space="preserve"> </w:t>
            </w:r>
            <w:proofErr w:type="gramStart"/>
            <w:r w:rsidRPr="00652235">
              <w:rPr>
                <w:rFonts w:ascii="Arial Narrow" w:eastAsiaTheme="minorHAnsi" w:hAnsi="Arial Narrow" w:cs="Calibri"/>
                <w:sz w:val="20"/>
              </w:rPr>
              <w:t>$  3,647.55</w:t>
            </w:r>
            <w:proofErr w:type="gramEnd"/>
            <w:r w:rsidRPr="00652235">
              <w:rPr>
                <w:rFonts w:ascii="Arial Narrow" w:eastAsiaTheme="minorHAnsi" w:hAnsi="Arial Narrow" w:cs="Calibri"/>
                <w:sz w:val="20"/>
              </w:rPr>
              <w:t xml:space="preserve"> </w:t>
            </w:r>
          </w:p>
        </w:tc>
        <w:tc>
          <w:tcPr>
            <w:tcW w:w="1209" w:type="dxa"/>
            <w:tcBorders>
              <w:top w:val="nil"/>
              <w:left w:val="nil"/>
              <w:bottom w:val="nil"/>
              <w:right w:val="single" w:sz="8" w:space="0" w:color="auto"/>
            </w:tcBorders>
            <w:shd w:val="clear" w:color="auto" w:fill="auto"/>
            <w:vAlign w:val="center"/>
          </w:tcPr>
          <w:p w14:paraId="1513954A" w14:textId="77777777" w:rsidR="00652235" w:rsidRPr="00652235" w:rsidRDefault="00652235" w:rsidP="00F11AFE">
            <w:pPr>
              <w:jc w:val="right"/>
              <w:rPr>
                <w:rFonts w:ascii="Arial Narrow" w:eastAsiaTheme="minorHAnsi" w:hAnsi="Arial Narrow" w:cs="Calibri"/>
                <w:sz w:val="20"/>
              </w:rPr>
            </w:pPr>
            <w:r w:rsidRPr="00652235">
              <w:rPr>
                <w:rFonts w:ascii="Arial Narrow" w:eastAsiaTheme="minorHAnsi" w:hAnsi="Arial Narrow" w:cs="Calibri"/>
                <w:sz w:val="20"/>
              </w:rPr>
              <w:t>-</w:t>
            </w:r>
            <w:proofErr w:type="gramStart"/>
            <w:r w:rsidRPr="00652235">
              <w:rPr>
                <w:rFonts w:ascii="Arial Narrow" w:eastAsiaTheme="minorHAnsi" w:hAnsi="Arial Narrow" w:cs="Calibri"/>
                <w:sz w:val="20"/>
              </w:rPr>
              <w:t>$  2,241.15</w:t>
            </w:r>
            <w:proofErr w:type="gramEnd"/>
            <w:r w:rsidRPr="00652235">
              <w:rPr>
                <w:rFonts w:ascii="Arial Narrow" w:eastAsiaTheme="minorHAnsi" w:hAnsi="Arial Narrow" w:cs="Calibri"/>
                <w:sz w:val="20"/>
              </w:rPr>
              <w:t xml:space="preserve"> </w:t>
            </w:r>
          </w:p>
        </w:tc>
        <w:tc>
          <w:tcPr>
            <w:tcW w:w="1209" w:type="dxa"/>
            <w:tcBorders>
              <w:top w:val="nil"/>
              <w:left w:val="nil"/>
              <w:bottom w:val="nil"/>
              <w:right w:val="single" w:sz="8" w:space="0" w:color="auto"/>
            </w:tcBorders>
            <w:shd w:val="clear" w:color="auto" w:fill="auto"/>
            <w:vAlign w:val="center"/>
          </w:tcPr>
          <w:p w14:paraId="2B52F1E1" w14:textId="77777777" w:rsidR="00652235" w:rsidRPr="00652235" w:rsidRDefault="00652235" w:rsidP="00F11AFE">
            <w:pPr>
              <w:jc w:val="right"/>
              <w:rPr>
                <w:rFonts w:ascii="Arial Narrow" w:eastAsiaTheme="minorHAnsi" w:hAnsi="Arial Narrow" w:cs="Calibri"/>
                <w:i/>
                <w:sz w:val="20"/>
              </w:rPr>
            </w:pPr>
            <w:r w:rsidRPr="00652235">
              <w:rPr>
                <w:rFonts w:ascii="Arial Narrow" w:eastAsiaTheme="minorHAnsi" w:hAnsi="Arial Narrow" w:cs="Calibri"/>
                <w:i/>
                <w:sz w:val="20"/>
              </w:rPr>
              <w:t xml:space="preserve"> $ 1,406.40</w:t>
            </w:r>
            <w:r w:rsidRPr="00652235">
              <w:rPr>
                <w:rFonts w:ascii="Arial Narrow" w:eastAsiaTheme="minorHAnsi" w:hAnsi="Arial Narrow" w:cs="Calibri"/>
                <w:i/>
                <w:sz w:val="20"/>
                <w:vertAlign w:val="superscript"/>
              </w:rPr>
              <w:t xml:space="preserve">e </w:t>
            </w:r>
          </w:p>
        </w:tc>
        <w:tc>
          <w:tcPr>
            <w:tcW w:w="1209" w:type="dxa"/>
            <w:tcBorders>
              <w:top w:val="nil"/>
              <w:left w:val="nil"/>
              <w:bottom w:val="nil"/>
              <w:right w:val="single" w:sz="8" w:space="0" w:color="auto"/>
            </w:tcBorders>
            <w:shd w:val="clear" w:color="auto" w:fill="auto"/>
            <w:vAlign w:val="center"/>
          </w:tcPr>
          <w:p w14:paraId="28160ED8" w14:textId="77777777" w:rsidR="00652235" w:rsidRPr="00652235" w:rsidRDefault="00652235" w:rsidP="00F11AFE">
            <w:pPr>
              <w:jc w:val="right"/>
              <w:rPr>
                <w:rFonts w:ascii="Arial Narrow" w:eastAsiaTheme="minorHAnsi" w:hAnsi="Arial Narrow" w:cs="Calibri"/>
                <w:sz w:val="20"/>
              </w:rPr>
            </w:pPr>
            <w:r w:rsidRPr="00652235">
              <w:rPr>
                <w:rFonts w:ascii="Arial Narrow" w:eastAsiaTheme="minorHAnsi" w:hAnsi="Arial Narrow" w:cs="Calibri"/>
                <w:sz w:val="20"/>
              </w:rPr>
              <w:t xml:space="preserve"> $   -   </w:t>
            </w:r>
          </w:p>
        </w:tc>
      </w:tr>
      <w:tr w:rsidR="00652235" w:rsidRPr="00652235" w14:paraId="2766A0F1" w14:textId="77777777" w:rsidTr="00F11AFE">
        <w:tc>
          <w:tcPr>
            <w:tcW w:w="2972" w:type="dxa"/>
            <w:tcBorders>
              <w:top w:val="nil"/>
              <w:bottom w:val="nil"/>
            </w:tcBorders>
          </w:tcPr>
          <w:p w14:paraId="626EF609" w14:textId="77777777" w:rsidR="00652235" w:rsidRPr="00652235" w:rsidRDefault="00652235" w:rsidP="00D70B59">
            <w:pPr>
              <w:numPr>
                <w:ilvl w:val="0"/>
                <w:numId w:val="7"/>
              </w:numPr>
              <w:ind w:left="164" w:hanging="142"/>
              <w:rPr>
                <w:rFonts w:ascii="Arial Narrow" w:hAnsi="Arial Narrow" w:cs="Tahoma"/>
                <w:sz w:val="20"/>
              </w:rPr>
            </w:pPr>
            <w:r w:rsidRPr="00652235">
              <w:rPr>
                <w:rFonts w:ascii="Arial Narrow" w:hAnsi="Arial Narrow" w:cs="Tahoma"/>
                <w:sz w:val="20"/>
              </w:rPr>
              <w:t>Prostheses/consumables costs</w:t>
            </w:r>
          </w:p>
        </w:tc>
        <w:tc>
          <w:tcPr>
            <w:tcW w:w="1208" w:type="dxa"/>
            <w:tcBorders>
              <w:top w:val="nil"/>
              <w:left w:val="single" w:sz="8" w:space="0" w:color="auto"/>
              <w:bottom w:val="nil"/>
              <w:right w:val="single" w:sz="8" w:space="0" w:color="auto"/>
            </w:tcBorders>
            <w:shd w:val="clear" w:color="auto" w:fill="auto"/>
            <w:vAlign w:val="center"/>
          </w:tcPr>
          <w:p w14:paraId="55E1A9FC" w14:textId="77777777" w:rsidR="00652235" w:rsidRPr="00652235" w:rsidRDefault="00652235" w:rsidP="00F11AFE">
            <w:pPr>
              <w:jc w:val="right"/>
              <w:rPr>
                <w:rFonts w:ascii="Arial Narrow" w:eastAsiaTheme="minorHAnsi" w:hAnsi="Arial Narrow" w:cs="Calibri"/>
                <w:i/>
                <w:sz w:val="20"/>
              </w:rPr>
            </w:pPr>
            <w:r w:rsidRPr="00652235">
              <w:rPr>
                <w:rFonts w:ascii="Arial Narrow" w:eastAsiaTheme="minorHAnsi" w:hAnsi="Arial Narrow" w:cs="Calibri"/>
                <w:i/>
                <w:sz w:val="20"/>
              </w:rPr>
              <w:t xml:space="preserve"> $ 3,346.40</w:t>
            </w:r>
            <w:r w:rsidRPr="00652235">
              <w:rPr>
                <w:rFonts w:ascii="Arial Narrow" w:eastAsiaTheme="minorHAnsi" w:hAnsi="Arial Narrow" w:cs="Calibri"/>
                <w:i/>
                <w:sz w:val="20"/>
                <w:vertAlign w:val="superscript"/>
              </w:rPr>
              <w:t xml:space="preserve">a </w:t>
            </w:r>
          </w:p>
        </w:tc>
        <w:tc>
          <w:tcPr>
            <w:tcW w:w="1209" w:type="dxa"/>
            <w:tcBorders>
              <w:top w:val="nil"/>
              <w:left w:val="nil"/>
              <w:bottom w:val="nil"/>
              <w:right w:val="single" w:sz="8" w:space="0" w:color="auto"/>
            </w:tcBorders>
            <w:shd w:val="clear" w:color="auto" w:fill="auto"/>
            <w:vAlign w:val="center"/>
          </w:tcPr>
          <w:p w14:paraId="4D4305E8" w14:textId="40FF4000" w:rsidR="00652235" w:rsidRPr="00652235" w:rsidRDefault="00652235" w:rsidP="00250EF2">
            <w:pPr>
              <w:jc w:val="right"/>
              <w:rPr>
                <w:rFonts w:ascii="Arial Narrow" w:eastAsiaTheme="minorHAnsi" w:hAnsi="Arial Narrow" w:cs="Calibri"/>
                <w:i/>
                <w:sz w:val="20"/>
              </w:rPr>
            </w:pPr>
            <w:r w:rsidRPr="00652235">
              <w:rPr>
                <w:rFonts w:ascii="Arial Narrow" w:eastAsiaTheme="minorHAnsi" w:hAnsi="Arial Narrow" w:cs="Calibri"/>
                <w:sz w:val="20"/>
              </w:rPr>
              <w:t xml:space="preserve"> </w:t>
            </w:r>
            <w:r w:rsidRPr="00652235">
              <w:rPr>
                <w:rFonts w:ascii="Arial Narrow" w:eastAsiaTheme="minorHAnsi" w:hAnsi="Arial Narrow" w:cs="Calibri"/>
                <w:i/>
                <w:sz w:val="20"/>
              </w:rPr>
              <w:t>$ 412.45</w:t>
            </w:r>
            <w:r w:rsidRPr="00652235">
              <w:rPr>
                <w:rFonts w:ascii="Arial Narrow" w:eastAsiaTheme="minorHAnsi" w:hAnsi="Arial Narrow" w:cs="Calibri"/>
                <w:i/>
                <w:sz w:val="20"/>
                <w:vertAlign w:val="superscript"/>
              </w:rPr>
              <w:t>c</w:t>
            </w:r>
            <w:r w:rsidRPr="00652235">
              <w:rPr>
                <w:rFonts w:ascii="Arial Narrow" w:eastAsiaTheme="minorHAnsi" w:hAnsi="Arial Narrow" w:cs="Calibri"/>
                <w:i/>
                <w:sz w:val="20"/>
              </w:rPr>
              <w:t xml:space="preserve"> </w:t>
            </w:r>
          </w:p>
        </w:tc>
        <w:tc>
          <w:tcPr>
            <w:tcW w:w="1209" w:type="dxa"/>
            <w:tcBorders>
              <w:top w:val="nil"/>
              <w:left w:val="nil"/>
              <w:bottom w:val="nil"/>
              <w:right w:val="single" w:sz="8" w:space="0" w:color="auto"/>
            </w:tcBorders>
            <w:shd w:val="clear" w:color="auto" w:fill="auto"/>
            <w:vAlign w:val="center"/>
          </w:tcPr>
          <w:p w14:paraId="1F467B90" w14:textId="77777777" w:rsidR="00652235" w:rsidRPr="00652235" w:rsidRDefault="00652235" w:rsidP="00F11AFE">
            <w:pPr>
              <w:jc w:val="right"/>
              <w:rPr>
                <w:rFonts w:ascii="Arial Narrow" w:eastAsiaTheme="minorHAnsi" w:hAnsi="Arial Narrow" w:cs="Calibri"/>
                <w:sz w:val="20"/>
              </w:rPr>
            </w:pPr>
            <w:r w:rsidRPr="00652235">
              <w:rPr>
                <w:rFonts w:ascii="Arial Narrow" w:eastAsiaTheme="minorHAnsi" w:hAnsi="Arial Narrow" w:cs="Calibri"/>
                <w:sz w:val="20"/>
              </w:rPr>
              <w:t>$2,933.95</w:t>
            </w:r>
          </w:p>
        </w:tc>
        <w:tc>
          <w:tcPr>
            <w:tcW w:w="1209" w:type="dxa"/>
            <w:tcBorders>
              <w:top w:val="nil"/>
              <w:left w:val="nil"/>
              <w:bottom w:val="nil"/>
              <w:right w:val="single" w:sz="8" w:space="0" w:color="auto"/>
            </w:tcBorders>
            <w:shd w:val="clear" w:color="auto" w:fill="auto"/>
            <w:vAlign w:val="center"/>
          </w:tcPr>
          <w:p w14:paraId="6DFEF477" w14:textId="77777777" w:rsidR="00652235" w:rsidRPr="00652235" w:rsidRDefault="00652235" w:rsidP="00F11AFE">
            <w:pPr>
              <w:jc w:val="right"/>
              <w:rPr>
                <w:rFonts w:ascii="Arial Narrow" w:eastAsiaTheme="minorHAnsi" w:hAnsi="Arial Narrow" w:cs="Calibri"/>
                <w:sz w:val="20"/>
              </w:rPr>
            </w:pPr>
            <w:r w:rsidRPr="00652235">
              <w:rPr>
                <w:rFonts w:ascii="Arial Narrow" w:eastAsiaTheme="minorHAnsi" w:hAnsi="Arial Narrow" w:cs="Calibri"/>
                <w:sz w:val="20"/>
              </w:rPr>
              <w:t xml:space="preserve"> </w:t>
            </w:r>
            <w:proofErr w:type="gramStart"/>
            <w:r w:rsidRPr="00652235">
              <w:rPr>
                <w:rFonts w:ascii="Arial Narrow" w:eastAsiaTheme="minorHAnsi" w:hAnsi="Arial Narrow" w:cs="Calibri"/>
                <w:sz w:val="20"/>
              </w:rPr>
              <w:t>$  1,242.00</w:t>
            </w:r>
            <w:proofErr w:type="gramEnd"/>
            <w:r w:rsidRPr="00652235">
              <w:rPr>
                <w:rFonts w:ascii="Arial Narrow" w:eastAsiaTheme="minorHAnsi" w:hAnsi="Arial Narrow" w:cs="Calibri"/>
                <w:sz w:val="20"/>
              </w:rPr>
              <w:t xml:space="preserve"> </w:t>
            </w:r>
          </w:p>
        </w:tc>
        <w:tc>
          <w:tcPr>
            <w:tcW w:w="1209" w:type="dxa"/>
            <w:tcBorders>
              <w:top w:val="nil"/>
              <w:left w:val="nil"/>
              <w:bottom w:val="nil"/>
              <w:right w:val="single" w:sz="8" w:space="0" w:color="auto"/>
            </w:tcBorders>
            <w:shd w:val="clear" w:color="auto" w:fill="auto"/>
            <w:vAlign w:val="center"/>
          </w:tcPr>
          <w:p w14:paraId="68F55910" w14:textId="77777777" w:rsidR="00652235" w:rsidRPr="00652235" w:rsidRDefault="00652235" w:rsidP="00F11AFE">
            <w:pPr>
              <w:jc w:val="right"/>
              <w:rPr>
                <w:rFonts w:ascii="Arial Narrow" w:eastAsiaTheme="minorHAnsi" w:hAnsi="Arial Narrow" w:cs="Calibri"/>
                <w:sz w:val="20"/>
              </w:rPr>
            </w:pPr>
            <w:r w:rsidRPr="00652235">
              <w:rPr>
                <w:rFonts w:ascii="Arial Narrow" w:eastAsiaTheme="minorHAnsi" w:hAnsi="Arial Narrow" w:cs="Calibri"/>
                <w:sz w:val="20"/>
              </w:rPr>
              <w:t xml:space="preserve"> </w:t>
            </w:r>
            <w:proofErr w:type="gramStart"/>
            <w:r w:rsidRPr="00652235">
              <w:rPr>
                <w:rFonts w:ascii="Arial Narrow" w:eastAsiaTheme="minorHAnsi" w:hAnsi="Arial Narrow" w:cs="Calibri"/>
                <w:sz w:val="20"/>
              </w:rPr>
              <w:t>$  2,104.40</w:t>
            </w:r>
            <w:proofErr w:type="gramEnd"/>
            <w:r w:rsidRPr="00652235">
              <w:rPr>
                <w:rFonts w:ascii="Arial Narrow" w:eastAsiaTheme="minorHAnsi" w:hAnsi="Arial Narrow" w:cs="Calibri"/>
                <w:sz w:val="20"/>
              </w:rPr>
              <w:t xml:space="preserve"> </w:t>
            </w:r>
          </w:p>
        </w:tc>
      </w:tr>
      <w:tr w:rsidR="00652235" w:rsidRPr="00652235" w14:paraId="65C4AF91" w14:textId="77777777" w:rsidTr="00F11AFE">
        <w:tc>
          <w:tcPr>
            <w:tcW w:w="2972" w:type="dxa"/>
            <w:tcBorders>
              <w:top w:val="nil"/>
              <w:bottom w:val="nil"/>
            </w:tcBorders>
          </w:tcPr>
          <w:p w14:paraId="27390722" w14:textId="77777777" w:rsidR="00652235" w:rsidRPr="00652235" w:rsidRDefault="00652235" w:rsidP="00D70B59">
            <w:pPr>
              <w:numPr>
                <w:ilvl w:val="0"/>
                <w:numId w:val="7"/>
              </w:numPr>
              <w:ind w:left="164" w:hanging="142"/>
              <w:rPr>
                <w:rFonts w:ascii="Arial Narrow" w:hAnsi="Arial Narrow" w:cs="Tahoma"/>
                <w:sz w:val="20"/>
              </w:rPr>
            </w:pPr>
            <w:r w:rsidRPr="00652235">
              <w:rPr>
                <w:rFonts w:ascii="Arial Narrow" w:hAnsi="Arial Narrow" w:cs="Tahoma"/>
                <w:sz w:val="20"/>
              </w:rPr>
              <w:t>Capital and maintenance costs</w:t>
            </w:r>
          </w:p>
        </w:tc>
        <w:tc>
          <w:tcPr>
            <w:tcW w:w="1208" w:type="dxa"/>
            <w:tcBorders>
              <w:top w:val="nil"/>
              <w:left w:val="single" w:sz="8" w:space="0" w:color="auto"/>
              <w:bottom w:val="nil"/>
              <w:right w:val="single" w:sz="8" w:space="0" w:color="auto"/>
            </w:tcBorders>
            <w:shd w:val="clear" w:color="auto" w:fill="auto"/>
            <w:vAlign w:val="center"/>
          </w:tcPr>
          <w:p w14:paraId="51D36510" w14:textId="76CAFF8E" w:rsidR="00652235" w:rsidRPr="0025213E" w:rsidRDefault="00652235" w:rsidP="00F11AFE">
            <w:pPr>
              <w:jc w:val="right"/>
              <w:rPr>
                <w:rFonts w:ascii="Arial Narrow" w:eastAsiaTheme="minorHAnsi" w:hAnsi="Arial Narrow" w:cs="Calibri"/>
                <w:sz w:val="20"/>
              </w:rPr>
            </w:pPr>
            <w:r w:rsidRPr="0025213E">
              <w:rPr>
                <w:rFonts w:ascii="Arial Narrow" w:eastAsiaTheme="minorHAnsi" w:hAnsi="Arial Narrow" w:cs="Calibri"/>
                <w:sz w:val="20"/>
              </w:rPr>
              <w:t xml:space="preserve"> $ 172.90 </w:t>
            </w:r>
          </w:p>
        </w:tc>
        <w:tc>
          <w:tcPr>
            <w:tcW w:w="1209" w:type="dxa"/>
            <w:tcBorders>
              <w:top w:val="nil"/>
              <w:left w:val="nil"/>
              <w:bottom w:val="nil"/>
              <w:right w:val="single" w:sz="8" w:space="0" w:color="auto"/>
            </w:tcBorders>
            <w:shd w:val="clear" w:color="auto" w:fill="auto"/>
            <w:vAlign w:val="center"/>
          </w:tcPr>
          <w:p w14:paraId="35D8FC1E" w14:textId="77777777" w:rsidR="00652235" w:rsidRPr="00652235" w:rsidRDefault="00652235" w:rsidP="00F11AFE">
            <w:pPr>
              <w:jc w:val="right"/>
              <w:rPr>
                <w:rFonts w:ascii="Arial Narrow" w:eastAsiaTheme="minorHAnsi" w:hAnsi="Arial Narrow" w:cs="Calibri"/>
                <w:sz w:val="20"/>
              </w:rPr>
            </w:pPr>
            <w:r w:rsidRPr="00652235">
              <w:rPr>
                <w:rFonts w:ascii="Arial Narrow" w:eastAsiaTheme="minorHAnsi" w:hAnsi="Arial Narrow" w:cs="Calibri"/>
                <w:sz w:val="20"/>
              </w:rPr>
              <w:t xml:space="preserve"> $   -   </w:t>
            </w:r>
          </w:p>
        </w:tc>
        <w:tc>
          <w:tcPr>
            <w:tcW w:w="1209" w:type="dxa"/>
            <w:tcBorders>
              <w:top w:val="nil"/>
              <w:left w:val="nil"/>
              <w:bottom w:val="nil"/>
              <w:right w:val="single" w:sz="8" w:space="0" w:color="auto"/>
            </w:tcBorders>
            <w:shd w:val="clear" w:color="auto" w:fill="auto"/>
            <w:vAlign w:val="center"/>
          </w:tcPr>
          <w:p w14:paraId="604CD48D" w14:textId="7243F3C0" w:rsidR="00652235" w:rsidRPr="0025213E" w:rsidRDefault="00652235" w:rsidP="00F11AFE">
            <w:pPr>
              <w:jc w:val="right"/>
              <w:rPr>
                <w:rFonts w:ascii="Arial Narrow" w:eastAsiaTheme="minorHAnsi" w:hAnsi="Arial Narrow" w:cs="Calibri"/>
                <w:sz w:val="20"/>
              </w:rPr>
            </w:pPr>
            <w:r w:rsidRPr="0025213E">
              <w:rPr>
                <w:rFonts w:ascii="Arial Narrow" w:eastAsiaTheme="minorHAnsi" w:hAnsi="Arial Narrow" w:cs="Calibri"/>
                <w:sz w:val="20"/>
              </w:rPr>
              <w:t xml:space="preserve"> </w:t>
            </w:r>
            <w:proofErr w:type="gramStart"/>
            <w:r w:rsidRPr="0025213E">
              <w:rPr>
                <w:rFonts w:ascii="Arial Narrow" w:eastAsiaTheme="minorHAnsi" w:hAnsi="Arial Narrow" w:cs="Calibri"/>
                <w:sz w:val="20"/>
              </w:rPr>
              <w:t>$  172.90</w:t>
            </w:r>
            <w:proofErr w:type="gramEnd"/>
            <w:r w:rsidRPr="0025213E">
              <w:rPr>
                <w:rFonts w:ascii="Arial Narrow" w:eastAsiaTheme="minorHAnsi" w:hAnsi="Arial Narrow" w:cs="Calibri"/>
                <w:sz w:val="20"/>
              </w:rPr>
              <w:t xml:space="preserve"> </w:t>
            </w:r>
          </w:p>
        </w:tc>
        <w:tc>
          <w:tcPr>
            <w:tcW w:w="1209" w:type="dxa"/>
            <w:tcBorders>
              <w:top w:val="nil"/>
              <w:left w:val="nil"/>
              <w:bottom w:val="nil"/>
              <w:right w:val="single" w:sz="8" w:space="0" w:color="auto"/>
            </w:tcBorders>
            <w:shd w:val="clear" w:color="auto" w:fill="auto"/>
            <w:vAlign w:val="center"/>
          </w:tcPr>
          <w:p w14:paraId="7E831443" w14:textId="77777777" w:rsidR="00652235" w:rsidRPr="00652235" w:rsidRDefault="00652235" w:rsidP="00F11AFE">
            <w:pPr>
              <w:jc w:val="right"/>
              <w:rPr>
                <w:rFonts w:ascii="Arial Narrow" w:eastAsiaTheme="minorHAnsi" w:hAnsi="Arial Narrow" w:cs="Calibri"/>
                <w:i/>
                <w:sz w:val="20"/>
              </w:rPr>
            </w:pPr>
            <w:r w:rsidRPr="00652235">
              <w:rPr>
                <w:rFonts w:ascii="Arial Narrow" w:eastAsiaTheme="minorHAnsi" w:hAnsi="Arial Narrow" w:cs="Calibri"/>
                <w:i/>
                <w:sz w:val="20"/>
              </w:rPr>
              <w:t xml:space="preserve"> $   433.15</w:t>
            </w:r>
            <w:r w:rsidRPr="00652235">
              <w:rPr>
                <w:rFonts w:ascii="Arial Narrow" w:eastAsiaTheme="minorHAnsi" w:hAnsi="Arial Narrow" w:cs="Calibri"/>
                <w:i/>
                <w:sz w:val="20"/>
                <w:vertAlign w:val="superscript"/>
              </w:rPr>
              <w:t xml:space="preserve">f </w:t>
            </w:r>
          </w:p>
        </w:tc>
        <w:tc>
          <w:tcPr>
            <w:tcW w:w="1209" w:type="dxa"/>
            <w:tcBorders>
              <w:top w:val="nil"/>
              <w:left w:val="nil"/>
              <w:bottom w:val="nil"/>
              <w:right w:val="single" w:sz="8" w:space="0" w:color="auto"/>
            </w:tcBorders>
            <w:shd w:val="clear" w:color="auto" w:fill="auto"/>
            <w:vAlign w:val="center"/>
          </w:tcPr>
          <w:p w14:paraId="05AD55E4" w14:textId="77777777" w:rsidR="00652235" w:rsidRPr="00652235" w:rsidRDefault="00652235" w:rsidP="00F11AFE">
            <w:pPr>
              <w:jc w:val="right"/>
              <w:rPr>
                <w:rFonts w:ascii="Arial Narrow" w:eastAsiaTheme="minorHAnsi" w:hAnsi="Arial Narrow" w:cs="Calibri"/>
                <w:sz w:val="20"/>
              </w:rPr>
            </w:pPr>
            <w:r w:rsidRPr="00652235">
              <w:rPr>
                <w:rFonts w:ascii="Arial Narrow" w:eastAsiaTheme="minorHAnsi" w:hAnsi="Arial Narrow" w:cs="Calibri"/>
                <w:sz w:val="20"/>
              </w:rPr>
              <w:t>-</w:t>
            </w:r>
            <w:proofErr w:type="gramStart"/>
            <w:r w:rsidRPr="00652235">
              <w:rPr>
                <w:rFonts w:ascii="Arial Narrow" w:eastAsiaTheme="minorHAnsi" w:hAnsi="Arial Narrow" w:cs="Calibri"/>
                <w:sz w:val="20"/>
              </w:rPr>
              <w:t>$  60.25</w:t>
            </w:r>
            <w:proofErr w:type="gramEnd"/>
            <w:r w:rsidRPr="00652235">
              <w:rPr>
                <w:rFonts w:ascii="Arial Narrow" w:eastAsiaTheme="minorHAnsi" w:hAnsi="Arial Narrow" w:cs="Calibri"/>
                <w:sz w:val="20"/>
              </w:rPr>
              <w:t xml:space="preserve"> </w:t>
            </w:r>
          </w:p>
        </w:tc>
      </w:tr>
      <w:tr w:rsidR="00652235" w:rsidRPr="00652235" w14:paraId="7C4116F4" w14:textId="77777777" w:rsidTr="00F11AFE">
        <w:tc>
          <w:tcPr>
            <w:tcW w:w="2972" w:type="dxa"/>
            <w:tcBorders>
              <w:top w:val="nil"/>
              <w:bottom w:val="nil"/>
            </w:tcBorders>
          </w:tcPr>
          <w:p w14:paraId="4590402B" w14:textId="77777777" w:rsidR="00652235" w:rsidRPr="00652235" w:rsidRDefault="00652235" w:rsidP="00D70B59">
            <w:pPr>
              <w:numPr>
                <w:ilvl w:val="0"/>
                <w:numId w:val="7"/>
              </w:numPr>
              <w:ind w:left="164" w:hanging="142"/>
              <w:rPr>
                <w:rFonts w:ascii="Arial Narrow" w:hAnsi="Arial Narrow" w:cs="Tahoma"/>
                <w:sz w:val="20"/>
              </w:rPr>
            </w:pPr>
            <w:r w:rsidRPr="00652235">
              <w:rPr>
                <w:rFonts w:ascii="Arial Narrow" w:hAnsi="Arial Narrow" w:cs="Tahoma"/>
                <w:sz w:val="20"/>
              </w:rPr>
              <w:t>Reintervention costs</w:t>
            </w:r>
          </w:p>
        </w:tc>
        <w:tc>
          <w:tcPr>
            <w:tcW w:w="1208" w:type="dxa"/>
            <w:tcBorders>
              <w:top w:val="nil"/>
              <w:left w:val="single" w:sz="8" w:space="0" w:color="auto"/>
              <w:bottom w:val="nil"/>
              <w:right w:val="single" w:sz="8" w:space="0" w:color="auto"/>
            </w:tcBorders>
            <w:shd w:val="clear" w:color="auto" w:fill="auto"/>
            <w:vAlign w:val="center"/>
          </w:tcPr>
          <w:p w14:paraId="49FA7A14" w14:textId="77777777" w:rsidR="00652235" w:rsidRPr="00652235" w:rsidRDefault="00652235" w:rsidP="00F11AFE">
            <w:pPr>
              <w:jc w:val="right"/>
              <w:rPr>
                <w:rFonts w:ascii="Arial Narrow" w:eastAsiaTheme="minorHAnsi" w:hAnsi="Arial Narrow" w:cs="Calibri"/>
                <w:i/>
                <w:sz w:val="20"/>
              </w:rPr>
            </w:pPr>
            <w:r w:rsidRPr="00652235">
              <w:rPr>
                <w:rFonts w:ascii="Arial Narrow" w:eastAsiaTheme="minorHAnsi" w:hAnsi="Arial Narrow" w:cs="Calibri"/>
                <w:i/>
                <w:sz w:val="20"/>
              </w:rPr>
              <w:t xml:space="preserve"> </w:t>
            </w:r>
            <w:proofErr w:type="gramStart"/>
            <w:r w:rsidRPr="00652235">
              <w:rPr>
                <w:rFonts w:ascii="Arial Narrow" w:eastAsiaTheme="minorHAnsi" w:hAnsi="Arial Narrow" w:cs="Calibri"/>
                <w:i/>
                <w:sz w:val="20"/>
              </w:rPr>
              <w:t>$  445.65</w:t>
            </w:r>
            <w:r w:rsidRPr="00652235">
              <w:rPr>
                <w:rFonts w:ascii="Arial Narrow" w:eastAsiaTheme="minorHAnsi" w:hAnsi="Arial Narrow" w:cs="Calibri"/>
                <w:i/>
                <w:sz w:val="20"/>
                <w:vertAlign w:val="superscript"/>
              </w:rPr>
              <w:t>b</w:t>
            </w:r>
            <w:proofErr w:type="gramEnd"/>
            <w:r w:rsidRPr="00652235">
              <w:rPr>
                <w:rFonts w:ascii="Arial Narrow" w:eastAsiaTheme="minorHAnsi" w:hAnsi="Arial Narrow" w:cs="Calibri"/>
                <w:i/>
                <w:sz w:val="20"/>
              </w:rPr>
              <w:t xml:space="preserve"> </w:t>
            </w:r>
          </w:p>
        </w:tc>
        <w:tc>
          <w:tcPr>
            <w:tcW w:w="1209" w:type="dxa"/>
            <w:tcBorders>
              <w:top w:val="nil"/>
              <w:left w:val="nil"/>
              <w:bottom w:val="nil"/>
              <w:right w:val="single" w:sz="8" w:space="0" w:color="auto"/>
            </w:tcBorders>
            <w:shd w:val="clear" w:color="auto" w:fill="auto"/>
            <w:vAlign w:val="center"/>
          </w:tcPr>
          <w:p w14:paraId="292A1D8B" w14:textId="77777777" w:rsidR="00652235" w:rsidRPr="00652235" w:rsidRDefault="00652235" w:rsidP="00F11AFE">
            <w:pPr>
              <w:jc w:val="right"/>
              <w:rPr>
                <w:rFonts w:ascii="Arial Narrow" w:eastAsiaTheme="minorHAnsi" w:hAnsi="Arial Narrow" w:cs="Calibri"/>
                <w:sz w:val="20"/>
              </w:rPr>
            </w:pPr>
            <w:r w:rsidRPr="00652235">
              <w:rPr>
                <w:rFonts w:ascii="Arial Narrow" w:eastAsiaTheme="minorHAnsi" w:hAnsi="Arial Narrow" w:cs="Calibri"/>
                <w:sz w:val="20"/>
              </w:rPr>
              <w:t xml:space="preserve"> $   -   </w:t>
            </w:r>
          </w:p>
        </w:tc>
        <w:tc>
          <w:tcPr>
            <w:tcW w:w="1209" w:type="dxa"/>
            <w:tcBorders>
              <w:top w:val="nil"/>
              <w:left w:val="nil"/>
              <w:bottom w:val="nil"/>
              <w:right w:val="single" w:sz="8" w:space="0" w:color="auto"/>
            </w:tcBorders>
            <w:shd w:val="clear" w:color="auto" w:fill="auto"/>
            <w:vAlign w:val="center"/>
          </w:tcPr>
          <w:p w14:paraId="4FBC33E3" w14:textId="77777777" w:rsidR="00652235" w:rsidRPr="00652235" w:rsidRDefault="00652235" w:rsidP="00F11AFE">
            <w:pPr>
              <w:jc w:val="right"/>
              <w:rPr>
                <w:rFonts w:ascii="Arial Narrow" w:eastAsiaTheme="minorHAnsi" w:hAnsi="Arial Narrow" w:cs="Calibri"/>
                <w:sz w:val="20"/>
              </w:rPr>
            </w:pPr>
            <w:r w:rsidRPr="00652235">
              <w:rPr>
                <w:rFonts w:ascii="Arial Narrow" w:eastAsiaTheme="minorHAnsi" w:hAnsi="Arial Narrow" w:cs="Calibri"/>
                <w:sz w:val="20"/>
              </w:rPr>
              <w:t xml:space="preserve"> </w:t>
            </w:r>
            <w:proofErr w:type="gramStart"/>
            <w:r w:rsidRPr="00652235">
              <w:rPr>
                <w:rFonts w:ascii="Arial Narrow" w:eastAsiaTheme="minorHAnsi" w:hAnsi="Arial Narrow" w:cs="Calibri"/>
                <w:sz w:val="20"/>
              </w:rPr>
              <w:t>$  445.65</w:t>
            </w:r>
            <w:proofErr w:type="gramEnd"/>
            <w:r w:rsidRPr="00652235">
              <w:rPr>
                <w:rFonts w:ascii="Arial Narrow" w:eastAsiaTheme="minorHAnsi" w:hAnsi="Arial Narrow" w:cs="Calibri"/>
                <w:sz w:val="20"/>
              </w:rPr>
              <w:t xml:space="preserve"> </w:t>
            </w:r>
          </w:p>
        </w:tc>
        <w:tc>
          <w:tcPr>
            <w:tcW w:w="1209" w:type="dxa"/>
            <w:tcBorders>
              <w:top w:val="nil"/>
              <w:left w:val="nil"/>
              <w:bottom w:val="nil"/>
              <w:right w:val="single" w:sz="8" w:space="0" w:color="auto"/>
            </w:tcBorders>
            <w:shd w:val="clear" w:color="auto" w:fill="auto"/>
            <w:vAlign w:val="center"/>
          </w:tcPr>
          <w:p w14:paraId="021F75DE" w14:textId="02A3D72C" w:rsidR="00652235" w:rsidRPr="00652235" w:rsidRDefault="00652235" w:rsidP="00250EF2">
            <w:pPr>
              <w:jc w:val="right"/>
              <w:rPr>
                <w:rFonts w:ascii="Arial Narrow" w:eastAsiaTheme="minorHAnsi" w:hAnsi="Arial Narrow" w:cs="Calibri"/>
                <w:sz w:val="20"/>
              </w:rPr>
            </w:pPr>
            <w:r w:rsidRPr="00652235">
              <w:rPr>
                <w:rFonts w:ascii="Arial Narrow" w:eastAsiaTheme="minorHAnsi" w:hAnsi="Arial Narrow" w:cs="Calibri"/>
                <w:sz w:val="20"/>
              </w:rPr>
              <w:t xml:space="preserve"> $</w:t>
            </w:r>
            <w:r w:rsidR="00250EF2">
              <w:rPr>
                <w:rFonts w:ascii="Arial Narrow" w:eastAsiaTheme="minorHAnsi" w:hAnsi="Arial Narrow" w:cs="Calibri"/>
                <w:sz w:val="20"/>
              </w:rPr>
              <w:t xml:space="preserve"> </w:t>
            </w:r>
            <w:r w:rsidRPr="00652235">
              <w:rPr>
                <w:rFonts w:ascii="Arial Narrow" w:eastAsiaTheme="minorHAnsi" w:hAnsi="Arial Narrow" w:cs="Calibri"/>
                <w:sz w:val="20"/>
              </w:rPr>
              <w:t xml:space="preserve">-   </w:t>
            </w:r>
          </w:p>
        </w:tc>
        <w:tc>
          <w:tcPr>
            <w:tcW w:w="1209" w:type="dxa"/>
            <w:tcBorders>
              <w:top w:val="nil"/>
              <w:left w:val="nil"/>
              <w:bottom w:val="nil"/>
              <w:right w:val="single" w:sz="8" w:space="0" w:color="auto"/>
            </w:tcBorders>
            <w:shd w:val="clear" w:color="auto" w:fill="auto"/>
            <w:vAlign w:val="center"/>
          </w:tcPr>
          <w:p w14:paraId="0BF9766E" w14:textId="77777777" w:rsidR="00652235" w:rsidRPr="00652235" w:rsidRDefault="00652235" w:rsidP="00F11AFE">
            <w:pPr>
              <w:jc w:val="right"/>
              <w:rPr>
                <w:rFonts w:ascii="Arial Narrow" w:eastAsiaTheme="minorHAnsi" w:hAnsi="Arial Narrow" w:cs="Calibri"/>
                <w:sz w:val="20"/>
              </w:rPr>
            </w:pPr>
            <w:r w:rsidRPr="00652235">
              <w:rPr>
                <w:rFonts w:ascii="Arial Narrow" w:eastAsiaTheme="minorHAnsi" w:hAnsi="Arial Narrow" w:cs="Calibri"/>
                <w:sz w:val="20"/>
              </w:rPr>
              <w:t xml:space="preserve"> </w:t>
            </w:r>
            <w:proofErr w:type="gramStart"/>
            <w:r w:rsidRPr="00652235">
              <w:rPr>
                <w:rFonts w:ascii="Arial Narrow" w:eastAsiaTheme="minorHAnsi" w:hAnsi="Arial Narrow" w:cs="Calibri"/>
                <w:sz w:val="20"/>
              </w:rPr>
              <w:t>$  445.65</w:t>
            </w:r>
            <w:proofErr w:type="gramEnd"/>
            <w:r w:rsidRPr="00652235">
              <w:rPr>
                <w:rFonts w:ascii="Arial Narrow" w:eastAsiaTheme="minorHAnsi" w:hAnsi="Arial Narrow" w:cs="Calibri"/>
                <w:sz w:val="20"/>
              </w:rPr>
              <w:t xml:space="preserve"> </w:t>
            </w:r>
          </w:p>
        </w:tc>
      </w:tr>
      <w:tr w:rsidR="00652235" w:rsidRPr="00652235" w14:paraId="6358A4F3" w14:textId="77777777" w:rsidTr="00F11AFE">
        <w:tc>
          <w:tcPr>
            <w:tcW w:w="2972" w:type="dxa"/>
            <w:tcBorders>
              <w:top w:val="nil"/>
              <w:bottom w:val="single" w:sz="4" w:space="0" w:color="auto"/>
            </w:tcBorders>
          </w:tcPr>
          <w:p w14:paraId="681A79ED" w14:textId="77777777" w:rsidR="00652235" w:rsidRPr="00652235" w:rsidRDefault="00652235" w:rsidP="00F11AFE">
            <w:pPr>
              <w:rPr>
                <w:rFonts w:ascii="Arial Narrow" w:hAnsi="Arial Narrow" w:cs="Tahoma"/>
                <w:b/>
                <w:sz w:val="20"/>
              </w:rPr>
            </w:pPr>
            <w:r w:rsidRPr="00652235">
              <w:rPr>
                <w:rFonts w:ascii="Arial Narrow" w:hAnsi="Arial Narrow" w:cs="Tahoma"/>
                <w:b/>
                <w:sz w:val="20"/>
              </w:rPr>
              <w:t>Subtotal</w:t>
            </w:r>
          </w:p>
        </w:tc>
        <w:tc>
          <w:tcPr>
            <w:tcW w:w="1208" w:type="dxa"/>
            <w:tcBorders>
              <w:top w:val="nil"/>
              <w:left w:val="single" w:sz="8" w:space="0" w:color="auto"/>
              <w:bottom w:val="single" w:sz="4" w:space="0" w:color="auto"/>
              <w:right w:val="single" w:sz="8" w:space="0" w:color="auto"/>
            </w:tcBorders>
            <w:shd w:val="clear" w:color="auto" w:fill="auto"/>
            <w:vAlign w:val="center"/>
          </w:tcPr>
          <w:p w14:paraId="5AC46E5C" w14:textId="77777777" w:rsidR="00652235" w:rsidRPr="00652235" w:rsidRDefault="00652235" w:rsidP="00F11AFE">
            <w:pPr>
              <w:jc w:val="right"/>
              <w:rPr>
                <w:rFonts w:ascii="Arial Narrow" w:eastAsiaTheme="minorHAnsi" w:hAnsi="Arial Narrow" w:cs="Calibri"/>
                <w:b/>
                <w:bCs/>
                <w:color w:val="000000"/>
                <w:sz w:val="20"/>
              </w:rPr>
            </w:pPr>
            <w:r w:rsidRPr="00652235">
              <w:rPr>
                <w:rFonts w:ascii="Arial Narrow" w:eastAsiaTheme="minorHAnsi" w:hAnsi="Arial Narrow" w:cs="Calibri"/>
                <w:b/>
                <w:bCs/>
                <w:color w:val="000000"/>
                <w:sz w:val="20"/>
              </w:rPr>
              <w:t xml:space="preserve"> </w:t>
            </w:r>
            <w:proofErr w:type="gramStart"/>
            <w:r w:rsidRPr="00652235">
              <w:rPr>
                <w:rFonts w:ascii="Arial Narrow" w:eastAsiaTheme="minorHAnsi" w:hAnsi="Arial Narrow" w:cs="Calibri"/>
                <w:b/>
                <w:bCs/>
                <w:color w:val="000000"/>
                <w:sz w:val="20"/>
              </w:rPr>
              <w:t>$  6,635.30</w:t>
            </w:r>
            <w:proofErr w:type="gramEnd"/>
            <w:r w:rsidRPr="00652235">
              <w:rPr>
                <w:rFonts w:ascii="Arial Narrow" w:eastAsiaTheme="minorHAnsi" w:hAnsi="Arial Narrow" w:cs="Calibri"/>
                <w:b/>
                <w:bCs/>
                <w:color w:val="000000"/>
                <w:sz w:val="20"/>
              </w:rPr>
              <w:t xml:space="preserve"> </w:t>
            </w:r>
          </w:p>
        </w:tc>
        <w:tc>
          <w:tcPr>
            <w:tcW w:w="1209" w:type="dxa"/>
            <w:tcBorders>
              <w:top w:val="nil"/>
              <w:left w:val="nil"/>
              <w:bottom w:val="single" w:sz="4" w:space="0" w:color="auto"/>
              <w:right w:val="single" w:sz="8" w:space="0" w:color="auto"/>
            </w:tcBorders>
            <w:shd w:val="clear" w:color="auto" w:fill="auto"/>
            <w:vAlign w:val="center"/>
          </w:tcPr>
          <w:p w14:paraId="3CCAA387" w14:textId="77777777" w:rsidR="00652235" w:rsidRPr="00652235" w:rsidRDefault="00652235" w:rsidP="00F11AFE">
            <w:pPr>
              <w:jc w:val="right"/>
              <w:rPr>
                <w:rFonts w:ascii="Arial Narrow" w:eastAsiaTheme="minorHAnsi" w:hAnsi="Arial Narrow" w:cs="Calibri"/>
                <w:b/>
                <w:bCs/>
                <w:color w:val="000000"/>
                <w:sz w:val="20"/>
              </w:rPr>
            </w:pPr>
            <w:r w:rsidRPr="00652235">
              <w:rPr>
                <w:rFonts w:ascii="Arial Narrow" w:eastAsiaTheme="minorHAnsi" w:hAnsi="Arial Narrow" w:cs="Calibri"/>
                <w:b/>
                <w:bCs/>
                <w:color w:val="000000"/>
                <w:sz w:val="20"/>
              </w:rPr>
              <w:t>$5,384.25</w:t>
            </w:r>
          </w:p>
        </w:tc>
        <w:tc>
          <w:tcPr>
            <w:tcW w:w="1209" w:type="dxa"/>
            <w:tcBorders>
              <w:top w:val="nil"/>
              <w:left w:val="nil"/>
              <w:bottom w:val="single" w:sz="4" w:space="0" w:color="auto"/>
              <w:right w:val="single" w:sz="8" w:space="0" w:color="auto"/>
            </w:tcBorders>
            <w:shd w:val="clear" w:color="auto" w:fill="auto"/>
            <w:vAlign w:val="center"/>
          </w:tcPr>
          <w:p w14:paraId="44F03F4B" w14:textId="77777777" w:rsidR="00652235" w:rsidRPr="00652235" w:rsidRDefault="00652235" w:rsidP="00F11AFE">
            <w:pPr>
              <w:jc w:val="right"/>
              <w:rPr>
                <w:rFonts w:ascii="Arial Narrow" w:eastAsiaTheme="minorHAnsi" w:hAnsi="Arial Narrow" w:cs="Calibri"/>
                <w:b/>
                <w:bCs/>
                <w:color w:val="000000"/>
                <w:sz w:val="20"/>
              </w:rPr>
            </w:pPr>
            <w:r w:rsidRPr="00652235">
              <w:rPr>
                <w:rFonts w:ascii="Arial Narrow" w:eastAsiaTheme="minorHAnsi" w:hAnsi="Arial Narrow" w:cs="Calibri"/>
                <w:b/>
                <w:bCs/>
                <w:color w:val="000000"/>
                <w:sz w:val="20"/>
              </w:rPr>
              <w:t>$1,251.05</w:t>
            </w:r>
          </w:p>
        </w:tc>
        <w:tc>
          <w:tcPr>
            <w:tcW w:w="1209" w:type="dxa"/>
            <w:tcBorders>
              <w:top w:val="nil"/>
              <w:left w:val="nil"/>
              <w:bottom w:val="single" w:sz="4" w:space="0" w:color="auto"/>
              <w:right w:val="single" w:sz="8" w:space="0" w:color="auto"/>
            </w:tcBorders>
            <w:shd w:val="clear" w:color="auto" w:fill="auto"/>
            <w:vAlign w:val="center"/>
          </w:tcPr>
          <w:p w14:paraId="4FB90480" w14:textId="77777777" w:rsidR="00652235" w:rsidRPr="00652235" w:rsidRDefault="00652235" w:rsidP="00F11AFE">
            <w:pPr>
              <w:jc w:val="right"/>
              <w:rPr>
                <w:rFonts w:ascii="Arial Narrow" w:eastAsiaTheme="minorHAnsi" w:hAnsi="Arial Narrow" w:cs="Calibri"/>
                <w:b/>
                <w:bCs/>
                <w:color w:val="000000"/>
                <w:sz w:val="20"/>
              </w:rPr>
            </w:pPr>
            <w:r w:rsidRPr="00652235">
              <w:rPr>
                <w:rFonts w:ascii="Arial Narrow" w:eastAsiaTheme="minorHAnsi" w:hAnsi="Arial Narrow" w:cs="Calibri"/>
                <w:b/>
                <w:bCs/>
                <w:color w:val="000000"/>
                <w:sz w:val="20"/>
              </w:rPr>
              <w:t xml:space="preserve"> </w:t>
            </w:r>
            <w:proofErr w:type="gramStart"/>
            <w:r w:rsidRPr="00652235">
              <w:rPr>
                <w:rFonts w:ascii="Arial Narrow" w:eastAsiaTheme="minorHAnsi" w:hAnsi="Arial Narrow" w:cs="Calibri"/>
                <w:b/>
                <w:bCs/>
                <w:color w:val="000000"/>
                <w:sz w:val="20"/>
              </w:rPr>
              <w:t>$  4,365.60</w:t>
            </w:r>
            <w:proofErr w:type="gramEnd"/>
            <w:r w:rsidRPr="00652235">
              <w:rPr>
                <w:rFonts w:ascii="Arial Narrow" w:eastAsiaTheme="minorHAnsi" w:hAnsi="Arial Narrow" w:cs="Calibri"/>
                <w:b/>
                <w:bCs/>
                <w:color w:val="000000"/>
                <w:sz w:val="20"/>
              </w:rPr>
              <w:t xml:space="preserve"> </w:t>
            </w:r>
          </w:p>
        </w:tc>
        <w:tc>
          <w:tcPr>
            <w:tcW w:w="1209" w:type="dxa"/>
            <w:tcBorders>
              <w:top w:val="nil"/>
              <w:left w:val="nil"/>
              <w:bottom w:val="single" w:sz="4" w:space="0" w:color="auto"/>
              <w:right w:val="single" w:sz="8" w:space="0" w:color="auto"/>
            </w:tcBorders>
            <w:shd w:val="clear" w:color="auto" w:fill="auto"/>
            <w:vAlign w:val="center"/>
          </w:tcPr>
          <w:p w14:paraId="07EE7DB1" w14:textId="77777777" w:rsidR="00652235" w:rsidRPr="00652235" w:rsidRDefault="00652235" w:rsidP="00F11AFE">
            <w:pPr>
              <w:jc w:val="right"/>
              <w:rPr>
                <w:rFonts w:ascii="Arial Narrow" w:eastAsiaTheme="minorHAnsi" w:hAnsi="Arial Narrow" w:cs="Calibri"/>
                <w:b/>
                <w:bCs/>
                <w:color w:val="000000"/>
                <w:sz w:val="20"/>
              </w:rPr>
            </w:pPr>
            <w:r w:rsidRPr="00652235">
              <w:rPr>
                <w:rFonts w:ascii="Arial Narrow" w:eastAsiaTheme="minorHAnsi" w:hAnsi="Arial Narrow" w:cs="Calibri"/>
                <w:b/>
                <w:bCs/>
                <w:color w:val="000000"/>
                <w:sz w:val="20"/>
              </w:rPr>
              <w:t xml:space="preserve"> </w:t>
            </w:r>
            <w:proofErr w:type="gramStart"/>
            <w:r w:rsidRPr="00652235">
              <w:rPr>
                <w:rFonts w:ascii="Arial Narrow" w:eastAsiaTheme="minorHAnsi" w:hAnsi="Arial Narrow" w:cs="Calibri"/>
                <w:b/>
                <w:bCs/>
                <w:color w:val="000000"/>
                <w:sz w:val="20"/>
              </w:rPr>
              <w:t>$  2,269.70</w:t>
            </w:r>
            <w:proofErr w:type="gramEnd"/>
            <w:r w:rsidRPr="00652235">
              <w:rPr>
                <w:rFonts w:ascii="Arial Narrow" w:eastAsiaTheme="minorHAnsi" w:hAnsi="Arial Narrow" w:cs="Calibri"/>
                <w:b/>
                <w:bCs/>
                <w:color w:val="000000"/>
                <w:sz w:val="20"/>
              </w:rPr>
              <w:t xml:space="preserve"> </w:t>
            </w:r>
          </w:p>
        </w:tc>
      </w:tr>
      <w:tr w:rsidR="00652235" w:rsidRPr="00652235" w14:paraId="1DB78781" w14:textId="77777777" w:rsidTr="00F11AFE">
        <w:tc>
          <w:tcPr>
            <w:tcW w:w="2972" w:type="dxa"/>
            <w:tcBorders>
              <w:top w:val="single" w:sz="4" w:space="0" w:color="auto"/>
              <w:bottom w:val="single" w:sz="4" w:space="0" w:color="auto"/>
              <w:right w:val="single" w:sz="4" w:space="0" w:color="auto"/>
            </w:tcBorders>
          </w:tcPr>
          <w:p w14:paraId="5ABCDA37" w14:textId="77777777" w:rsidR="00652235" w:rsidRPr="00652235" w:rsidRDefault="00652235" w:rsidP="00F11AFE">
            <w:pPr>
              <w:rPr>
                <w:rFonts w:ascii="Arial Narrow" w:hAnsi="Arial Narrow" w:cs="Tahoma"/>
                <w:sz w:val="20"/>
              </w:rPr>
            </w:pPr>
            <w:r w:rsidRPr="00652235">
              <w:rPr>
                <w:rFonts w:ascii="Arial Narrow" w:hAnsi="Arial Narrow" w:cs="Tahoma"/>
                <w:sz w:val="20"/>
              </w:rPr>
              <w:t>Proportion with complications</w:t>
            </w: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14:paraId="1A0C44F4" w14:textId="77777777" w:rsidR="00652235" w:rsidRPr="00652235" w:rsidRDefault="00652235" w:rsidP="00F11AFE">
            <w:pPr>
              <w:jc w:val="right"/>
              <w:rPr>
                <w:rFonts w:ascii="Arial Narrow" w:eastAsiaTheme="minorHAnsi" w:hAnsi="Arial Narrow" w:cs="Calibri"/>
                <w:color w:val="000000"/>
                <w:sz w:val="20"/>
              </w:rPr>
            </w:pPr>
            <w:r w:rsidRPr="00652235">
              <w:rPr>
                <w:rFonts w:ascii="Arial Narrow" w:eastAsiaTheme="minorHAnsi" w:hAnsi="Arial Narrow" w:cs="Calibri"/>
                <w:color w:val="000000"/>
                <w:sz w:val="20"/>
              </w:rPr>
              <w:t>-</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63BDF75D" w14:textId="77777777" w:rsidR="00652235" w:rsidRPr="00652235" w:rsidRDefault="00652235" w:rsidP="00F11AFE">
            <w:pPr>
              <w:jc w:val="right"/>
              <w:rPr>
                <w:rFonts w:ascii="Arial Narrow" w:eastAsiaTheme="minorHAnsi" w:hAnsi="Arial Narrow" w:cs="Calibri"/>
                <w:i/>
                <w:sz w:val="20"/>
              </w:rPr>
            </w:pPr>
            <w:r w:rsidRPr="00652235">
              <w:rPr>
                <w:rFonts w:ascii="Arial Narrow" w:eastAsiaTheme="minorHAnsi" w:hAnsi="Arial Narrow" w:cs="Calibri"/>
                <w:i/>
                <w:sz w:val="20"/>
              </w:rPr>
              <w:t>6%</w:t>
            </w:r>
            <w:r w:rsidRPr="00652235">
              <w:rPr>
                <w:rFonts w:ascii="Arial Narrow" w:eastAsiaTheme="minorHAnsi" w:hAnsi="Arial Narrow" w:cs="Calibri"/>
                <w:i/>
                <w:sz w:val="20"/>
                <w:vertAlign w:val="superscript"/>
              </w:rPr>
              <w:t>d</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9C7A9DE" w14:textId="77777777" w:rsidR="00652235" w:rsidRPr="00652235" w:rsidRDefault="00652235" w:rsidP="00F11AFE">
            <w:pPr>
              <w:jc w:val="right"/>
              <w:rPr>
                <w:rFonts w:ascii="Arial Narrow" w:eastAsiaTheme="minorHAnsi" w:hAnsi="Arial Narrow" w:cs="Calibri"/>
                <w:color w:val="000000"/>
                <w:sz w:val="20"/>
              </w:rPr>
            </w:pPr>
            <w:r w:rsidRPr="00652235">
              <w:rPr>
                <w:rFonts w:ascii="Arial Narrow" w:eastAsiaTheme="minorHAnsi" w:hAnsi="Arial Narrow" w:cs="Calibri"/>
                <w:color w:val="000000"/>
                <w:sz w:val="20"/>
              </w:rPr>
              <w:t> </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4BCC5F86" w14:textId="77777777" w:rsidR="00652235" w:rsidRPr="00652235" w:rsidRDefault="00652235" w:rsidP="00F11AFE">
            <w:pPr>
              <w:jc w:val="right"/>
              <w:rPr>
                <w:rFonts w:ascii="Arial Narrow" w:eastAsiaTheme="minorHAnsi" w:hAnsi="Arial Narrow" w:cs="Calibri"/>
                <w:color w:val="000000"/>
                <w:sz w:val="20"/>
              </w:rPr>
            </w:pPr>
            <w:r w:rsidRPr="00652235">
              <w:rPr>
                <w:rFonts w:ascii="Arial Narrow" w:eastAsiaTheme="minorHAnsi" w:hAnsi="Arial Narrow" w:cs="Calibri"/>
                <w:color w:val="000000"/>
                <w:sz w:val="20"/>
              </w:rPr>
              <w:t>-</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7A796228" w14:textId="77777777" w:rsidR="00652235" w:rsidRPr="00652235" w:rsidRDefault="00652235" w:rsidP="00F11AFE">
            <w:pPr>
              <w:jc w:val="right"/>
              <w:rPr>
                <w:rFonts w:ascii="Arial Narrow" w:eastAsiaTheme="minorHAnsi" w:hAnsi="Arial Narrow" w:cs="Calibri"/>
                <w:color w:val="000000"/>
                <w:sz w:val="20"/>
              </w:rPr>
            </w:pPr>
            <w:r w:rsidRPr="00652235">
              <w:rPr>
                <w:rFonts w:ascii="Arial Narrow" w:eastAsiaTheme="minorHAnsi" w:hAnsi="Arial Narrow" w:cs="Calibri"/>
                <w:color w:val="000000"/>
                <w:sz w:val="20"/>
              </w:rPr>
              <w:t> </w:t>
            </w:r>
          </w:p>
        </w:tc>
      </w:tr>
      <w:tr w:rsidR="00652235" w:rsidRPr="00652235" w14:paraId="77211CAA" w14:textId="77777777" w:rsidTr="00F11AFE">
        <w:tc>
          <w:tcPr>
            <w:tcW w:w="2972" w:type="dxa"/>
            <w:tcBorders>
              <w:top w:val="single" w:sz="4" w:space="0" w:color="auto"/>
              <w:bottom w:val="single" w:sz="4" w:space="0" w:color="auto"/>
              <w:right w:val="single" w:sz="4" w:space="0" w:color="auto"/>
            </w:tcBorders>
          </w:tcPr>
          <w:p w14:paraId="24D613CA" w14:textId="77777777" w:rsidR="00652235" w:rsidRPr="00652235" w:rsidRDefault="00652235" w:rsidP="00F11AFE">
            <w:pPr>
              <w:rPr>
                <w:rFonts w:ascii="Arial Narrow" w:hAnsi="Arial Narrow" w:cs="Tahoma"/>
                <w:sz w:val="20"/>
              </w:rPr>
            </w:pPr>
            <w:r w:rsidRPr="00652235">
              <w:rPr>
                <w:rFonts w:ascii="Arial Narrow" w:hAnsi="Arial Narrow" w:cs="Tahoma"/>
                <w:sz w:val="20"/>
              </w:rPr>
              <w:t>Procedure cost with complications</w:t>
            </w: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14:paraId="43C20180" w14:textId="77777777" w:rsidR="00652235" w:rsidRPr="00652235" w:rsidRDefault="00652235" w:rsidP="00F11AFE">
            <w:pPr>
              <w:jc w:val="right"/>
              <w:rPr>
                <w:rFonts w:ascii="Arial Narrow" w:eastAsiaTheme="minorHAnsi" w:hAnsi="Arial Narrow" w:cs="Calibri"/>
                <w:color w:val="000000"/>
                <w:sz w:val="20"/>
              </w:rPr>
            </w:pPr>
            <w:r w:rsidRPr="00652235">
              <w:rPr>
                <w:rFonts w:ascii="Arial Narrow" w:eastAsiaTheme="minorHAnsi" w:hAnsi="Arial Narrow" w:cs="Calibri"/>
                <w:color w:val="000000"/>
                <w:sz w:val="20"/>
              </w:rPr>
              <w:t>-</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4C07288" w14:textId="77777777" w:rsidR="00652235" w:rsidRPr="00652235" w:rsidRDefault="00652235" w:rsidP="00F11AFE">
            <w:pPr>
              <w:jc w:val="right"/>
              <w:rPr>
                <w:rFonts w:ascii="Arial Narrow" w:eastAsiaTheme="minorHAnsi" w:hAnsi="Arial Narrow" w:cs="Calibri"/>
                <w:i/>
                <w:sz w:val="20"/>
              </w:rPr>
            </w:pPr>
            <w:r w:rsidRPr="00652235">
              <w:rPr>
                <w:rFonts w:ascii="Arial Narrow" w:eastAsiaTheme="minorHAnsi" w:hAnsi="Arial Narrow" w:cs="Calibri"/>
                <w:i/>
                <w:sz w:val="20"/>
              </w:rPr>
              <w:t xml:space="preserve"> $ 10,589.9</w:t>
            </w:r>
            <w:r w:rsidRPr="00652235">
              <w:rPr>
                <w:rFonts w:ascii="Arial Narrow" w:eastAsiaTheme="minorHAnsi" w:hAnsi="Arial Narrow" w:cs="Calibri"/>
                <w:i/>
                <w:sz w:val="20"/>
                <w:vertAlign w:val="superscript"/>
              </w:rPr>
              <w:t>d</w:t>
            </w:r>
            <w:r w:rsidRPr="00652235">
              <w:rPr>
                <w:rFonts w:ascii="Arial Narrow" w:eastAsiaTheme="minorHAnsi" w:hAnsi="Arial Narrow" w:cs="Calibri"/>
                <w:i/>
                <w:sz w:val="20"/>
              </w:rPr>
              <w:t xml:space="preserve"> </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65F67584" w14:textId="77777777" w:rsidR="00652235" w:rsidRPr="00652235" w:rsidRDefault="00652235" w:rsidP="00F11AFE">
            <w:pPr>
              <w:jc w:val="right"/>
              <w:rPr>
                <w:rFonts w:ascii="Arial Narrow" w:eastAsiaTheme="minorHAnsi" w:hAnsi="Arial Narrow" w:cs="Calibri"/>
                <w:color w:val="000000"/>
                <w:sz w:val="20"/>
              </w:rPr>
            </w:pPr>
            <w:r w:rsidRPr="00652235">
              <w:rPr>
                <w:rFonts w:ascii="Arial Narrow" w:eastAsiaTheme="minorHAnsi" w:hAnsi="Arial Narrow" w:cs="Calibri"/>
                <w:color w:val="000000"/>
                <w:sz w:val="20"/>
              </w:rPr>
              <w:t> </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3B0725F1" w14:textId="77777777" w:rsidR="00652235" w:rsidRPr="00652235" w:rsidRDefault="00652235" w:rsidP="00F11AFE">
            <w:pPr>
              <w:jc w:val="right"/>
              <w:rPr>
                <w:rFonts w:ascii="Arial Narrow" w:eastAsiaTheme="minorHAnsi" w:hAnsi="Arial Narrow" w:cs="Calibri"/>
                <w:color w:val="000000"/>
                <w:sz w:val="20"/>
              </w:rPr>
            </w:pPr>
            <w:r w:rsidRPr="00652235">
              <w:rPr>
                <w:rFonts w:ascii="Arial Narrow" w:eastAsiaTheme="minorHAnsi" w:hAnsi="Arial Narrow" w:cs="Calibri"/>
                <w:color w:val="000000"/>
                <w:sz w:val="20"/>
              </w:rPr>
              <w:t>-</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1C4751FD" w14:textId="77777777" w:rsidR="00652235" w:rsidRPr="00652235" w:rsidRDefault="00652235" w:rsidP="00F11AFE">
            <w:pPr>
              <w:jc w:val="right"/>
              <w:rPr>
                <w:rFonts w:ascii="Arial Narrow" w:eastAsiaTheme="minorHAnsi" w:hAnsi="Arial Narrow" w:cs="Calibri"/>
                <w:color w:val="000000"/>
                <w:sz w:val="20"/>
              </w:rPr>
            </w:pPr>
            <w:r w:rsidRPr="00652235">
              <w:rPr>
                <w:rFonts w:ascii="Arial Narrow" w:eastAsiaTheme="minorHAnsi" w:hAnsi="Arial Narrow" w:cs="Calibri"/>
                <w:color w:val="000000"/>
                <w:sz w:val="20"/>
              </w:rPr>
              <w:t> </w:t>
            </w:r>
          </w:p>
        </w:tc>
      </w:tr>
      <w:tr w:rsidR="00652235" w:rsidRPr="00652235" w14:paraId="7A17EB93" w14:textId="77777777" w:rsidTr="00F11AFE">
        <w:tc>
          <w:tcPr>
            <w:tcW w:w="2972" w:type="dxa"/>
            <w:tcBorders>
              <w:top w:val="single" w:sz="4" w:space="0" w:color="auto"/>
              <w:bottom w:val="single" w:sz="4" w:space="0" w:color="auto"/>
              <w:right w:val="single" w:sz="4" w:space="0" w:color="auto"/>
            </w:tcBorders>
          </w:tcPr>
          <w:p w14:paraId="4C55AA15" w14:textId="77777777" w:rsidR="00652235" w:rsidRPr="00652235" w:rsidRDefault="00652235" w:rsidP="00F11AFE">
            <w:pPr>
              <w:rPr>
                <w:rFonts w:ascii="Arial Narrow" w:hAnsi="Arial Narrow" w:cs="Tahoma"/>
                <w:b/>
                <w:sz w:val="20"/>
              </w:rPr>
            </w:pPr>
            <w:r w:rsidRPr="00652235">
              <w:rPr>
                <w:rFonts w:ascii="Arial Narrow" w:hAnsi="Arial Narrow" w:cs="Tahoma"/>
                <w:b/>
                <w:sz w:val="20"/>
              </w:rPr>
              <w:t>Total</w:t>
            </w:r>
          </w:p>
        </w:tc>
        <w:tc>
          <w:tcPr>
            <w:tcW w:w="1208" w:type="dxa"/>
            <w:tcBorders>
              <w:top w:val="single" w:sz="4" w:space="0" w:color="auto"/>
              <w:left w:val="single" w:sz="4" w:space="0" w:color="auto"/>
              <w:bottom w:val="single" w:sz="4" w:space="0" w:color="auto"/>
              <w:right w:val="single" w:sz="4" w:space="0" w:color="auto"/>
            </w:tcBorders>
            <w:shd w:val="clear" w:color="auto" w:fill="auto"/>
            <w:vAlign w:val="bottom"/>
          </w:tcPr>
          <w:p w14:paraId="0D6AB914" w14:textId="77777777" w:rsidR="00652235" w:rsidRPr="00652235" w:rsidRDefault="00652235" w:rsidP="00250EF2">
            <w:pPr>
              <w:jc w:val="right"/>
              <w:rPr>
                <w:rFonts w:ascii="Arial Narrow" w:eastAsiaTheme="minorHAnsi" w:hAnsi="Arial Narrow" w:cs="Calibri"/>
                <w:color w:val="000000"/>
                <w:sz w:val="20"/>
              </w:rPr>
            </w:pPr>
            <w:r w:rsidRPr="00652235">
              <w:rPr>
                <w:rFonts w:ascii="Arial Narrow" w:eastAsiaTheme="minorHAnsi" w:hAnsi="Arial Narrow" w:cs="Calibri"/>
                <w:color w:val="000000"/>
                <w:sz w:val="20"/>
              </w:rPr>
              <w:t xml:space="preserve"> $ 6,635.30 </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bottom"/>
          </w:tcPr>
          <w:p w14:paraId="524AF8C0" w14:textId="77777777" w:rsidR="00652235" w:rsidRPr="00652235" w:rsidRDefault="00652235" w:rsidP="00250EF2">
            <w:pPr>
              <w:jc w:val="right"/>
              <w:rPr>
                <w:rFonts w:ascii="Arial Narrow" w:eastAsiaTheme="minorHAnsi" w:hAnsi="Arial Narrow" w:cs="Calibri"/>
                <w:color w:val="000000"/>
                <w:sz w:val="20"/>
              </w:rPr>
            </w:pPr>
            <w:r w:rsidRPr="00652235">
              <w:rPr>
                <w:rFonts w:ascii="Arial Narrow" w:eastAsiaTheme="minorHAnsi" w:hAnsi="Arial Narrow" w:cs="Calibri"/>
                <w:color w:val="000000"/>
                <w:sz w:val="20"/>
              </w:rPr>
              <w:t xml:space="preserve"> $6,019.65</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bottom"/>
          </w:tcPr>
          <w:p w14:paraId="2135B857" w14:textId="77777777" w:rsidR="00652235" w:rsidRPr="00652235" w:rsidRDefault="00652235" w:rsidP="00250EF2">
            <w:pPr>
              <w:jc w:val="right"/>
              <w:rPr>
                <w:rFonts w:ascii="Arial Narrow" w:eastAsiaTheme="minorHAnsi" w:hAnsi="Arial Narrow" w:cs="Calibri"/>
                <w:b/>
                <w:color w:val="000000"/>
                <w:sz w:val="20"/>
              </w:rPr>
            </w:pPr>
            <w:r w:rsidRPr="00652235">
              <w:rPr>
                <w:rFonts w:ascii="Arial Narrow" w:eastAsiaTheme="minorHAnsi" w:hAnsi="Arial Narrow" w:cs="Calibri"/>
                <w:b/>
                <w:color w:val="000000"/>
                <w:sz w:val="20"/>
              </w:rPr>
              <w:t>$615.65</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bottom"/>
          </w:tcPr>
          <w:p w14:paraId="24EDAC3C" w14:textId="77777777" w:rsidR="00652235" w:rsidRPr="00652235" w:rsidRDefault="00652235" w:rsidP="00250EF2">
            <w:pPr>
              <w:jc w:val="right"/>
              <w:rPr>
                <w:rFonts w:ascii="Arial Narrow" w:eastAsiaTheme="minorHAnsi" w:hAnsi="Arial Narrow" w:cs="Calibri"/>
                <w:color w:val="000000"/>
                <w:sz w:val="20"/>
              </w:rPr>
            </w:pPr>
            <w:r w:rsidRPr="00652235">
              <w:rPr>
                <w:rFonts w:ascii="Arial Narrow" w:eastAsiaTheme="minorHAnsi" w:hAnsi="Arial Narrow" w:cs="Calibri"/>
                <w:color w:val="000000"/>
                <w:sz w:val="20"/>
              </w:rPr>
              <w:t xml:space="preserve"> $ 4,365.60 </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bottom"/>
          </w:tcPr>
          <w:p w14:paraId="4CF55057" w14:textId="1E43AA28" w:rsidR="00652235" w:rsidRPr="00652235" w:rsidRDefault="00652235" w:rsidP="00250EF2">
            <w:pPr>
              <w:jc w:val="right"/>
              <w:rPr>
                <w:rFonts w:ascii="Arial Narrow" w:eastAsiaTheme="minorHAnsi" w:hAnsi="Arial Narrow" w:cs="Calibri"/>
                <w:b/>
                <w:color w:val="000000"/>
                <w:sz w:val="20"/>
              </w:rPr>
            </w:pPr>
            <w:r w:rsidRPr="00652235">
              <w:rPr>
                <w:rFonts w:ascii="Arial Narrow" w:eastAsiaTheme="minorHAnsi" w:hAnsi="Arial Narrow" w:cs="Calibri"/>
                <w:b/>
                <w:color w:val="000000"/>
                <w:sz w:val="20"/>
              </w:rPr>
              <w:t xml:space="preserve"> $</w:t>
            </w:r>
            <w:r w:rsidR="00250EF2">
              <w:rPr>
                <w:rFonts w:ascii="Arial Narrow" w:eastAsiaTheme="minorHAnsi" w:hAnsi="Arial Narrow" w:cs="Calibri"/>
                <w:b/>
                <w:color w:val="000000"/>
                <w:sz w:val="20"/>
              </w:rPr>
              <w:t xml:space="preserve"> </w:t>
            </w:r>
            <w:r w:rsidRPr="00652235">
              <w:rPr>
                <w:rFonts w:ascii="Arial Narrow" w:eastAsiaTheme="minorHAnsi" w:hAnsi="Arial Narrow" w:cs="Calibri"/>
                <w:b/>
                <w:color w:val="000000"/>
                <w:sz w:val="20"/>
              </w:rPr>
              <w:t xml:space="preserve">2,269.70 </w:t>
            </w:r>
          </w:p>
        </w:tc>
      </w:tr>
    </w:tbl>
    <w:p w14:paraId="02B55BAB" w14:textId="77777777" w:rsidR="00652235" w:rsidRPr="004C6C8F" w:rsidRDefault="00652235" w:rsidP="00C11BBE">
      <w:pPr>
        <w:pStyle w:val="Tablenotes"/>
      </w:pPr>
      <w:r w:rsidRPr="004C6C8F">
        <w:t>a = 4.7 prostheses per procedure</w:t>
      </w:r>
    </w:p>
    <w:p w14:paraId="028A6CF1" w14:textId="77777777" w:rsidR="00652235" w:rsidRPr="004C6C8F" w:rsidRDefault="00652235" w:rsidP="00C11BBE">
      <w:pPr>
        <w:pStyle w:val="Tablenotes"/>
      </w:pPr>
      <w:r w:rsidRPr="004C6C8F">
        <w:t>b = 7.2% overall re-intervention rate (at higher number of prosthesis)</w:t>
      </w:r>
    </w:p>
    <w:p w14:paraId="1382076A" w14:textId="77777777" w:rsidR="00652235" w:rsidRPr="004C6C8F" w:rsidRDefault="00652235" w:rsidP="00C11BBE">
      <w:pPr>
        <w:pStyle w:val="Tablenotes"/>
      </w:pPr>
      <w:r w:rsidRPr="004C6C8F">
        <w:t>c = 1.13 loops at $365 per loop</w:t>
      </w:r>
    </w:p>
    <w:p w14:paraId="7E6317E9" w14:textId="77777777" w:rsidR="00652235" w:rsidRPr="004C6C8F" w:rsidRDefault="00652235" w:rsidP="00C11BBE">
      <w:pPr>
        <w:pStyle w:val="Tablenotes"/>
      </w:pPr>
      <w:r w:rsidRPr="004C6C8F">
        <w:t>d = cost weight multiplier 2.13 (versus 2.43); proportion major complications 6% (versus 12%)</w:t>
      </w:r>
    </w:p>
    <w:p w14:paraId="3A9936E1" w14:textId="77777777" w:rsidR="00652235" w:rsidRPr="004C6C8F" w:rsidRDefault="00652235" w:rsidP="00C11BBE">
      <w:pPr>
        <w:pStyle w:val="Tablenotes"/>
      </w:pPr>
      <w:r w:rsidRPr="004C6C8F">
        <w:t>e = no difference in hospital costs for VLAP versus PUL</w:t>
      </w:r>
    </w:p>
    <w:p w14:paraId="4F38815E" w14:textId="7D1341A6" w:rsidR="00BC1364" w:rsidRPr="002050A3" w:rsidRDefault="00652235" w:rsidP="00C11BBE">
      <w:pPr>
        <w:pStyle w:val="Tablenotes"/>
      </w:pPr>
      <w:r w:rsidRPr="004C6C8F">
        <w:t>f = VLAP capital and maintenance costs revised per commentary ($433.15 vs $1271.19)</w:t>
      </w:r>
    </w:p>
    <w:p w14:paraId="287CB793" w14:textId="5ADB8338" w:rsidR="002D22F7" w:rsidRDefault="002D22F7" w:rsidP="002D22F7">
      <w:r>
        <w:t>The pre-MSAC response reiterated</w:t>
      </w:r>
      <w:r w:rsidR="00DE44AB">
        <w:t xml:space="preserve"> that:</w:t>
      </w:r>
    </w:p>
    <w:p w14:paraId="3245D782" w14:textId="43F649F1" w:rsidR="00DE44AB" w:rsidRDefault="00807B37" w:rsidP="00D70B59">
      <w:pPr>
        <w:pStyle w:val="ListParagraph"/>
        <w:numPr>
          <w:ilvl w:val="0"/>
          <w:numId w:val="7"/>
        </w:numPr>
      </w:pPr>
      <w:r>
        <w:t>The ADAR</w:t>
      </w:r>
      <w:r w:rsidR="00DE44AB">
        <w:t xml:space="preserve"> included a net annual reintervention rate of 1.44% for each of the five years post PUL and was added to the total cost of PUL when comparing procedure costs.</w:t>
      </w:r>
    </w:p>
    <w:p w14:paraId="49C1973F" w14:textId="34C9B634" w:rsidR="00DE44AB" w:rsidRDefault="00807B37" w:rsidP="00D70B59">
      <w:pPr>
        <w:pStyle w:val="ListParagraph"/>
        <w:numPr>
          <w:ilvl w:val="0"/>
          <w:numId w:val="7"/>
        </w:numPr>
      </w:pPr>
      <w:r>
        <w:t>The sensitivity analysis determined the modelled results were most sensitive to the number of prostheses used and re-justified the assumption that an average of 4 devices is used in each PUL procedure.</w:t>
      </w:r>
    </w:p>
    <w:p w14:paraId="395FC5CD" w14:textId="10CD2223" w:rsidR="00807B37" w:rsidRDefault="00807B37" w:rsidP="00D70B59">
      <w:pPr>
        <w:pStyle w:val="ListParagraph"/>
        <w:numPr>
          <w:ilvl w:val="0"/>
          <w:numId w:val="7"/>
        </w:numPr>
      </w:pPr>
      <w:r>
        <w:t>The cos</w:t>
      </w:r>
      <w:r w:rsidR="00D70B59">
        <w:t xml:space="preserve">t of TURP is most sensitive to </w:t>
      </w:r>
      <w:r>
        <w:t xml:space="preserve">the length and cost of </w:t>
      </w:r>
      <w:proofErr w:type="gramStart"/>
      <w:r>
        <w:t>stay, and</w:t>
      </w:r>
      <w:proofErr w:type="gramEnd"/>
      <w:r>
        <w:t xml:space="preserve"> re-justi</w:t>
      </w:r>
      <w:r w:rsidR="003F6C90">
        <w:t>f</w:t>
      </w:r>
      <w:r>
        <w:t>ied the use of 2.56 days at a cost of $838.30 in the ADAR based on</w:t>
      </w:r>
      <w:r w:rsidRPr="00807B37">
        <w:t xml:space="preserve"> the IHPA National Efficient Price Determination 2018-19 </w:t>
      </w:r>
      <w:r>
        <w:t xml:space="preserve">in which </w:t>
      </w:r>
      <w:r w:rsidRPr="00807B37">
        <w:t>the length of stay for TURP with minor complications, ignoring the impact of including with major</w:t>
      </w:r>
      <w:r w:rsidR="00250EF2">
        <w:t xml:space="preserve"> complications, was 2.56 days.</w:t>
      </w:r>
    </w:p>
    <w:p w14:paraId="6C172445" w14:textId="40D0ED4E" w:rsidR="00807B37" w:rsidRPr="005A4362" w:rsidRDefault="00807B37" w:rsidP="00D70B59">
      <w:pPr>
        <w:pStyle w:val="ListParagraph"/>
        <w:numPr>
          <w:ilvl w:val="0"/>
          <w:numId w:val="7"/>
        </w:numPr>
        <w:spacing w:before="120"/>
        <w:jc w:val="both"/>
      </w:pPr>
      <w:r>
        <w:t>T</w:t>
      </w:r>
      <w:r w:rsidRPr="002C67D9">
        <w:t>he hospital stays used for the costing of the procedures, 2.56 days for TURP and overnight for PUL, were based on Australian practice rather than the international stays in the BPH6 study.</w:t>
      </w:r>
    </w:p>
    <w:p w14:paraId="45C7C5A5" w14:textId="77777777" w:rsidR="00BC1364" w:rsidRPr="00F715D1" w:rsidRDefault="00BC1364" w:rsidP="00F715D1">
      <w:pPr>
        <w:pStyle w:val="Heading1"/>
      </w:pPr>
      <w:r w:rsidRPr="00F715D1">
        <w:t>Financial/budgetary impacts</w:t>
      </w:r>
    </w:p>
    <w:p w14:paraId="1BF62442" w14:textId="2C03F744" w:rsidR="00652235" w:rsidRPr="004F7E50" w:rsidRDefault="00652235" w:rsidP="00652235">
      <w:r w:rsidRPr="004F7E50">
        <w:t>The financial implications to the MBS resulting from the proposed increased fee for PUL</w:t>
      </w:r>
      <w:r>
        <w:t xml:space="preserve">, summarised by the ADAR with modifications by the commentary, </w:t>
      </w:r>
      <w:r w:rsidRPr="00DB53F6">
        <w:t xml:space="preserve">are </w:t>
      </w:r>
      <w:r w:rsidR="00DB53F6" w:rsidRPr="00DB53F6">
        <w:t>presented in Table 19.</w:t>
      </w:r>
    </w:p>
    <w:p w14:paraId="487A0216" w14:textId="7AC6826A" w:rsidR="00652235" w:rsidRDefault="00652235" w:rsidP="00D2501B">
      <w:r w:rsidRPr="000537B0">
        <w:lastRenderedPageBreak/>
        <w:t xml:space="preserve">The current fee for </w:t>
      </w:r>
      <w:r>
        <w:t>PUL (MBS Item 36811) is $328.55 of which t</w:t>
      </w:r>
      <w:r w:rsidRPr="000537B0">
        <w:t>he MBS pays $246.45 (75%). The proposed fee is $1,058.80 (the same as TURP)</w:t>
      </w:r>
      <w:r>
        <w:t xml:space="preserve"> of which th</w:t>
      </w:r>
      <w:r w:rsidRPr="000537B0">
        <w:t>e MBS would pay $794.10 (75%)</w:t>
      </w:r>
      <w:r>
        <w:t>.</w:t>
      </w:r>
      <w:r w:rsidRPr="000537B0">
        <w:t xml:space="preserve"> Thus, the incremen</w:t>
      </w:r>
      <w:r w:rsidR="00D2501B">
        <w:t>tal cost to the MBS is $547.65.</w:t>
      </w:r>
    </w:p>
    <w:p w14:paraId="50630DD1" w14:textId="504168A4" w:rsidR="00652235" w:rsidRDefault="00652235" w:rsidP="00D2501B">
      <w:pPr>
        <w:spacing w:before="240"/>
      </w:pPr>
      <w:r>
        <w:t>The ADAR estimate</w:t>
      </w:r>
      <w:r w:rsidRPr="004F7E50">
        <w:t xml:space="preserve"> assume</w:t>
      </w:r>
      <w:r>
        <w:t>d</w:t>
      </w:r>
      <w:r w:rsidRPr="004F7E50">
        <w:t xml:space="preserve"> an annual 10% growth in PUL with the additional patients swapping from TURP.</w:t>
      </w:r>
      <w:r>
        <w:t xml:space="preserve"> It</w:t>
      </w:r>
      <w:r w:rsidRPr="004F7E50">
        <w:t xml:space="preserve"> also assumes that both procedures, PUL and TURP, are performed as inpatient procedures.</w:t>
      </w:r>
      <w:r>
        <w:t xml:space="preserve"> Since the proposed fee is the same as TURP, any increase in the use of PUL resulting from a switch from TURP has a zero incremental impact.</w:t>
      </w:r>
    </w:p>
    <w:p w14:paraId="790D2F59" w14:textId="27FEE821" w:rsidR="00652235" w:rsidRPr="00DB53F6" w:rsidRDefault="00652235" w:rsidP="00D2501B">
      <w:pPr>
        <w:spacing w:before="240" w:after="240"/>
      </w:pPr>
      <w:r>
        <w:t>The commentary clarified that th</w:t>
      </w:r>
      <w:r w:rsidRPr="000D6DCA">
        <w:t>e ADAR assumed that with the proposed fee increase for PUL, estimated utilisation would be comprised of (#1) those services that would have occurred in the absence of the fee change; and (#2) a proportion of services that switch from TURP to PUL due to the fee change.</w:t>
      </w:r>
      <w:r>
        <w:t xml:space="preserve"> As a comparison, data presented at ESC showed that the VLAP price increase was not related to </w:t>
      </w:r>
      <w:r w:rsidRPr="00DB53F6">
        <w:t>increase</w:t>
      </w:r>
      <w:r w:rsidR="00DB53F6" w:rsidRPr="00DB53F6">
        <w:t xml:space="preserve">d utilisation. Table 19 </w:t>
      </w:r>
      <w:r w:rsidRPr="00DB53F6">
        <w:t>includes modifications by the commentary to distinguish be</w:t>
      </w:r>
      <w:r w:rsidR="00D2501B" w:rsidRPr="00DB53F6">
        <w:t>tween these services.</w:t>
      </w:r>
    </w:p>
    <w:p w14:paraId="09DE5DA0" w14:textId="7EA3D8DF" w:rsidR="00652235" w:rsidRPr="00D863C8" w:rsidRDefault="00DB53F6" w:rsidP="00D863C8">
      <w:pPr>
        <w:rPr>
          <w:rFonts w:ascii="Arial Narrow" w:hAnsi="Arial Narrow"/>
          <w:b/>
          <w:sz w:val="20"/>
        </w:rPr>
      </w:pPr>
      <w:bookmarkStart w:id="32" w:name="_Toc393197779"/>
      <w:bookmarkStart w:id="33" w:name="_Toc393378192"/>
      <w:r>
        <w:rPr>
          <w:rFonts w:ascii="Arial Narrow" w:hAnsi="Arial Narrow"/>
          <w:b/>
          <w:sz w:val="20"/>
        </w:rPr>
        <w:t xml:space="preserve">Table 19 </w:t>
      </w:r>
      <w:r w:rsidR="00652235" w:rsidRPr="00D863C8">
        <w:rPr>
          <w:rFonts w:ascii="Arial Narrow" w:hAnsi="Arial Narrow"/>
          <w:b/>
          <w:sz w:val="20"/>
        </w:rPr>
        <w:t xml:space="preserve">Additional costs to the MBS associated with </w:t>
      </w:r>
      <w:bookmarkEnd w:id="32"/>
      <w:bookmarkEnd w:id="33"/>
      <w:r w:rsidR="00652235" w:rsidRPr="00D863C8">
        <w:rPr>
          <w:rFonts w:ascii="Arial Narrow" w:hAnsi="Arial Narrow"/>
          <w:b/>
          <w:sz w:val="20"/>
        </w:rPr>
        <w:t>increase fee for PUL</w:t>
      </w:r>
    </w:p>
    <w:tbl>
      <w:tblPr>
        <w:tblStyle w:val="TableGrid1"/>
        <w:tblW w:w="4877" w:type="pct"/>
        <w:tblLayout w:type="fixed"/>
        <w:tblLook w:val="04A0" w:firstRow="1" w:lastRow="0" w:firstColumn="1" w:lastColumn="0" w:noHBand="0" w:noVBand="1"/>
        <w:tblCaption w:val="Table 25 Total costs to the MBS associated with XXX"/>
        <w:tblDescription w:val="This table provides a summary of the financial impact of the proposed new medical service over the next five years."/>
      </w:tblPr>
      <w:tblGrid>
        <w:gridCol w:w="3337"/>
        <w:gridCol w:w="1134"/>
        <w:gridCol w:w="1136"/>
        <w:gridCol w:w="1136"/>
        <w:gridCol w:w="1136"/>
        <w:gridCol w:w="1136"/>
      </w:tblGrid>
      <w:tr w:rsidR="00652235" w:rsidRPr="00652235" w14:paraId="777AE571" w14:textId="77777777" w:rsidTr="000B0156">
        <w:trPr>
          <w:cnfStyle w:val="100000000000" w:firstRow="1" w:lastRow="0" w:firstColumn="0" w:lastColumn="0" w:oddVBand="0" w:evenVBand="0" w:oddHBand="0" w:evenHBand="0" w:firstRowFirstColumn="0" w:firstRowLastColumn="0" w:lastRowFirstColumn="0" w:lastRowLastColumn="0"/>
          <w:trHeight w:val="300"/>
          <w:tblHeader/>
        </w:trPr>
        <w:tc>
          <w:tcPr>
            <w:tcW w:w="1851" w:type="pct"/>
            <w:tcBorders>
              <w:bottom w:val="single" w:sz="4" w:space="0" w:color="auto"/>
            </w:tcBorders>
          </w:tcPr>
          <w:p w14:paraId="32BA8A15" w14:textId="34D992FF" w:rsidR="00652235" w:rsidRPr="00652235" w:rsidRDefault="00652235" w:rsidP="00652235">
            <w:pPr>
              <w:pStyle w:val="TableHeading"/>
            </w:pPr>
            <w:r w:rsidRPr="00652235">
              <w:t>PUL</w:t>
            </w:r>
          </w:p>
        </w:tc>
        <w:tc>
          <w:tcPr>
            <w:tcW w:w="629" w:type="pct"/>
            <w:tcBorders>
              <w:bottom w:val="single" w:sz="4" w:space="0" w:color="auto"/>
            </w:tcBorders>
          </w:tcPr>
          <w:p w14:paraId="395021FE" w14:textId="77777777" w:rsidR="00652235" w:rsidRPr="00652235" w:rsidRDefault="00652235" w:rsidP="00652235">
            <w:pPr>
              <w:pStyle w:val="TableHeading"/>
            </w:pPr>
            <w:r w:rsidRPr="00652235">
              <w:t>2020-21</w:t>
            </w:r>
          </w:p>
        </w:tc>
        <w:tc>
          <w:tcPr>
            <w:tcW w:w="630" w:type="pct"/>
            <w:tcBorders>
              <w:bottom w:val="single" w:sz="4" w:space="0" w:color="auto"/>
            </w:tcBorders>
          </w:tcPr>
          <w:p w14:paraId="5234E95C" w14:textId="77777777" w:rsidR="00652235" w:rsidRPr="00652235" w:rsidRDefault="00652235" w:rsidP="00652235">
            <w:pPr>
              <w:pStyle w:val="TableHeading"/>
            </w:pPr>
            <w:r w:rsidRPr="00652235">
              <w:t>2021-22</w:t>
            </w:r>
          </w:p>
        </w:tc>
        <w:tc>
          <w:tcPr>
            <w:tcW w:w="630" w:type="pct"/>
            <w:tcBorders>
              <w:bottom w:val="single" w:sz="4" w:space="0" w:color="auto"/>
            </w:tcBorders>
          </w:tcPr>
          <w:p w14:paraId="52E95154" w14:textId="77777777" w:rsidR="00652235" w:rsidRPr="00652235" w:rsidRDefault="00652235" w:rsidP="00652235">
            <w:pPr>
              <w:pStyle w:val="TableHeading"/>
            </w:pPr>
            <w:r w:rsidRPr="00652235">
              <w:t>2022-23</w:t>
            </w:r>
          </w:p>
        </w:tc>
        <w:tc>
          <w:tcPr>
            <w:tcW w:w="630" w:type="pct"/>
            <w:tcBorders>
              <w:bottom w:val="single" w:sz="4" w:space="0" w:color="auto"/>
            </w:tcBorders>
          </w:tcPr>
          <w:p w14:paraId="5BE1D45D" w14:textId="77777777" w:rsidR="00652235" w:rsidRPr="00652235" w:rsidRDefault="00652235" w:rsidP="00652235">
            <w:pPr>
              <w:pStyle w:val="TableHeading"/>
            </w:pPr>
            <w:r w:rsidRPr="00652235">
              <w:t>2023-24</w:t>
            </w:r>
          </w:p>
        </w:tc>
        <w:tc>
          <w:tcPr>
            <w:tcW w:w="630" w:type="pct"/>
            <w:tcBorders>
              <w:bottom w:val="single" w:sz="4" w:space="0" w:color="auto"/>
            </w:tcBorders>
          </w:tcPr>
          <w:p w14:paraId="019CCD41" w14:textId="77777777" w:rsidR="00652235" w:rsidRPr="00652235" w:rsidRDefault="00652235" w:rsidP="00652235">
            <w:pPr>
              <w:pStyle w:val="TableHeading"/>
            </w:pPr>
            <w:r w:rsidRPr="00652235">
              <w:t>2024-25</w:t>
            </w:r>
          </w:p>
        </w:tc>
      </w:tr>
      <w:tr w:rsidR="00652235" w:rsidRPr="00652235" w14:paraId="1DC1428C" w14:textId="77777777" w:rsidTr="000B0156">
        <w:trPr>
          <w:trHeight w:val="300"/>
        </w:trPr>
        <w:tc>
          <w:tcPr>
            <w:tcW w:w="1851" w:type="pct"/>
            <w:tcBorders>
              <w:bottom w:val="nil"/>
            </w:tcBorders>
          </w:tcPr>
          <w:p w14:paraId="40C10E0C" w14:textId="77777777" w:rsidR="00652235" w:rsidRPr="00652235" w:rsidRDefault="00652235" w:rsidP="00652235">
            <w:pPr>
              <w:pStyle w:val="Tabletext"/>
              <w:rPr>
                <w:szCs w:val="20"/>
              </w:rPr>
            </w:pPr>
            <w:r w:rsidRPr="00652235">
              <w:rPr>
                <w:szCs w:val="20"/>
              </w:rPr>
              <w:t>Existing PUL services (#1)</w:t>
            </w:r>
          </w:p>
        </w:tc>
        <w:tc>
          <w:tcPr>
            <w:tcW w:w="629" w:type="pct"/>
            <w:tcBorders>
              <w:bottom w:val="nil"/>
            </w:tcBorders>
          </w:tcPr>
          <w:p w14:paraId="4944BA40" w14:textId="77777777" w:rsidR="00652235" w:rsidRPr="00652235" w:rsidRDefault="00652235" w:rsidP="00652235">
            <w:pPr>
              <w:pStyle w:val="Tabletext"/>
              <w:rPr>
                <w:szCs w:val="20"/>
              </w:rPr>
            </w:pPr>
            <w:r w:rsidRPr="00652235">
              <w:rPr>
                <w:szCs w:val="20"/>
              </w:rPr>
              <w:t>1,230</w:t>
            </w:r>
          </w:p>
        </w:tc>
        <w:tc>
          <w:tcPr>
            <w:tcW w:w="630" w:type="pct"/>
            <w:tcBorders>
              <w:bottom w:val="nil"/>
            </w:tcBorders>
          </w:tcPr>
          <w:p w14:paraId="6CAA058F" w14:textId="77777777" w:rsidR="00652235" w:rsidRPr="00652235" w:rsidRDefault="00652235" w:rsidP="00652235">
            <w:pPr>
              <w:pStyle w:val="Tabletext"/>
              <w:rPr>
                <w:szCs w:val="20"/>
              </w:rPr>
            </w:pPr>
            <w:r w:rsidRPr="00652235">
              <w:rPr>
                <w:szCs w:val="20"/>
              </w:rPr>
              <w:t>1,230</w:t>
            </w:r>
          </w:p>
        </w:tc>
        <w:tc>
          <w:tcPr>
            <w:tcW w:w="630" w:type="pct"/>
            <w:tcBorders>
              <w:bottom w:val="nil"/>
            </w:tcBorders>
          </w:tcPr>
          <w:p w14:paraId="51A436C2" w14:textId="77777777" w:rsidR="00652235" w:rsidRPr="00652235" w:rsidRDefault="00652235" w:rsidP="00652235">
            <w:pPr>
              <w:pStyle w:val="Tabletext"/>
              <w:rPr>
                <w:szCs w:val="20"/>
              </w:rPr>
            </w:pPr>
            <w:r w:rsidRPr="00652235">
              <w:rPr>
                <w:szCs w:val="20"/>
              </w:rPr>
              <w:t>1,230</w:t>
            </w:r>
          </w:p>
        </w:tc>
        <w:tc>
          <w:tcPr>
            <w:tcW w:w="630" w:type="pct"/>
            <w:tcBorders>
              <w:bottom w:val="nil"/>
            </w:tcBorders>
          </w:tcPr>
          <w:p w14:paraId="23D59B67" w14:textId="77777777" w:rsidR="00652235" w:rsidRPr="00652235" w:rsidRDefault="00652235" w:rsidP="00652235">
            <w:pPr>
              <w:pStyle w:val="Tabletext"/>
              <w:rPr>
                <w:szCs w:val="20"/>
              </w:rPr>
            </w:pPr>
            <w:r w:rsidRPr="00652235">
              <w:rPr>
                <w:szCs w:val="20"/>
              </w:rPr>
              <w:t>1,230</w:t>
            </w:r>
          </w:p>
        </w:tc>
        <w:tc>
          <w:tcPr>
            <w:tcW w:w="630" w:type="pct"/>
            <w:tcBorders>
              <w:bottom w:val="nil"/>
            </w:tcBorders>
          </w:tcPr>
          <w:p w14:paraId="54B7799C" w14:textId="77777777" w:rsidR="00652235" w:rsidRPr="00652235" w:rsidRDefault="00652235" w:rsidP="00652235">
            <w:pPr>
              <w:pStyle w:val="Tabletext"/>
              <w:rPr>
                <w:szCs w:val="20"/>
              </w:rPr>
            </w:pPr>
            <w:r w:rsidRPr="00652235">
              <w:rPr>
                <w:szCs w:val="20"/>
              </w:rPr>
              <w:t>1,230</w:t>
            </w:r>
          </w:p>
        </w:tc>
      </w:tr>
      <w:tr w:rsidR="00652235" w:rsidRPr="00652235" w14:paraId="1E80129F" w14:textId="77777777" w:rsidTr="000B0156">
        <w:trPr>
          <w:trHeight w:val="300"/>
        </w:trPr>
        <w:tc>
          <w:tcPr>
            <w:tcW w:w="1851" w:type="pct"/>
            <w:tcBorders>
              <w:top w:val="nil"/>
              <w:bottom w:val="nil"/>
            </w:tcBorders>
          </w:tcPr>
          <w:p w14:paraId="1A22A56A" w14:textId="77777777" w:rsidR="00652235" w:rsidRPr="00652235" w:rsidRDefault="00652235" w:rsidP="00652235">
            <w:pPr>
              <w:pStyle w:val="Tabletext"/>
              <w:rPr>
                <w:szCs w:val="20"/>
              </w:rPr>
            </w:pPr>
            <w:r w:rsidRPr="00652235">
              <w:rPr>
                <w:szCs w:val="20"/>
              </w:rPr>
              <w:t>Incremental cost to the MBS per service</w:t>
            </w:r>
          </w:p>
        </w:tc>
        <w:tc>
          <w:tcPr>
            <w:tcW w:w="629" w:type="pct"/>
            <w:tcBorders>
              <w:top w:val="nil"/>
              <w:bottom w:val="nil"/>
            </w:tcBorders>
          </w:tcPr>
          <w:p w14:paraId="3E30A1F5" w14:textId="77777777" w:rsidR="00652235" w:rsidRPr="00652235" w:rsidRDefault="00652235" w:rsidP="00652235">
            <w:pPr>
              <w:pStyle w:val="Tabletext"/>
              <w:rPr>
                <w:szCs w:val="20"/>
              </w:rPr>
            </w:pPr>
            <w:r w:rsidRPr="00652235">
              <w:rPr>
                <w:szCs w:val="20"/>
              </w:rPr>
              <w:t>$547.65</w:t>
            </w:r>
          </w:p>
        </w:tc>
        <w:tc>
          <w:tcPr>
            <w:tcW w:w="630" w:type="pct"/>
            <w:tcBorders>
              <w:top w:val="nil"/>
              <w:bottom w:val="nil"/>
            </w:tcBorders>
          </w:tcPr>
          <w:p w14:paraId="6AC214A9" w14:textId="77777777" w:rsidR="00652235" w:rsidRPr="00652235" w:rsidRDefault="00652235" w:rsidP="00652235">
            <w:pPr>
              <w:pStyle w:val="Tabletext"/>
              <w:rPr>
                <w:szCs w:val="20"/>
              </w:rPr>
            </w:pPr>
          </w:p>
        </w:tc>
        <w:tc>
          <w:tcPr>
            <w:tcW w:w="630" w:type="pct"/>
            <w:tcBorders>
              <w:top w:val="nil"/>
              <w:bottom w:val="nil"/>
            </w:tcBorders>
          </w:tcPr>
          <w:p w14:paraId="329F7D60" w14:textId="77777777" w:rsidR="00652235" w:rsidRPr="00652235" w:rsidRDefault="00652235" w:rsidP="00652235">
            <w:pPr>
              <w:pStyle w:val="Tabletext"/>
              <w:rPr>
                <w:szCs w:val="20"/>
              </w:rPr>
            </w:pPr>
          </w:p>
        </w:tc>
        <w:tc>
          <w:tcPr>
            <w:tcW w:w="630" w:type="pct"/>
            <w:tcBorders>
              <w:top w:val="nil"/>
              <w:bottom w:val="nil"/>
            </w:tcBorders>
          </w:tcPr>
          <w:p w14:paraId="2B998785" w14:textId="77777777" w:rsidR="00652235" w:rsidRPr="00652235" w:rsidRDefault="00652235" w:rsidP="00652235">
            <w:pPr>
              <w:pStyle w:val="Tabletext"/>
              <w:rPr>
                <w:szCs w:val="20"/>
              </w:rPr>
            </w:pPr>
          </w:p>
        </w:tc>
        <w:tc>
          <w:tcPr>
            <w:tcW w:w="630" w:type="pct"/>
            <w:tcBorders>
              <w:top w:val="nil"/>
              <w:bottom w:val="nil"/>
            </w:tcBorders>
          </w:tcPr>
          <w:p w14:paraId="3BF0C345" w14:textId="77777777" w:rsidR="00652235" w:rsidRPr="00652235" w:rsidRDefault="00652235" w:rsidP="00652235">
            <w:pPr>
              <w:pStyle w:val="Tabletext"/>
              <w:rPr>
                <w:szCs w:val="20"/>
              </w:rPr>
            </w:pPr>
          </w:p>
        </w:tc>
      </w:tr>
      <w:tr w:rsidR="00652235" w:rsidRPr="00652235" w14:paraId="66A5E34F" w14:textId="77777777" w:rsidTr="000B0156">
        <w:trPr>
          <w:trHeight w:val="300"/>
        </w:trPr>
        <w:tc>
          <w:tcPr>
            <w:tcW w:w="1851" w:type="pct"/>
            <w:tcBorders>
              <w:top w:val="nil"/>
              <w:bottom w:val="single" w:sz="4" w:space="0" w:color="auto"/>
            </w:tcBorders>
          </w:tcPr>
          <w:p w14:paraId="32572E76" w14:textId="77777777" w:rsidR="00652235" w:rsidRPr="00652235" w:rsidRDefault="00652235" w:rsidP="00652235">
            <w:pPr>
              <w:pStyle w:val="Tabletext"/>
              <w:rPr>
                <w:szCs w:val="20"/>
              </w:rPr>
            </w:pPr>
            <w:r w:rsidRPr="00652235">
              <w:rPr>
                <w:szCs w:val="20"/>
              </w:rPr>
              <w:t>Cost to the MBS</w:t>
            </w:r>
          </w:p>
        </w:tc>
        <w:tc>
          <w:tcPr>
            <w:tcW w:w="629" w:type="pct"/>
            <w:tcBorders>
              <w:top w:val="nil"/>
              <w:bottom w:val="single" w:sz="4" w:space="0" w:color="auto"/>
            </w:tcBorders>
          </w:tcPr>
          <w:p w14:paraId="559E3065" w14:textId="77777777" w:rsidR="00652235" w:rsidRPr="00652235" w:rsidRDefault="00652235" w:rsidP="00652235">
            <w:pPr>
              <w:pStyle w:val="Tabletext"/>
              <w:rPr>
                <w:szCs w:val="20"/>
              </w:rPr>
            </w:pPr>
            <w:r w:rsidRPr="00652235">
              <w:rPr>
                <w:szCs w:val="20"/>
              </w:rPr>
              <w:t>$673,610</w:t>
            </w:r>
          </w:p>
        </w:tc>
        <w:tc>
          <w:tcPr>
            <w:tcW w:w="630" w:type="pct"/>
            <w:tcBorders>
              <w:top w:val="nil"/>
              <w:bottom w:val="single" w:sz="4" w:space="0" w:color="auto"/>
            </w:tcBorders>
          </w:tcPr>
          <w:p w14:paraId="30B37021" w14:textId="77777777" w:rsidR="00652235" w:rsidRPr="00652235" w:rsidRDefault="00652235" w:rsidP="00652235">
            <w:pPr>
              <w:pStyle w:val="Tabletext"/>
              <w:rPr>
                <w:szCs w:val="20"/>
              </w:rPr>
            </w:pPr>
            <w:r w:rsidRPr="00652235">
              <w:rPr>
                <w:szCs w:val="20"/>
              </w:rPr>
              <w:t>$673,610</w:t>
            </w:r>
          </w:p>
        </w:tc>
        <w:tc>
          <w:tcPr>
            <w:tcW w:w="630" w:type="pct"/>
            <w:tcBorders>
              <w:top w:val="nil"/>
              <w:bottom w:val="single" w:sz="4" w:space="0" w:color="auto"/>
            </w:tcBorders>
          </w:tcPr>
          <w:p w14:paraId="6EE168DE" w14:textId="77777777" w:rsidR="00652235" w:rsidRPr="00652235" w:rsidRDefault="00652235" w:rsidP="00652235">
            <w:pPr>
              <w:pStyle w:val="Tabletext"/>
              <w:rPr>
                <w:szCs w:val="20"/>
              </w:rPr>
            </w:pPr>
            <w:r w:rsidRPr="00652235">
              <w:rPr>
                <w:szCs w:val="20"/>
              </w:rPr>
              <w:t>$673,610</w:t>
            </w:r>
          </w:p>
        </w:tc>
        <w:tc>
          <w:tcPr>
            <w:tcW w:w="630" w:type="pct"/>
            <w:tcBorders>
              <w:top w:val="nil"/>
              <w:bottom w:val="single" w:sz="4" w:space="0" w:color="auto"/>
            </w:tcBorders>
          </w:tcPr>
          <w:p w14:paraId="58810668" w14:textId="77777777" w:rsidR="00652235" w:rsidRPr="00652235" w:rsidRDefault="00652235" w:rsidP="00652235">
            <w:pPr>
              <w:pStyle w:val="Tabletext"/>
              <w:rPr>
                <w:szCs w:val="20"/>
              </w:rPr>
            </w:pPr>
            <w:r w:rsidRPr="00652235">
              <w:rPr>
                <w:szCs w:val="20"/>
              </w:rPr>
              <w:t>$673,610</w:t>
            </w:r>
          </w:p>
        </w:tc>
        <w:tc>
          <w:tcPr>
            <w:tcW w:w="630" w:type="pct"/>
            <w:tcBorders>
              <w:top w:val="nil"/>
              <w:bottom w:val="single" w:sz="4" w:space="0" w:color="auto"/>
            </w:tcBorders>
          </w:tcPr>
          <w:p w14:paraId="68DFA410" w14:textId="77777777" w:rsidR="00652235" w:rsidRPr="00652235" w:rsidRDefault="00652235" w:rsidP="00652235">
            <w:pPr>
              <w:pStyle w:val="Tabletext"/>
              <w:rPr>
                <w:szCs w:val="20"/>
              </w:rPr>
            </w:pPr>
            <w:r w:rsidRPr="00652235">
              <w:rPr>
                <w:szCs w:val="20"/>
              </w:rPr>
              <w:t>$673,610</w:t>
            </w:r>
          </w:p>
        </w:tc>
      </w:tr>
      <w:tr w:rsidR="00652235" w:rsidRPr="00652235" w14:paraId="4C2A1FE7" w14:textId="77777777" w:rsidTr="000B0156">
        <w:trPr>
          <w:trHeight w:val="300"/>
        </w:trPr>
        <w:tc>
          <w:tcPr>
            <w:tcW w:w="1851" w:type="pct"/>
            <w:tcBorders>
              <w:bottom w:val="nil"/>
            </w:tcBorders>
          </w:tcPr>
          <w:p w14:paraId="050E4451" w14:textId="77777777" w:rsidR="00652235" w:rsidRPr="00652235" w:rsidRDefault="00652235" w:rsidP="00652235">
            <w:pPr>
              <w:pStyle w:val="Tabletext"/>
              <w:rPr>
                <w:szCs w:val="20"/>
              </w:rPr>
            </w:pPr>
            <w:r w:rsidRPr="00652235">
              <w:rPr>
                <w:szCs w:val="20"/>
              </w:rPr>
              <w:t>Existing TURP services that switch (#2)</w:t>
            </w:r>
          </w:p>
        </w:tc>
        <w:tc>
          <w:tcPr>
            <w:tcW w:w="629" w:type="pct"/>
            <w:tcBorders>
              <w:bottom w:val="nil"/>
            </w:tcBorders>
          </w:tcPr>
          <w:p w14:paraId="0F5F7926" w14:textId="77777777" w:rsidR="00652235" w:rsidRPr="00652235" w:rsidRDefault="00652235" w:rsidP="00652235">
            <w:pPr>
              <w:pStyle w:val="Tabletext"/>
              <w:rPr>
                <w:szCs w:val="20"/>
              </w:rPr>
            </w:pPr>
            <w:r w:rsidRPr="00652235">
              <w:rPr>
                <w:szCs w:val="20"/>
              </w:rPr>
              <w:t>–</w:t>
            </w:r>
          </w:p>
        </w:tc>
        <w:tc>
          <w:tcPr>
            <w:tcW w:w="630" w:type="pct"/>
            <w:tcBorders>
              <w:bottom w:val="nil"/>
            </w:tcBorders>
          </w:tcPr>
          <w:p w14:paraId="5CB7503D" w14:textId="77777777" w:rsidR="00652235" w:rsidRPr="00652235" w:rsidRDefault="00652235" w:rsidP="00652235">
            <w:pPr>
              <w:pStyle w:val="Tabletext"/>
              <w:rPr>
                <w:szCs w:val="20"/>
              </w:rPr>
            </w:pPr>
            <w:r w:rsidRPr="00652235">
              <w:rPr>
                <w:szCs w:val="20"/>
              </w:rPr>
              <w:t>123</w:t>
            </w:r>
          </w:p>
        </w:tc>
        <w:tc>
          <w:tcPr>
            <w:tcW w:w="630" w:type="pct"/>
            <w:tcBorders>
              <w:bottom w:val="nil"/>
            </w:tcBorders>
          </w:tcPr>
          <w:p w14:paraId="7F8E1F27" w14:textId="77777777" w:rsidR="00652235" w:rsidRPr="00652235" w:rsidRDefault="00652235" w:rsidP="00652235">
            <w:pPr>
              <w:pStyle w:val="Tabletext"/>
              <w:rPr>
                <w:szCs w:val="20"/>
              </w:rPr>
            </w:pPr>
            <w:r w:rsidRPr="00652235">
              <w:rPr>
                <w:szCs w:val="20"/>
              </w:rPr>
              <w:t>258</w:t>
            </w:r>
          </w:p>
        </w:tc>
        <w:tc>
          <w:tcPr>
            <w:tcW w:w="630" w:type="pct"/>
            <w:tcBorders>
              <w:bottom w:val="nil"/>
            </w:tcBorders>
          </w:tcPr>
          <w:p w14:paraId="0A4E2A0F" w14:textId="77777777" w:rsidR="00652235" w:rsidRPr="00652235" w:rsidRDefault="00652235" w:rsidP="00652235">
            <w:pPr>
              <w:pStyle w:val="Tabletext"/>
              <w:rPr>
                <w:szCs w:val="20"/>
              </w:rPr>
            </w:pPr>
            <w:r w:rsidRPr="00652235">
              <w:rPr>
                <w:szCs w:val="20"/>
              </w:rPr>
              <w:t>407</w:t>
            </w:r>
          </w:p>
        </w:tc>
        <w:tc>
          <w:tcPr>
            <w:tcW w:w="630" w:type="pct"/>
            <w:tcBorders>
              <w:bottom w:val="nil"/>
            </w:tcBorders>
          </w:tcPr>
          <w:p w14:paraId="73B043E8" w14:textId="77777777" w:rsidR="00652235" w:rsidRPr="00652235" w:rsidRDefault="00652235" w:rsidP="00652235">
            <w:pPr>
              <w:pStyle w:val="Tabletext"/>
              <w:rPr>
                <w:szCs w:val="20"/>
              </w:rPr>
            </w:pPr>
            <w:r w:rsidRPr="00652235">
              <w:rPr>
                <w:szCs w:val="20"/>
              </w:rPr>
              <w:t>571</w:t>
            </w:r>
          </w:p>
        </w:tc>
      </w:tr>
      <w:tr w:rsidR="00652235" w:rsidRPr="00652235" w14:paraId="74A60D59" w14:textId="77777777" w:rsidTr="000B0156">
        <w:trPr>
          <w:trHeight w:val="300"/>
        </w:trPr>
        <w:tc>
          <w:tcPr>
            <w:tcW w:w="1851" w:type="pct"/>
            <w:tcBorders>
              <w:top w:val="nil"/>
              <w:bottom w:val="nil"/>
            </w:tcBorders>
          </w:tcPr>
          <w:p w14:paraId="0716CE3E" w14:textId="77777777" w:rsidR="00652235" w:rsidRPr="00652235" w:rsidRDefault="00652235" w:rsidP="00652235">
            <w:pPr>
              <w:pStyle w:val="Tabletext"/>
              <w:rPr>
                <w:szCs w:val="20"/>
              </w:rPr>
            </w:pPr>
            <w:r w:rsidRPr="00652235">
              <w:rPr>
                <w:szCs w:val="20"/>
              </w:rPr>
              <w:t>Incremental cost to the MBS per service</w:t>
            </w:r>
          </w:p>
        </w:tc>
        <w:tc>
          <w:tcPr>
            <w:tcW w:w="629" w:type="pct"/>
            <w:tcBorders>
              <w:top w:val="nil"/>
              <w:bottom w:val="nil"/>
            </w:tcBorders>
          </w:tcPr>
          <w:p w14:paraId="10F2D487" w14:textId="77777777" w:rsidR="00652235" w:rsidRPr="00652235" w:rsidRDefault="00652235" w:rsidP="00652235">
            <w:pPr>
              <w:pStyle w:val="Tabletext"/>
              <w:rPr>
                <w:szCs w:val="20"/>
              </w:rPr>
            </w:pPr>
            <w:r w:rsidRPr="00652235">
              <w:rPr>
                <w:szCs w:val="20"/>
              </w:rPr>
              <w:t>$0.00</w:t>
            </w:r>
          </w:p>
        </w:tc>
        <w:tc>
          <w:tcPr>
            <w:tcW w:w="630" w:type="pct"/>
            <w:tcBorders>
              <w:top w:val="nil"/>
              <w:bottom w:val="nil"/>
            </w:tcBorders>
          </w:tcPr>
          <w:p w14:paraId="4ECFF4C4" w14:textId="77777777" w:rsidR="00652235" w:rsidRPr="00652235" w:rsidRDefault="00652235" w:rsidP="00652235">
            <w:pPr>
              <w:pStyle w:val="Tabletext"/>
              <w:rPr>
                <w:szCs w:val="20"/>
              </w:rPr>
            </w:pPr>
          </w:p>
        </w:tc>
        <w:tc>
          <w:tcPr>
            <w:tcW w:w="630" w:type="pct"/>
            <w:tcBorders>
              <w:top w:val="nil"/>
              <w:bottom w:val="nil"/>
            </w:tcBorders>
          </w:tcPr>
          <w:p w14:paraId="1AEDE61C" w14:textId="77777777" w:rsidR="00652235" w:rsidRPr="00652235" w:rsidRDefault="00652235" w:rsidP="00652235">
            <w:pPr>
              <w:pStyle w:val="Tabletext"/>
              <w:rPr>
                <w:szCs w:val="20"/>
              </w:rPr>
            </w:pPr>
          </w:p>
        </w:tc>
        <w:tc>
          <w:tcPr>
            <w:tcW w:w="630" w:type="pct"/>
            <w:tcBorders>
              <w:top w:val="nil"/>
              <w:bottom w:val="nil"/>
            </w:tcBorders>
          </w:tcPr>
          <w:p w14:paraId="33A19105" w14:textId="77777777" w:rsidR="00652235" w:rsidRPr="00652235" w:rsidRDefault="00652235" w:rsidP="00652235">
            <w:pPr>
              <w:pStyle w:val="Tabletext"/>
              <w:rPr>
                <w:szCs w:val="20"/>
              </w:rPr>
            </w:pPr>
          </w:p>
        </w:tc>
        <w:tc>
          <w:tcPr>
            <w:tcW w:w="630" w:type="pct"/>
            <w:tcBorders>
              <w:top w:val="nil"/>
              <w:bottom w:val="nil"/>
            </w:tcBorders>
          </w:tcPr>
          <w:p w14:paraId="58454648" w14:textId="77777777" w:rsidR="00652235" w:rsidRPr="00652235" w:rsidRDefault="00652235" w:rsidP="00652235">
            <w:pPr>
              <w:pStyle w:val="Tabletext"/>
              <w:rPr>
                <w:szCs w:val="20"/>
              </w:rPr>
            </w:pPr>
          </w:p>
        </w:tc>
      </w:tr>
      <w:tr w:rsidR="00652235" w:rsidRPr="00652235" w14:paraId="53D17717" w14:textId="77777777" w:rsidTr="000B0156">
        <w:trPr>
          <w:trHeight w:val="300"/>
        </w:trPr>
        <w:tc>
          <w:tcPr>
            <w:tcW w:w="1851" w:type="pct"/>
            <w:tcBorders>
              <w:top w:val="nil"/>
            </w:tcBorders>
          </w:tcPr>
          <w:p w14:paraId="215AFD54" w14:textId="77777777" w:rsidR="00652235" w:rsidRPr="00652235" w:rsidRDefault="00652235" w:rsidP="00652235">
            <w:pPr>
              <w:pStyle w:val="Tabletext"/>
              <w:rPr>
                <w:szCs w:val="20"/>
              </w:rPr>
            </w:pPr>
            <w:r w:rsidRPr="00652235">
              <w:rPr>
                <w:szCs w:val="20"/>
              </w:rPr>
              <w:t>Cost to the MBS</w:t>
            </w:r>
          </w:p>
        </w:tc>
        <w:tc>
          <w:tcPr>
            <w:tcW w:w="629" w:type="pct"/>
            <w:tcBorders>
              <w:top w:val="nil"/>
            </w:tcBorders>
          </w:tcPr>
          <w:p w14:paraId="3AB54BDE" w14:textId="77777777" w:rsidR="00652235" w:rsidRPr="00652235" w:rsidRDefault="00652235" w:rsidP="00652235">
            <w:pPr>
              <w:pStyle w:val="Tabletext"/>
              <w:rPr>
                <w:szCs w:val="20"/>
              </w:rPr>
            </w:pPr>
            <w:r w:rsidRPr="00652235">
              <w:rPr>
                <w:szCs w:val="20"/>
              </w:rPr>
              <w:t>$0.00</w:t>
            </w:r>
          </w:p>
        </w:tc>
        <w:tc>
          <w:tcPr>
            <w:tcW w:w="630" w:type="pct"/>
            <w:tcBorders>
              <w:top w:val="nil"/>
            </w:tcBorders>
          </w:tcPr>
          <w:p w14:paraId="582C6102" w14:textId="77777777" w:rsidR="00652235" w:rsidRPr="00652235" w:rsidRDefault="00652235" w:rsidP="00652235">
            <w:pPr>
              <w:pStyle w:val="Tabletext"/>
              <w:rPr>
                <w:szCs w:val="20"/>
              </w:rPr>
            </w:pPr>
            <w:r w:rsidRPr="00652235">
              <w:rPr>
                <w:szCs w:val="20"/>
              </w:rPr>
              <w:t>$0.00</w:t>
            </w:r>
          </w:p>
        </w:tc>
        <w:tc>
          <w:tcPr>
            <w:tcW w:w="630" w:type="pct"/>
            <w:tcBorders>
              <w:top w:val="nil"/>
            </w:tcBorders>
          </w:tcPr>
          <w:p w14:paraId="39927001" w14:textId="77777777" w:rsidR="00652235" w:rsidRPr="00652235" w:rsidRDefault="00652235" w:rsidP="00652235">
            <w:pPr>
              <w:pStyle w:val="Tabletext"/>
              <w:rPr>
                <w:szCs w:val="20"/>
              </w:rPr>
            </w:pPr>
            <w:r w:rsidRPr="00652235">
              <w:rPr>
                <w:szCs w:val="20"/>
              </w:rPr>
              <w:t>$0.00</w:t>
            </w:r>
          </w:p>
        </w:tc>
        <w:tc>
          <w:tcPr>
            <w:tcW w:w="630" w:type="pct"/>
            <w:tcBorders>
              <w:top w:val="nil"/>
            </w:tcBorders>
          </w:tcPr>
          <w:p w14:paraId="41DFADE1" w14:textId="77777777" w:rsidR="00652235" w:rsidRPr="00652235" w:rsidRDefault="00652235" w:rsidP="00652235">
            <w:pPr>
              <w:pStyle w:val="Tabletext"/>
              <w:rPr>
                <w:szCs w:val="20"/>
              </w:rPr>
            </w:pPr>
            <w:r w:rsidRPr="00652235">
              <w:rPr>
                <w:szCs w:val="20"/>
              </w:rPr>
              <w:t>$0.00</w:t>
            </w:r>
          </w:p>
        </w:tc>
        <w:tc>
          <w:tcPr>
            <w:tcW w:w="630" w:type="pct"/>
            <w:tcBorders>
              <w:top w:val="nil"/>
            </w:tcBorders>
          </w:tcPr>
          <w:p w14:paraId="3D1E7092" w14:textId="77777777" w:rsidR="00652235" w:rsidRPr="00652235" w:rsidRDefault="00652235" w:rsidP="00652235">
            <w:pPr>
              <w:pStyle w:val="Tabletext"/>
              <w:rPr>
                <w:szCs w:val="20"/>
              </w:rPr>
            </w:pPr>
            <w:r w:rsidRPr="00652235">
              <w:rPr>
                <w:szCs w:val="20"/>
              </w:rPr>
              <w:t>$0.00</w:t>
            </w:r>
          </w:p>
        </w:tc>
      </w:tr>
      <w:tr w:rsidR="00652235" w:rsidRPr="00652235" w14:paraId="2F928EDE" w14:textId="77777777" w:rsidTr="000B0156">
        <w:trPr>
          <w:trHeight w:val="300"/>
        </w:trPr>
        <w:tc>
          <w:tcPr>
            <w:tcW w:w="1851" w:type="pct"/>
          </w:tcPr>
          <w:p w14:paraId="25D29655" w14:textId="77777777" w:rsidR="00652235" w:rsidRPr="00652235" w:rsidRDefault="00652235" w:rsidP="00652235">
            <w:pPr>
              <w:pStyle w:val="Tabletext"/>
              <w:rPr>
                <w:szCs w:val="20"/>
              </w:rPr>
            </w:pPr>
            <w:r w:rsidRPr="00652235">
              <w:rPr>
                <w:szCs w:val="20"/>
              </w:rPr>
              <w:t>Number of services</w:t>
            </w:r>
          </w:p>
        </w:tc>
        <w:tc>
          <w:tcPr>
            <w:tcW w:w="629" w:type="pct"/>
          </w:tcPr>
          <w:p w14:paraId="1ADE00B7" w14:textId="77777777" w:rsidR="00652235" w:rsidRPr="00652235" w:rsidRDefault="00652235" w:rsidP="00652235">
            <w:pPr>
              <w:pStyle w:val="Tabletext"/>
              <w:rPr>
                <w:szCs w:val="20"/>
              </w:rPr>
            </w:pPr>
            <w:r w:rsidRPr="00652235">
              <w:rPr>
                <w:szCs w:val="20"/>
              </w:rPr>
              <w:t>1,230</w:t>
            </w:r>
          </w:p>
        </w:tc>
        <w:tc>
          <w:tcPr>
            <w:tcW w:w="630" w:type="pct"/>
          </w:tcPr>
          <w:p w14:paraId="51CE2B0B" w14:textId="77777777" w:rsidR="00652235" w:rsidRPr="00652235" w:rsidRDefault="00652235" w:rsidP="00652235">
            <w:pPr>
              <w:pStyle w:val="Tabletext"/>
              <w:rPr>
                <w:szCs w:val="20"/>
              </w:rPr>
            </w:pPr>
            <w:r w:rsidRPr="00652235">
              <w:rPr>
                <w:szCs w:val="20"/>
              </w:rPr>
              <w:t>1,353</w:t>
            </w:r>
          </w:p>
        </w:tc>
        <w:tc>
          <w:tcPr>
            <w:tcW w:w="630" w:type="pct"/>
          </w:tcPr>
          <w:p w14:paraId="6D563888" w14:textId="77777777" w:rsidR="00652235" w:rsidRPr="00652235" w:rsidRDefault="00652235" w:rsidP="00652235">
            <w:pPr>
              <w:pStyle w:val="Tabletext"/>
              <w:rPr>
                <w:szCs w:val="20"/>
              </w:rPr>
            </w:pPr>
            <w:r w:rsidRPr="00652235">
              <w:rPr>
                <w:szCs w:val="20"/>
              </w:rPr>
              <w:t>1,488</w:t>
            </w:r>
          </w:p>
        </w:tc>
        <w:tc>
          <w:tcPr>
            <w:tcW w:w="630" w:type="pct"/>
          </w:tcPr>
          <w:p w14:paraId="1FC3BD0F" w14:textId="77777777" w:rsidR="00652235" w:rsidRPr="00652235" w:rsidRDefault="00652235" w:rsidP="00652235">
            <w:pPr>
              <w:pStyle w:val="Tabletext"/>
              <w:rPr>
                <w:szCs w:val="20"/>
              </w:rPr>
            </w:pPr>
            <w:r w:rsidRPr="00652235">
              <w:rPr>
                <w:szCs w:val="20"/>
              </w:rPr>
              <w:t>1,637</w:t>
            </w:r>
          </w:p>
        </w:tc>
        <w:tc>
          <w:tcPr>
            <w:tcW w:w="630" w:type="pct"/>
          </w:tcPr>
          <w:p w14:paraId="3338A179" w14:textId="77777777" w:rsidR="00652235" w:rsidRPr="00652235" w:rsidRDefault="00652235" w:rsidP="00652235">
            <w:pPr>
              <w:pStyle w:val="Tabletext"/>
              <w:rPr>
                <w:szCs w:val="20"/>
              </w:rPr>
            </w:pPr>
            <w:r w:rsidRPr="00652235">
              <w:rPr>
                <w:szCs w:val="20"/>
              </w:rPr>
              <w:t>1,800</w:t>
            </w:r>
          </w:p>
          <w:p w14:paraId="1E975B34" w14:textId="77777777" w:rsidR="00652235" w:rsidRPr="00652235" w:rsidRDefault="00652235" w:rsidP="00652235">
            <w:pPr>
              <w:pStyle w:val="Tabletext"/>
              <w:rPr>
                <w:szCs w:val="20"/>
              </w:rPr>
            </w:pPr>
            <w:r w:rsidRPr="00652235">
              <w:rPr>
                <w:iCs/>
                <w:szCs w:val="20"/>
              </w:rPr>
              <w:t>1,801</w:t>
            </w:r>
          </w:p>
        </w:tc>
      </w:tr>
      <w:tr w:rsidR="00652235" w:rsidRPr="00652235" w14:paraId="0315B479" w14:textId="77777777" w:rsidTr="000B0156">
        <w:trPr>
          <w:trHeight w:val="315"/>
        </w:trPr>
        <w:tc>
          <w:tcPr>
            <w:tcW w:w="1851" w:type="pct"/>
          </w:tcPr>
          <w:p w14:paraId="247F9E3C" w14:textId="77777777" w:rsidR="00652235" w:rsidRPr="00652235" w:rsidRDefault="00652235" w:rsidP="00652235">
            <w:pPr>
              <w:pStyle w:val="Tabletext"/>
              <w:rPr>
                <w:szCs w:val="20"/>
              </w:rPr>
            </w:pPr>
            <w:r w:rsidRPr="00652235">
              <w:rPr>
                <w:szCs w:val="20"/>
              </w:rPr>
              <w:t>Total</w:t>
            </w:r>
          </w:p>
        </w:tc>
        <w:tc>
          <w:tcPr>
            <w:tcW w:w="629" w:type="pct"/>
          </w:tcPr>
          <w:p w14:paraId="4EE6377E" w14:textId="77777777" w:rsidR="00652235" w:rsidRPr="00652235" w:rsidRDefault="00652235" w:rsidP="00652235">
            <w:pPr>
              <w:pStyle w:val="Tabletext"/>
              <w:rPr>
                <w:szCs w:val="20"/>
              </w:rPr>
            </w:pPr>
            <w:r w:rsidRPr="00652235">
              <w:rPr>
                <w:szCs w:val="20"/>
              </w:rPr>
              <w:t>$673,610</w:t>
            </w:r>
          </w:p>
        </w:tc>
        <w:tc>
          <w:tcPr>
            <w:tcW w:w="630" w:type="pct"/>
          </w:tcPr>
          <w:p w14:paraId="70EBB27D" w14:textId="77777777" w:rsidR="00652235" w:rsidRPr="00652235" w:rsidRDefault="00652235" w:rsidP="00652235">
            <w:pPr>
              <w:pStyle w:val="Tabletext"/>
              <w:rPr>
                <w:szCs w:val="20"/>
              </w:rPr>
            </w:pPr>
            <w:r w:rsidRPr="00652235">
              <w:rPr>
                <w:szCs w:val="20"/>
              </w:rPr>
              <w:t>$673,610</w:t>
            </w:r>
          </w:p>
        </w:tc>
        <w:tc>
          <w:tcPr>
            <w:tcW w:w="630" w:type="pct"/>
          </w:tcPr>
          <w:p w14:paraId="1D2B5DD3" w14:textId="77777777" w:rsidR="00652235" w:rsidRPr="00652235" w:rsidRDefault="00652235" w:rsidP="00652235">
            <w:pPr>
              <w:pStyle w:val="Tabletext"/>
              <w:rPr>
                <w:szCs w:val="20"/>
              </w:rPr>
            </w:pPr>
            <w:r w:rsidRPr="00652235">
              <w:rPr>
                <w:szCs w:val="20"/>
              </w:rPr>
              <w:t>$673,610</w:t>
            </w:r>
          </w:p>
        </w:tc>
        <w:tc>
          <w:tcPr>
            <w:tcW w:w="630" w:type="pct"/>
          </w:tcPr>
          <w:p w14:paraId="23BB173C" w14:textId="77777777" w:rsidR="00652235" w:rsidRPr="00652235" w:rsidRDefault="00652235" w:rsidP="00652235">
            <w:pPr>
              <w:pStyle w:val="Tabletext"/>
              <w:rPr>
                <w:szCs w:val="20"/>
              </w:rPr>
            </w:pPr>
            <w:r w:rsidRPr="00652235">
              <w:rPr>
                <w:szCs w:val="20"/>
              </w:rPr>
              <w:t>$673,610</w:t>
            </w:r>
          </w:p>
        </w:tc>
        <w:tc>
          <w:tcPr>
            <w:tcW w:w="630" w:type="pct"/>
          </w:tcPr>
          <w:p w14:paraId="5B771962" w14:textId="77777777" w:rsidR="00652235" w:rsidRPr="00652235" w:rsidRDefault="00652235" w:rsidP="00652235">
            <w:pPr>
              <w:pStyle w:val="Tabletext"/>
              <w:rPr>
                <w:szCs w:val="20"/>
              </w:rPr>
            </w:pPr>
            <w:r w:rsidRPr="00652235">
              <w:rPr>
                <w:szCs w:val="20"/>
              </w:rPr>
              <w:t>$673,610</w:t>
            </w:r>
          </w:p>
        </w:tc>
      </w:tr>
    </w:tbl>
    <w:p w14:paraId="47F3FC74" w14:textId="43C5D3E4" w:rsidR="00652235" w:rsidRPr="00C742CB" w:rsidRDefault="00652235" w:rsidP="00C11BBE">
      <w:pPr>
        <w:pStyle w:val="Tablenotes"/>
      </w:pPr>
      <w:r>
        <w:t>Source: T</w:t>
      </w:r>
      <w:r w:rsidR="00D2501B">
        <w:t>able 10, p28 of the commentary.</w:t>
      </w:r>
    </w:p>
    <w:p w14:paraId="1683EEBC" w14:textId="48D76043" w:rsidR="00652235" w:rsidRPr="000D6DCA" w:rsidRDefault="00652235" w:rsidP="00652235">
      <w:r>
        <w:t>The commentary noted that i</w:t>
      </w:r>
      <w:r w:rsidRPr="000D6DCA">
        <w:t>n estimating #1, the ADAR assumed that the number of services would remain the same over the projected period (</w:t>
      </w:r>
      <w:proofErr w:type="gramStart"/>
      <w:r w:rsidRPr="000D6DCA">
        <w:t>i.e.</w:t>
      </w:r>
      <w:proofErr w:type="gramEnd"/>
      <w:r w:rsidRPr="000D6DCA">
        <w:t xml:space="preserve"> 1,230 service per year), and so does not consider an increase in services due to population growth (which may not be reasonable).</w:t>
      </w:r>
      <w:r>
        <w:t xml:space="preserve"> </w:t>
      </w:r>
      <w:r w:rsidRPr="000D6DCA">
        <w:t xml:space="preserve">Furthermore, the approach taken does not </w:t>
      </w:r>
      <w:proofErr w:type="gramStart"/>
      <w:r w:rsidRPr="000D6DCA">
        <w:t>take into account</w:t>
      </w:r>
      <w:proofErr w:type="gramEnd"/>
      <w:r w:rsidRPr="000D6DCA">
        <w:t xml:space="preserve"> the generic nature of MBS item 36811. </w:t>
      </w:r>
      <w:r>
        <w:t>This item</w:t>
      </w:r>
      <w:r w:rsidRPr="000D6DCA">
        <w:t xml:space="preserve"> is not specific to PUL and is used for cystoscopy with insertion of any urethral prostheses. Given the three-fold proposed fee increase, use of this item in other indications may substantially increase.</w:t>
      </w:r>
    </w:p>
    <w:p w14:paraId="34B92CF1" w14:textId="7813BF54" w:rsidR="00652235" w:rsidRDefault="00652235" w:rsidP="00D2501B">
      <w:pPr>
        <w:spacing w:before="240"/>
      </w:pPr>
      <w:r w:rsidRPr="000D6DCA">
        <w:t>While the number of PUL services that would have occurred in the absence of the fee change was not estimated to change over the projected period, the total number of PUL services was estimated to increase by 10% per year.</w:t>
      </w:r>
      <w:r>
        <w:t xml:space="preserve"> No justification was provided for this estimate.</w:t>
      </w:r>
      <w:r w:rsidRPr="000D6DCA">
        <w:t xml:space="preserve"> This was comprised totally of services that would have switched from TURP to PUL (</w:t>
      </w:r>
      <w:proofErr w:type="gramStart"/>
      <w:r w:rsidRPr="000D6DCA">
        <w:t>i.e.</w:t>
      </w:r>
      <w:proofErr w:type="gramEnd"/>
      <w:r w:rsidRPr="000D6DCA">
        <w:t xml:space="preserve"> #2</w:t>
      </w:r>
      <w:r w:rsidR="00DB53F6">
        <w:t xml:space="preserve">, </w:t>
      </w:r>
      <w:r w:rsidR="00DB53F6" w:rsidRPr="00DB53F6">
        <w:t>Table 19</w:t>
      </w:r>
      <w:r w:rsidRPr="00DB53F6">
        <w:t>). However</w:t>
      </w:r>
      <w:r>
        <w:t>, the ADAR has not considered that some of these reduced TURP services would be displaced rather than replaced by PUL, due to reintervention. While the net difference in the rate of reintervention was considered in the cost-comparison analysis, this was not included in the</w:t>
      </w:r>
      <w:r w:rsidR="00D2501B">
        <w:t xml:space="preserve"> estimates of financial impact.</w:t>
      </w:r>
    </w:p>
    <w:p w14:paraId="2DEDE655" w14:textId="71872C54" w:rsidR="00652235" w:rsidRPr="00DB53F6" w:rsidRDefault="00652235" w:rsidP="00D2501B">
      <w:pPr>
        <w:spacing w:before="240"/>
      </w:pPr>
      <w:r w:rsidRPr="000D6DCA">
        <w:t>The 75% MBS Benefit is proposed to increase from $246.45 to $794.10 (</w:t>
      </w:r>
      <w:proofErr w:type="gramStart"/>
      <w:r w:rsidRPr="000D6DCA">
        <w:t>i.e.</w:t>
      </w:r>
      <w:proofErr w:type="gramEnd"/>
      <w:r w:rsidRPr="000D6DCA">
        <w:t xml:space="preserve"> $547.65 increase). In estimating the increase in cost to the MBS due to the proposed increase in the fee for MBS item 36811, the ADAR applied the difference in the 75% MBS Benefit (</w:t>
      </w:r>
      <w:proofErr w:type="gramStart"/>
      <w:r w:rsidRPr="000D6DCA">
        <w:t>i.e.</w:t>
      </w:r>
      <w:proofErr w:type="gramEnd"/>
      <w:r w:rsidRPr="000D6DCA">
        <w:t xml:space="preserve"> $547.65) to those patients who would have received PUL irrespective of the fee change (i.e. #1 </w:t>
      </w:r>
      <w:r w:rsidR="00DB53F6" w:rsidRPr="00DB53F6">
        <w:t>in Table 19).</w:t>
      </w:r>
      <w:r w:rsidRPr="00DB53F6">
        <w:t xml:space="preserve"> As the</w:t>
      </w:r>
      <w:r w:rsidRPr="000D6DCA">
        <w:t xml:space="preserve"> proposed MBS fee is the same as the current fee for TURP, no change </w:t>
      </w:r>
      <w:r w:rsidRPr="000D6DCA">
        <w:lastRenderedPageBreak/>
        <w:t xml:space="preserve">in the cost to the MBS </w:t>
      </w:r>
      <w:r w:rsidRPr="00DB53F6">
        <w:t>is applied for patients who switch from TURP to PUL (</w:t>
      </w:r>
      <w:proofErr w:type="gramStart"/>
      <w:r w:rsidRPr="00DB53F6">
        <w:t>i.e.</w:t>
      </w:r>
      <w:proofErr w:type="gramEnd"/>
      <w:r w:rsidRPr="00DB53F6">
        <w:t xml:space="preserve"> #2 </w:t>
      </w:r>
      <w:r w:rsidR="00DB53F6" w:rsidRPr="00DB53F6">
        <w:t>in Table 19)</w:t>
      </w:r>
      <w:r w:rsidRPr="00DB53F6">
        <w:t>.</w:t>
      </w:r>
    </w:p>
    <w:p w14:paraId="1AAA0D0B" w14:textId="6EEEB361" w:rsidR="00652235" w:rsidRDefault="00652235" w:rsidP="00D2501B">
      <w:pPr>
        <w:spacing w:before="240"/>
      </w:pPr>
      <w:r>
        <w:t>The pre-ESC response clarified that the ADAR assumed the highest possible number of PUL procedures</w:t>
      </w:r>
      <w:r w:rsidR="003F6C90">
        <w:t xml:space="preserve"> -</w:t>
      </w:r>
      <w:r>
        <w:t xml:space="preserve"> </w:t>
      </w:r>
      <w:r w:rsidR="003F6C90">
        <w:t>a</w:t>
      </w:r>
      <w:r>
        <w:t xml:space="preserve">ll claims on MBS Item 36811 - CYSTOSCOPY with insertion of urethral prosthesis </w:t>
      </w:r>
      <w:r w:rsidR="003F6C90">
        <w:t>were</w:t>
      </w:r>
      <w:r>
        <w:t xml:space="preserve"> all for PUL. The applicant noted that the commentary questioned the number of claims estimated. Moreover, the commentary stated that targeted consultation feedback from Private Healthcare Australia indicated that sales of the prostheses is approximately $2.7</w:t>
      </w:r>
      <w:r w:rsidR="008F0CB8">
        <w:t> </w:t>
      </w:r>
      <w:r>
        <w:t>million at present with the average number of prostheses implanted being 3.1 at a cost of $712 per prosthesis. The applicant noted that $2,700,000 divided by $712 divided by 3.1 gives a patient population of 1223 and that the ADAR used a patient population of 1230.</w:t>
      </w:r>
    </w:p>
    <w:p w14:paraId="22F8D1DD" w14:textId="1E2C609B" w:rsidR="00D2501B" w:rsidRPr="00D2501B" w:rsidRDefault="006A0D97" w:rsidP="00022111">
      <w:pPr>
        <w:pStyle w:val="Heading1"/>
      </w:pPr>
      <w:r w:rsidRPr="00F715D1">
        <w:t>Key issues from ESC for MSAC</w:t>
      </w:r>
    </w:p>
    <w:tbl>
      <w:tblPr>
        <w:tblStyle w:val="TableGrid3"/>
        <w:tblW w:w="9186" w:type="dxa"/>
        <w:tblLook w:val="04A0" w:firstRow="1" w:lastRow="0" w:firstColumn="1" w:lastColumn="0" w:noHBand="0" w:noVBand="1"/>
        <w:tblDescription w:val="Key issues identified by ESC for MSAC consideration"/>
      </w:tblPr>
      <w:tblGrid>
        <w:gridCol w:w="2830"/>
        <w:gridCol w:w="6356"/>
      </w:tblGrid>
      <w:tr w:rsidR="00652235" w:rsidRPr="00022111" w14:paraId="5E787850" w14:textId="77777777" w:rsidTr="00221228">
        <w:trPr>
          <w:cantSplit/>
          <w:tblHeader/>
        </w:trPr>
        <w:tc>
          <w:tcPr>
            <w:tcW w:w="2830" w:type="dxa"/>
          </w:tcPr>
          <w:p w14:paraId="40E483E5" w14:textId="77777777" w:rsidR="00652235" w:rsidRPr="00022111" w:rsidRDefault="00652235" w:rsidP="00022111">
            <w:pPr>
              <w:rPr>
                <w:rFonts w:ascii="Arial Narrow" w:hAnsi="Arial Narrow"/>
              </w:rPr>
            </w:pPr>
            <w:r w:rsidRPr="00022111">
              <w:rPr>
                <w:rFonts w:ascii="Arial Narrow" w:hAnsi="Arial Narrow"/>
              </w:rPr>
              <w:t>ESC key issue</w:t>
            </w:r>
          </w:p>
        </w:tc>
        <w:tc>
          <w:tcPr>
            <w:tcW w:w="6356" w:type="dxa"/>
          </w:tcPr>
          <w:p w14:paraId="19A4B31F" w14:textId="77777777" w:rsidR="00652235" w:rsidRPr="00022111" w:rsidRDefault="00652235" w:rsidP="00022111">
            <w:pPr>
              <w:rPr>
                <w:rFonts w:ascii="Arial Narrow" w:hAnsi="Arial Narrow"/>
              </w:rPr>
            </w:pPr>
            <w:r w:rsidRPr="00022111">
              <w:rPr>
                <w:rFonts w:ascii="Arial Narrow" w:hAnsi="Arial Narrow"/>
              </w:rPr>
              <w:t>ESC advice to MSAC</w:t>
            </w:r>
          </w:p>
        </w:tc>
      </w:tr>
      <w:tr w:rsidR="00652235" w:rsidRPr="00022111" w14:paraId="37E084CD" w14:textId="77777777" w:rsidTr="00022111">
        <w:trPr>
          <w:cantSplit/>
        </w:trPr>
        <w:tc>
          <w:tcPr>
            <w:tcW w:w="2830" w:type="dxa"/>
          </w:tcPr>
          <w:p w14:paraId="4EAC7CEA" w14:textId="77777777" w:rsidR="00652235" w:rsidRPr="00022111" w:rsidRDefault="00652235" w:rsidP="00022111">
            <w:pPr>
              <w:rPr>
                <w:rFonts w:ascii="Arial Narrow" w:hAnsi="Arial Narrow"/>
              </w:rPr>
            </w:pPr>
            <w:r w:rsidRPr="00022111">
              <w:rPr>
                <w:rFonts w:ascii="Arial Narrow" w:hAnsi="Arial Narrow"/>
              </w:rPr>
              <w:t>Current MBS item encompasses a range of services</w:t>
            </w:r>
          </w:p>
        </w:tc>
        <w:tc>
          <w:tcPr>
            <w:tcW w:w="6356" w:type="dxa"/>
          </w:tcPr>
          <w:p w14:paraId="4A40ED68" w14:textId="77777777" w:rsidR="00652235" w:rsidRPr="00022111" w:rsidRDefault="00652235" w:rsidP="00022111">
            <w:pPr>
              <w:rPr>
                <w:rFonts w:ascii="Arial Narrow" w:hAnsi="Arial Narrow"/>
              </w:rPr>
            </w:pPr>
            <w:r w:rsidRPr="00022111">
              <w:rPr>
                <w:rFonts w:ascii="Arial Narrow" w:hAnsi="Arial Narrow"/>
              </w:rPr>
              <w:t>A new MBS item specific to prostatic urethral lift may be appropriate if the fee increase is supported by MSAC.</w:t>
            </w:r>
          </w:p>
        </w:tc>
      </w:tr>
      <w:tr w:rsidR="00652235" w:rsidRPr="00022111" w14:paraId="3F25245D" w14:textId="77777777" w:rsidTr="00022111">
        <w:trPr>
          <w:cantSplit/>
        </w:trPr>
        <w:tc>
          <w:tcPr>
            <w:tcW w:w="2830" w:type="dxa"/>
          </w:tcPr>
          <w:p w14:paraId="3B537408" w14:textId="77777777" w:rsidR="00652235" w:rsidRPr="00022111" w:rsidRDefault="00652235" w:rsidP="00022111">
            <w:pPr>
              <w:rPr>
                <w:rFonts w:ascii="Arial Narrow" w:hAnsi="Arial Narrow"/>
              </w:rPr>
            </w:pPr>
            <w:r w:rsidRPr="00022111">
              <w:rPr>
                <w:rFonts w:ascii="Arial Narrow" w:hAnsi="Arial Narrow"/>
              </w:rPr>
              <w:t>PUL may not be non-inferior to TURP</w:t>
            </w:r>
          </w:p>
        </w:tc>
        <w:tc>
          <w:tcPr>
            <w:tcW w:w="6356" w:type="dxa"/>
          </w:tcPr>
          <w:p w14:paraId="0B971C4B" w14:textId="7DEE3B60" w:rsidR="00652235" w:rsidRPr="00022111" w:rsidRDefault="00652235" w:rsidP="00022111">
            <w:pPr>
              <w:rPr>
                <w:rFonts w:ascii="Arial Narrow" w:hAnsi="Arial Narrow"/>
              </w:rPr>
            </w:pPr>
            <w:r w:rsidRPr="00022111">
              <w:rPr>
                <w:rFonts w:ascii="Arial Narrow" w:hAnsi="Arial Narrow"/>
              </w:rPr>
              <w:t xml:space="preserve">The key direct comparative study, BPH6, used a composite outcome which biases the results against TURP. </w:t>
            </w:r>
            <w:proofErr w:type="gramStart"/>
            <w:r w:rsidRPr="00022111">
              <w:rPr>
                <w:rFonts w:ascii="Arial Narrow" w:hAnsi="Arial Narrow"/>
              </w:rPr>
              <w:t>However</w:t>
            </w:r>
            <w:proofErr w:type="gramEnd"/>
            <w:r w:rsidRPr="00022111">
              <w:rPr>
                <w:rFonts w:ascii="Arial Narrow" w:hAnsi="Arial Narrow"/>
              </w:rPr>
              <w:t xml:space="preserve"> PUL was statistically and clinically inferior to TURP on the clinically relevant measures of effectiveness: International Prostate Symptom Score and peak urine flow rate. For the safety outcomes relating to surgical outcomes and functioning, PUL has superior safety to TURP, particularly on measures of ejaculation. </w:t>
            </w:r>
            <w:r w:rsidRPr="008D65B5">
              <w:rPr>
                <w:rFonts w:ascii="Arial Narrow" w:hAnsi="Arial Narrow"/>
              </w:rPr>
              <w:t>However, the MBS already has previously noted that retrograde ejaculation is not considered a serious complication of TURP.</w:t>
            </w:r>
          </w:p>
        </w:tc>
      </w:tr>
      <w:tr w:rsidR="00652235" w:rsidRPr="00022111" w14:paraId="393A47E5" w14:textId="77777777" w:rsidTr="00022111">
        <w:trPr>
          <w:cantSplit/>
        </w:trPr>
        <w:tc>
          <w:tcPr>
            <w:tcW w:w="2830" w:type="dxa"/>
          </w:tcPr>
          <w:p w14:paraId="0EF0E9B1" w14:textId="77777777" w:rsidR="00652235" w:rsidRPr="00022111" w:rsidRDefault="00652235" w:rsidP="00022111">
            <w:pPr>
              <w:rPr>
                <w:rFonts w:ascii="Arial Narrow" w:hAnsi="Arial Narrow"/>
              </w:rPr>
            </w:pPr>
            <w:r w:rsidRPr="00022111">
              <w:rPr>
                <w:rFonts w:ascii="Arial Narrow" w:hAnsi="Arial Narrow"/>
              </w:rPr>
              <w:t>Non-inferiority claim vs VLAP is uncertain and not well supported.</w:t>
            </w:r>
          </w:p>
        </w:tc>
        <w:tc>
          <w:tcPr>
            <w:tcW w:w="6356" w:type="dxa"/>
          </w:tcPr>
          <w:p w14:paraId="4B41DFFA" w14:textId="262D68B8" w:rsidR="00652235" w:rsidRPr="00022111" w:rsidRDefault="00652235" w:rsidP="00022111">
            <w:pPr>
              <w:rPr>
                <w:rFonts w:ascii="Arial Narrow" w:hAnsi="Arial Narrow"/>
              </w:rPr>
            </w:pPr>
            <w:r w:rsidRPr="00022111">
              <w:rPr>
                <w:rFonts w:ascii="Arial Narrow" w:hAnsi="Arial Narrow"/>
              </w:rPr>
              <w:t>As there is no direct evidence comparing VLAP to PUL, the claim of non</w:t>
            </w:r>
            <w:r w:rsidR="000A49E8" w:rsidRPr="00022111">
              <w:rPr>
                <w:rFonts w:ascii="Arial Narrow" w:hAnsi="Arial Narrow"/>
              </w:rPr>
              <w:noBreakHyphen/>
            </w:r>
            <w:r w:rsidRPr="00022111">
              <w:rPr>
                <w:rFonts w:ascii="Arial Narrow" w:hAnsi="Arial Narrow"/>
              </w:rPr>
              <w:t>inferiority of PUL to VLAP rests on the MSAC advice that VLAP is non</w:t>
            </w:r>
            <w:r w:rsidR="000A49E8" w:rsidRPr="00022111">
              <w:rPr>
                <w:rFonts w:ascii="Arial Narrow" w:hAnsi="Arial Narrow"/>
              </w:rPr>
              <w:noBreakHyphen/>
            </w:r>
            <w:r w:rsidRPr="00022111">
              <w:rPr>
                <w:rFonts w:ascii="Arial Narrow" w:hAnsi="Arial Narrow"/>
              </w:rPr>
              <w:t>inferior to TURP. As the claim of non-inferiority to TURP is not well</w:t>
            </w:r>
            <w:r w:rsidR="000A49E8" w:rsidRPr="00022111">
              <w:rPr>
                <w:rFonts w:ascii="Arial Narrow" w:hAnsi="Arial Narrow"/>
              </w:rPr>
              <w:t xml:space="preserve"> </w:t>
            </w:r>
            <w:r w:rsidRPr="00022111">
              <w:rPr>
                <w:rFonts w:ascii="Arial Narrow" w:hAnsi="Arial Narrow"/>
              </w:rPr>
              <w:t>supported, neither is the claim of non-inferiority to VLAP.</w:t>
            </w:r>
          </w:p>
        </w:tc>
      </w:tr>
      <w:tr w:rsidR="00652235" w:rsidRPr="00022111" w:rsidDel="00075508" w14:paraId="738F53B2" w14:textId="77777777" w:rsidTr="00022111">
        <w:trPr>
          <w:cantSplit/>
        </w:trPr>
        <w:tc>
          <w:tcPr>
            <w:tcW w:w="2830" w:type="dxa"/>
          </w:tcPr>
          <w:p w14:paraId="0BE50060" w14:textId="77777777" w:rsidR="00652235" w:rsidRPr="00022111" w:rsidDel="00075508" w:rsidRDefault="00652235" w:rsidP="00022111">
            <w:pPr>
              <w:rPr>
                <w:rFonts w:ascii="Arial Narrow" w:hAnsi="Arial Narrow"/>
              </w:rPr>
            </w:pPr>
            <w:r w:rsidRPr="00022111">
              <w:rPr>
                <w:rFonts w:ascii="Arial Narrow" w:hAnsi="Arial Narrow"/>
              </w:rPr>
              <w:t>PUL may cost more than TURP or VLAP</w:t>
            </w:r>
          </w:p>
        </w:tc>
        <w:tc>
          <w:tcPr>
            <w:tcW w:w="6356" w:type="dxa"/>
          </w:tcPr>
          <w:p w14:paraId="6B4C10BB" w14:textId="77777777" w:rsidR="00652235" w:rsidRPr="00022111" w:rsidRDefault="00652235" w:rsidP="00022111">
            <w:pPr>
              <w:rPr>
                <w:rFonts w:ascii="Arial Narrow" w:hAnsi="Arial Narrow"/>
              </w:rPr>
            </w:pPr>
            <w:r w:rsidRPr="00022111">
              <w:rPr>
                <w:rFonts w:ascii="Arial Narrow" w:hAnsi="Arial Narrow"/>
              </w:rPr>
              <w:t>Overall</w:t>
            </w:r>
          </w:p>
          <w:p w14:paraId="602AB611" w14:textId="77777777" w:rsidR="00652235" w:rsidRPr="00022111" w:rsidRDefault="00652235" w:rsidP="00022111">
            <w:pPr>
              <w:rPr>
                <w:rFonts w:ascii="Arial Narrow" w:hAnsi="Arial Narrow"/>
              </w:rPr>
            </w:pPr>
            <w:r w:rsidRPr="00022111">
              <w:rPr>
                <w:rFonts w:ascii="Arial Narrow" w:hAnsi="Arial Narrow"/>
              </w:rPr>
              <w:t>The cost of reintervention for PUL is underestimated</w:t>
            </w:r>
          </w:p>
          <w:p w14:paraId="0CF55C06" w14:textId="6DB872A4" w:rsidR="00652235" w:rsidRPr="00022111" w:rsidRDefault="00652235" w:rsidP="00022111">
            <w:pPr>
              <w:rPr>
                <w:rFonts w:ascii="Arial Narrow" w:hAnsi="Arial Narrow"/>
              </w:rPr>
            </w:pPr>
            <w:r w:rsidRPr="00022111">
              <w:rPr>
                <w:rFonts w:ascii="Arial Narrow" w:hAnsi="Arial Narrow"/>
              </w:rPr>
              <w:t xml:space="preserve">The cost of PUL may be underestimated due to a lower number of prostheses used (4) than in the BPH6 trial that was used as the basis for </w:t>
            </w:r>
            <w:r w:rsidR="00022111">
              <w:rPr>
                <w:rFonts w:ascii="Arial Narrow" w:hAnsi="Arial Narrow"/>
              </w:rPr>
              <w:t>the non-inferiority claim (4.7)</w:t>
            </w:r>
          </w:p>
          <w:p w14:paraId="3BD81564" w14:textId="77777777" w:rsidR="00652235" w:rsidRPr="00022111" w:rsidRDefault="00652235" w:rsidP="00022111">
            <w:pPr>
              <w:spacing w:before="240"/>
              <w:rPr>
                <w:rFonts w:ascii="Arial Narrow" w:hAnsi="Arial Narrow"/>
              </w:rPr>
            </w:pPr>
            <w:r w:rsidRPr="00022111">
              <w:rPr>
                <w:rFonts w:ascii="Arial Narrow" w:hAnsi="Arial Narrow"/>
              </w:rPr>
              <w:t>Versus TURP</w:t>
            </w:r>
          </w:p>
          <w:p w14:paraId="6BB9748B" w14:textId="77777777" w:rsidR="00652235" w:rsidRPr="00022111" w:rsidRDefault="00652235" w:rsidP="00022111">
            <w:pPr>
              <w:rPr>
                <w:rFonts w:ascii="Arial Narrow" w:hAnsi="Arial Narrow"/>
              </w:rPr>
            </w:pPr>
            <w:r w:rsidRPr="00022111">
              <w:rPr>
                <w:rFonts w:ascii="Arial Narrow" w:hAnsi="Arial Narrow"/>
              </w:rPr>
              <w:t>the inclusion of major complications costs for TURP only where operative complications did not significantly differ between PUL and TURP in the BPH6 study;</w:t>
            </w:r>
          </w:p>
          <w:p w14:paraId="44B8E2D2" w14:textId="77777777" w:rsidR="00652235" w:rsidRPr="00022111" w:rsidRDefault="00652235" w:rsidP="00022111">
            <w:pPr>
              <w:rPr>
                <w:rFonts w:ascii="Arial Narrow" w:hAnsi="Arial Narrow"/>
              </w:rPr>
            </w:pPr>
            <w:r w:rsidRPr="00022111">
              <w:rPr>
                <w:rFonts w:ascii="Arial Narrow" w:hAnsi="Arial Narrow"/>
              </w:rPr>
              <w:t>the cost weight used to estimate the cost of major complications was outdated and overestimated the weighted cost</w:t>
            </w:r>
          </w:p>
          <w:p w14:paraId="03E2628B" w14:textId="77777777" w:rsidR="00652235" w:rsidRPr="00022111" w:rsidRDefault="00652235" w:rsidP="00022111">
            <w:pPr>
              <w:rPr>
                <w:rFonts w:ascii="Arial Narrow" w:hAnsi="Arial Narrow"/>
              </w:rPr>
            </w:pPr>
            <w:r w:rsidRPr="00022111">
              <w:rPr>
                <w:rFonts w:ascii="Arial Narrow" w:hAnsi="Arial Narrow"/>
              </w:rPr>
              <w:t xml:space="preserve">the cost of TURP disposable loops was omitted </w:t>
            </w:r>
          </w:p>
          <w:p w14:paraId="3AD9DDC8" w14:textId="0774534A" w:rsidR="00652235" w:rsidRPr="00022111" w:rsidRDefault="00652235" w:rsidP="00022111">
            <w:pPr>
              <w:rPr>
                <w:rFonts w:ascii="Arial Narrow" w:hAnsi="Arial Narrow"/>
              </w:rPr>
            </w:pPr>
            <w:r w:rsidRPr="00022111">
              <w:rPr>
                <w:rFonts w:ascii="Arial Narrow" w:hAnsi="Arial Narrow"/>
              </w:rPr>
              <w:t>ESC agreed the estimated length of hospital stay (2.56 days)</w:t>
            </w:r>
            <w:r w:rsidR="00022111">
              <w:rPr>
                <w:rFonts w:ascii="Arial Narrow" w:hAnsi="Arial Narrow"/>
              </w:rPr>
              <w:t xml:space="preserve"> for TURP is likely reasonable.</w:t>
            </w:r>
          </w:p>
          <w:p w14:paraId="531E064A" w14:textId="77777777" w:rsidR="00652235" w:rsidRPr="00022111" w:rsidRDefault="00652235" w:rsidP="00022111">
            <w:pPr>
              <w:spacing w:before="240"/>
              <w:rPr>
                <w:rFonts w:ascii="Arial Narrow" w:hAnsi="Arial Narrow"/>
              </w:rPr>
            </w:pPr>
            <w:r w:rsidRPr="00022111">
              <w:rPr>
                <w:rFonts w:ascii="Arial Narrow" w:hAnsi="Arial Narrow"/>
              </w:rPr>
              <w:t>Versus VLAP</w:t>
            </w:r>
          </w:p>
          <w:p w14:paraId="41E42D68" w14:textId="073BB650" w:rsidR="00652235" w:rsidRPr="00022111" w:rsidRDefault="00652235" w:rsidP="00022111">
            <w:pPr>
              <w:rPr>
                <w:rFonts w:ascii="Arial Narrow" w:hAnsi="Arial Narrow"/>
              </w:rPr>
            </w:pPr>
            <w:r w:rsidRPr="00022111">
              <w:rPr>
                <w:rFonts w:ascii="Arial Narrow" w:hAnsi="Arial Narrow"/>
              </w:rPr>
              <w:t xml:space="preserve">The cost of VLAP may be an overestimation due to the assumed capital and maintenance cost of $1,271.19 per procedure </w:t>
            </w:r>
          </w:p>
          <w:p w14:paraId="69AED787" w14:textId="77777777" w:rsidR="00652235" w:rsidRPr="00022111" w:rsidDel="00075508" w:rsidRDefault="00652235" w:rsidP="00022111">
            <w:pPr>
              <w:rPr>
                <w:rFonts w:ascii="Arial Narrow" w:hAnsi="Arial Narrow"/>
              </w:rPr>
            </w:pPr>
            <w:r w:rsidRPr="00022111">
              <w:rPr>
                <w:rFonts w:ascii="Arial Narrow" w:hAnsi="Arial Narrow"/>
              </w:rPr>
              <w:t>The assumption of a longer length of hospital stay with VLAP (2 days) relative to PUL (1 day) was not justified.</w:t>
            </w:r>
          </w:p>
        </w:tc>
      </w:tr>
      <w:tr w:rsidR="00652235" w:rsidRPr="00022111" w14:paraId="12107697" w14:textId="77777777" w:rsidTr="00022111">
        <w:trPr>
          <w:cantSplit/>
        </w:trPr>
        <w:tc>
          <w:tcPr>
            <w:tcW w:w="2830" w:type="dxa"/>
          </w:tcPr>
          <w:p w14:paraId="5C8AC4F4" w14:textId="77777777" w:rsidR="00652235" w:rsidRPr="00022111" w:rsidRDefault="00652235" w:rsidP="00022111">
            <w:pPr>
              <w:rPr>
                <w:rFonts w:ascii="Arial Narrow" w:hAnsi="Arial Narrow"/>
              </w:rPr>
            </w:pPr>
            <w:r w:rsidRPr="00022111">
              <w:rPr>
                <w:rFonts w:ascii="Arial Narrow" w:hAnsi="Arial Narrow"/>
              </w:rPr>
              <w:lastRenderedPageBreak/>
              <w:t xml:space="preserve">Financial estimates uncertain </w:t>
            </w:r>
          </w:p>
        </w:tc>
        <w:tc>
          <w:tcPr>
            <w:tcW w:w="6356" w:type="dxa"/>
          </w:tcPr>
          <w:p w14:paraId="52B2B70E" w14:textId="77777777" w:rsidR="00652235" w:rsidRPr="00022111" w:rsidRDefault="00652235" w:rsidP="00022111">
            <w:pPr>
              <w:rPr>
                <w:rFonts w:ascii="Arial Narrow" w:hAnsi="Arial Narrow"/>
              </w:rPr>
            </w:pPr>
            <w:r w:rsidRPr="00022111">
              <w:rPr>
                <w:rFonts w:ascii="Arial Narrow" w:hAnsi="Arial Narrow"/>
              </w:rPr>
              <w:t>The ADAR assumes that with the proposed fee increase, a proportion of patients would switch from TURP to PUL. However, the ADAR has not considered that some of these TURP services will be displaced, rather than replaced by PUL, as some patients will require subsequent reintervention by TURP. No change in the use of VLAP was assumed.</w:t>
            </w:r>
          </w:p>
          <w:p w14:paraId="2D257BF0" w14:textId="77777777" w:rsidR="00652235" w:rsidRPr="00022111" w:rsidRDefault="00652235" w:rsidP="00022111">
            <w:pPr>
              <w:rPr>
                <w:rFonts w:ascii="Arial Narrow" w:hAnsi="Arial Narrow"/>
              </w:rPr>
            </w:pPr>
            <w:r w:rsidRPr="00022111">
              <w:rPr>
                <w:rFonts w:ascii="Arial Narrow" w:hAnsi="Arial Narrow"/>
              </w:rPr>
              <w:t>The ESC considered the costs to the MBS were likely underestimated by the applicant.</w:t>
            </w:r>
          </w:p>
        </w:tc>
      </w:tr>
    </w:tbl>
    <w:p w14:paraId="14DF1F26" w14:textId="77777777" w:rsidR="006A0D97" w:rsidRPr="00022111" w:rsidRDefault="00F56D7F" w:rsidP="00022111">
      <w:pPr>
        <w:spacing w:before="240" w:after="240"/>
        <w:rPr>
          <w:b/>
        </w:rPr>
      </w:pPr>
      <w:r w:rsidRPr="00022111">
        <w:rPr>
          <w:b/>
        </w:rPr>
        <w:t>ESC discussion</w:t>
      </w:r>
    </w:p>
    <w:p w14:paraId="4EBABA30" w14:textId="0F77F188" w:rsidR="00652235" w:rsidRDefault="00652235" w:rsidP="00022111">
      <w:pPr>
        <w:rPr>
          <w:rFonts w:eastAsia="Calibri"/>
          <w:lang w:eastAsia="en-US"/>
        </w:rPr>
      </w:pPr>
      <w:r w:rsidRPr="00022111">
        <w:rPr>
          <w:rFonts w:eastAsia="Calibri"/>
        </w:rPr>
        <w:t>ESC noted that this application was a request to correct a claimed fee discrepancy (by</w:t>
      </w:r>
      <w:r>
        <w:rPr>
          <w:rFonts w:eastAsia="Calibri"/>
          <w:lang w:eastAsia="en-US"/>
        </w:rPr>
        <w:t xml:space="preserve"> seeking </w:t>
      </w:r>
      <w:r w:rsidRPr="00D71348">
        <w:rPr>
          <w:rFonts w:eastAsia="Calibri"/>
          <w:lang w:eastAsia="en-US"/>
        </w:rPr>
        <w:t>a</w:t>
      </w:r>
      <w:r>
        <w:rPr>
          <w:rFonts w:eastAsia="Calibri"/>
          <w:lang w:eastAsia="en-US"/>
        </w:rPr>
        <w:t xml:space="preserve"> fee</w:t>
      </w:r>
      <w:r w:rsidRPr="00D71348">
        <w:rPr>
          <w:rFonts w:eastAsia="Calibri"/>
          <w:lang w:eastAsia="en-US"/>
        </w:rPr>
        <w:t xml:space="preserve"> increase of 250%) for prostatic urethral lift (PUL), </w:t>
      </w:r>
      <w:r>
        <w:rPr>
          <w:rFonts w:eastAsia="Calibri"/>
          <w:lang w:eastAsia="en-US"/>
        </w:rPr>
        <w:t xml:space="preserve">following </w:t>
      </w:r>
      <w:r w:rsidRPr="00D71348">
        <w:rPr>
          <w:rFonts w:eastAsia="Calibri"/>
          <w:lang w:eastAsia="en-US"/>
        </w:rPr>
        <w:t>the March 2019 MSAC recommendation to increase the fee for a</w:t>
      </w:r>
      <w:r>
        <w:rPr>
          <w:rFonts w:eastAsia="Calibri"/>
          <w:lang w:eastAsia="en-US"/>
        </w:rPr>
        <w:t>n alternative procedure</w:t>
      </w:r>
      <w:r w:rsidRPr="00D71348">
        <w:rPr>
          <w:rFonts w:eastAsia="Calibri"/>
          <w:lang w:eastAsia="en-US"/>
        </w:rPr>
        <w:t xml:space="preserve"> – visual laser ablation of prostate (VLAP) [Application 1518]. </w:t>
      </w:r>
    </w:p>
    <w:p w14:paraId="6C85A4EB" w14:textId="6272A42C" w:rsidR="00652235" w:rsidRPr="00D71348" w:rsidRDefault="00652235" w:rsidP="0092251A">
      <w:pPr>
        <w:spacing w:before="240" w:after="240"/>
        <w:rPr>
          <w:color w:val="000000"/>
        </w:rPr>
      </w:pPr>
      <w:r w:rsidRPr="00D71348">
        <w:rPr>
          <w:color w:val="000000"/>
        </w:rPr>
        <w:t xml:space="preserve">ESC noted the consultation feedback from two professional groups, which supported the short-term benefits of PUL (a minimally invasive procedure resulting in reduced risks to sexual outcomes), but </w:t>
      </w:r>
      <w:r>
        <w:rPr>
          <w:color w:val="000000"/>
        </w:rPr>
        <w:t xml:space="preserve">that these professional organisations </w:t>
      </w:r>
      <w:r w:rsidRPr="00D71348">
        <w:rPr>
          <w:color w:val="000000"/>
        </w:rPr>
        <w:t>also acknowledged the lack of longer-term clinical effectiveness and safety</w:t>
      </w:r>
      <w:r>
        <w:rPr>
          <w:color w:val="000000"/>
        </w:rPr>
        <w:t xml:space="preserve"> information</w:t>
      </w:r>
      <w:r w:rsidRPr="00D71348">
        <w:rPr>
          <w:color w:val="000000"/>
        </w:rPr>
        <w:t>. ESC noted the</w:t>
      </w:r>
      <w:r>
        <w:rPr>
          <w:color w:val="000000"/>
        </w:rPr>
        <w:t>re</w:t>
      </w:r>
      <w:r w:rsidRPr="00D71348">
        <w:rPr>
          <w:color w:val="000000"/>
        </w:rPr>
        <w:t xml:space="preserve"> </w:t>
      </w:r>
      <w:r>
        <w:rPr>
          <w:color w:val="000000"/>
        </w:rPr>
        <w:t>was no</w:t>
      </w:r>
      <w:r w:rsidRPr="00D71348">
        <w:rPr>
          <w:color w:val="000000"/>
        </w:rPr>
        <w:t xml:space="preserve"> consumer feedback.</w:t>
      </w:r>
    </w:p>
    <w:p w14:paraId="5E14B146" w14:textId="77777777" w:rsidR="00652235" w:rsidRPr="00D71348" w:rsidRDefault="00652235" w:rsidP="00652235">
      <w:pPr>
        <w:spacing w:after="240"/>
        <w:rPr>
          <w:rFonts w:eastAsia="Calibri"/>
          <w:color w:val="000000"/>
          <w:lang w:eastAsia="en-US"/>
        </w:rPr>
      </w:pPr>
      <w:r w:rsidRPr="00D71348">
        <w:rPr>
          <w:rFonts w:eastAsia="Calibri"/>
          <w:color w:val="000000"/>
          <w:lang w:eastAsia="en-US"/>
        </w:rPr>
        <w:t xml:space="preserve">ESC agreed with the commentary that PUL would require a new Medicare Benefits Schedule (MBS) item number if </w:t>
      </w:r>
      <w:r>
        <w:rPr>
          <w:rFonts w:eastAsia="Calibri"/>
          <w:color w:val="000000"/>
          <w:lang w:eastAsia="en-US"/>
        </w:rPr>
        <w:t>the fee increase was supported</w:t>
      </w:r>
      <w:r w:rsidRPr="00D71348">
        <w:rPr>
          <w:rFonts w:eastAsia="Calibri"/>
          <w:color w:val="000000"/>
          <w:lang w:eastAsia="en-US"/>
        </w:rPr>
        <w:t>, as it is currently being billed under MBS item 36811 for cystoscopy with insertion of urethral prosthesis</w:t>
      </w:r>
      <w:r>
        <w:rPr>
          <w:rFonts w:eastAsia="Calibri"/>
          <w:color w:val="000000"/>
          <w:lang w:eastAsia="en-US"/>
        </w:rPr>
        <w:t xml:space="preserve">, and this is a generic MBS item that covers </w:t>
      </w:r>
      <w:proofErr w:type="gramStart"/>
      <w:r>
        <w:rPr>
          <w:rFonts w:eastAsia="Calibri"/>
          <w:color w:val="000000"/>
          <w:lang w:eastAsia="en-US"/>
        </w:rPr>
        <w:t>a number of</w:t>
      </w:r>
      <w:proofErr w:type="gramEnd"/>
      <w:r>
        <w:rPr>
          <w:rFonts w:eastAsia="Calibri"/>
          <w:color w:val="000000"/>
          <w:lang w:eastAsia="en-US"/>
        </w:rPr>
        <w:t xml:space="preserve"> procedures</w:t>
      </w:r>
      <w:r w:rsidRPr="00D71348">
        <w:rPr>
          <w:rFonts w:eastAsia="Calibri"/>
          <w:color w:val="000000"/>
          <w:lang w:eastAsia="en-US"/>
        </w:rPr>
        <w:t>.</w:t>
      </w:r>
    </w:p>
    <w:p w14:paraId="5AE1A577" w14:textId="77777777" w:rsidR="00652235" w:rsidRPr="0029055F" w:rsidRDefault="00652235" w:rsidP="00652235">
      <w:pPr>
        <w:rPr>
          <w:rFonts w:eastAsia="Calibri"/>
          <w:b/>
        </w:rPr>
      </w:pPr>
      <w:r w:rsidRPr="0029055F">
        <w:rPr>
          <w:rFonts w:eastAsia="Calibri"/>
        </w:rPr>
        <w:t xml:space="preserve">The ESC advised MSAC should consider whether </w:t>
      </w:r>
      <w:r>
        <w:rPr>
          <w:rFonts w:eastAsia="Calibri"/>
        </w:rPr>
        <w:t>any</w:t>
      </w:r>
      <w:r w:rsidRPr="0029055F">
        <w:rPr>
          <w:rFonts w:eastAsia="Calibri"/>
        </w:rPr>
        <w:t xml:space="preserve"> </w:t>
      </w:r>
      <w:r>
        <w:rPr>
          <w:rFonts w:eastAsia="Calibri"/>
        </w:rPr>
        <w:t>new</w:t>
      </w:r>
      <w:r w:rsidRPr="0029055F">
        <w:rPr>
          <w:rFonts w:eastAsia="Calibri"/>
        </w:rPr>
        <w:t xml:space="preserve"> MBS item descriptor</w:t>
      </w:r>
      <w:r>
        <w:rPr>
          <w:rFonts w:eastAsia="Calibri"/>
        </w:rPr>
        <w:t xml:space="preserve"> for this procedure</w:t>
      </w:r>
      <w:r w:rsidRPr="0029055F">
        <w:rPr>
          <w:rFonts w:eastAsia="Calibri"/>
        </w:rPr>
        <w:t xml:space="preserve"> should include the following clinical criteria in addition to describing the procedure as “CYSTOSCOPY with insertion of urethral prostheses for the treatment of BPH in men”</w:t>
      </w:r>
    </w:p>
    <w:p w14:paraId="1D95BAAC" w14:textId="77777777" w:rsidR="00652235" w:rsidRPr="00652235" w:rsidRDefault="00652235" w:rsidP="00D70B59">
      <w:pPr>
        <w:pStyle w:val="ListParagraph"/>
        <w:numPr>
          <w:ilvl w:val="0"/>
          <w:numId w:val="14"/>
        </w:numPr>
        <w:rPr>
          <w:rFonts w:eastAsia="Calibri"/>
          <w:b/>
        </w:rPr>
      </w:pPr>
      <w:r w:rsidRPr="00652235">
        <w:rPr>
          <w:rFonts w:eastAsia="Calibri"/>
        </w:rPr>
        <w:t>Aged &gt; 50 years;</w:t>
      </w:r>
    </w:p>
    <w:p w14:paraId="1427164E" w14:textId="77777777" w:rsidR="00652235" w:rsidRPr="00652235" w:rsidRDefault="00652235" w:rsidP="00D70B59">
      <w:pPr>
        <w:pStyle w:val="ListParagraph"/>
        <w:numPr>
          <w:ilvl w:val="0"/>
          <w:numId w:val="14"/>
        </w:numPr>
        <w:rPr>
          <w:rFonts w:eastAsia="Calibri"/>
          <w:b/>
        </w:rPr>
      </w:pPr>
      <w:r w:rsidRPr="00652235">
        <w:rPr>
          <w:rFonts w:eastAsia="Calibri"/>
        </w:rPr>
        <w:t xml:space="preserve">IPSS &gt; 12, noting this would allow patients with less severe symptoms of benign prostatic hyperplasia (BPH) to be eligible for the procedure; </w:t>
      </w:r>
    </w:p>
    <w:p w14:paraId="28D0A3EF" w14:textId="68C75DE0" w:rsidR="00652235" w:rsidRPr="00022111" w:rsidRDefault="00652235" w:rsidP="00652235">
      <w:pPr>
        <w:pStyle w:val="ListParagraph"/>
        <w:numPr>
          <w:ilvl w:val="0"/>
          <w:numId w:val="14"/>
        </w:numPr>
        <w:rPr>
          <w:rFonts w:eastAsia="Calibri"/>
        </w:rPr>
      </w:pPr>
      <w:r w:rsidRPr="00652235">
        <w:rPr>
          <w:rFonts w:eastAsia="Calibri"/>
        </w:rPr>
        <w:t xml:space="preserve">Prostate Volume &lt; 80 mL </w:t>
      </w:r>
      <w:r w:rsidRPr="00647DCD">
        <w:rPr>
          <w:rFonts w:eastAsia="Calibri"/>
        </w:rPr>
        <w:t xml:space="preserve">in line </w:t>
      </w:r>
      <w:proofErr w:type="gramStart"/>
      <w:r w:rsidRPr="00647DCD">
        <w:rPr>
          <w:rFonts w:eastAsia="Calibri"/>
        </w:rPr>
        <w:t>with</w:t>
      </w:r>
      <w:r w:rsidRPr="00454BA5">
        <w:t xml:space="preserve"> </w:t>
      </w:r>
      <w:r w:rsidRPr="00652235">
        <w:rPr>
          <w:rFonts w:eastAsia="Calibri"/>
        </w:rPr>
        <w:t>in</w:t>
      </w:r>
      <w:proofErr w:type="gramEnd"/>
      <w:r w:rsidRPr="00652235">
        <w:rPr>
          <w:rFonts w:eastAsia="Calibri"/>
        </w:rPr>
        <w:t xml:space="preserve"> line with international guidelines and the applicant’s own website for </w:t>
      </w:r>
      <w:proofErr w:type="spellStart"/>
      <w:r w:rsidRPr="00652235">
        <w:rPr>
          <w:rFonts w:eastAsia="Calibri"/>
        </w:rPr>
        <w:t>UroLift</w:t>
      </w:r>
      <w:proofErr w:type="spellEnd"/>
      <w:r w:rsidRPr="00652235">
        <w:rPr>
          <w:rFonts w:eastAsia="Calibri"/>
        </w:rPr>
        <w:t>®; or &lt;100 mL in line with TGA approval.</w:t>
      </w:r>
    </w:p>
    <w:p w14:paraId="66792574" w14:textId="27B24280" w:rsidR="00652235" w:rsidRDefault="00652235" w:rsidP="00022111">
      <w:pPr>
        <w:spacing w:before="240"/>
        <w:rPr>
          <w:rFonts w:eastAsia="Calibri"/>
          <w:lang w:eastAsia="en-US"/>
        </w:rPr>
      </w:pPr>
      <w:r>
        <w:rPr>
          <w:rFonts w:eastAsia="Calibri"/>
          <w:lang w:eastAsia="en-US"/>
        </w:rPr>
        <w:t>The ESC noted that MSAC had considered whether to include patient eligibility criteria in the MBS item for VLAP (level of symptoms, prostate size, use of anticoagulants) during its review of the fee for that procedure in March 2019 [MSAC 1518].  On that occasion, MSAC advised against including patient eligibility cr</w:t>
      </w:r>
      <w:r w:rsidR="00022111">
        <w:rPr>
          <w:rFonts w:eastAsia="Calibri"/>
          <w:lang w:eastAsia="en-US"/>
        </w:rPr>
        <w:t>iteria in the item description.</w:t>
      </w:r>
    </w:p>
    <w:p w14:paraId="509EC0D6" w14:textId="77777777" w:rsidR="00652235" w:rsidRDefault="00652235" w:rsidP="00022111">
      <w:pPr>
        <w:spacing w:before="240" w:after="240"/>
        <w:rPr>
          <w:rFonts w:eastAsia="Calibri"/>
          <w:color w:val="000000"/>
          <w:lang w:eastAsia="en-US"/>
        </w:rPr>
      </w:pPr>
      <w:r>
        <w:rPr>
          <w:rFonts w:eastAsia="Calibri"/>
          <w:color w:val="000000"/>
          <w:lang w:eastAsia="en-US"/>
        </w:rPr>
        <w:t xml:space="preserve">ESC agreed that </w:t>
      </w:r>
      <w:r w:rsidRPr="006B0304">
        <w:rPr>
          <w:rFonts w:eastAsia="Calibri"/>
          <w:color w:val="000000"/>
          <w:lang w:eastAsia="en-US"/>
        </w:rPr>
        <w:t xml:space="preserve">transurethral resection of the prostate </w:t>
      </w:r>
      <w:r>
        <w:rPr>
          <w:rFonts w:eastAsia="Calibri"/>
          <w:color w:val="000000"/>
          <w:lang w:eastAsia="en-US"/>
        </w:rPr>
        <w:t>(TURP) and VLAP are appropriate main comparators for PUL.</w:t>
      </w:r>
    </w:p>
    <w:p w14:paraId="7558A895" w14:textId="566478C3" w:rsidR="00652235" w:rsidRDefault="00652235" w:rsidP="00652235">
      <w:pPr>
        <w:spacing w:after="240"/>
        <w:rPr>
          <w:rFonts w:eastAsia="Calibri"/>
          <w:color w:val="000000"/>
          <w:lang w:eastAsia="en-US"/>
        </w:rPr>
      </w:pPr>
      <w:r>
        <w:rPr>
          <w:rFonts w:eastAsia="Calibri"/>
          <w:color w:val="000000"/>
          <w:lang w:eastAsia="en-US"/>
        </w:rPr>
        <w:t>ESC noted the commentary suggested PUL could also be compared with TUMT or TUNA but agreed these procedures are rarely claimed in contemporary Australian practice so these comparisons would not be informative for MSAC. On the other hand, a comparison with</w:t>
      </w:r>
      <w:r w:rsidRPr="00320691">
        <w:rPr>
          <w:rFonts w:eastAsia="Calibri"/>
          <w:color w:val="000000"/>
          <w:lang w:eastAsia="en-US"/>
        </w:rPr>
        <w:t xml:space="preserve"> transurethral water ablation (TUWA)</w:t>
      </w:r>
      <w:r>
        <w:rPr>
          <w:rFonts w:eastAsia="Calibri"/>
          <w:color w:val="000000"/>
          <w:lang w:eastAsia="en-US"/>
        </w:rPr>
        <w:t xml:space="preserve"> may be informative for MSAC as the use of this procedure is growing and an application seeking on-going subsidy for TUWA is also being considered at the July 2020 MSAC (see MSAC </w:t>
      </w:r>
      <w:r w:rsidR="000A49E8">
        <w:rPr>
          <w:rFonts w:eastAsia="Calibri"/>
          <w:color w:val="000000"/>
          <w:lang w:eastAsia="en-US"/>
        </w:rPr>
        <w:t xml:space="preserve">application </w:t>
      </w:r>
      <w:r>
        <w:rPr>
          <w:rFonts w:eastAsia="Calibri"/>
          <w:color w:val="000000"/>
          <w:lang w:eastAsia="en-US"/>
        </w:rPr>
        <w:t>1586).</w:t>
      </w:r>
    </w:p>
    <w:p w14:paraId="214ABA63" w14:textId="617796FC" w:rsidR="00652235" w:rsidRPr="00022111" w:rsidRDefault="00652235" w:rsidP="00652235">
      <w:r>
        <w:rPr>
          <w:rFonts w:eastAsia="Calibri"/>
          <w:color w:val="000000"/>
          <w:lang w:eastAsia="en-US"/>
        </w:rPr>
        <w:lastRenderedPageBreak/>
        <w:t xml:space="preserve">ESC noted the safety and effectiveness comparisons for PUL with TURP or VLAP were primarily informed by two clinical studies: </w:t>
      </w:r>
      <w:r>
        <w:t>BPH6 and</w:t>
      </w:r>
      <w:r w:rsidRPr="00D4537A">
        <w:t xml:space="preserve"> GOLIATH</w:t>
      </w:r>
      <w:r>
        <w:t>.</w:t>
      </w:r>
    </w:p>
    <w:p w14:paraId="4ADD3524" w14:textId="366B30C2" w:rsidR="00652235" w:rsidRPr="00D71348" w:rsidRDefault="00652235" w:rsidP="00BF3E59">
      <w:pPr>
        <w:spacing w:before="240" w:after="240"/>
        <w:rPr>
          <w:rFonts w:eastAsia="Calibri"/>
          <w:color w:val="000000"/>
          <w:lang w:eastAsia="en-US"/>
        </w:rPr>
      </w:pPr>
      <w:r w:rsidRPr="00D71348">
        <w:rPr>
          <w:rFonts w:eastAsia="Calibri"/>
          <w:color w:val="000000"/>
          <w:lang w:eastAsia="en-US"/>
        </w:rPr>
        <w:t xml:space="preserve">ESC agreed with the commentary’s assessment that PUL’s safety was superior to TURP based on the BPH6 study. ESC highlighted that the </w:t>
      </w:r>
      <w:r>
        <w:rPr>
          <w:rFonts w:eastAsia="Calibri"/>
          <w:color w:val="000000"/>
          <w:lang w:eastAsia="en-US"/>
        </w:rPr>
        <w:t xml:space="preserve">ADAR </w:t>
      </w:r>
      <w:r w:rsidRPr="00D71348">
        <w:rPr>
          <w:rFonts w:eastAsia="Calibri"/>
          <w:color w:val="000000"/>
          <w:lang w:eastAsia="en-US"/>
        </w:rPr>
        <w:t>did not include any studies directly</w:t>
      </w:r>
      <w:r>
        <w:rPr>
          <w:rFonts w:eastAsia="Calibri"/>
          <w:color w:val="000000"/>
          <w:lang w:eastAsia="en-US"/>
        </w:rPr>
        <w:t>, or indirectly,</w:t>
      </w:r>
      <w:r w:rsidRPr="00D71348">
        <w:rPr>
          <w:rFonts w:eastAsia="Calibri"/>
          <w:color w:val="000000"/>
          <w:lang w:eastAsia="en-US"/>
        </w:rPr>
        <w:t xml:space="preserve"> comparing PUL to VLAP. Thus, </w:t>
      </w:r>
      <w:r>
        <w:rPr>
          <w:rFonts w:eastAsia="Calibri"/>
          <w:color w:val="000000"/>
          <w:lang w:eastAsia="en-US"/>
        </w:rPr>
        <w:t xml:space="preserve">ESC could not comment on the comparative </w:t>
      </w:r>
      <w:r w:rsidRPr="00D71348">
        <w:rPr>
          <w:rFonts w:eastAsia="Calibri"/>
          <w:color w:val="000000"/>
          <w:lang w:eastAsia="en-US"/>
        </w:rPr>
        <w:t>safety of PUL with VLAP</w:t>
      </w:r>
      <w:r>
        <w:rPr>
          <w:rFonts w:eastAsia="Calibri"/>
          <w:color w:val="000000"/>
          <w:lang w:eastAsia="en-US"/>
        </w:rPr>
        <w:t xml:space="preserve">. </w:t>
      </w:r>
    </w:p>
    <w:p w14:paraId="234C835E" w14:textId="77777777" w:rsidR="00652235" w:rsidRPr="00D71348" w:rsidRDefault="00652235" w:rsidP="00652235">
      <w:pPr>
        <w:spacing w:after="240"/>
        <w:rPr>
          <w:rFonts w:eastAsia="Calibri"/>
          <w:color w:val="000000"/>
          <w:lang w:eastAsia="en-US"/>
        </w:rPr>
      </w:pPr>
      <w:r w:rsidRPr="009153BE">
        <w:rPr>
          <w:rFonts w:eastAsia="Calibri"/>
          <w:color w:val="000000"/>
          <w:lang w:eastAsia="en-US"/>
        </w:rPr>
        <w:t>ESC acknowledged the uncertainty in the</w:t>
      </w:r>
      <w:r>
        <w:rPr>
          <w:rFonts w:eastAsia="Calibri"/>
          <w:color w:val="000000"/>
          <w:lang w:eastAsia="en-US"/>
        </w:rPr>
        <w:t xml:space="preserve"> claim of </w:t>
      </w:r>
      <w:r w:rsidRPr="009153BE">
        <w:rPr>
          <w:rFonts w:eastAsia="Calibri"/>
          <w:color w:val="000000"/>
          <w:lang w:eastAsia="en-US"/>
        </w:rPr>
        <w:t>non-inferior</w:t>
      </w:r>
      <w:r>
        <w:rPr>
          <w:rFonts w:eastAsia="Calibri"/>
          <w:color w:val="000000"/>
          <w:lang w:eastAsia="en-US"/>
        </w:rPr>
        <w:t xml:space="preserve"> effectiveness</w:t>
      </w:r>
      <w:r w:rsidRPr="009153BE">
        <w:rPr>
          <w:rFonts w:eastAsia="Calibri"/>
          <w:color w:val="000000"/>
          <w:lang w:eastAsia="en-US"/>
        </w:rPr>
        <w:t xml:space="preserve"> claim when comparing PUL with transurethral resection of the prostate (TURP), </w:t>
      </w:r>
      <w:r w:rsidRPr="00425226">
        <w:rPr>
          <w:rFonts w:eastAsia="Calibri"/>
          <w:color w:val="000000"/>
          <w:lang w:eastAsia="en-US"/>
        </w:rPr>
        <w:t xml:space="preserve">as the only direct randomised trial, BPH6, was </w:t>
      </w:r>
      <w:r w:rsidRPr="00DA6746">
        <w:rPr>
          <w:rFonts w:eastAsia="Calibri"/>
          <w:color w:val="000000"/>
          <w:lang w:eastAsia="en-US"/>
        </w:rPr>
        <w:t xml:space="preserve">sponsored by </w:t>
      </w:r>
      <w:proofErr w:type="spellStart"/>
      <w:r w:rsidRPr="00DA6746">
        <w:rPr>
          <w:rFonts w:eastAsia="Calibri"/>
          <w:color w:val="000000"/>
          <w:lang w:eastAsia="en-US"/>
        </w:rPr>
        <w:t>UroLift</w:t>
      </w:r>
      <w:proofErr w:type="spellEnd"/>
      <w:r w:rsidRPr="00DA6746">
        <w:rPr>
          <w:rFonts w:eastAsia="Calibri"/>
          <w:color w:val="000000"/>
          <w:lang w:eastAsia="en-US"/>
        </w:rPr>
        <w:t xml:space="preserve">® and had as its primary outcome, a composite measure that was made up of five safety-orientated endpoints and one efficacy-oriented endpoint, which likely biased the study against TURP. However, the comparative effectiveness data </w:t>
      </w:r>
      <w:r w:rsidRPr="00425226">
        <w:rPr>
          <w:rFonts w:eastAsia="Calibri"/>
          <w:color w:val="000000"/>
          <w:lang w:eastAsia="en-US"/>
        </w:rPr>
        <w:t xml:space="preserve">from this study favoured TURP with the 24-month results for IPSS and </w:t>
      </w:r>
      <w:proofErr w:type="spellStart"/>
      <w:r w:rsidRPr="00425226">
        <w:rPr>
          <w:rFonts w:eastAsia="Calibri"/>
          <w:color w:val="000000"/>
          <w:lang w:eastAsia="en-US"/>
        </w:rPr>
        <w:t>Qmax</w:t>
      </w:r>
      <w:proofErr w:type="spellEnd"/>
      <w:r w:rsidRPr="00425226">
        <w:rPr>
          <w:rFonts w:eastAsia="Calibri"/>
          <w:color w:val="000000"/>
          <w:lang w:eastAsia="en-US"/>
        </w:rPr>
        <w:t xml:space="preserve"> both showing clinically and stati</w:t>
      </w:r>
      <w:r>
        <w:rPr>
          <w:rFonts w:eastAsia="Calibri"/>
          <w:color w:val="000000"/>
          <w:lang w:eastAsia="en-US"/>
        </w:rPr>
        <w:t>sti</w:t>
      </w:r>
      <w:r w:rsidRPr="00425226">
        <w:rPr>
          <w:rFonts w:eastAsia="Calibri"/>
          <w:color w:val="000000"/>
          <w:lang w:eastAsia="en-US"/>
        </w:rPr>
        <w:t>cally significant differences in favour of TURP.</w:t>
      </w:r>
      <w:r w:rsidRPr="00D71348">
        <w:rPr>
          <w:rFonts w:eastAsia="Calibri"/>
          <w:color w:val="000000"/>
          <w:lang w:eastAsia="en-US"/>
        </w:rPr>
        <w:t xml:space="preserve"> </w:t>
      </w:r>
    </w:p>
    <w:p w14:paraId="5F51825B" w14:textId="3D3F57DE" w:rsidR="00652235" w:rsidRDefault="00652235" w:rsidP="00652235">
      <w:pPr>
        <w:pStyle w:val="Tabletext"/>
        <w:rPr>
          <w:rFonts w:ascii="Times New Roman" w:eastAsia="Calibri" w:hAnsi="Times New Roman"/>
          <w:color w:val="000000"/>
          <w:sz w:val="24"/>
          <w:szCs w:val="20"/>
        </w:rPr>
      </w:pPr>
      <w:r w:rsidRPr="00E41A38">
        <w:rPr>
          <w:rFonts w:ascii="Times New Roman" w:eastAsia="Calibri" w:hAnsi="Times New Roman"/>
          <w:color w:val="000000"/>
          <w:sz w:val="24"/>
          <w:szCs w:val="20"/>
        </w:rPr>
        <w:t>ESC noted the re-intervention rate in the BPH6 study at 2-years was 13.6% for PUL and</w:t>
      </w:r>
      <w:r w:rsidRPr="002A1F06">
        <w:rPr>
          <w:rFonts w:ascii="Times New Roman" w:eastAsia="Calibri" w:hAnsi="Times New Roman"/>
          <w:color w:val="000000"/>
          <w:sz w:val="24"/>
          <w:szCs w:val="20"/>
        </w:rPr>
        <w:t xml:space="preserve"> 5.7% for</w:t>
      </w:r>
      <w:r w:rsidRPr="00DA6746">
        <w:rPr>
          <w:rFonts w:ascii="Times New Roman" w:eastAsia="Calibri" w:hAnsi="Times New Roman"/>
          <w:color w:val="000000"/>
          <w:sz w:val="24"/>
          <w:szCs w:val="20"/>
        </w:rPr>
        <w:t xml:space="preserve"> TURP (see Table 5). The ESC considered the observed difference in re-intervention rate also supports a conclusion of superior ef</w:t>
      </w:r>
      <w:r w:rsidR="00022111">
        <w:rPr>
          <w:rFonts w:ascii="Times New Roman" w:eastAsia="Calibri" w:hAnsi="Times New Roman"/>
          <w:color w:val="000000"/>
          <w:sz w:val="24"/>
          <w:szCs w:val="20"/>
        </w:rPr>
        <w:t>fectiveness for TURP over PUL.</w:t>
      </w:r>
    </w:p>
    <w:p w14:paraId="6506FD86" w14:textId="5D61AF80" w:rsidR="00652235" w:rsidRPr="00E41A38" w:rsidRDefault="00652235" w:rsidP="00022111">
      <w:pPr>
        <w:pStyle w:val="Tabletext"/>
        <w:spacing w:before="240" w:after="240"/>
        <w:rPr>
          <w:rFonts w:ascii="Times New Roman" w:eastAsia="Calibri" w:hAnsi="Times New Roman"/>
          <w:color w:val="000000"/>
          <w:sz w:val="24"/>
          <w:szCs w:val="20"/>
        </w:rPr>
      </w:pPr>
      <w:r>
        <w:rPr>
          <w:rFonts w:ascii="Times New Roman" w:eastAsia="Calibri" w:hAnsi="Times New Roman"/>
          <w:color w:val="000000"/>
          <w:sz w:val="24"/>
          <w:szCs w:val="20"/>
        </w:rPr>
        <w:t>The ESC noted that in the pre</w:t>
      </w:r>
      <w:r w:rsidRPr="00566E7E">
        <w:rPr>
          <w:rFonts w:ascii="Times New Roman" w:eastAsia="Calibri" w:hAnsi="Times New Roman"/>
          <w:color w:val="000000"/>
          <w:sz w:val="24"/>
          <w:szCs w:val="20"/>
        </w:rPr>
        <w:t>-ESC response, the applicant re-iterated that the BPH6 study concluded that PUL was clinically non-inferior to TURP using a composite endpoint. However</w:t>
      </w:r>
      <w:r>
        <w:rPr>
          <w:rFonts w:ascii="Times New Roman" w:eastAsia="Calibri" w:hAnsi="Times New Roman"/>
          <w:color w:val="000000"/>
          <w:sz w:val="24"/>
          <w:szCs w:val="20"/>
        </w:rPr>
        <w:t>,</w:t>
      </w:r>
      <w:r w:rsidRPr="00566E7E">
        <w:rPr>
          <w:rFonts w:ascii="Times New Roman" w:eastAsia="Calibri" w:hAnsi="Times New Roman"/>
          <w:color w:val="000000"/>
          <w:sz w:val="24"/>
          <w:szCs w:val="20"/>
        </w:rPr>
        <w:t xml:space="preserve"> ESC considered this conclusion was not well supported by the results for othe</w:t>
      </w:r>
      <w:r w:rsidR="00022111">
        <w:rPr>
          <w:rFonts w:ascii="Times New Roman" w:eastAsia="Calibri" w:hAnsi="Times New Roman"/>
          <w:color w:val="000000"/>
          <w:sz w:val="24"/>
          <w:szCs w:val="20"/>
        </w:rPr>
        <w:t>r outcomes as described above.</w:t>
      </w:r>
    </w:p>
    <w:p w14:paraId="1D0BFD4D" w14:textId="209372E2" w:rsidR="00652235" w:rsidRDefault="00652235" w:rsidP="00652235">
      <w:pPr>
        <w:pStyle w:val="Tabletext"/>
        <w:rPr>
          <w:rFonts w:ascii="Times New Roman" w:eastAsia="Calibri" w:hAnsi="Times New Roman"/>
          <w:color w:val="000000"/>
          <w:sz w:val="24"/>
          <w:szCs w:val="20"/>
        </w:rPr>
      </w:pPr>
      <w:r w:rsidRPr="001B39D6">
        <w:rPr>
          <w:rFonts w:ascii="Times New Roman" w:eastAsia="Calibri" w:hAnsi="Times New Roman"/>
          <w:color w:val="000000"/>
          <w:sz w:val="24"/>
          <w:szCs w:val="20"/>
        </w:rPr>
        <w:t>The ESC also noted the applicant’s pre</w:t>
      </w:r>
      <w:r>
        <w:rPr>
          <w:rFonts w:ascii="Times New Roman" w:eastAsia="Calibri" w:hAnsi="Times New Roman"/>
          <w:color w:val="000000"/>
          <w:sz w:val="24"/>
          <w:szCs w:val="20"/>
        </w:rPr>
        <w:t>-</w:t>
      </w:r>
      <w:r w:rsidRPr="001B39D6">
        <w:rPr>
          <w:rFonts w:ascii="Times New Roman" w:eastAsia="Calibri" w:hAnsi="Times New Roman"/>
          <w:color w:val="000000"/>
          <w:sz w:val="24"/>
          <w:szCs w:val="20"/>
        </w:rPr>
        <w:t xml:space="preserve">ESC claim that since the conclusion of the GOLIATH study was that VLAP was non-inferior to TURP, and there are no studies directly comparing PUL to VLAP, it is reasonable to conclude PUL is non-inferior to VLAP in terms of effectiveness. However, as ESC considered the claim that PUL is non-inferior in terms of effectiveness to TURP cannot be supported for reasons described above, it also follows that the claim that PUL is non-inferior to VLAP </w:t>
      </w:r>
      <w:r>
        <w:rPr>
          <w:rFonts w:ascii="Times New Roman" w:eastAsia="Calibri" w:hAnsi="Times New Roman"/>
          <w:color w:val="000000"/>
          <w:sz w:val="24"/>
          <w:szCs w:val="20"/>
        </w:rPr>
        <w:t xml:space="preserve">cannot be </w:t>
      </w:r>
      <w:r w:rsidR="00022111">
        <w:rPr>
          <w:rFonts w:ascii="Times New Roman" w:eastAsia="Calibri" w:hAnsi="Times New Roman"/>
          <w:color w:val="000000"/>
          <w:sz w:val="24"/>
          <w:szCs w:val="20"/>
        </w:rPr>
        <w:t>supported.</w:t>
      </w:r>
    </w:p>
    <w:p w14:paraId="70014325" w14:textId="77777777" w:rsidR="00652235" w:rsidRPr="001B39D6" w:rsidRDefault="00652235" w:rsidP="00022111">
      <w:pPr>
        <w:pStyle w:val="Tabletext"/>
        <w:spacing w:before="240"/>
        <w:rPr>
          <w:rFonts w:ascii="Times New Roman" w:eastAsia="Calibri" w:hAnsi="Times New Roman"/>
          <w:color w:val="000000"/>
          <w:sz w:val="24"/>
          <w:szCs w:val="20"/>
        </w:rPr>
      </w:pPr>
      <w:r w:rsidRPr="001B39D6">
        <w:rPr>
          <w:rFonts w:ascii="Times New Roman" w:eastAsia="Calibri" w:hAnsi="Times New Roman"/>
          <w:color w:val="000000"/>
          <w:sz w:val="24"/>
          <w:szCs w:val="20"/>
        </w:rPr>
        <w:t xml:space="preserve">ESC noted </w:t>
      </w:r>
      <w:proofErr w:type="gramStart"/>
      <w:r w:rsidRPr="001B39D6">
        <w:rPr>
          <w:rFonts w:ascii="Times New Roman" w:eastAsia="Calibri" w:hAnsi="Times New Roman"/>
          <w:color w:val="000000"/>
          <w:sz w:val="24"/>
          <w:szCs w:val="20"/>
        </w:rPr>
        <w:t>a number of</w:t>
      </w:r>
      <w:proofErr w:type="gramEnd"/>
      <w:r w:rsidRPr="001B39D6">
        <w:rPr>
          <w:rFonts w:ascii="Times New Roman" w:eastAsia="Calibri" w:hAnsi="Times New Roman"/>
          <w:color w:val="000000"/>
          <w:sz w:val="24"/>
          <w:szCs w:val="20"/>
        </w:rPr>
        <w:t xml:space="preserve"> issues with the economic analysis presented by the applicant, including:</w:t>
      </w:r>
    </w:p>
    <w:p w14:paraId="7B79C9EA" w14:textId="77777777" w:rsidR="00652235" w:rsidRPr="001B39D6" w:rsidRDefault="00652235" w:rsidP="00D70B59">
      <w:pPr>
        <w:pStyle w:val="Tabletext"/>
        <w:numPr>
          <w:ilvl w:val="0"/>
          <w:numId w:val="12"/>
        </w:numPr>
        <w:ind w:left="284" w:hanging="284"/>
        <w:rPr>
          <w:rFonts w:ascii="Times New Roman" w:eastAsia="Calibri" w:hAnsi="Times New Roman"/>
          <w:color w:val="000000"/>
          <w:sz w:val="24"/>
          <w:szCs w:val="20"/>
        </w:rPr>
      </w:pPr>
      <w:r w:rsidRPr="001B39D6">
        <w:rPr>
          <w:rFonts w:ascii="Times New Roman" w:eastAsia="Calibri" w:hAnsi="Times New Roman"/>
          <w:color w:val="000000"/>
          <w:sz w:val="24"/>
          <w:szCs w:val="20"/>
        </w:rPr>
        <w:t>The use of the cost of reintervention for one year only (underestimates cost of PUL)</w:t>
      </w:r>
    </w:p>
    <w:p w14:paraId="0A44105F" w14:textId="77777777" w:rsidR="00652235" w:rsidRPr="001B39D6" w:rsidRDefault="00652235" w:rsidP="00D70B59">
      <w:pPr>
        <w:pStyle w:val="Tabletext"/>
        <w:numPr>
          <w:ilvl w:val="0"/>
          <w:numId w:val="12"/>
        </w:numPr>
        <w:ind w:left="284" w:hanging="284"/>
        <w:rPr>
          <w:rFonts w:ascii="Times New Roman" w:eastAsia="Calibri" w:hAnsi="Times New Roman"/>
          <w:color w:val="000000"/>
          <w:sz w:val="24"/>
          <w:szCs w:val="20"/>
        </w:rPr>
      </w:pPr>
      <w:r w:rsidRPr="001B39D6">
        <w:rPr>
          <w:rFonts w:ascii="Times New Roman" w:eastAsia="Calibri" w:hAnsi="Times New Roman"/>
          <w:color w:val="000000"/>
          <w:sz w:val="24"/>
          <w:szCs w:val="20"/>
        </w:rPr>
        <w:t>The assumption that an average of 4 devices will be used in each procedure when the BPH6 study used 4.7 (underestimates cost of PUL)</w:t>
      </w:r>
    </w:p>
    <w:p w14:paraId="7034B173" w14:textId="77777777" w:rsidR="00652235" w:rsidRPr="001B39D6" w:rsidRDefault="00652235" w:rsidP="00D70B59">
      <w:pPr>
        <w:pStyle w:val="Tabletext"/>
        <w:numPr>
          <w:ilvl w:val="0"/>
          <w:numId w:val="12"/>
        </w:numPr>
        <w:ind w:left="284" w:hanging="284"/>
        <w:rPr>
          <w:rFonts w:ascii="Times New Roman" w:eastAsia="Calibri" w:hAnsi="Times New Roman"/>
          <w:color w:val="000000"/>
          <w:sz w:val="24"/>
          <w:szCs w:val="20"/>
        </w:rPr>
      </w:pPr>
      <w:r w:rsidRPr="001B39D6">
        <w:rPr>
          <w:rFonts w:ascii="Times New Roman" w:eastAsia="Calibri" w:hAnsi="Times New Roman"/>
          <w:color w:val="000000"/>
          <w:sz w:val="24"/>
          <w:szCs w:val="20"/>
        </w:rPr>
        <w:t>the inclusion of major complications costs for TURP only</w:t>
      </w:r>
      <w:r>
        <w:rPr>
          <w:rFonts w:ascii="Times New Roman" w:eastAsia="Calibri" w:hAnsi="Times New Roman"/>
          <w:color w:val="000000"/>
          <w:sz w:val="24"/>
          <w:szCs w:val="20"/>
        </w:rPr>
        <w:t>,</w:t>
      </w:r>
      <w:r w:rsidRPr="001B39D6">
        <w:rPr>
          <w:rFonts w:ascii="Times New Roman" w:eastAsia="Calibri" w:hAnsi="Times New Roman"/>
          <w:color w:val="000000"/>
          <w:sz w:val="24"/>
          <w:szCs w:val="20"/>
        </w:rPr>
        <w:t xml:space="preserve"> </w:t>
      </w:r>
      <w:r>
        <w:rPr>
          <w:rFonts w:ascii="Times New Roman" w:eastAsia="Calibri" w:hAnsi="Times New Roman"/>
          <w:color w:val="000000"/>
          <w:sz w:val="24"/>
          <w:szCs w:val="20"/>
        </w:rPr>
        <w:t>when</w:t>
      </w:r>
      <w:r w:rsidRPr="001B39D6">
        <w:rPr>
          <w:rFonts w:ascii="Times New Roman" w:eastAsia="Calibri" w:hAnsi="Times New Roman"/>
          <w:color w:val="000000"/>
          <w:sz w:val="24"/>
          <w:szCs w:val="20"/>
        </w:rPr>
        <w:t xml:space="preserve"> operative complications did not significantly differ between PUL and TURP in the BPH6 study (overestimates cost of TURP)</w:t>
      </w:r>
    </w:p>
    <w:p w14:paraId="308877AC" w14:textId="77777777" w:rsidR="00652235" w:rsidRPr="001B39D6" w:rsidRDefault="00652235" w:rsidP="00D70B59">
      <w:pPr>
        <w:pStyle w:val="Tabletext"/>
        <w:numPr>
          <w:ilvl w:val="0"/>
          <w:numId w:val="12"/>
        </w:numPr>
        <w:ind w:left="284" w:hanging="284"/>
        <w:rPr>
          <w:rFonts w:ascii="Times New Roman" w:eastAsia="Calibri" w:hAnsi="Times New Roman"/>
          <w:color w:val="000000"/>
          <w:sz w:val="24"/>
          <w:szCs w:val="20"/>
        </w:rPr>
      </w:pPr>
      <w:r w:rsidRPr="001B39D6">
        <w:rPr>
          <w:rFonts w:ascii="Times New Roman" w:eastAsia="Calibri" w:hAnsi="Times New Roman"/>
          <w:color w:val="000000"/>
          <w:sz w:val="24"/>
          <w:szCs w:val="20"/>
        </w:rPr>
        <w:t>the cost of TURP disposable loops was omitted (underestimates cost of TURP)</w:t>
      </w:r>
    </w:p>
    <w:p w14:paraId="7E63D4BA" w14:textId="77777777" w:rsidR="00652235" w:rsidRPr="001B39D6" w:rsidRDefault="00652235" w:rsidP="00D70B59">
      <w:pPr>
        <w:pStyle w:val="Tabletext"/>
        <w:numPr>
          <w:ilvl w:val="0"/>
          <w:numId w:val="12"/>
        </w:numPr>
        <w:ind w:left="284" w:hanging="284"/>
        <w:rPr>
          <w:rFonts w:ascii="Times New Roman" w:eastAsia="Calibri" w:hAnsi="Times New Roman"/>
          <w:color w:val="000000"/>
          <w:sz w:val="24"/>
          <w:szCs w:val="20"/>
        </w:rPr>
      </w:pPr>
      <w:r w:rsidRPr="001B39D6">
        <w:rPr>
          <w:rFonts w:ascii="Times New Roman" w:eastAsia="Calibri" w:hAnsi="Times New Roman"/>
          <w:color w:val="000000"/>
          <w:sz w:val="24"/>
          <w:szCs w:val="20"/>
        </w:rPr>
        <w:t>The inclusion of a very large capital and maintenance cost in the costings for VLAP (overestimates the cost of VLAP)</w:t>
      </w:r>
    </w:p>
    <w:p w14:paraId="24E0A1D1" w14:textId="4A06137E" w:rsidR="00652235" w:rsidRPr="0092251A" w:rsidRDefault="00652235" w:rsidP="00022111">
      <w:pPr>
        <w:pStyle w:val="Tabletext"/>
        <w:numPr>
          <w:ilvl w:val="0"/>
          <w:numId w:val="12"/>
        </w:numPr>
        <w:ind w:left="284" w:hanging="284"/>
        <w:rPr>
          <w:rFonts w:ascii="Times New Roman" w:eastAsia="Calibri" w:hAnsi="Times New Roman"/>
          <w:color w:val="000000"/>
          <w:sz w:val="24"/>
          <w:szCs w:val="20"/>
        </w:rPr>
      </w:pPr>
      <w:r w:rsidRPr="001B39D6">
        <w:rPr>
          <w:rFonts w:ascii="Times New Roman" w:eastAsia="Calibri" w:hAnsi="Times New Roman"/>
          <w:color w:val="000000"/>
          <w:sz w:val="24"/>
          <w:szCs w:val="20"/>
        </w:rPr>
        <w:t>The assumption that VLAP will require an average of 2 days of hospitalisation whereas PUL will require an average of 1 day of hospitalisation (overestimates the cost of VLAP)</w:t>
      </w:r>
      <w:r>
        <w:rPr>
          <w:rFonts w:ascii="Times New Roman" w:eastAsia="Calibri" w:hAnsi="Times New Roman"/>
          <w:color w:val="000000"/>
          <w:sz w:val="24"/>
          <w:szCs w:val="20"/>
        </w:rPr>
        <w:t>.</w:t>
      </w:r>
    </w:p>
    <w:p w14:paraId="58AC8A1E" w14:textId="0BD3DB43" w:rsidR="00652235" w:rsidRPr="001B39D6" w:rsidRDefault="00652235" w:rsidP="00022111">
      <w:pPr>
        <w:pStyle w:val="Tabletext"/>
        <w:spacing w:before="240"/>
        <w:ind w:left="284" w:hanging="284"/>
        <w:rPr>
          <w:rFonts w:ascii="Times New Roman" w:eastAsia="Calibri" w:hAnsi="Times New Roman"/>
          <w:color w:val="000000"/>
          <w:sz w:val="24"/>
          <w:szCs w:val="20"/>
        </w:rPr>
      </w:pPr>
      <w:r w:rsidRPr="001B39D6">
        <w:rPr>
          <w:rFonts w:ascii="Times New Roman" w:eastAsia="Calibri" w:hAnsi="Times New Roman"/>
          <w:color w:val="000000"/>
          <w:sz w:val="24"/>
          <w:szCs w:val="20"/>
        </w:rPr>
        <w:t>However</w:t>
      </w:r>
      <w:r>
        <w:rPr>
          <w:rFonts w:ascii="Times New Roman" w:eastAsia="Calibri" w:hAnsi="Times New Roman"/>
          <w:color w:val="000000"/>
          <w:sz w:val="24"/>
          <w:szCs w:val="20"/>
        </w:rPr>
        <w:t>,</w:t>
      </w:r>
      <w:r w:rsidRPr="001B39D6">
        <w:rPr>
          <w:rFonts w:ascii="Times New Roman" w:eastAsia="Calibri" w:hAnsi="Times New Roman"/>
          <w:color w:val="000000"/>
          <w:sz w:val="24"/>
          <w:szCs w:val="20"/>
        </w:rPr>
        <w:t xml:space="preserve"> ESC agreed </w:t>
      </w:r>
      <w:r w:rsidR="003F6C90">
        <w:rPr>
          <w:rFonts w:ascii="Times New Roman" w:eastAsia="Calibri" w:hAnsi="Times New Roman"/>
          <w:color w:val="000000"/>
          <w:sz w:val="24"/>
          <w:szCs w:val="20"/>
        </w:rPr>
        <w:t>that:</w:t>
      </w:r>
    </w:p>
    <w:p w14:paraId="6E3B8DC4" w14:textId="78791E41" w:rsidR="00652235" w:rsidRPr="001B39D6" w:rsidRDefault="00652235" w:rsidP="00D70B59">
      <w:pPr>
        <w:pStyle w:val="Tabletext"/>
        <w:numPr>
          <w:ilvl w:val="0"/>
          <w:numId w:val="13"/>
        </w:numPr>
        <w:ind w:left="284" w:hanging="284"/>
        <w:rPr>
          <w:rFonts w:ascii="Times New Roman" w:eastAsia="Calibri" w:hAnsi="Times New Roman"/>
          <w:color w:val="000000"/>
          <w:sz w:val="24"/>
          <w:szCs w:val="20"/>
        </w:rPr>
      </w:pPr>
      <w:r w:rsidRPr="001B39D6">
        <w:rPr>
          <w:rFonts w:ascii="Times New Roman" w:eastAsia="Calibri" w:hAnsi="Times New Roman"/>
          <w:color w:val="000000"/>
          <w:sz w:val="24"/>
          <w:szCs w:val="20"/>
        </w:rPr>
        <w:t>The submission</w:t>
      </w:r>
      <w:r w:rsidR="000A49E8">
        <w:rPr>
          <w:rFonts w:ascii="Times New Roman" w:eastAsia="Calibri" w:hAnsi="Times New Roman"/>
          <w:color w:val="000000"/>
          <w:sz w:val="24"/>
          <w:szCs w:val="20"/>
        </w:rPr>
        <w:t>’</w:t>
      </w:r>
      <w:r w:rsidRPr="001B39D6">
        <w:rPr>
          <w:rFonts w:ascii="Times New Roman" w:eastAsia="Calibri" w:hAnsi="Times New Roman"/>
          <w:color w:val="000000"/>
          <w:sz w:val="24"/>
          <w:szCs w:val="20"/>
        </w:rPr>
        <w:t>s assumption of an average of 2.57 days hospital</w:t>
      </w:r>
      <w:r>
        <w:rPr>
          <w:rFonts w:ascii="Times New Roman" w:eastAsia="Calibri" w:hAnsi="Times New Roman"/>
          <w:color w:val="000000"/>
          <w:sz w:val="24"/>
          <w:szCs w:val="20"/>
        </w:rPr>
        <w:t xml:space="preserve"> for TURP</w:t>
      </w:r>
      <w:r w:rsidRPr="001B39D6">
        <w:rPr>
          <w:rFonts w:ascii="Times New Roman" w:eastAsia="Calibri" w:hAnsi="Times New Roman"/>
          <w:color w:val="000000"/>
          <w:sz w:val="24"/>
          <w:szCs w:val="20"/>
        </w:rPr>
        <w:t xml:space="preserve"> is reasonable</w:t>
      </w:r>
    </w:p>
    <w:p w14:paraId="7A05847E" w14:textId="2DE60F00" w:rsidR="00652235" w:rsidRPr="00022111" w:rsidRDefault="00652235" w:rsidP="00652235">
      <w:pPr>
        <w:pStyle w:val="Tabletext"/>
        <w:numPr>
          <w:ilvl w:val="0"/>
          <w:numId w:val="13"/>
        </w:numPr>
        <w:ind w:left="284" w:hanging="284"/>
        <w:rPr>
          <w:rFonts w:ascii="Times New Roman" w:eastAsia="Calibri" w:hAnsi="Times New Roman"/>
          <w:color w:val="000000"/>
          <w:sz w:val="24"/>
          <w:szCs w:val="20"/>
        </w:rPr>
      </w:pPr>
      <w:r w:rsidRPr="001B39D6">
        <w:rPr>
          <w:rFonts w:ascii="Times New Roman" w:eastAsia="Calibri" w:hAnsi="Times New Roman"/>
          <w:color w:val="000000"/>
          <w:sz w:val="24"/>
          <w:szCs w:val="20"/>
        </w:rPr>
        <w:t>The submission</w:t>
      </w:r>
      <w:r w:rsidR="000A49E8">
        <w:rPr>
          <w:rFonts w:ascii="Times New Roman" w:eastAsia="Calibri" w:hAnsi="Times New Roman"/>
          <w:color w:val="000000"/>
          <w:sz w:val="24"/>
          <w:szCs w:val="20"/>
        </w:rPr>
        <w:t>’</w:t>
      </w:r>
      <w:r w:rsidRPr="001B39D6">
        <w:rPr>
          <w:rFonts w:ascii="Times New Roman" w:eastAsia="Calibri" w:hAnsi="Times New Roman"/>
          <w:color w:val="000000"/>
          <w:sz w:val="24"/>
          <w:szCs w:val="20"/>
        </w:rPr>
        <w:t>s assumption of no handling fee for prost</w:t>
      </w:r>
      <w:r>
        <w:rPr>
          <w:rFonts w:ascii="Times New Roman" w:eastAsia="Calibri" w:hAnsi="Times New Roman"/>
          <w:color w:val="000000"/>
          <w:sz w:val="24"/>
          <w:szCs w:val="20"/>
        </w:rPr>
        <w:t>h</w:t>
      </w:r>
      <w:r w:rsidRPr="001B39D6">
        <w:rPr>
          <w:rFonts w:ascii="Times New Roman" w:eastAsia="Calibri" w:hAnsi="Times New Roman"/>
          <w:color w:val="000000"/>
          <w:sz w:val="24"/>
          <w:szCs w:val="20"/>
        </w:rPr>
        <w:t>etic devices is appropriate</w:t>
      </w:r>
      <w:r w:rsidR="00022111">
        <w:rPr>
          <w:rFonts w:ascii="Times New Roman" w:eastAsia="Calibri" w:hAnsi="Times New Roman"/>
          <w:color w:val="000000"/>
          <w:sz w:val="24"/>
          <w:szCs w:val="20"/>
        </w:rPr>
        <w:t>.</w:t>
      </w:r>
    </w:p>
    <w:p w14:paraId="40B8DCDF" w14:textId="77777777" w:rsidR="00652235" w:rsidRDefault="00652235" w:rsidP="00022111">
      <w:pPr>
        <w:spacing w:before="240" w:after="240"/>
        <w:rPr>
          <w:color w:val="000000"/>
          <w:szCs w:val="24"/>
        </w:rPr>
      </w:pPr>
      <w:r w:rsidRPr="00534125">
        <w:rPr>
          <w:color w:val="000000"/>
          <w:szCs w:val="24"/>
        </w:rPr>
        <w:lastRenderedPageBreak/>
        <w:t xml:space="preserve">ESC noted that the applicant had conducted limited sensitivity </w:t>
      </w:r>
      <w:proofErr w:type="gramStart"/>
      <w:r w:rsidRPr="00534125">
        <w:rPr>
          <w:color w:val="000000"/>
          <w:szCs w:val="24"/>
        </w:rPr>
        <w:t>analyses, and</w:t>
      </w:r>
      <w:proofErr w:type="gramEnd"/>
      <w:r w:rsidRPr="00534125">
        <w:rPr>
          <w:color w:val="000000"/>
          <w:szCs w:val="24"/>
        </w:rPr>
        <w:t xml:space="preserve"> acknowledged the attempt to perform parameter testing using a stepped approach in the commentary. </w:t>
      </w:r>
    </w:p>
    <w:p w14:paraId="0EFE1DAC" w14:textId="3422558C" w:rsidR="00652235" w:rsidRDefault="00652235" w:rsidP="00652235">
      <w:pPr>
        <w:spacing w:after="240"/>
        <w:rPr>
          <w:color w:val="000000"/>
          <w:szCs w:val="24"/>
        </w:rPr>
      </w:pPr>
      <w:r w:rsidRPr="00534125">
        <w:rPr>
          <w:color w:val="000000"/>
          <w:szCs w:val="24"/>
        </w:rPr>
        <w:t xml:space="preserve">The ESC noted </w:t>
      </w:r>
      <w:r>
        <w:rPr>
          <w:color w:val="000000"/>
          <w:szCs w:val="24"/>
        </w:rPr>
        <w:t>t</w:t>
      </w:r>
      <w:r w:rsidRPr="00534125">
        <w:rPr>
          <w:color w:val="000000"/>
          <w:szCs w:val="24"/>
        </w:rPr>
        <w:t xml:space="preserve">he outcomes of a revised multi-variate analysis </w:t>
      </w:r>
      <w:r>
        <w:rPr>
          <w:color w:val="000000"/>
          <w:szCs w:val="24"/>
        </w:rPr>
        <w:t xml:space="preserve">addressing </w:t>
      </w:r>
      <w:r w:rsidRPr="00534125">
        <w:rPr>
          <w:color w:val="000000"/>
          <w:szCs w:val="24"/>
        </w:rPr>
        <w:t xml:space="preserve">the issues described above </w:t>
      </w:r>
      <w:r>
        <w:rPr>
          <w:color w:val="000000"/>
          <w:szCs w:val="24"/>
        </w:rPr>
        <w:t xml:space="preserve">is presented </w:t>
      </w:r>
      <w:r w:rsidRPr="00534125">
        <w:rPr>
          <w:color w:val="000000"/>
          <w:szCs w:val="24"/>
        </w:rPr>
        <w:t xml:space="preserve">in Table 18.  The ESC noted that this revised analysis suggests PUL is more expensive than either TURP (by </w:t>
      </w:r>
      <w:r>
        <w:rPr>
          <w:color w:val="000000"/>
          <w:szCs w:val="24"/>
        </w:rPr>
        <w:t xml:space="preserve">up to </w:t>
      </w:r>
      <w:r w:rsidRPr="00534125">
        <w:rPr>
          <w:color w:val="000000"/>
          <w:szCs w:val="24"/>
        </w:rPr>
        <w:t xml:space="preserve">$615.65) or VLAP (by </w:t>
      </w:r>
      <w:r>
        <w:rPr>
          <w:color w:val="000000"/>
          <w:szCs w:val="24"/>
        </w:rPr>
        <w:t xml:space="preserve">up to </w:t>
      </w:r>
      <w:r w:rsidR="00022111">
        <w:rPr>
          <w:color w:val="000000"/>
          <w:szCs w:val="24"/>
        </w:rPr>
        <w:t>$2,269.70).</w:t>
      </w:r>
    </w:p>
    <w:p w14:paraId="45C50DF9" w14:textId="2846572C" w:rsidR="00652235" w:rsidRDefault="00652235" w:rsidP="00652235">
      <w:pPr>
        <w:spacing w:after="240"/>
        <w:rPr>
          <w:color w:val="000000"/>
        </w:rPr>
      </w:pPr>
      <w:r>
        <w:rPr>
          <w:color w:val="000000"/>
        </w:rPr>
        <w:t xml:space="preserve">ESC advised that overall, the clinical and economic information presented in the submission and evaluation report, suggests that PUL is dominated by TURP and VLAP </w:t>
      </w:r>
      <w:r w:rsidRPr="00C23468">
        <w:rPr>
          <w:color w:val="000000"/>
        </w:rPr>
        <w:t>(</w:t>
      </w:r>
      <w:proofErr w:type="gramStart"/>
      <w:r w:rsidRPr="00C23468">
        <w:rPr>
          <w:color w:val="000000"/>
        </w:rPr>
        <w:t>i</w:t>
      </w:r>
      <w:r>
        <w:rPr>
          <w:color w:val="000000"/>
        </w:rPr>
        <w:t>.</w:t>
      </w:r>
      <w:r w:rsidRPr="00C23468">
        <w:rPr>
          <w:color w:val="000000"/>
        </w:rPr>
        <w:t>e</w:t>
      </w:r>
      <w:r>
        <w:rPr>
          <w:color w:val="000000"/>
        </w:rPr>
        <w:t>.</w:t>
      </w:r>
      <w:proofErr w:type="gramEnd"/>
      <w:r w:rsidRPr="00C23468">
        <w:rPr>
          <w:color w:val="000000"/>
        </w:rPr>
        <w:t xml:space="preserve"> </w:t>
      </w:r>
      <w:r>
        <w:rPr>
          <w:color w:val="000000"/>
        </w:rPr>
        <w:t xml:space="preserve">PUL is less effective </w:t>
      </w:r>
      <w:r w:rsidRPr="00C23468">
        <w:rPr>
          <w:color w:val="000000"/>
        </w:rPr>
        <w:t xml:space="preserve">and </w:t>
      </w:r>
      <w:r>
        <w:rPr>
          <w:color w:val="000000"/>
        </w:rPr>
        <w:t>more</w:t>
      </w:r>
      <w:r w:rsidRPr="00C23468">
        <w:rPr>
          <w:color w:val="000000"/>
        </w:rPr>
        <w:t xml:space="preserve"> expensive)</w:t>
      </w:r>
      <w:r>
        <w:rPr>
          <w:color w:val="000000"/>
        </w:rPr>
        <w:t xml:space="preserve">. </w:t>
      </w:r>
      <w:r w:rsidRPr="00D71348">
        <w:rPr>
          <w:color w:val="000000"/>
        </w:rPr>
        <w:t xml:space="preserve">ESC </w:t>
      </w:r>
      <w:r>
        <w:rPr>
          <w:color w:val="000000"/>
        </w:rPr>
        <w:t>noted</w:t>
      </w:r>
      <w:r w:rsidRPr="00D71348">
        <w:rPr>
          <w:color w:val="000000"/>
        </w:rPr>
        <w:t xml:space="preserve"> that PUL is a non-invasive procedure compared with TURP and other ablative </w:t>
      </w:r>
      <w:proofErr w:type="gramStart"/>
      <w:r w:rsidRPr="00D71348">
        <w:rPr>
          <w:color w:val="000000"/>
        </w:rPr>
        <w:t>procedures, but</w:t>
      </w:r>
      <w:proofErr w:type="gramEnd"/>
      <w:r w:rsidRPr="00D71348">
        <w:rPr>
          <w:color w:val="000000"/>
        </w:rPr>
        <w:t xml:space="preserve"> did not consider the request for a fee increase to be justified</w:t>
      </w:r>
      <w:r>
        <w:rPr>
          <w:color w:val="000000"/>
        </w:rPr>
        <w:t xml:space="preserve"> by the evidence. </w:t>
      </w:r>
    </w:p>
    <w:p w14:paraId="33B5F607" w14:textId="77777777" w:rsidR="00652235" w:rsidRDefault="00652235" w:rsidP="00652235">
      <w:pPr>
        <w:spacing w:after="240"/>
        <w:rPr>
          <w:color w:val="000000"/>
        </w:rPr>
      </w:pPr>
      <w:r>
        <w:rPr>
          <w:color w:val="000000"/>
        </w:rPr>
        <w:t>ESC advised the MSAC may wish to recommend the Prosthesis List Advisory Committee conduct a review of the price of the prosthesis used in PUL.</w:t>
      </w:r>
    </w:p>
    <w:p w14:paraId="66AC4BF3" w14:textId="3F275EAE" w:rsidR="00652235" w:rsidRPr="00D71348" w:rsidRDefault="00652235" w:rsidP="00652235">
      <w:pPr>
        <w:spacing w:after="240"/>
        <w:rPr>
          <w:color w:val="000000"/>
        </w:rPr>
      </w:pPr>
      <w:r w:rsidRPr="00D71348">
        <w:rPr>
          <w:color w:val="000000"/>
        </w:rPr>
        <w:t>ESC noted the application</w:t>
      </w:r>
      <w:r>
        <w:rPr>
          <w:color w:val="000000"/>
        </w:rPr>
        <w:t xml:space="preserve"> estimated the financial impact to the MBS by</w:t>
      </w:r>
      <w:r w:rsidRPr="00D71348">
        <w:rPr>
          <w:color w:val="000000"/>
        </w:rPr>
        <w:t xml:space="preserve"> us</w:t>
      </w:r>
      <w:r>
        <w:rPr>
          <w:color w:val="000000"/>
        </w:rPr>
        <w:t>ing</w:t>
      </w:r>
      <w:r w:rsidRPr="00D71348">
        <w:rPr>
          <w:color w:val="000000"/>
        </w:rPr>
        <w:t xml:space="preserve"> a modified market share approach, using the cost of current services under MBS item 36811</w:t>
      </w:r>
      <w:r w:rsidR="000A49E8">
        <w:rPr>
          <w:color w:val="000000"/>
        </w:rPr>
        <w:t xml:space="preserve"> </w:t>
      </w:r>
      <w:r w:rsidRPr="00D71348">
        <w:rPr>
          <w:color w:val="000000"/>
        </w:rPr>
        <w:t>and an estimate of the proportion of future TURP patients that will instead undergo PUL. However, ESC also noted that the assessment report did not consider the additional cost to the MBS and to health budgets of the prosthesis from switching to PUL and the additional cost</w:t>
      </w:r>
      <w:r>
        <w:rPr>
          <w:color w:val="000000"/>
        </w:rPr>
        <w:t>s</w:t>
      </w:r>
      <w:r w:rsidRPr="00D71348">
        <w:rPr>
          <w:color w:val="000000"/>
        </w:rPr>
        <w:t xml:space="preserve"> of re</w:t>
      </w:r>
      <w:r w:rsidR="000A49E8">
        <w:rPr>
          <w:color w:val="000000"/>
        </w:rPr>
        <w:noBreakHyphen/>
      </w:r>
      <w:r w:rsidRPr="00D71348">
        <w:rPr>
          <w:color w:val="000000"/>
        </w:rPr>
        <w:t xml:space="preserve">intervention. </w:t>
      </w:r>
    </w:p>
    <w:p w14:paraId="7AEA8835" w14:textId="77777777" w:rsidR="00652235" w:rsidRPr="00D71348" w:rsidRDefault="00652235" w:rsidP="00652235">
      <w:pPr>
        <w:spacing w:after="240"/>
        <w:rPr>
          <w:color w:val="000000"/>
        </w:rPr>
      </w:pPr>
      <w:r w:rsidRPr="00D71348">
        <w:rPr>
          <w:color w:val="000000"/>
        </w:rPr>
        <w:t xml:space="preserve">ESC acknowledged that </w:t>
      </w:r>
      <w:r>
        <w:rPr>
          <w:color w:val="000000"/>
        </w:rPr>
        <w:t xml:space="preserve">some </w:t>
      </w:r>
      <w:r w:rsidRPr="00D71348">
        <w:rPr>
          <w:color w:val="000000"/>
        </w:rPr>
        <w:t>men may prefer PUL to TURP to maintain ejaculat</w:t>
      </w:r>
      <w:r>
        <w:rPr>
          <w:color w:val="000000"/>
        </w:rPr>
        <w:t>ory</w:t>
      </w:r>
      <w:r w:rsidRPr="00D71348">
        <w:rPr>
          <w:color w:val="000000"/>
        </w:rPr>
        <w:t xml:space="preserve"> </w:t>
      </w:r>
      <w:proofErr w:type="gramStart"/>
      <w:r w:rsidRPr="00D71348">
        <w:rPr>
          <w:color w:val="000000"/>
        </w:rPr>
        <w:t xml:space="preserve">function, </w:t>
      </w:r>
      <w:r>
        <w:rPr>
          <w:color w:val="000000"/>
        </w:rPr>
        <w:t>but</w:t>
      </w:r>
      <w:proofErr w:type="gramEnd"/>
      <w:r w:rsidRPr="00D71348">
        <w:rPr>
          <w:color w:val="000000"/>
        </w:rPr>
        <w:t xml:space="preserve"> queried whether PUL is a substit</w:t>
      </w:r>
      <w:r>
        <w:rPr>
          <w:color w:val="000000"/>
        </w:rPr>
        <w:t xml:space="preserve">ute </w:t>
      </w:r>
      <w:r w:rsidRPr="00D71348">
        <w:rPr>
          <w:color w:val="000000"/>
        </w:rPr>
        <w:t>for TURP</w:t>
      </w:r>
      <w:r>
        <w:rPr>
          <w:color w:val="000000"/>
        </w:rPr>
        <w:t xml:space="preserve"> for all of these patients</w:t>
      </w:r>
      <w:r w:rsidRPr="00D71348">
        <w:rPr>
          <w:color w:val="000000"/>
        </w:rPr>
        <w:t xml:space="preserve">, or if it </w:t>
      </w:r>
      <w:r>
        <w:rPr>
          <w:color w:val="000000"/>
        </w:rPr>
        <w:t xml:space="preserve">only </w:t>
      </w:r>
      <w:r w:rsidRPr="00D71348">
        <w:rPr>
          <w:color w:val="000000"/>
        </w:rPr>
        <w:t xml:space="preserve">serves to delay TURP. ESC considered this to be important for the </w:t>
      </w:r>
      <w:r>
        <w:rPr>
          <w:color w:val="000000"/>
        </w:rPr>
        <w:t>financial</w:t>
      </w:r>
      <w:r w:rsidRPr="00D71348">
        <w:rPr>
          <w:color w:val="000000"/>
        </w:rPr>
        <w:t xml:space="preserve"> analysis, as</w:t>
      </w:r>
      <w:r>
        <w:rPr>
          <w:color w:val="000000"/>
        </w:rPr>
        <w:t xml:space="preserve"> </w:t>
      </w:r>
      <w:r w:rsidRPr="00D71348">
        <w:rPr>
          <w:color w:val="000000"/>
        </w:rPr>
        <w:t xml:space="preserve">patients requiring TURP as a re-intervention procedure after PUL would </w:t>
      </w:r>
      <w:r>
        <w:rPr>
          <w:color w:val="000000"/>
        </w:rPr>
        <w:t>have</w:t>
      </w:r>
      <w:r w:rsidRPr="00D71348">
        <w:rPr>
          <w:color w:val="000000"/>
        </w:rPr>
        <w:t xml:space="preserve"> long-term impacts </w:t>
      </w:r>
      <w:r>
        <w:rPr>
          <w:color w:val="000000"/>
        </w:rPr>
        <w:t>for</w:t>
      </w:r>
      <w:r w:rsidRPr="00D71348">
        <w:rPr>
          <w:color w:val="000000"/>
        </w:rPr>
        <w:t xml:space="preserve"> MBS costs that the </w:t>
      </w:r>
      <w:r>
        <w:rPr>
          <w:color w:val="000000"/>
        </w:rPr>
        <w:t>applicant</w:t>
      </w:r>
      <w:r w:rsidRPr="00D71348">
        <w:rPr>
          <w:color w:val="000000"/>
        </w:rPr>
        <w:t xml:space="preserve"> has not </w:t>
      </w:r>
      <w:r>
        <w:rPr>
          <w:color w:val="000000"/>
        </w:rPr>
        <w:t xml:space="preserve">adequately </w:t>
      </w:r>
      <w:r w:rsidRPr="00D71348">
        <w:rPr>
          <w:color w:val="000000"/>
        </w:rPr>
        <w:t>accounted for.</w:t>
      </w:r>
    </w:p>
    <w:p w14:paraId="2ED8C625" w14:textId="44A8BBA1" w:rsidR="00652235" w:rsidRDefault="00652235" w:rsidP="00652235">
      <w:pPr>
        <w:tabs>
          <w:tab w:val="left" w:pos="2265"/>
          <w:tab w:val="left" w:pos="3420"/>
          <w:tab w:val="left" w:pos="4320"/>
        </w:tabs>
        <w:rPr>
          <w:color w:val="000000"/>
        </w:rPr>
      </w:pPr>
      <w:r>
        <w:rPr>
          <w:color w:val="000000"/>
        </w:rPr>
        <w:t xml:space="preserve">ESC noted the pre-ESC response considered the estimate that 1230 (Table 19) of the current claims under MBS item 36811 relate to PUL is supported by the </w:t>
      </w:r>
      <w:r w:rsidRPr="00B0146A">
        <w:rPr>
          <w:color w:val="000000"/>
        </w:rPr>
        <w:t xml:space="preserve">feedback from Private Healthcare Australia that sales of the prostheses </w:t>
      </w:r>
      <w:r>
        <w:rPr>
          <w:color w:val="000000"/>
        </w:rPr>
        <w:t>are</w:t>
      </w:r>
      <w:r w:rsidRPr="00B0146A">
        <w:rPr>
          <w:color w:val="000000"/>
        </w:rPr>
        <w:t xml:space="preserve"> currently</w:t>
      </w:r>
      <w:r>
        <w:rPr>
          <w:color w:val="000000"/>
        </w:rPr>
        <w:t xml:space="preserve"> </w:t>
      </w:r>
      <w:r w:rsidRPr="00B0146A">
        <w:rPr>
          <w:color w:val="000000"/>
        </w:rPr>
        <w:t>approxima</w:t>
      </w:r>
      <w:r>
        <w:rPr>
          <w:color w:val="000000"/>
        </w:rPr>
        <w:t>tely $2.7 million. The applicant notes that</w:t>
      </w:r>
      <w:r w:rsidRPr="00B0146A">
        <w:rPr>
          <w:color w:val="000000"/>
        </w:rPr>
        <w:t xml:space="preserve"> $2</w:t>
      </w:r>
      <w:r>
        <w:rPr>
          <w:color w:val="000000"/>
        </w:rPr>
        <w:t>.7 million</w:t>
      </w:r>
      <w:r w:rsidRPr="00B0146A">
        <w:rPr>
          <w:color w:val="000000"/>
        </w:rPr>
        <w:t xml:space="preserve"> divided by</w:t>
      </w:r>
      <w:r>
        <w:rPr>
          <w:color w:val="000000"/>
        </w:rPr>
        <w:t xml:space="preserve"> the </w:t>
      </w:r>
      <w:r w:rsidRPr="00B0146A">
        <w:rPr>
          <w:color w:val="000000"/>
        </w:rPr>
        <w:t>$712</w:t>
      </w:r>
      <w:r>
        <w:rPr>
          <w:color w:val="000000"/>
        </w:rPr>
        <w:t xml:space="preserve"> price of a PUL device,</w:t>
      </w:r>
      <w:r w:rsidRPr="00B0146A">
        <w:rPr>
          <w:color w:val="000000"/>
        </w:rPr>
        <w:t xml:space="preserve"> divided by</w:t>
      </w:r>
      <w:r>
        <w:rPr>
          <w:color w:val="000000"/>
        </w:rPr>
        <w:t xml:space="preserve"> an average</w:t>
      </w:r>
      <w:r w:rsidRPr="00B0146A">
        <w:rPr>
          <w:color w:val="000000"/>
        </w:rPr>
        <w:t xml:space="preserve"> 3.1</w:t>
      </w:r>
      <w:r>
        <w:rPr>
          <w:color w:val="000000"/>
        </w:rPr>
        <w:t xml:space="preserve"> devices per procedure,</w:t>
      </w:r>
      <w:r w:rsidRPr="00B0146A">
        <w:rPr>
          <w:color w:val="000000"/>
        </w:rPr>
        <w:t xml:space="preserve"> gives a patient population of 1223 and that the </w:t>
      </w:r>
      <w:r>
        <w:rPr>
          <w:color w:val="000000"/>
        </w:rPr>
        <w:t xml:space="preserve">application </w:t>
      </w:r>
      <w:r w:rsidRPr="00B0146A">
        <w:rPr>
          <w:color w:val="000000"/>
        </w:rPr>
        <w:t>used a patient population of 1230.</w:t>
      </w:r>
      <w:r>
        <w:rPr>
          <w:color w:val="000000"/>
        </w:rPr>
        <w:t xml:space="preserve"> However, in another part of the pre-ESC response, the applicant contends that more than 3.1 PUL devices will be used on average. ESC noted that if the applicant’s calculation is re-done assuming an average of 4 or 4.7 devices per procedure, then the number of patients undergoing PUL becom</w:t>
      </w:r>
      <w:r w:rsidR="00022111">
        <w:rPr>
          <w:color w:val="000000"/>
        </w:rPr>
        <w:t>es 948 and 807, respectively.</w:t>
      </w:r>
    </w:p>
    <w:p w14:paraId="4D3648B7" w14:textId="77777777" w:rsidR="00652235" w:rsidRPr="00652235" w:rsidRDefault="00652235" w:rsidP="00022111">
      <w:pPr>
        <w:tabs>
          <w:tab w:val="left" w:pos="2265"/>
          <w:tab w:val="left" w:pos="3420"/>
          <w:tab w:val="left" w:pos="4320"/>
        </w:tabs>
        <w:spacing w:before="240"/>
        <w:rPr>
          <w:color w:val="000000"/>
        </w:rPr>
      </w:pPr>
      <w:r>
        <w:rPr>
          <w:color w:val="000000"/>
        </w:rPr>
        <w:t>Overall, the ESC considered the costs to the MBS to be underestimated by the application.</w:t>
      </w:r>
    </w:p>
    <w:p w14:paraId="36907510" w14:textId="77777777" w:rsidR="00D90A38" w:rsidRPr="00F715D1" w:rsidRDefault="00BC1364" w:rsidP="00F715D1">
      <w:pPr>
        <w:pStyle w:val="Heading1"/>
      </w:pPr>
      <w:r w:rsidRPr="00F715D1">
        <w:t>Other significant factors</w:t>
      </w:r>
    </w:p>
    <w:p w14:paraId="5EE7C5D2" w14:textId="4EF084C7" w:rsidR="00BC1364" w:rsidRPr="000D2426" w:rsidRDefault="00BC1364" w:rsidP="00F715D1">
      <w:pPr>
        <w:spacing w:after="240"/>
        <w:rPr>
          <w:szCs w:val="24"/>
        </w:rPr>
      </w:pPr>
      <w:r w:rsidRPr="000D2426">
        <w:rPr>
          <w:szCs w:val="24"/>
        </w:rPr>
        <w:t>Nil</w:t>
      </w:r>
    </w:p>
    <w:p w14:paraId="7C9CEF6A" w14:textId="77777777" w:rsidR="00BC1364" w:rsidRPr="00F715D1" w:rsidRDefault="00C06B0B" w:rsidP="00F715D1">
      <w:pPr>
        <w:pStyle w:val="Heading1"/>
      </w:pPr>
      <w:r>
        <w:t>Applicant</w:t>
      </w:r>
      <w:r w:rsidR="00BC1364" w:rsidRPr="00F715D1">
        <w:t xml:space="preserve"> comments on MSAC’s </w:t>
      </w:r>
      <w:r w:rsidR="00DA56AA" w:rsidRPr="00F715D1">
        <w:t>Public Summary Document</w:t>
      </w:r>
    </w:p>
    <w:p w14:paraId="1C9C11F3" w14:textId="77777777" w:rsidR="00486E7D" w:rsidRDefault="00486E7D" w:rsidP="00486E7D">
      <w:pPr>
        <w:spacing w:after="240"/>
        <w:rPr>
          <w:rFonts w:ascii="Arial" w:hAnsi="Arial" w:cs="Arial"/>
          <w:b/>
          <w:bCs/>
        </w:rPr>
      </w:pPr>
      <w:r w:rsidRPr="00AD2AFD">
        <w:rPr>
          <w:rFonts w:ascii="Arial" w:hAnsi="Arial" w:cs="Arial"/>
          <w:b/>
          <w:bCs/>
        </w:rPr>
        <w:t>Applicant comment – July 202</w:t>
      </w:r>
      <w:r>
        <w:rPr>
          <w:rFonts w:ascii="Arial" w:hAnsi="Arial" w:cs="Arial"/>
          <w:b/>
          <w:bCs/>
        </w:rPr>
        <w:t>0</w:t>
      </w:r>
    </w:p>
    <w:p w14:paraId="2B99A574" w14:textId="2AC597EC" w:rsidR="00BC1364" w:rsidRDefault="000440DA" w:rsidP="000440DA">
      <w:pPr>
        <w:rPr>
          <w:rStyle w:val="Strong"/>
          <w:b w:val="0"/>
          <w:color w:val="000000"/>
        </w:rPr>
      </w:pPr>
      <w:r w:rsidRPr="000440DA">
        <w:rPr>
          <w:rStyle w:val="Strong"/>
          <w:b w:val="0"/>
          <w:color w:val="000000"/>
        </w:rPr>
        <w:t xml:space="preserve">The sponsor is concerned that the deferred MSAC decision, pending a review of the fee for all MBS listed treatments for BPH, allows the on-going perverse incentive against surgeons using the prostatic urethral lift (PUL) procedure due to the current low fee rather than clinical effectiveness.  Clinical evidence presented in Application 1612 supports a substantial increase in the current MBS fee of $333.50 for PUL especially relative to the MBS fee of $1,074.70 for the main comparator, TURP, and the alternative comparator VLAP.  PUL is an important alternative for the treatment of BPH since it is not only minimally invasive but unlike the comparators, involves no cutting, </w:t>
      </w:r>
      <w:proofErr w:type="gramStart"/>
      <w:r w:rsidRPr="000440DA">
        <w:rPr>
          <w:rStyle w:val="Strong"/>
          <w:b w:val="0"/>
          <w:color w:val="000000"/>
        </w:rPr>
        <w:t>heating</w:t>
      </w:r>
      <w:proofErr w:type="gramEnd"/>
      <w:r w:rsidRPr="000440DA">
        <w:rPr>
          <w:rStyle w:val="Strong"/>
          <w:b w:val="0"/>
          <w:color w:val="000000"/>
        </w:rPr>
        <w:t xml:space="preserve"> or re</w:t>
      </w:r>
      <w:r w:rsidR="004A62CA">
        <w:rPr>
          <w:rStyle w:val="Strong"/>
          <w:b w:val="0"/>
          <w:color w:val="000000"/>
        </w:rPr>
        <w:t xml:space="preserve">moval of prostate </w:t>
      </w:r>
      <w:r w:rsidRPr="000440DA">
        <w:rPr>
          <w:rStyle w:val="Strong"/>
          <w:b w:val="0"/>
          <w:color w:val="000000"/>
        </w:rPr>
        <w:t xml:space="preserve">tissue.  Additionally, many men require the advantages of PUL, namely far more rapid recovery, fewer serious adverse </w:t>
      </w:r>
      <w:proofErr w:type="gramStart"/>
      <w:r w:rsidRPr="000440DA">
        <w:rPr>
          <w:rStyle w:val="Strong"/>
          <w:b w:val="0"/>
          <w:color w:val="000000"/>
        </w:rPr>
        <w:t>effects</w:t>
      </w:r>
      <w:proofErr w:type="gramEnd"/>
      <w:r w:rsidRPr="000440DA">
        <w:rPr>
          <w:rStyle w:val="Strong"/>
          <w:b w:val="0"/>
          <w:color w:val="000000"/>
        </w:rPr>
        <w:t xml:space="preserve"> and preservation of sexual function.</w:t>
      </w:r>
    </w:p>
    <w:p w14:paraId="79620D40" w14:textId="77777777" w:rsidR="00486E7D" w:rsidRDefault="00486E7D" w:rsidP="000440DA">
      <w:pPr>
        <w:rPr>
          <w:rStyle w:val="Strong"/>
          <w:b w:val="0"/>
          <w:color w:val="000000"/>
        </w:rPr>
      </w:pPr>
    </w:p>
    <w:p w14:paraId="3DBEC9FD" w14:textId="77777777" w:rsidR="00486E7D" w:rsidRDefault="00486E7D" w:rsidP="00486E7D">
      <w:pPr>
        <w:spacing w:after="240"/>
        <w:rPr>
          <w:rFonts w:ascii="Arial" w:hAnsi="Arial" w:cs="Arial"/>
          <w:b/>
          <w:bCs/>
        </w:rPr>
      </w:pPr>
      <w:r w:rsidRPr="00346310">
        <w:rPr>
          <w:rFonts w:ascii="Arial" w:hAnsi="Arial" w:cs="Arial"/>
          <w:b/>
          <w:bCs/>
        </w:rPr>
        <w:t>Applicant comment – July 2022</w:t>
      </w:r>
    </w:p>
    <w:p w14:paraId="6278576D" w14:textId="6F2720BC" w:rsidR="00486E7D" w:rsidRPr="00486E7D" w:rsidRDefault="00092021" w:rsidP="00486E7D">
      <w:pPr>
        <w:spacing w:before="120" w:after="160" w:line="259" w:lineRule="auto"/>
        <w:rPr>
          <w:rFonts w:ascii="Franklin Gothic Book" w:eastAsia="Calibri" w:hAnsi="Franklin Gothic Book" w:cs="Arial"/>
          <w:color w:val="00B0F0"/>
          <w:sz w:val="22"/>
          <w:szCs w:val="22"/>
          <w:lang w:eastAsia="en-US"/>
        </w:rPr>
      </w:pPr>
      <w:r>
        <w:rPr>
          <w:sz w:val="22"/>
          <w:szCs w:val="22"/>
        </w:rPr>
        <w:t>Teleflex supports an increased fee for PUL via a new MBS item instead of amending the existing generic MBS item that PUL is currently claimed under. Teleflex agrees that there are a wide range of factors considered by clinicians and patients when choosing a procedure and that patients have different preferences when considering the balance between side effects and long-term effectiveness. The new PUL MBS item will enable clinicians (and patients) to choose the right treatment for them without negatively impacting on overall healthcare costs.  </w:t>
      </w:r>
    </w:p>
    <w:p w14:paraId="406D1501" w14:textId="77777777" w:rsidR="00BC1364" w:rsidRPr="00F715D1" w:rsidRDefault="00271F18" w:rsidP="00F715D1">
      <w:pPr>
        <w:pStyle w:val="Heading1"/>
      </w:pPr>
      <w:r w:rsidRPr="00F715D1">
        <w:t>Further information on MSAC</w:t>
      </w:r>
    </w:p>
    <w:p w14:paraId="33CB943E" w14:textId="77777777" w:rsidR="00BC1364" w:rsidRPr="00F715D1" w:rsidRDefault="00271F18" w:rsidP="00F715D1">
      <w:pPr>
        <w:spacing w:after="240"/>
        <w:rPr>
          <w:szCs w:val="24"/>
        </w:rPr>
      </w:pPr>
      <w:r w:rsidRPr="00F715D1">
        <w:rPr>
          <w:szCs w:val="24"/>
        </w:rPr>
        <w:t xml:space="preserve">MSAC Terms of Reference and other </w:t>
      </w:r>
      <w:r w:rsidR="00BC1364" w:rsidRPr="00F715D1">
        <w:rPr>
          <w:szCs w:val="24"/>
        </w:rPr>
        <w:t xml:space="preserve">information </w:t>
      </w:r>
      <w:r w:rsidRPr="00F715D1">
        <w:rPr>
          <w:szCs w:val="24"/>
        </w:rPr>
        <w:t>are</w:t>
      </w:r>
      <w:r w:rsidR="00BC1364" w:rsidRPr="00F715D1">
        <w:rPr>
          <w:szCs w:val="24"/>
        </w:rPr>
        <w:t xml:space="preserve"> available on the MSAC Website: </w:t>
      </w:r>
      <w:r w:rsidR="00BC2667">
        <w:rPr>
          <w:szCs w:val="24"/>
        </w:rPr>
        <w:br/>
      </w:r>
      <w:hyperlink r:id="rId17" w:tooltip="Link to Medical Services Advisory Committee website" w:history="1">
        <w:r w:rsidR="00BC2667" w:rsidRPr="00F715D1">
          <w:rPr>
            <w:rStyle w:val="Hyperlink"/>
            <w:szCs w:val="24"/>
          </w:rPr>
          <w:t>visit the MSAC website</w:t>
        </w:r>
      </w:hyperlink>
    </w:p>
    <w:sectPr w:rsidR="00BC1364" w:rsidRPr="00F715D1" w:rsidSect="00271F18">
      <w:headerReference w:type="even" r:id="rId18"/>
      <w:headerReference w:type="default" r:id="rId19"/>
      <w:footerReference w:type="even" r:id="rId20"/>
      <w:footerReference w:type="default" r:id="rId21"/>
      <w:headerReference w:type="first" r:id="rId22"/>
      <w:footerReference w:type="first" r:id="rId23"/>
      <w:pgSz w:w="11906" w:h="16838"/>
      <w:pgMar w:top="1134" w:right="1440" w:bottom="42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066DA0" w14:textId="77777777" w:rsidR="00486E7D" w:rsidRDefault="00486E7D" w:rsidP="00065623">
      <w:r>
        <w:separator/>
      </w:r>
    </w:p>
  </w:endnote>
  <w:endnote w:type="continuationSeparator" w:id="0">
    <w:p w14:paraId="310C1BF2" w14:textId="77777777" w:rsidR="00486E7D" w:rsidRDefault="00486E7D" w:rsidP="000656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ndara">
    <w:panose1 w:val="020E0502030303020204"/>
    <w:charset w:val="00"/>
    <w:family w:val="swiss"/>
    <w:pitch w:val="variable"/>
    <w:sig w:usb0="A00002EF" w:usb1="4000A44B" w:usb2="00000000" w:usb3="00000000" w:csb0="0000019F" w:csb1="00000000"/>
  </w:font>
  <w:font w:name="Garamond">
    <w:panose1 w:val="02020404030301010803"/>
    <w:charset w:val="00"/>
    <w:family w:val="roman"/>
    <w:pitch w:val="variable"/>
    <w:sig w:usb0="00000287" w:usb1="00000000" w:usb2="00000000" w:usb3="00000000" w:csb0="0000009F" w:csb1="00000000"/>
  </w:font>
  <w:font w:name="Humanist 77 7 BT">
    <w:altName w:val="Humanist 77 7 BT"/>
    <w:panose1 w:val="00000000000000000000"/>
    <w:charset w:val="00"/>
    <w:family w:val="swiss"/>
    <w:notTrueType/>
    <w:pitch w:val="default"/>
    <w:sig w:usb0="00000003" w:usb1="00000000" w:usb2="00000000" w:usb3="00000000" w:csb0="00000001" w:csb1="00000000"/>
  </w:font>
  <w:font w:name="@Yu Gothic UI Semibold">
    <w:charset w:val="80"/>
    <w:family w:val="swiss"/>
    <w:pitch w:val="variable"/>
    <w:sig w:usb0="E00002FF" w:usb1="2AC7FDFF" w:usb2="00000016" w:usb3="00000000" w:csb0="0002009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899BE" w14:textId="77777777" w:rsidR="00927D5F" w:rsidRDefault="00927D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3507969"/>
      <w:docPartObj>
        <w:docPartGallery w:val="Page Numbers (Bottom of Page)"/>
        <w:docPartUnique/>
      </w:docPartObj>
    </w:sdtPr>
    <w:sdtEndPr>
      <w:rPr>
        <w:noProof/>
      </w:rPr>
    </w:sdtEndPr>
    <w:sdtContent>
      <w:p w14:paraId="22AB193E" w14:textId="0387536E" w:rsidR="00486E7D" w:rsidRDefault="00486E7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8F42E0D" w14:textId="77777777" w:rsidR="00486E7D" w:rsidRDefault="00486E7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5322E" w14:textId="77777777" w:rsidR="00927D5F" w:rsidRDefault="00927D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F65D68" w14:textId="77777777" w:rsidR="00486E7D" w:rsidRDefault="00486E7D" w:rsidP="00065623">
      <w:r>
        <w:separator/>
      </w:r>
    </w:p>
  </w:footnote>
  <w:footnote w:type="continuationSeparator" w:id="0">
    <w:p w14:paraId="5DC24731" w14:textId="77777777" w:rsidR="00486E7D" w:rsidRDefault="00486E7D" w:rsidP="00065623">
      <w:r>
        <w:continuationSeparator/>
      </w:r>
    </w:p>
  </w:footnote>
  <w:footnote w:id="1">
    <w:p w14:paraId="5166B3CC" w14:textId="77777777" w:rsidR="00486E7D" w:rsidRDefault="00486E7D" w:rsidP="00D4501D">
      <w:pPr>
        <w:pStyle w:val="FootnoteText"/>
      </w:pPr>
      <w:r>
        <w:rPr>
          <w:rStyle w:val="FootnoteReference"/>
        </w:rPr>
        <w:footnoteRef/>
      </w:r>
      <w:r>
        <w:t xml:space="preserve"> Nickel</w:t>
      </w:r>
      <w:r w:rsidRPr="007D5D27">
        <w:t xml:space="preserve"> JC</w:t>
      </w:r>
      <w:r>
        <w:t>,</w:t>
      </w:r>
      <w:r w:rsidRPr="007D5D27">
        <w:t xml:space="preserve"> Aaron L, Barkin J, Elterman D, Nachabe M &amp; Zorn KC </w:t>
      </w:r>
      <w:r>
        <w:t>(</w:t>
      </w:r>
      <w:r w:rsidRPr="007D5D27">
        <w:t>2018</w:t>
      </w:r>
      <w:r>
        <w:t>). Can Urol Assoc J</w:t>
      </w:r>
      <w:r w:rsidRPr="007D5D27">
        <w:t xml:space="preserve"> 12</w:t>
      </w:r>
      <w:r>
        <w:t>(</w:t>
      </w:r>
      <w:r w:rsidRPr="007D5D27">
        <w:t>10</w:t>
      </w:r>
      <w:r>
        <w:t xml:space="preserve">): </w:t>
      </w:r>
      <w:r w:rsidRPr="007D5D27">
        <w:t>303-312.</w:t>
      </w:r>
    </w:p>
  </w:footnote>
  <w:footnote w:id="2">
    <w:p w14:paraId="6C0C85E7" w14:textId="77777777" w:rsidR="00486E7D" w:rsidRDefault="00486E7D" w:rsidP="00D4501D">
      <w:pPr>
        <w:pStyle w:val="FootnoteText"/>
      </w:pPr>
      <w:r>
        <w:rPr>
          <w:rStyle w:val="FootnoteReference"/>
        </w:rPr>
        <w:footnoteRef/>
      </w:r>
      <w:r>
        <w:t xml:space="preserve"> Teo</w:t>
      </w:r>
      <w:r w:rsidRPr="007807FA">
        <w:t xml:space="preserve"> JS, Lee YM &amp; Ho HSS </w:t>
      </w:r>
      <w:r>
        <w:t>(</w:t>
      </w:r>
      <w:r w:rsidRPr="007807FA">
        <w:t>2017</w:t>
      </w:r>
      <w:r>
        <w:t>). Asian Journal of Urology</w:t>
      </w:r>
      <w:r w:rsidRPr="007807FA">
        <w:t xml:space="preserve"> 4</w:t>
      </w:r>
      <w:r>
        <w:t>(3): 6-</w:t>
      </w:r>
      <w:r w:rsidRPr="007807FA">
        <w:t>15</w:t>
      </w:r>
      <w:r>
        <w:t>.</w:t>
      </w:r>
    </w:p>
  </w:footnote>
  <w:footnote w:id="3">
    <w:p w14:paraId="3779E53B" w14:textId="77777777" w:rsidR="00486E7D" w:rsidRDefault="00486E7D" w:rsidP="00D4501D">
      <w:pPr>
        <w:pStyle w:val="FootnoteText"/>
      </w:pPr>
      <w:r>
        <w:rPr>
          <w:rStyle w:val="FootnoteReference"/>
        </w:rPr>
        <w:footnoteRef/>
      </w:r>
      <w:r>
        <w:t xml:space="preserve"> </w:t>
      </w:r>
      <w:r w:rsidRPr="007807FA">
        <w:t xml:space="preserve">EAU </w:t>
      </w:r>
      <w:r>
        <w:t>(</w:t>
      </w:r>
      <w:r w:rsidRPr="007807FA">
        <w:t>2016</w:t>
      </w:r>
      <w:r>
        <w:t>).</w:t>
      </w:r>
      <w:r w:rsidRPr="007807FA">
        <w:t xml:space="preserve"> </w:t>
      </w:r>
      <w:r>
        <w:t>“</w:t>
      </w:r>
      <w:r w:rsidRPr="007807FA">
        <w:t>Treatm</w:t>
      </w:r>
      <w:r>
        <w:t>ent of non-neurogenic male LUTS.”</w:t>
      </w:r>
      <w:r w:rsidRPr="007807FA">
        <w:t xml:space="preserve">  European Association of Urology Guidelines.</w:t>
      </w:r>
    </w:p>
  </w:footnote>
  <w:footnote w:id="4">
    <w:p w14:paraId="5A5BDB14" w14:textId="77777777" w:rsidR="00486E7D" w:rsidRDefault="00486E7D" w:rsidP="00D4501D">
      <w:pPr>
        <w:pStyle w:val="FootnoteText"/>
      </w:pPr>
      <w:r>
        <w:rPr>
          <w:rStyle w:val="FootnoteReference"/>
        </w:rPr>
        <w:footnoteRef/>
      </w:r>
      <w:r>
        <w:t xml:space="preserve"> </w:t>
      </w:r>
      <w:r w:rsidRPr="00181300">
        <w:t>Comparison of the UroLift System to TURP for Benign Prostatic Hyperplasia (BPH-6)</w:t>
      </w:r>
      <w:r>
        <w:t xml:space="preserve"> - </w:t>
      </w:r>
      <w:r w:rsidRPr="00181300">
        <w:t>NCT01533038</w:t>
      </w:r>
      <w:r>
        <w:t xml:space="preserve">; cited in </w:t>
      </w:r>
      <w:r w:rsidRPr="00503A25">
        <w:t>Sønksen et al. 2015</w:t>
      </w:r>
      <w:r>
        <w:t xml:space="preserve"> and </w:t>
      </w:r>
      <w:r w:rsidRPr="00503A25">
        <w:t>Gratzke et al. 2017</w:t>
      </w:r>
      <w:r>
        <w:t>.</w:t>
      </w:r>
    </w:p>
  </w:footnote>
  <w:footnote w:id="5">
    <w:p w14:paraId="10F07585" w14:textId="77777777" w:rsidR="00486E7D" w:rsidRDefault="00486E7D" w:rsidP="00D4501D">
      <w:pPr>
        <w:pStyle w:val="FootnoteText"/>
      </w:pPr>
      <w:r>
        <w:rPr>
          <w:rStyle w:val="FootnoteReference"/>
        </w:rPr>
        <w:footnoteRef/>
      </w:r>
      <w:r>
        <w:t xml:space="preserve"> </w:t>
      </w:r>
      <w:r w:rsidRPr="00951C27">
        <w:t>Luminal Improvement Following Prostatic Tissue Approximation for the Tre</w:t>
      </w:r>
      <w:r>
        <w:t xml:space="preserve">atment of LUTS secondary to BPH; cited in </w:t>
      </w:r>
      <w:r w:rsidRPr="00D77A6C">
        <w:t>Roehrborn et al</w:t>
      </w:r>
      <w:r>
        <w:t>.</w:t>
      </w:r>
      <w:r w:rsidRPr="00D77A6C">
        <w:t xml:space="preserve"> 2013; McVary et al</w:t>
      </w:r>
      <w:r>
        <w:t>.</w:t>
      </w:r>
      <w:r w:rsidRPr="00D77A6C">
        <w:t xml:space="preserve"> 2014; Cantwell et al</w:t>
      </w:r>
      <w:r>
        <w:t>.</w:t>
      </w:r>
      <w:r w:rsidRPr="00D77A6C">
        <w:t xml:space="preserve"> 2014; Roehrborn et al</w:t>
      </w:r>
      <w:r>
        <w:t>.</w:t>
      </w:r>
      <w:r w:rsidRPr="00D77A6C">
        <w:t xml:space="preserve"> 2015; Rukstalis et al</w:t>
      </w:r>
      <w:r>
        <w:t>.</w:t>
      </w:r>
      <w:r w:rsidRPr="00D77A6C">
        <w:t xml:space="preserve"> 2016; McVary et al</w:t>
      </w:r>
      <w:r>
        <w:t>.</w:t>
      </w:r>
      <w:r w:rsidRPr="00D77A6C">
        <w:t xml:space="preserve"> 2017; Rukstalis et al</w:t>
      </w:r>
      <w:r>
        <w:t>.</w:t>
      </w:r>
      <w:r w:rsidRPr="00D77A6C">
        <w:t xml:space="preserve"> 2019</w:t>
      </w:r>
    </w:p>
  </w:footnote>
  <w:footnote w:id="6">
    <w:p w14:paraId="73D92E54" w14:textId="77777777" w:rsidR="00486E7D" w:rsidRDefault="00486E7D" w:rsidP="00D4501D">
      <w:pPr>
        <w:pStyle w:val="FootnoteText"/>
      </w:pPr>
      <w:r>
        <w:rPr>
          <w:rStyle w:val="FootnoteReference"/>
        </w:rPr>
        <w:footnoteRef/>
      </w:r>
      <w:r>
        <w:t xml:space="preserve"> </w:t>
      </w:r>
      <w:r w:rsidRPr="00D4537A">
        <w:t>A Prospective Multicenter Randomized Study Comparing Photoselective Vaporization of the Prostate With the GreenLight XPS™ Laser System and Transurethral Resection of the Prostate for the Treatment of Benign Prostatic Hyperplasia</w:t>
      </w:r>
      <w:r>
        <w:t>; cited in Bachman et al. 2014.</w:t>
      </w:r>
    </w:p>
  </w:footnote>
  <w:footnote w:id="7">
    <w:p w14:paraId="6DD34380" w14:textId="77777777" w:rsidR="00486E7D" w:rsidRDefault="00486E7D" w:rsidP="00D4501D">
      <w:pPr>
        <w:pStyle w:val="FootnoteText"/>
      </w:pPr>
      <w:r>
        <w:rPr>
          <w:rStyle w:val="FootnoteReference"/>
        </w:rPr>
        <w:footnoteRef/>
      </w:r>
      <w:r>
        <w:t xml:space="preserve"> Patel NH, Uppaluri N, Iorga M, Schulman A, Bloom JB, Phillips</w:t>
      </w:r>
      <w:r w:rsidRPr="001C751D">
        <w:t xml:space="preserve"> J, Fullerton S, Konno S, Choudhury M &amp; Eshghi M </w:t>
      </w:r>
      <w:r>
        <w:t>(</w:t>
      </w:r>
      <w:r w:rsidRPr="001C751D">
        <w:t>2019</w:t>
      </w:r>
      <w:r>
        <w:t xml:space="preserve">) </w:t>
      </w:r>
      <w:r w:rsidRPr="001C751D">
        <w:t>Journal of endourology</w:t>
      </w:r>
      <w:r>
        <w:t xml:space="preserve"> </w:t>
      </w:r>
      <w:r w:rsidRPr="001C751D">
        <w:t>33</w:t>
      </w:r>
      <w:r>
        <w:t>(</w:t>
      </w:r>
      <w:r w:rsidRPr="001C751D">
        <w:t>6</w:t>
      </w:r>
      <w:r>
        <w:t>):</w:t>
      </w:r>
      <w:r w:rsidRPr="001C751D">
        <w:t xml:space="preserve"> 448-454.</w:t>
      </w:r>
    </w:p>
  </w:footnote>
  <w:footnote w:id="8">
    <w:p w14:paraId="5CD1706C" w14:textId="77777777" w:rsidR="00486E7D" w:rsidRPr="00140FD6" w:rsidRDefault="00486E7D" w:rsidP="00652235">
      <w:pPr>
        <w:pStyle w:val="FootnoteText"/>
      </w:pPr>
      <w:r w:rsidRPr="00140FD6">
        <w:rPr>
          <w:rStyle w:val="FootnoteReference"/>
          <w:iCs/>
        </w:rPr>
        <w:footnoteRef/>
      </w:r>
      <w:r w:rsidRPr="00140FD6">
        <w:rPr>
          <w:iCs/>
        </w:rPr>
        <w:t xml:space="preserve"> Transurethral Prostatectomy for Urinary Disorder, Minor Complexity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13EF0" w14:textId="77777777" w:rsidR="00927D5F" w:rsidRDefault="00927D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46BB5" w14:textId="77777777" w:rsidR="00927D5F" w:rsidRDefault="00927D5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32ABC" w14:textId="77777777" w:rsidR="00927D5F" w:rsidRDefault="00927D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633C8"/>
    <w:multiLevelType w:val="hybridMultilevel"/>
    <w:tmpl w:val="93AA49E0"/>
    <w:lvl w:ilvl="0" w:tplc="90F0D13E">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FC65D09"/>
    <w:multiLevelType w:val="hybridMultilevel"/>
    <w:tmpl w:val="8F1A6EFA"/>
    <w:lvl w:ilvl="0" w:tplc="CE66D59E">
      <w:start w:val="1"/>
      <w:numFmt w:val="decimal"/>
      <w:pStyle w:val="Heading1"/>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57C365A"/>
    <w:multiLevelType w:val="multilevel"/>
    <w:tmpl w:val="9E76C3D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261E10B9"/>
    <w:multiLevelType w:val="hybridMultilevel"/>
    <w:tmpl w:val="C83E92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C933BF8"/>
    <w:multiLevelType w:val="multilevel"/>
    <w:tmpl w:val="B22A93B6"/>
    <w:styleLink w:val="Heading1a"/>
    <w:lvl w:ilvl="0">
      <w:start w:val="1"/>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37B54856"/>
    <w:multiLevelType w:val="hybridMultilevel"/>
    <w:tmpl w:val="C25AA6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DBD3AA3"/>
    <w:multiLevelType w:val="hybridMultilevel"/>
    <w:tmpl w:val="8FA4E980"/>
    <w:lvl w:ilvl="0" w:tplc="9556A85A">
      <w:numFmt w:val="bullet"/>
      <w:lvlText w:val="•"/>
      <w:lvlJc w:val="left"/>
      <w:pPr>
        <w:ind w:left="1080" w:hanging="72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0AB1F1F"/>
    <w:multiLevelType w:val="hybridMultilevel"/>
    <w:tmpl w:val="B6742D8E"/>
    <w:lvl w:ilvl="0" w:tplc="DB9467D4">
      <w:start w:val="8"/>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20B6ECC"/>
    <w:multiLevelType w:val="hybridMultilevel"/>
    <w:tmpl w:val="5A1ECD14"/>
    <w:lvl w:ilvl="0" w:tplc="DEFAC1A4">
      <w:start w:val="1"/>
      <w:numFmt w:val="bullet"/>
      <w:pStyle w:val="NormalBulletList"/>
      <w:lvlText w:val=""/>
      <w:lvlJc w:val="left"/>
      <w:pPr>
        <w:ind w:left="720" w:hanging="360"/>
      </w:pPr>
      <w:rPr>
        <w:rFonts w:ascii="Symbol" w:hAnsi="Symbol" w:hint="default"/>
      </w:rPr>
    </w:lvl>
    <w:lvl w:ilvl="1" w:tplc="CC2ADE4A">
      <w:start w:val="1"/>
      <w:numFmt w:val="bullet"/>
      <w:lvlText w:val="o"/>
      <w:lvlJc w:val="left"/>
      <w:pPr>
        <w:ind w:left="1440" w:hanging="360"/>
      </w:pPr>
      <w:rPr>
        <w:rFonts w:ascii="Courier New" w:hAnsi="Courier New" w:cs="Courier New" w:hint="default"/>
      </w:rPr>
    </w:lvl>
    <w:lvl w:ilvl="2" w:tplc="61E61A46" w:tentative="1">
      <w:start w:val="1"/>
      <w:numFmt w:val="bullet"/>
      <w:lvlText w:val=""/>
      <w:lvlJc w:val="left"/>
      <w:pPr>
        <w:ind w:left="2160" w:hanging="360"/>
      </w:pPr>
      <w:rPr>
        <w:rFonts w:ascii="Wingdings" w:hAnsi="Wingdings" w:hint="default"/>
      </w:rPr>
    </w:lvl>
    <w:lvl w:ilvl="3" w:tplc="48E8658E" w:tentative="1">
      <w:start w:val="1"/>
      <w:numFmt w:val="bullet"/>
      <w:lvlText w:val=""/>
      <w:lvlJc w:val="left"/>
      <w:pPr>
        <w:ind w:left="2880" w:hanging="360"/>
      </w:pPr>
      <w:rPr>
        <w:rFonts w:ascii="Symbol" w:hAnsi="Symbol" w:hint="default"/>
      </w:rPr>
    </w:lvl>
    <w:lvl w:ilvl="4" w:tplc="4EE87910" w:tentative="1">
      <w:start w:val="1"/>
      <w:numFmt w:val="bullet"/>
      <w:lvlText w:val="o"/>
      <w:lvlJc w:val="left"/>
      <w:pPr>
        <w:ind w:left="3600" w:hanging="360"/>
      </w:pPr>
      <w:rPr>
        <w:rFonts w:ascii="Courier New" w:hAnsi="Courier New" w:cs="Courier New" w:hint="default"/>
      </w:rPr>
    </w:lvl>
    <w:lvl w:ilvl="5" w:tplc="E2D8FC36" w:tentative="1">
      <w:start w:val="1"/>
      <w:numFmt w:val="bullet"/>
      <w:lvlText w:val=""/>
      <w:lvlJc w:val="left"/>
      <w:pPr>
        <w:ind w:left="4320" w:hanging="360"/>
      </w:pPr>
      <w:rPr>
        <w:rFonts w:ascii="Wingdings" w:hAnsi="Wingdings" w:hint="default"/>
      </w:rPr>
    </w:lvl>
    <w:lvl w:ilvl="6" w:tplc="4B22A9DC" w:tentative="1">
      <w:start w:val="1"/>
      <w:numFmt w:val="bullet"/>
      <w:lvlText w:val=""/>
      <w:lvlJc w:val="left"/>
      <w:pPr>
        <w:ind w:left="5040" w:hanging="360"/>
      </w:pPr>
      <w:rPr>
        <w:rFonts w:ascii="Symbol" w:hAnsi="Symbol" w:hint="default"/>
      </w:rPr>
    </w:lvl>
    <w:lvl w:ilvl="7" w:tplc="02445202" w:tentative="1">
      <w:start w:val="1"/>
      <w:numFmt w:val="bullet"/>
      <w:lvlText w:val="o"/>
      <w:lvlJc w:val="left"/>
      <w:pPr>
        <w:ind w:left="5760" w:hanging="360"/>
      </w:pPr>
      <w:rPr>
        <w:rFonts w:ascii="Courier New" w:hAnsi="Courier New" w:cs="Courier New" w:hint="default"/>
      </w:rPr>
    </w:lvl>
    <w:lvl w:ilvl="8" w:tplc="947490A4" w:tentative="1">
      <w:start w:val="1"/>
      <w:numFmt w:val="bullet"/>
      <w:lvlText w:val=""/>
      <w:lvlJc w:val="left"/>
      <w:pPr>
        <w:ind w:left="6480" w:hanging="360"/>
      </w:pPr>
      <w:rPr>
        <w:rFonts w:ascii="Wingdings" w:hAnsi="Wingdings" w:hint="default"/>
      </w:rPr>
    </w:lvl>
  </w:abstractNum>
  <w:abstractNum w:abstractNumId="9" w15:restartNumberingAfterBreak="0">
    <w:nsid w:val="531768B9"/>
    <w:multiLevelType w:val="hybridMultilevel"/>
    <w:tmpl w:val="B92A3038"/>
    <w:lvl w:ilvl="0" w:tplc="DBFA83DC">
      <w:start w:val="1"/>
      <w:numFmt w:val="bullet"/>
      <w:lvlText w:val=""/>
      <w:lvlJc w:val="left"/>
      <w:pPr>
        <w:tabs>
          <w:tab w:val="num" w:pos="1080"/>
        </w:tabs>
        <w:ind w:left="1080" w:hanging="360"/>
      </w:pPr>
      <w:rPr>
        <w:rFonts w:ascii="Symbol" w:hAnsi="Symbol" w:hint="default"/>
        <w:color w:val="auto"/>
        <w:sz w:val="22"/>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57DB3682"/>
    <w:multiLevelType w:val="hybridMultilevel"/>
    <w:tmpl w:val="9E98DD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A274D9A"/>
    <w:multiLevelType w:val="hybridMultilevel"/>
    <w:tmpl w:val="A9F478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BB16DE0"/>
    <w:multiLevelType w:val="hybridMultilevel"/>
    <w:tmpl w:val="004816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FBA2948"/>
    <w:multiLevelType w:val="hybridMultilevel"/>
    <w:tmpl w:val="F5626B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B33608C"/>
    <w:multiLevelType w:val="hybridMultilevel"/>
    <w:tmpl w:val="493CFE2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5" w15:restartNumberingAfterBreak="0">
    <w:nsid w:val="73E01B50"/>
    <w:multiLevelType w:val="hybridMultilevel"/>
    <w:tmpl w:val="14DA644C"/>
    <w:lvl w:ilvl="0" w:tplc="25A8177A">
      <w:start w:val="13"/>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940555D"/>
    <w:multiLevelType w:val="hybridMultilevel"/>
    <w:tmpl w:val="42480F98"/>
    <w:lvl w:ilvl="0" w:tplc="0C090001">
      <w:start w:val="1"/>
      <w:numFmt w:val="bullet"/>
      <w:lvlText w:val=""/>
      <w:lvlJc w:val="left"/>
      <w:pPr>
        <w:ind w:left="1080" w:hanging="72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B6526D7"/>
    <w:multiLevelType w:val="hybridMultilevel"/>
    <w:tmpl w:val="A4EEBA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11"/>
  </w:num>
  <w:num w:numId="4">
    <w:abstractNumId w:val="6"/>
  </w:num>
  <w:num w:numId="5">
    <w:abstractNumId w:val="8"/>
  </w:num>
  <w:num w:numId="6">
    <w:abstractNumId w:val="4"/>
  </w:num>
  <w:num w:numId="7">
    <w:abstractNumId w:val="3"/>
  </w:num>
  <w:num w:numId="8">
    <w:abstractNumId w:val="12"/>
  </w:num>
  <w:num w:numId="9">
    <w:abstractNumId w:val="14"/>
  </w:num>
  <w:num w:numId="10">
    <w:abstractNumId w:val="7"/>
  </w:num>
  <w:num w:numId="11">
    <w:abstractNumId w:val="15"/>
  </w:num>
  <w:num w:numId="12">
    <w:abstractNumId w:val="10"/>
  </w:num>
  <w:num w:numId="13">
    <w:abstractNumId w:val="17"/>
  </w:num>
  <w:num w:numId="14">
    <w:abstractNumId w:val="0"/>
  </w:num>
  <w:num w:numId="15">
    <w:abstractNumId w:val="2"/>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num>
  <w:num w:numId="27">
    <w:abstractNumId w:val="13"/>
  </w:num>
  <w:num w:numId="28">
    <w:abstractNumId w:val="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65623"/>
    <w:rsid w:val="00007312"/>
    <w:rsid w:val="00011A36"/>
    <w:rsid w:val="0001311B"/>
    <w:rsid w:val="00016353"/>
    <w:rsid w:val="00022111"/>
    <w:rsid w:val="000317F2"/>
    <w:rsid w:val="000440DA"/>
    <w:rsid w:val="00047606"/>
    <w:rsid w:val="00052407"/>
    <w:rsid w:val="00064BCB"/>
    <w:rsid w:val="00065623"/>
    <w:rsid w:val="00073D0F"/>
    <w:rsid w:val="000756B9"/>
    <w:rsid w:val="00087B2B"/>
    <w:rsid w:val="00092021"/>
    <w:rsid w:val="00094EF9"/>
    <w:rsid w:val="00096B67"/>
    <w:rsid w:val="00096DAF"/>
    <w:rsid w:val="000A49E8"/>
    <w:rsid w:val="000A560A"/>
    <w:rsid w:val="000A57E3"/>
    <w:rsid w:val="000B0156"/>
    <w:rsid w:val="000C2F47"/>
    <w:rsid w:val="000D2426"/>
    <w:rsid w:val="000D2B9A"/>
    <w:rsid w:val="000D5021"/>
    <w:rsid w:val="000D6C00"/>
    <w:rsid w:val="000E4E04"/>
    <w:rsid w:val="000E5334"/>
    <w:rsid w:val="000F14B4"/>
    <w:rsid w:val="000F75DF"/>
    <w:rsid w:val="001023DC"/>
    <w:rsid w:val="001328FA"/>
    <w:rsid w:val="0013301E"/>
    <w:rsid w:val="00136505"/>
    <w:rsid w:val="00146803"/>
    <w:rsid w:val="00147AAF"/>
    <w:rsid w:val="001552C0"/>
    <w:rsid w:val="0016295D"/>
    <w:rsid w:val="001631B6"/>
    <w:rsid w:val="001640B1"/>
    <w:rsid w:val="00164DA5"/>
    <w:rsid w:val="0017406A"/>
    <w:rsid w:val="0017423B"/>
    <w:rsid w:val="00175422"/>
    <w:rsid w:val="001765F3"/>
    <w:rsid w:val="00183489"/>
    <w:rsid w:val="001842B7"/>
    <w:rsid w:val="0018435E"/>
    <w:rsid w:val="0019608A"/>
    <w:rsid w:val="001B12C3"/>
    <w:rsid w:val="001C4A58"/>
    <w:rsid w:val="001D312B"/>
    <w:rsid w:val="001E47B6"/>
    <w:rsid w:val="002041A1"/>
    <w:rsid w:val="002050A3"/>
    <w:rsid w:val="002054F0"/>
    <w:rsid w:val="00221228"/>
    <w:rsid w:val="00230D6B"/>
    <w:rsid w:val="00230E27"/>
    <w:rsid w:val="00232068"/>
    <w:rsid w:val="002330F2"/>
    <w:rsid w:val="00243D9E"/>
    <w:rsid w:val="00245143"/>
    <w:rsid w:val="00250EF2"/>
    <w:rsid w:val="0025213E"/>
    <w:rsid w:val="00253B66"/>
    <w:rsid w:val="00261DF1"/>
    <w:rsid w:val="00263A2C"/>
    <w:rsid w:val="00271F18"/>
    <w:rsid w:val="0028237B"/>
    <w:rsid w:val="00282779"/>
    <w:rsid w:val="0028334D"/>
    <w:rsid w:val="00286EF1"/>
    <w:rsid w:val="00293E8C"/>
    <w:rsid w:val="002A26B2"/>
    <w:rsid w:val="002A2E5E"/>
    <w:rsid w:val="002B7FFA"/>
    <w:rsid w:val="002C2BCF"/>
    <w:rsid w:val="002C6181"/>
    <w:rsid w:val="002C6FD9"/>
    <w:rsid w:val="002C7F61"/>
    <w:rsid w:val="002D22F7"/>
    <w:rsid w:val="002D584D"/>
    <w:rsid w:val="002E2D9A"/>
    <w:rsid w:val="002F279D"/>
    <w:rsid w:val="002F43B8"/>
    <w:rsid w:val="002F739A"/>
    <w:rsid w:val="003251E2"/>
    <w:rsid w:val="00336856"/>
    <w:rsid w:val="0034554D"/>
    <w:rsid w:val="00352224"/>
    <w:rsid w:val="0036361C"/>
    <w:rsid w:val="003636DE"/>
    <w:rsid w:val="003671E6"/>
    <w:rsid w:val="003738CE"/>
    <w:rsid w:val="00384272"/>
    <w:rsid w:val="00386D67"/>
    <w:rsid w:val="003945B8"/>
    <w:rsid w:val="003A2225"/>
    <w:rsid w:val="003A4E07"/>
    <w:rsid w:val="003B2E32"/>
    <w:rsid w:val="003D0D7D"/>
    <w:rsid w:val="003D4F14"/>
    <w:rsid w:val="003D7F29"/>
    <w:rsid w:val="003E70F4"/>
    <w:rsid w:val="003F6C00"/>
    <w:rsid w:val="003F6C90"/>
    <w:rsid w:val="00405A6B"/>
    <w:rsid w:val="00407B1F"/>
    <w:rsid w:val="0041184F"/>
    <w:rsid w:val="004140EF"/>
    <w:rsid w:val="00414C57"/>
    <w:rsid w:val="0041758C"/>
    <w:rsid w:val="00430667"/>
    <w:rsid w:val="00432A64"/>
    <w:rsid w:val="004474AC"/>
    <w:rsid w:val="004539DE"/>
    <w:rsid w:val="004662B2"/>
    <w:rsid w:val="00474CE9"/>
    <w:rsid w:val="00486E7D"/>
    <w:rsid w:val="004A2CF1"/>
    <w:rsid w:val="004A51BF"/>
    <w:rsid w:val="004A6094"/>
    <w:rsid w:val="004A62CA"/>
    <w:rsid w:val="004A7E0B"/>
    <w:rsid w:val="004B46AD"/>
    <w:rsid w:val="004C3035"/>
    <w:rsid w:val="004C307F"/>
    <w:rsid w:val="004C4CAA"/>
    <w:rsid w:val="004E029A"/>
    <w:rsid w:val="004E4BA8"/>
    <w:rsid w:val="004F209C"/>
    <w:rsid w:val="004F340F"/>
    <w:rsid w:val="004F7B7C"/>
    <w:rsid w:val="00510FB2"/>
    <w:rsid w:val="0052243D"/>
    <w:rsid w:val="00532435"/>
    <w:rsid w:val="00550354"/>
    <w:rsid w:val="005512ED"/>
    <w:rsid w:val="00552D60"/>
    <w:rsid w:val="00571236"/>
    <w:rsid w:val="0057256D"/>
    <w:rsid w:val="00573DFD"/>
    <w:rsid w:val="005953A1"/>
    <w:rsid w:val="005A4362"/>
    <w:rsid w:val="005A7298"/>
    <w:rsid w:val="005B5434"/>
    <w:rsid w:val="005B79C9"/>
    <w:rsid w:val="005D0332"/>
    <w:rsid w:val="005D0D8C"/>
    <w:rsid w:val="005E3A09"/>
    <w:rsid w:val="005F0CE5"/>
    <w:rsid w:val="005F29E7"/>
    <w:rsid w:val="006016EE"/>
    <w:rsid w:val="00640A46"/>
    <w:rsid w:val="00643F05"/>
    <w:rsid w:val="00647DCD"/>
    <w:rsid w:val="00652235"/>
    <w:rsid w:val="006773C2"/>
    <w:rsid w:val="006776AE"/>
    <w:rsid w:val="00692777"/>
    <w:rsid w:val="00692E6B"/>
    <w:rsid w:val="006A0D97"/>
    <w:rsid w:val="006B1F86"/>
    <w:rsid w:val="006B4769"/>
    <w:rsid w:val="006B6EDC"/>
    <w:rsid w:val="006C0A91"/>
    <w:rsid w:val="00700626"/>
    <w:rsid w:val="007054BB"/>
    <w:rsid w:val="00707064"/>
    <w:rsid w:val="00724C12"/>
    <w:rsid w:val="00725626"/>
    <w:rsid w:val="00730683"/>
    <w:rsid w:val="0075261F"/>
    <w:rsid w:val="0075468E"/>
    <w:rsid w:val="00757328"/>
    <w:rsid w:val="007665D8"/>
    <w:rsid w:val="00766E36"/>
    <w:rsid w:val="00767402"/>
    <w:rsid w:val="00770B52"/>
    <w:rsid w:val="007765F4"/>
    <w:rsid w:val="00776633"/>
    <w:rsid w:val="007819BF"/>
    <w:rsid w:val="00784D53"/>
    <w:rsid w:val="0078621E"/>
    <w:rsid w:val="00797797"/>
    <w:rsid w:val="007A0856"/>
    <w:rsid w:val="007A63C9"/>
    <w:rsid w:val="007A6537"/>
    <w:rsid w:val="007B1BDF"/>
    <w:rsid w:val="007B32D1"/>
    <w:rsid w:val="007B7095"/>
    <w:rsid w:val="007C2D07"/>
    <w:rsid w:val="007D24E1"/>
    <w:rsid w:val="007D3EA9"/>
    <w:rsid w:val="007D6288"/>
    <w:rsid w:val="007D63F2"/>
    <w:rsid w:val="007E32FF"/>
    <w:rsid w:val="007E5664"/>
    <w:rsid w:val="007F4CE9"/>
    <w:rsid w:val="007F4E20"/>
    <w:rsid w:val="00802D61"/>
    <w:rsid w:val="00807B37"/>
    <w:rsid w:val="00822C7E"/>
    <w:rsid w:val="0083662B"/>
    <w:rsid w:val="00847060"/>
    <w:rsid w:val="00847A36"/>
    <w:rsid w:val="00856A33"/>
    <w:rsid w:val="00873B87"/>
    <w:rsid w:val="0087527B"/>
    <w:rsid w:val="00891B0D"/>
    <w:rsid w:val="00892620"/>
    <w:rsid w:val="00892BAD"/>
    <w:rsid w:val="008A02CA"/>
    <w:rsid w:val="008A6215"/>
    <w:rsid w:val="008C778E"/>
    <w:rsid w:val="008C7D37"/>
    <w:rsid w:val="008D5885"/>
    <w:rsid w:val="008D65B5"/>
    <w:rsid w:val="008F0CB8"/>
    <w:rsid w:val="00904E47"/>
    <w:rsid w:val="0092251A"/>
    <w:rsid w:val="00923FA2"/>
    <w:rsid w:val="00927D5F"/>
    <w:rsid w:val="0096060D"/>
    <w:rsid w:val="00970D92"/>
    <w:rsid w:val="00974A50"/>
    <w:rsid w:val="0097585A"/>
    <w:rsid w:val="009868A6"/>
    <w:rsid w:val="009924B0"/>
    <w:rsid w:val="009942C9"/>
    <w:rsid w:val="009B35C4"/>
    <w:rsid w:val="009B6C10"/>
    <w:rsid w:val="009B7AB3"/>
    <w:rsid w:val="009C596F"/>
    <w:rsid w:val="009C630A"/>
    <w:rsid w:val="009D23B4"/>
    <w:rsid w:val="009D7C92"/>
    <w:rsid w:val="009E0D98"/>
    <w:rsid w:val="009E22FD"/>
    <w:rsid w:val="00A06878"/>
    <w:rsid w:val="00A068A1"/>
    <w:rsid w:val="00A1207D"/>
    <w:rsid w:val="00A12623"/>
    <w:rsid w:val="00A12FD8"/>
    <w:rsid w:val="00A250BF"/>
    <w:rsid w:val="00A346FC"/>
    <w:rsid w:val="00A46D77"/>
    <w:rsid w:val="00A528C6"/>
    <w:rsid w:val="00A56F6C"/>
    <w:rsid w:val="00A6376C"/>
    <w:rsid w:val="00A7345F"/>
    <w:rsid w:val="00A83064"/>
    <w:rsid w:val="00A846F2"/>
    <w:rsid w:val="00A84AA9"/>
    <w:rsid w:val="00A84F93"/>
    <w:rsid w:val="00A91537"/>
    <w:rsid w:val="00A959DB"/>
    <w:rsid w:val="00A97838"/>
    <w:rsid w:val="00AB1AC5"/>
    <w:rsid w:val="00AB3BFC"/>
    <w:rsid w:val="00AC4F2E"/>
    <w:rsid w:val="00AC6C2C"/>
    <w:rsid w:val="00AD083E"/>
    <w:rsid w:val="00AD0C37"/>
    <w:rsid w:val="00AD385F"/>
    <w:rsid w:val="00AE6E2A"/>
    <w:rsid w:val="00AF30AE"/>
    <w:rsid w:val="00AF4529"/>
    <w:rsid w:val="00B00A50"/>
    <w:rsid w:val="00B03EAB"/>
    <w:rsid w:val="00B139B9"/>
    <w:rsid w:val="00B22FA3"/>
    <w:rsid w:val="00B31E9C"/>
    <w:rsid w:val="00B34F48"/>
    <w:rsid w:val="00B35595"/>
    <w:rsid w:val="00B36384"/>
    <w:rsid w:val="00B51C6D"/>
    <w:rsid w:val="00B51D7D"/>
    <w:rsid w:val="00B55B07"/>
    <w:rsid w:val="00B6550F"/>
    <w:rsid w:val="00B72191"/>
    <w:rsid w:val="00B76E09"/>
    <w:rsid w:val="00B77336"/>
    <w:rsid w:val="00B80ADB"/>
    <w:rsid w:val="00B83DD2"/>
    <w:rsid w:val="00B86D64"/>
    <w:rsid w:val="00BA4AC5"/>
    <w:rsid w:val="00BB00B9"/>
    <w:rsid w:val="00BB02F7"/>
    <w:rsid w:val="00BC1364"/>
    <w:rsid w:val="00BC2667"/>
    <w:rsid w:val="00BC7DE9"/>
    <w:rsid w:val="00BD23EE"/>
    <w:rsid w:val="00BD6625"/>
    <w:rsid w:val="00BE2085"/>
    <w:rsid w:val="00BF3E59"/>
    <w:rsid w:val="00BF479B"/>
    <w:rsid w:val="00C02577"/>
    <w:rsid w:val="00C04D09"/>
    <w:rsid w:val="00C06B0B"/>
    <w:rsid w:val="00C11BBE"/>
    <w:rsid w:val="00C15513"/>
    <w:rsid w:val="00C204FB"/>
    <w:rsid w:val="00C20BEE"/>
    <w:rsid w:val="00C2158D"/>
    <w:rsid w:val="00C30E70"/>
    <w:rsid w:val="00C44A29"/>
    <w:rsid w:val="00C53262"/>
    <w:rsid w:val="00C5370C"/>
    <w:rsid w:val="00C56FD4"/>
    <w:rsid w:val="00C67DD2"/>
    <w:rsid w:val="00C725CB"/>
    <w:rsid w:val="00C76F5C"/>
    <w:rsid w:val="00C867A4"/>
    <w:rsid w:val="00C874D6"/>
    <w:rsid w:val="00C95869"/>
    <w:rsid w:val="00C96BAD"/>
    <w:rsid w:val="00CA6944"/>
    <w:rsid w:val="00CB0F8E"/>
    <w:rsid w:val="00CB7E7D"/>
    <w:rsid w:val="00CC273F"/>
    <w:rsid w:val="00CC2911"/>
    <w:rsid w:val="00CD557E"/>
    <w:rsid w:val="00CE1372"/>
    <w:rsid w:val="00CE75AC"/>
    <w:rsid w:val="00CF0C6D"/>
    <w:rsid w:val="00CF3440"/>
    <w:rsid w:val="00CF4E81"/>
    <w:rsid w:val="00CF7307"/>
    <w:rsid w:val="00CF7C68"/>
    <w:rsid w:val="00D01902"/>
    <w:rsid w:val="00D11192"/>
    <w:rsid w:val="00D124FA"/>
    <w:rsid w:val="00D23F82"/>
    <w:rsid w:val="00D2501B"/>
    <w:rsid w:val="00D340DE"/>
    <w:rsid w:val="00D4501D"/>
    <w:rsid w:val="00D50CFD"/>
    <w:rsid w:val="00D52151"/>
    <w:rsid w:val="00D55723"/>
    <w:rsid w:val="00D55D97"/>
    <w:rsid w:val="00D62FAD"/>
    <w:rsid w:val="00D64355"/>
    <w:rsid w:val="00D70450"/>
    <w:rsid w:val="00D70B59"/>
    <w:rsid w:val="00D80465"/>
    <w:rsid w:val="00D83BFD"/>
    <w:rsid w:val="00D863C8"/>
    <w:rsid w:val="00D90A38"/>
    <w:rsid w:val="00D91D8B"/>
    <w:rsid w:val="00D95739"/>
    <w:rsid w:val="00D97000"/>
    <w:rsid w:val="00DA0515"/>
    <w:rsid w:val="00DA1573"/>
    <w:rsid w:val="00DA171E"/>
    <w:rsid w:val="00DA56AA"/>
    <w:rsid w:val="00DB53F6"/>
    <w:rsid w:val="00DB5833"/>
    <w:rsid w:val="00DD2858"/>
    <w:rsid w:val="00DE44AB"/>
    <w:rsid w:val="00DF489D"/>
    <w:rsid w:val="00E03E33"/>
    <w:rsid w:val="00E059E0"/>
    <w:rsid w:val="00E11478"/>
    <w:rsid w:val="00E116A1"/>
    <w:rsid w:val="00E15D83"/>
    <w:rsid w:val="00E3642A"/>
    <w:rsid w:val="00E37ED2"/>
    <w:rsid w:val="00E415C4"/>
    <w:rsid w:val="00E42512"/>
    <w:rsid w:val="00E50016"/>
    <w:rsid w:val="00E50EAA"/>
    <w:rsid w:val="00E53F9C"/>
    <w:rsid w:val="00E60F1E"/>
    <w:rsid w:val="00E63EDD"/>
    <w:rsid w:val="00E656D6"/>
    <w:rsid w:val="00E7131B"/>
    <w:rsid w:val="00E8115B"/>
    <w:rsid w:val="00E87FA6"/>
    <w:rsid w:val="00E977EE"/>
    <w:rsid w:val="00E97E77"/>
    <w:rsid w:val="00EA2DD7"/>
    <w:rsid w:val="00EA2F24"/>
    <w:rsid w:val="00EA426F"/>
    <w:rsid w:val="00EA5C0E"/>
    <w:rsid w:val="00EA67A2"/>
    <w:rsid w:val="00EB630F"/>
    <w:rsid w:val="00EB6B6F"/>
    <w:rsid w:val="00EC4F98"/>
    <w:rsid w:val="00ED0502"/>
    <w:rsid w:val="00EE3E77"/>
    <w:rsid w:val="00EF57C4"/>
    <w:rsid w:val="00F11AFE"/>
    <w:rsid w:val="00F12F02"/>
    <w:rsid w:val="00F3242B"/>
    <w:rsid w:val="00F32E0D"/>
    <w:rsid w:val="00F33C63"/>
    <w:rsid w:val="00F35134"/>
    <w:rsid w:val="00F37B9C"/>
    <w:rsid w:val="00F41812"/>
    <w:rsid w:val="00F45920"/>
    <w:rsid w:val="00F47642"/>
    <w:rsid w:val="00F53620"/>
    <w:rsid w:val="00F56D7F"/>
    <w:rsid w:val="00F715D1"/>
    <w:rsid w:val="00F72715"/>
    <w:rsid w:val="00F73333"/>
    <w:rsid w:val="00F878CB"/>
    <w:rsid w:val="00F95D8F"/>
    <w:rsid w:val="00FB350A"/>
    <w:rsid w:val="00FB4C5D"/>
    <w:rsid w:val="00FC3856"/>
    <w:rsid w:val="00FC3B7F"/>
    <w:rsid w:val="00FD0063"/>
    <w:rsid w:val="00FE1C3F"/>
    <w:rsid w:val="00FE6E3E"/>
    <w:rsid w:val="00FE731D"/>
    <w:rsid w:val="00FF68E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9153"/>
    <o:shapelayout v:ext="edit">
      <o:idmap v:ext="edit" data="1"/>
    </o:shapelayout>
  </w:shapeDefaults>
  <w:decimalSymbol w:val="."/>
  <w:listSeparator w:val=","/>
  <w14:docId w14:val="532E1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sz w:val="22"/>
        <w:szCs w:val="22"/>
        <w:lang w:val="en-AU" w:eastAsia="en-AU"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semiHidden="1" w:uiPriority="0" w:unhideWhenUsed="1" w:qFormat="1"/>
    <w:lsdException w:name="heading 3" w:locked="1" w:semiHidden="1" w:uiPriority="9" w:unhideWhenUsed="1" w:qFormat="1"/>
    <w:lsdException w:name="heading 4" w:locked="1" w:semiHidden="1" w:uiPriority="9"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5623"/>
    <w:rPr>
      <w:rFonts w:eastAsia="Times New Roman"/>
      <w:sz w:val="24"/>
      <w:szCs w:val="20"/>
    </w:rPr>
  </w:style>
  <w:style w:type="paragraph" w:styleId="Heading1">
    <w:name w:val="heading 1"/>
    <w:basedOn w:val="Normal"/>
    <w:next w:val="Normal"/>
    <w:link w:val="Heading1Char"/>
    <w:uiPriority w:val="99"/>
    <w:qFormat/>
    <w:rsid w:val="00A846F2"/>
    <w:pPr>
      <w:keepNext/>
      <w:keepLines/>
      <w:numPr>
        <w:numId w:val="2"/>
      </w:numPr>
      <w:spacing w:before="240" w:after="240"/>
      <w:ind w:hanging="720"/>
      <w:outlineLvl w:val="0"/>
    </w:pPr>
    <w:rPr>
      <w:rFonts w:ascii="Arial" w:hAnsi="Arial"/>
      <w:b/>
      <w:bCs/>
      <w:szCs w:val="28"/>
    </w:rPr>
  </w:style>
  <w:style w:type="paragraph" w:styleId="Heading2">
    <w:name w:val="heading 2"/>
    <w:basedOn w:val="Normal"/>
    <w:next w:val="Normal"/>
    <w:link w:val="Heading2Char"/>
    <w:unhideWhenUsed/>
    <w:qFormat/>
    <w:locked/>
    <w:rsid w:val="00D4501D"/>
    <w:pPr>
      <w:spacing w:after="240"/>
      <w:outlineLvl w:val="1"/>
    </w:pPr>
    <w:rPr>
      <w:b/>
      <w:szCs w:val="24"/>
    </w:rPr>
  </w:style>
  <w:style w:type="paragraph" w:styleId="Heading3">
    <w:name w:val="heading 3"/>
    <w:basedOn w:val="Normal"/>
    <w:next w:val="Normal"/>
    <w:link w:val="Heading3Char"/>
    <w:uiPriority w:val="9"/>
    <w:unhideWhenUsed/>
    <w:qFormat/>
    <w:locked/>
    <w:rsid w:val="00D4501D"/>
    <w:pPr>
      <w:keepNext/>
      <w:keepLines/>
      <w:spacing w:before="40"/>
      <w:outlineLvl w:val="2"/>
    </w:pPr>
    <w:rPr>
      <w:rFonts w:eastAsiaTheme="majorEastAsia"/>
      <w:szCs w:val="24"/>
      <w:u w:val="single"/>
    </w:rPr>
  </w:style>
  <w:style w:type="paragraph" w:styleId="Heading4">
    <w:name w:val="heading 4"/>
    <w:basedOn w:val="Normal"/>
    <w:next w:val="Normal"/>
    <w:link w:val="Heading4Char"/>
    <w:uiPriority w:val="9"/>
    <w:semiHidden/>
    <w:unhideWhenUsed/>
    <w:qFormat/>
    <w:locked/>
    <w:rsid w:val="00652235"/>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846F2"/>
    <w:rPr>
      <w:rFonts w:ascii="Arial" w:eastAsia="Times New Roman" w:hAnsi="Arial"/>
      <w:b/>
      <w:bCs/>
      <w:sz w:val="24"/>
      <w:szCs w:val="28"/>
    </w:rPr>
  </w:style>
  <w:style w:type="character" w:styleId="Hyperlink">
    <w:name w:val="Hyperlink"/>
    <w:basedOn w:val="DefaultParagraphFont"/>
    <w:uiPriority w:val="99"/>
    <w:rsid w:val="00065623"/>
    <w:rPr>
      <w:rFonts w:cs="Times New Roman"/>
      <w:color w:val="0000FF"/>
      <w:u w:val="single"/>
    </w:rPr>
  </w:style>
  <w:style w:type="paragraph" w:styleId="FootnoteText">
    <w:name w:val="footnote text"/>
    <w:basedOn w:val="Normal"/>
    <w:link w:val="FootnoteTextChar"/>
    <w:uiPriority w:val="99"/>
    <w:semiHidden/>
    <w:rsid w:val="00065623"/>
    <w:rPr>
      <w:sz w:val="20"/>
    </w:rPr>
  </w:style>
  <w:style w:type="character" w:customStyle="1" w:styleId="FootnoteTextChar">
    <w:name w:val="Footnote Text Char"/>
    <w:basedOn w:val="DefaultParagraphFont"/>
    <w:link w:val="FootnoteText"/>
    <w:uiPriority w:val="99"/>
    <w:semiHidden/>
    <w:locked/>
    <w:rsid w:val="00065623"/>
    <w:rPr>
      <w:rFonts w:eastAsia="Times New Roman" w:cs="Times New Roman"/>
      <w:sz w:val="20"/>
      <w:szCs w:val="20"/>
      <w:lang w:eastAsia="en-AU"/>
    </w:rPr>
  </w:style>
  <w:style w:type="character" w:styleId="FootnoteReference">
    <w:name w:val="footnote reference"/>
    <w:basedOn w:val="DefaultParagraphFont"/>
    <w:uiPriority w:val="99"/>
    <w:semiHidden/>
    <w:rsid w:val="00065623"/>
    <w:rPr>
      <w:rFonts w:cs="Times New Roman"/>
      <w:vertAlign w:val="superscript"/>
    </w:rPr>
  </w:style>
  <w:style w:type="paragraph" w:styleId="ListParagraph">
    <w:name w:val="List Paragraph"/>
    <w:aliases w:val="Styl moj,Akapit z listą1,Akapit z listą11"/>
    <w:basedOn w:val="Normal"/>
    <w:link w:val="ListParagraphChar"/>
    <w:uiPriority w:val="34"/>
    <w:qFormat/>
    <w:rsid w:val="00065623"/>
    <w:pPr>
      <w:ind w:left="720"/>
      <w:contextualSpacing/>
    </w:pPr>
  </w:style>
  <w:style w:type="paragraph" w:styleId="BalloonText">
    <w:name w:val="Balloon Text"/>
    <w:basedOn w:val="Normal"/>
    <w:link w:val="BalloonTextChar"/>
    <w:uiPriority w:val="99"/>
    <w:semiHidden/>
    <w:rsid w:val="0006562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65623"/>
    <w:rPr>
      <w:rFonts w:ascii="Tahoma" w:hAnsi="Tahoma" w:cs="Tahoma"/>
      <w:sz w:val="16"/>
      <w:szCs w:val="16"/>
      <w:lang w:eastAsia="en-AU"/>
    </w:rPr>
  </w:style>
  <w:style w:type="paragraph" w:styleId="Header">
    <w:name w:val="header"/>
    <w:basedOn w:val="Normal"/>
    <w:link w:val="HeaderChar"/>
    <w:uiPriority w:val="99"/>
    <w:rsid w:val="00707064"/>
    <w:pPr>
      <w:tabs>
        <w:tab w:val="center" w:pos="4513"/>
        <w:tab w:val="right" w:pos="9026"/>
      </w:tabs>
    </w:pPr>
  </w:style>
  <w:style w:type="character" w:customStyle="1" w:styleId="HeaderChar">
    <w:name w:val="Header Char"/>
    <w:basedOn w:val="DefaultParagraphFont"/>
    <w:link w:val="Header"/>
    <w:uiPriority w:val="99"/>
    <w:locked/>
    <w:rsid w:val="00707064"/>
    <w:rPr>
      <w:rFonts w:eastAsia="Times New Roman" w:cs="Times New Roman"/>
      <w:sz w:val="20"/>
      <w:szCs w:val="20"/>
      <w:lang w:eastAsia="en-AU"/>
    </w:rPr>
  </w:style>
  <w:style w:type="paragraph" w:styleId="Footer">
    <w:name w:val="footer"/>
    <w:basedOn w:val="Normal"/>
    <w:link w:val="FooterChar"/>
    <w:uiPriority w:val="99"/>
    <w:rsid w:val="00707064"/>
    <w:pPr>
      <w:tabs>
        <w:tab w:val="center" w:pos="4513"/>
        <w:tab w:val="right" w:pos="9026"/>
      </w:tabs>
    </w:pPr>
  </w:style>
  <w:style w:type="character" w:customStyle="1" w:styleId="FooterChar">
    <w:name w:val="Footer Char"/>
    <w:basedOn w:val="DefaultParagraphFont"/>
    <w:link w:val="Footer"/>
    <w:uiPriority w:val="99"/>
    <w:locked/>
    <w:rsid w:val="00707064"/>
    <w:rPr>
      <w:rFonts w:eastAsia="Times New Roman" w:cs="Times New Roman"/>
      <w:sz w:val="20"/>
      <w:szCs w:val="20"/>
      <w:lang w:eastAsia="en-AU"/>
    </w:rPr>
  </w:style>
  <w:style w:type="character" w:styleId="CommentReference">
    <w:name w:val="annotation reference"/>
    <w:basedOn w:val="DefaultParagraphFont"/>
    <w:uiPriority w:val="99"/>
    <w:rsid w:val="00974A50"/>
    <w:rPr>
      <w:rFonts w:cs="Times New Roman"/>
      <w:sz w:val="16"/>
      <w:szCs w:val="16"/>
    </w:rPr>
  </w:style>
  <w:style w:type="paragraph" w:styleId="CommentText">
    <w:name w:val="annotation text"/>
    <w:basedOn w:val="Normal"/>
    <w:link w:val="CommentTextChar"/>
    <w:uiPriority w:val="99"/>
    <w:rsid w:val="00974A50"/>
    <w:rPr>
      <w:sz w:val="20"/>
    </w:rPr>
  </w:style>
  <w:style w:type="character" w:customStyle="1" w:styleId="CommentTextChar">
    <w:name w:val="Comment Text Char"/>
    <w:basedOn w:val="DefaultParagraphFont"/>
    <w:link w:val="CommentText"/>
    <w:uiPriority w:val="99"/>
    <w:locked/>
    <w:rsid w:val="00974A50"/>
    <w:rPr>
      <w:rFonts w:eastAsia="Times New Roman" w:cs="Times New Roman"/>
      <w:sz w:val="20"/>
      <w:szCs w:val="20"/>
      <w:lang w:eastAsia="en-AU"/>
    </w:rPr>
  </w:style>
  <w:style w:type="paragraph" w:styleId="CommentSubject">
    <w:name w:val="annotation subject"/>
    <w:basedOn w:val="CommentText"/>
    <w:next w:val="CommentText"/>
    <w:link w:val="CommentSubjectChar"/>
    <w:uiPriority w:val="99"/>
    <w:semiHidden/>
    <w:rsid w:val="00974A50"/>
    <w:rPr>
      <w:b/>
      <w:bCs/>
    </w:rPr>
  </w:style>
  <w:style w:type="character" w:customStyle="1" w:styleId="CommentSubjectChar">
    <w:name w:val="Comment Subject Char"/>
    <w:basedOn w:val="CommentTextChar"/>
    <w:link w:val="CommentSubject"/>
    <w:uiPriority w:val="99"/>
    <w:semiHidden/>
    <w:locked/>
    <w:rsid w:val="00974A50"/>
    <w:rPr>
      <w:rFonts w:eastAsia="Times New Roman" w:cs="Times New Roman"/>
      <w:b/>
      <w:bCs/>
      <w:sz w:val="20"/>
      <w:szCs w:val="20"/>
      <w:lang w:eastAsia="en-AU"/>
    </w:rPr>
  </w:style>
  <w:style w:type="paragraph" w:customStyle="1" w:styleId="Default">
    <w:name w:val="Default"/>
    <w:rsid w:val="00E50016"/>
    <w:pPr>
      <w:autoSpaceDE w:val="0"/>
      <w:autoSpaceDN w:val="0"/>
      <w:adjustRightInd w:val="0"/>
    </w:pPr>
    <w:rPr>
      <w:color w:val="000000"/>
      <w:sz w:val="24"/>
      <w:szCs w:val="24"/>
      <w:lang w:eastAsia="en-US"/>
    </w:rPr>
  </w:style>
  <w:style w:type="character" w:customStyle="1" w:styleId="Heading2Char">
    <w:name w:val="Heading 2 Char"/>
    <w:basedOn w:val="DefaultParagraphFont"/>
    <w:link w:val="Heading2"/>
    <w:rsid w:val="00D4501D"/>
    <w:rPr>
      <w:rFonts w:eastAsia="Times New Roman"/>
      <w:b/>
      <w:sz w:val="24"/>
      <w:szCs w:val="24"/>
    </w:rPr>
  </w:style>
  <w:style w:type="paragraph" w:styleId="Title">
    <w:name w:val="Title"/>
    <w:basedOn w:val="Normal"/>
    <w:next w:val="Normal"/>
    <w:link w:val="TitleChar"/>
    <w:qFormat/>
    <w:locked/>
    <w:rsid w:val="00F715D1"/>
    <w:pPr>
      <w:spacing w:before="480" w:after="240"/>
      <w:jc w:val="center"/>
    </w:pPr>
    <w:rPr>
      <w:rFonts w:ascii="Arial" w:hAnsi="Arial" w:cs="Arial"/>
      <w:b/>
      <w:bCs/>
      <w:color w:val="000080"/>
      <w:sz w:val="36"/>
      <w:szCs w:val="36"/>
    </w:rPr>
  </w:style>
  <w:style w:type="character" w:customStyle="1" w:styleId="TitleChar">
    <w:name w:val="Title Char"/>
    <w:basedOn w:val="DefaultParagraphFont"/>
    <w:link w:val="Title"/>
    <w:rsid w:val="00F715D1"/>
    <w:rPr>
      <w:rFonts w:ascii="Arial" w:eastAsia="Times New Roman" w:hAnsi="Arial" w:cs="Arial"/>
      <w:b/>
      <w:bCs/>
      <w:color w:val="000080"/>
      <w:sz w:val="36"/>
      <w:szCs w:val="36"/>
    </w:rPr>
  </w:style>
  <w:style w:type="paragraph" w:styleId="Subtitle">
    <w:name w:val="Subtitle"/>
    <w:basedOn w:val="Normal"/>
    <w:next w:val="Normal"/>
    <w:link w:val="SubtitleChar"/>
    <w:qFormat/>
    <w:locked/>
    <w:rsid w:val="00F715D1"/>
    <w:pPr>
      <w:spacing w:after="240"/>
      <w:jc w:val="center"/>
    </w:pPr>
    <w:rPr>
      <w:rFonts w:ascii="Arial" w:hAnsi="Arial" w:cs="Arial"/>
      <w:b/>
      <w:bCs/>
      <w:i/>
      <w:color w:val="000080"/>
      <w:sz w:val="28"/>
      <w:szCs w:val="28"/>
    </w:rPr>
  </w:style>
  <w:style w:type="character" w:customStyle="1" w:styleId="SubtitleChar">
    <w:name w:val="Subtitle Char"/>
    <w:basedOn w:val="DefaultParagraphFont"/>
    <w:link w:val="Subtitle"/>
    <w:rsid w:val="00F715D1"/>
    <w:rPr>
      <w:rFonts w:ascii="Arial" w:eastAsia="Times New Roman" w:hAnsi="Arial" w:cs="Arial"/>
      <w:b/>
      <w:bCs/>
      <w:i/>
      <w:color w:val="000080"/>
      <w:sz w:val="28"/>
      <w:szCs w:val="28"/>
    </w:rPr>
  </w:style>
  <w:style w:type="character" w:styleId="FollowedHyperlink">
    <w:name w:val="FollowedHyperlink"/>
    <w:basedOn w:val="DefaultParagraphFont"/>
    <w:uiPriority w:val="99"/>
    <w:semiHidden/>
    <w:unhideWhenUsed/>
    <w:rsid w:val="00F715D1"/>
    <w:rPr>
      <w:color w:val="800080" w:themeColor="followedHyperlink"/>
      <w:u w:val="single"/>
    </w:rPr>
  </w:style>
  <w:style w:type="table" w:styleId="TableGrid">
    <w:name w:val="Table Grid"/>
    <w:aliases w:val="Centered text,Summary box,Table Gridbeth"/>
    <w:basedOn w:val="TableNormal"/>
    <w:uiPriority w:val="59"/>
    <w:locked/>
    <w:rsid w:val="00A637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link w:val="TabletextChar"/>
    <w:qFormat/>
    <w:rsid w:val="00D4501D"/>
    <w:pPr>
      <w:spacing w:before="40" w:after="40"/>
    </w:pPr>
    <w:rPr>
      <w:rFonts w:ascii="Arial Narrow" w:hAnsi="Arial Narrow"/>
      <w:sz w:val="20"/>
      <w:szCs w:val="24"/>
      <w:lang w:eastAsia="en-US"/>
    </w:rPr>
  </w:style>
  <w:style w:type="character" w:customStyle="1" w:styleId="TabletextChar">
    <w:name w:val="Table text Char"/>
    <w:basedOn w:val="DefaultParagraphFont"/>
    <w:link w:val="Tabletext"/>
    <w:rsid w:val="00D4501D"/>
    <w:rPr>
      <w:rFonts w:ascii="Arial Narrow" w:eastAsia="Times New Roman" w:hAnsi="Arial Narrow"/>
      <w:sz w:val="20"/>
      <w:szCs w:val="24"/>
      <w:lang w:eastAsia="en-US"/>
    </w:rPr>
  </w:style>
  <w:style w:type="paragraph" w:styleId="Caption">
    <w:name w:val="caption"/>
    <w:aliases w:val="Bayer Caption,IB Caption,Medical Caption,CSR Caption,Table and Figure Name,Table and Figure name,Caption Char2 Char,Caption Char Char Char2,Caption Char1 Char Char Char1,Caption Char2 Char Char Char1 Char1"/>
    <w:basedOn w:val="Normal"/>
    <w:next w:val="Normal"/>
    <w:link w:val="CaptionChar"/>
    <w:uiPriority w:val="99"/>
    <w:unhideWhenUsed/>
    <w:qFormat/>
    <w:locked/>
    <w:rsid w:val="00D4501D"/>
    <w:pPr>
      <w:keepNext/>
      <w:spacing w:after="40"/>
      <w:jc w:val="both"/>
      <w:outlineLvl w:val="4"/>
    </w:pPr>
    <w:rPr>
      <w:rFonts w:ascii="Arial Narrow" w:hAnsi="Arial Narrow" w:cs="Arial"/>
      <w:b/>
      <w:bCs/>
      <w:iCs/>
      <w:sz w:val="20"/>
      <w:lang w:eastAsia="en-US"/>
    </w:rPr>
  </w:style>
  <w:style w:type="character" w:customStyle="1" w:styleId="CaptionChar">
    <w:name w:val="Caption Char"/>
    <w:aliases w:val="Bayer Caption Char,IB Caption Char,Medical Caption Char,CSR Caption Char,Table and Figure Name Char,Table and Figure name Char,Caption Char2 Char Char,Caption Char Char Char2 Char,Caption Char1 Char Char Char1 Char"/>
    <w:basedOn w:val="DefaultParagraphFont"/>
    <w:link w:val="Caption"/>
    <w:rsid w:val="00D4501D"/>
    <w:rPr>
      <w:rFonts w:ascii="Arial Narrow" w:eastAsia="Times New Roman" w:hAnsi="Arial Narrow" w:cs="Arial"/>
      <w:b/>
      <w:bCs/>
      <w:iCs/>
      <w:sz w:val="20"/>
      <w:szCs w:val="20"/>
      <w:lang w:eastAsia="en-US"/>
    </w:rPr>
  </w:style>
  <w:style w:type="paragraph" w:customStyle="1" w:styleId="TableHeading">
    <w:name w:val="TableHeading"/>
    <w:basedOn w:val="Normal"/>
    <w:link w:val="TableHeadingChar"/>
    <w:qFormat/>
    <w:rsid w:val="00D4501D"/>
    <w:pPr>
      <w:keepNext/>
      <w:spacing w:before="40" w:after="40"/>
      <w:ind w:left="1134" w:hanging="1134"/>
      <w:jc w:val="both"/>
    </w:pPr>
    <w:rPr>
      <w:rFonts w:ascii="Arial Narrow" w:hAnsi="Arial Narrow" w:cs="Tahoma"/>
      <w:b/>
      <w:noProof/>
      <w:sz w:val="20"/>
    </w:rPr>
  </w:style>
  <w:style w:type="character" w:customStyle="1" w:styleId="TableHeadingChar">
    <w:name w:val="TableHeading Char"/>
    <w:link w:val="TableHeading"/>
    <w:rsid w:val="00D4501D"/>
    <w:rPr>
      <w:rFonts w:ascii="Arial Narrow" w:eastAsia="Times New Roman" w:hAnsi="Arial Narrow" w:cs="Tahoma"/>
      <w:b/>
      <w:noProof/>
      <w:sz w:val="20"/>
      <w:szCs w:val="20"/>
    </w:rPr>
  </w:style>
  <w:style w:type="paragraph" w:customStyle="1" w:styleId="Tablenotes">
    <w:name w:val="Tablenotes"/>
    <w:basedOn w:val="Normal"/>
    <w:link w:val="TablenotesChar"/>
    <w:autoRedefine/>
    <w:qFormat/>
    <w:rsid w:val="00C11BBE"/>
    <w:pPr>
      <w:widowControl w:val="0"/>
      <w:spacing w:before="60" w:after="240"/>
      <w:contextualSpacing/>
    </w:pPr>
    <w:rPr>
      <w:rFonts w:ascii="Arial Narrow" w:eastAsiaTheme="minorHAnsi" w:hAnsi="Arial Narrow" w:cs="Arial"/>
      <w:snapToGrid w:val="0"/>
      <w:sz w:val="18"/>
      <w:lang w:eastAsia="en-US"/>
    </w:rPr>
  </w:style>
  <w:style w:type="character" w:customStyle="1" w:styleId="TablenotesChar">
    <w:name w:val="Tablenotes Char"/>
    <w:basedOn w:val="DefaultParagraphFont"/>
    <w:link w:val="Tablenotes"/>
    <w:rsid w:val="00C11BBE"/>
    <w:rPr>
      <w:rFonts w:ascii="Arial Narrow" w:eastAsiaTheme="minorHAnsi" w:hAnsi="Arial Narrow" w:cs="Arial"/>
      <w:snapToGrid w:val="0"/>
      <w:sz w:val="18"/>
      <w:szCs w:val="20"/>
      <w:lang w:eastAsia="en-US"/>
    </w:rPr>
  </w:style>
  <w:style w:type="character" w:customStyle="1" w:styleId="ListParagraphChar">
    <w:name w:val="List Paragraph Char"/>
    <w:aliases w:val="Styl moj Char,Akapit z listą1 Char,Akapit z listą11 Char"/>
    <w:link w:val="ListParagraph"/>
    <w:uiPriority w:val="34"/>
    <w:rsid w:val="00D4501D"/>
    <w:rPr>
      <w:rFonts w:eastAsia="Times New Roman"/>
      <w:sz w:val="24"/>
      <w:szCs w:val="20"/>
    </w:rPr>
  </w:style>
  <w:style w:type="character" w:customStyle="1" w:styleId="Heading3Char">
    <w:name w:val="Heading 3 Char"/>
    <w:basedOn w:val="DefaultParagraphFont"/>
    <w:link w:val="Heading3"/>
    <w:uiPriority w:val="9"/>
    <w:rsid w:val="00D4501D"/>
    <w:rPr>
      <w:rFonts w:eastAsiaTheme="majorEastAsia"/>
      <w:sz w:val="24"/>
      <w:szCs w:val="24"/>
      <w:u w:val="single"/>
    </w:rPr>
  </w:style>
  <w:style w:type="paragraph" w:customStyle="1" w:styleId="Tabletextboldleft">
    <w:name w:val="Table text bold left"/>
    <w:basedOn w:val="Normal"/>
    <w:link w:val="TabletextboldleftChar"/>
    <w:qFormat/>
    <w:rsid w:val="00D4501D"/>
    <w:pPr>
      <w:keepNext/>
    </w:pPr>
    <w:rPr>
      <w:rFonts w:ascii="Arial Narrow" w:hAnsi="Arial Narrow" w:cs="Arial"/>
      <w:b/>
      <w:sz w:val="20"/>
      <w:lang w:eastAsia="en-US"/>
    </w:rPr>
  </w:style>
  <w:style w:type="character" w:customStyle="1" w:styleId="TabletextboldleftChar">
    <w:name w:val="Table text bold left Char"/>
    <w:basedOn w:val="DefaultParagraphFont"/>
    <w:link w:val="Tabletextboldleft"/>
    <w:rsid w:val="00D4501D"/>
    <w:rPr>
      <w:rFonts w:ascii="Arial Narrow" w:eastAsia="Times New Roman" w:hAnsi="Arial Narrow" w:cs="Arial"/>
      <w:b/>
      <w:sz w:val="20"/>
      <w:szCs w:val="20"/>
      <w:lang w:eastAsia="en-US"/>
    </w:rPr>
  </w:style>
  <w:style w:type="paragraph" w:customStyle="1" w:styleId="Tablenotes1">
    <w:name w:val="Tablenotes 1"/>
    <w:basedOn w:val="Normal"/>
    <w:link w:val="Tablenotes1Char"/>
    <w:qFormat/>
    <w:rsid w:val="00D4501D"/>
    <w:pPr>
      <w:widowControl w:val="0"/>
      <w:spacing w:after="240"/>
      <w:contextualSpacing/>
    </w:pPr>
    <w:rPr>
      <w:rFonts w:ascii="Arial Narrow" w:hAnsi="Arial Narrow" w:cs="Arial"/>
      <w:snapToGrid w:val="0"/>
      <w:sz w:val="18"/>
      <w:lang w:eastAsia="en-US"/>
    </w:rPr>
  </w:style>
  <w:style w:type="character" w:customStyle="1" w:styleId="Tablenotes1Char">
    <w:name w:val="Tablenotes 1 Char"/>
    <w:basedOn w:val="DefaultParagraphFont"/>
    <w:link w:val="Tablenotes1"/>
    <w:rsid w:val="00D4501D"/>
    <w:rPr>
      <w:rFonts w:ascii="Arial Narrow" w:eastAsia="Times New Roman" w:hAnsi="Arial Narrow" w:cs="Arial"/>
      <w:snapToGrid w:val="0"/>
      <w:sz w:val="18"/>
      <w:szCs w:val="20"/>
      <w:lang w:eastAsia="en-US"/>
    </w:rPr>
  </w:style>
  <w:style w:type="table" w:customStyle="1" w:styleId="TableGrid14">
    <w:name w:val="Table Grid14"/>
    <w:basedOn w:val="TableNormal"/>
    <w:next w:val="TableGrid"/>
    <w:uiPriority w:val="59"/>
    <w:rsid w:val="00D4501D"/>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D4501D"/>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652235"/>
    <w:rPr>
      <w:rFonts w:asciiTheme="majorHAnsi" w:eastAsiaTheme="majorEastAsia" w:hAnsiTheme="majorHAnsi" w:cstheme="majorBidi"/>
      <w:b/>
      <w:bCs/>
      <w:i/>
      <w:iCs/>
      <w:color w:val="4F81BD" w:themeColor="accent1"/>
      <w:sz w:val="24"/>
      <w:szCs w:val="20"/>
    </w:rPr>
  </w:style>
  <w:style w:type="paragraph" w:customStyle="1" w:styleId="Table">
    <w:name w:val="Table"/>
    <w:basedOn w:val="Normal"/>
    <w:link w:val="TableChar"/>
    <w:qFormat/>
    <w:rsid w:val="00652235"/>
    <w:rPr>
      <w:rFonts w:ascii="Candara" w:eastAsiaTheme="majorEastAsia" w:hAnsi="Candara" w:cstheme="majorBidi"/>
      <w:sz w:val="20"/>
      <w:szCs w:val="22"/>
      <w:lang w:eastAsia="en-US" w:bidi="en-US"/>
    </w:rPr>
  </w:style>
  <w:style w:type="character" w:customStyle="1" w:styleId="TableChar">
    <w:name w:val="Table Char"/>
    <w:basedOn w:val="DefaultParagraphFont"/>
    <w:link w:val="Table"/>
    <w:locked/>
    <w:rsid w:val="00652235"/>
    <w:rPr>
      <w:rFonts w:ascii="Candara" w:eastAsiaTheme="majorEastAsia" w:hAnsi="Candara" w:cstheme="majorBidi"/>
      <w:sz w:val="20"/>
      <w:lang w:eastAsia="en-US" w:bidi="en-US"/>
    </w:rPr>
  </w:style>
  <w:style w:type="paragraph" w:customStyle="1" w:styleId="TableCentre">
    <w:name w:val="Table Centre"/>
    <w:basedOn w:val="Table"/>
    <w:uiPriority w:val="99"/>
    <w:qFormat/>
    <w:rsid w:val="00652235"/>
    <w:pPr>
      <w:jc w:val="center"/>
    </w:pPr>
  </w:style>
  <w:style w:type="paragraph" w:customStyle="1" w:styleId="Tabletextbold">
    <w:name w:val="Table text bold"/>
    <w:basedOn w:val="Normal"/>
    <w:link w:val="TabletextboldChar"/>
    <w:rsid w:val="00652235"/>
    <w:pPr>
      <w:keepNext/>
      <w:jc w:val="center"/>
    </w:pPr>
    <w:rPr>
      <w:rFonts w:ascii="Arial Narrow" w:hAnsi="Arial Narrow" w:cs="Arial"/>
      <w:b/>
      <w:sz w:val="20"/>
      <w:lang w:eastAsia="en-US"/>
    </w:rPr>
  </w:style>
  <w:style w:type="character" w:customStyle="1" w:styleId="TabletextboldChar">
    <w:name w:val="Table text bold Char"/>
    <w:basedOn w:val="DefaultParagraphFont"/>
    <w:link w:val="Tabletextbold"/>
    <w:rsid w:val="00652235"/>
    <w:rPr>
      <w:rFonts w:ascii="Arial Narrow" w:eastAsia="Times New Roman" w:hAnsi="Arial Narrow" w:cs="Arial"/>
      <w:b/>
      <w:sz w:val="20"/>
      <w:szCs w:val="20"/>
      <w:lang w:eastAsia="en-US"/>
    </w:rPr>
  </w:style>
  <w:style w:type="paragraph" w:customStyle="1" w:styleId="ESHeading2">
    <w:name w:val="ES Heading 2"/>
    <w:basedOn w:val="Heading2"/>
    <w:link w:val="ESHeading2Char"/>
    <w:rsid w:val="00652235"/>
    <w:pPr>
      <w:keepNext/>
      <w:spacing w:after="0"/>
      <w:ind w:left="576" w:hanging="576"/>
      <w:jc w:val="both"/>
    </w:pPr>
    <w:rPr>
      <w:rFonts w:ascii="Garamond" w:hAnsi="Garamond"/>
      <w:b w:val="0"/>
      <w:bCs/>
      <w:i/>
      <w:iCs/>
      <w:szCs w:val="28"/>
    </w:rPr>
  </w:style>
  <w:style w:type="character" w:customStyle="1" w:styleId="ESHeading2Char">
    <w:name w:val="ES Heading 2 Char"/>
    <w:basedOn w:val="Heading2Char"/>
    <w:link w:val="ESHeading2"/>
    <w:rsid w:val="00652235"/>
    <w:rPr>
      <w:rFonts w:ascii="Garamond" w:eastAsia="Times New Roman" w:hAnsi="Garamond"/>
      <w:b w:val="0"/>
      <w:bCs/>
      <w:i/>
      <w:iCs/>
      <w:sz w:val="24"/>
      <w:szCs w:val="28"/>
    </w:rPr>
  </w:style>
  <w:style w:type="table" w:customStyle="1" w:styleId="Submissiontemplate2">
    <w:name w:val="Submission template2"/>
    <w:basedOn w:val="TableNormal"/>
    <w:uiPriority w:val="99"/>
    <w:rsid w:val="00652235"/>
    <w:rPr>
      <w:rFonts w:ascii="Candara" w:eastAsiaTheme="majorEastAsia" w:hAnsi="Candara" w:cstheme="majorBidi"/>
      <w:sz w:val="20"/>
      <w:lang w:val="en-US" w:eastAsia="en-US" w:bidi="en-US"/>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left"/>
      </w:pPr>
      <w:tblPr/>
      <w:tcPr>
        <w:shd w:val="clear" w:color="auto" w:fill="BFBFBF" w:themeFill="background1" w:themeFillShade="BF"/>
      </w:tcPr>
    </w:tblStylePr>
    <w:tblStylePr w:type="lastRow">
      <w:tblPr/>
      <w:tcPr>
        <w:shd w:val="clear" w:color="auto" w:fill="FFFFFF" w:themeFill="background1"/>
      </w:tcPr>
    </w:tblStylePr>
    <w:tblStylePr w:type="band1Horz">
      <w:tblPr/>
      <w:tcPr>
        <w:shd w:val="clear" w:color="auto" w:fill="FFFFFF" w:themeFill="background1"/>
      </w:tcPr>
    </w:tblStylePr>
  </w:style>
  <w:style w:type="character" w:styleId="Emphasis">
    <w:name w:val="Emphasis"/>
    <w:uiPriority w:val="20"/>
    <w:qFormat/>
    <w:locked/>
    <w:rsid w:val="00652235"/>
    <w:rPr>
      <w:rFonts w:ascii="Garamond" w:eastAsia="Times New Roman" w:hAnsi="Garamond" w:cs="Times New Roman"/>
      <w:i/>
      <w:sz w:val="24"/>
      <w:szCs w:val="24"/>
    </w:rPr>
  </w:style>
  <w:style w:type="table" w:customStyle="1" w:styleId="Submissiontemplate7">
    <w:name w:val="Submission template7"/>
    <w:basedOn w:val="TableNormal"/>
    <w:uiPriority w:val="99"/>
    <w:rsid w:val="00652235"/>
    <w:rPr>
      <w:rFonts w:ascii="Candara" w:eastAsiaTheme="majorEastAsia" w:hAnsi="Candara" w:cstheme="majorBidi"/>
      <w:sz w:val="20"/>
      <w:lang w:val="en-US" w:eastAsia="en-US" w:bidi="en-US"/>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left"/>
      </w:pPr>
      <w:tblPr/>
      <w:tcPr>
        <w:shd w:val="clear" w:color="auto" w:fill="BFBFBF" w:themeFill="background1" w:themeFillShade="BF"/>
      </w:tcPr>
    </w:tblStylePr>
    <w:tblStylePr w:type="lastRow">
      <w:tblPr/>
      <w:tcPr>
        <w:shd w:val="clear" w:color="auto" w:fill="FFFFFF" w:themeFill="background1"/>
      </w:tcPr>
    </w:tblStylePr>
    <w:tblStylePr w:type="band1Horz">
      <w:tblPr/>
      <w:tcPr>
        <w:shd w:val="clear" w:color="auto" w:fill="FFFFFF" w:themeFill="background1"/>
      </w:tcPr>
    </w:tblStylePr>
  </w:style>
  <w:style w:type="paragraph" w:customStyle="1" w:styleId="Tablecaption">
    <w:name w:val="Table caption"/>
    <w:basedOn w:val="Normal"/>
    <w:link w:val="TablecaptionChar"/>
    <w:qFormat/>
    <w:rsid w:val="00652235"/>
    <w:pPr>
      <w:keepNext/>
      <w:keepLines/>
      <w:jc w:val="both"/>
    </w:pPr>
    <w:rPr>
      <w:rFonts w:ascii="Arial Narrow" w:hAnsi="Arial Narrow" w:cs="Arial"/>
      <w:sz w:val="20"/>
      <w:lang w:eastAsia="en-US"/>
    </w:rPr>
  </w:style>
  <w:style w:type="character" w:customStyle="1" w:styleId="TablecaptionChar">
    <w:name w:val="Table caption Char"/>
    <w:basedOn w:val="DefaultParagraphFont"/>
    <w:link w:val="Tablecaption"/>
    <w:rsid w:val="00652235"/>
    <w:rPr>
      <w:rFonts w:ascii="Arial Narrow" w:eastAsia="Times New Roman" w:hAnsi="Arial Narrow" w:cs="Arial"/>
      <w:sz w:val="20"/>
      <w:szCs w:val="20"/>
      <w:lang w:eastAsia="en-US"/>
    </w:rPr>
  </w:style>
  <w:style w:type="paragraph" w:customStyle="1" w:styleId="Tabletextcentred">
    <w:name w:val="Table text centred"/>
    <w:basedOn w:val="Tabletext"/>
    <w:link w:val="TabletextcentredChar"/>
    <w:qFormat/>
    <w:rsid w:val="00652235"/>
    <w:pPr>
      <w:jc w:val="center"/>
    </w:pPr>
  </w:style>
  <w:style w:type="character" w:customStyle="1" w:styleId="TabletextcentredChar">
    <w:name w:val="Table text centred Char"/>
    <w:basedOn w:val="TabletextChar"/>
    <w:link w:val="Tabletextcentred"/>
    <w:rsid w:val="00652235"/>
    <w:rPr>
      <w:rFonts w:ascii="Arial Narrow" w:eastAsia="Times New Roman" w:hAnsi="Arial Narrow"/>
      <w:sz w:val="20"/>
      <w:szCs w:val="24"/>
      <w:lang w:eastAsia="en-US"/>
    </w:rPr>
  </w:style>
  <w:style w:type="character" w:customStyle="1" w:styleId="TableBold">
    <w:name w:val="Table Bold"/>
    <w:uiPriority w:val="4"/>
    <w:qFormat/>
    <w:rsid w:val="00652235"/>
    <w:rPr>
      <w:rFonts w:ascii="Calibri" w:hAnsi="Calibri" w:hint="default"/>
      <w:b/>
      <w:bCs w:val="0"/>
      <w:sz w:val="20"/>
      <w:lang w:val="en-AU"/>
    </w:rPr>
  </w:style>
  <w:style w:type="table" w:customStyle="1" w:styleId="TableGrid12">
    <w:name w:val="Table Grid12"/>
    <w:basedOn w:val="TableNormal"/>
    <w:next w:val="TableGrid"/>
    <w:uiPriority w:val="59"/>
    <w:rsid w:val="00652235"/>
    <w:rPr>
      <w:rFonts w:ascii="Candara" w:eastAsia="Times New Roman" w:hAnsi="Candara" w:cstheme="majorBidi"/>
      <w:sz w:val="20"/>
      <w:lang w:val="en-US" w:eastAsia="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blHeader/>
    </w:trPr>
  </w:style>
  <w:style w:type="paragraph" w:customStyle="1" w:styleId="Style2">
    <w:name w:val="Style2"/>
    <w:basedOn w:val="Normal"/>
    <w:link w:val="Style2Char"/>
    <w:qFormat/>
    <w:rsid w:val="00652235"/>
    <w:pPr>
      <w:tabs>
        <w:tab w:val="num" w:pos="360"/>
        <w:tab w:val="left" w:pos="720"/>
        <w:tab w:val="left" w:pos="1140"/>
      </w:tabs>
      <w:spacing w:before="120"/>
      <w:ind w:left="360" w:hanging="360"/>
    </w:pPr>
    <w:rPr>
      <w:rFonts w:ascii="Arial" w:hAnsi="Arial" w:cs="Arial"/>
      <w:color w:val="3366FF"/>
      <w:szCs w:val="24"/>
    </w:rPr>
  </w:style>
  <w:style w:type="character" w:customStyle="1" w:styleId="Style2Char">
    <w:name w:val="Style2 Char"/>
    <w:basedOn w:val="DefaultParagraphFont"/>
    <w:link w:val="Style2"/>
    <w:rsid w:val="00652235"/>
    <w:rPr>
      <w:rFonts w:ascii="Arial" w:eastAsia="Times New Roman" w:hAnsi="Arial" w:cs="Arial"/>
      <w:color w:val="3366FF"/>
      <w:sz w:val="24"/>
      <w:szCs w:val="24"/>
    </w:rPr>
  </w:style>
  <w:style w:type="paragraph" w:styleId="NoSpacing">
    <w:name w:val="No Spacing"/>
    <w:uiPriority w:val="1"/>
    <w:qFormat/>
    <w:rsid w:val="00652235"/>
    <w:rPr>
      <w:rFonts w:asciiTheme="minorHAnsi" w:eastAsiaTheme="minorHAnsi" w:hAnsiTheme="minorHAnsi" w:cstheme="minorBidi"/>
      <w:lang w:eastAsia="en-US"/>
    </w:rPr>
  </w:style>
  <w:style w:type="paragraph" w:customStyle="1" w:styleId="NormalBulletList">
    <w:name w:val="Normal Bullet List"/>
    <w:basedOn w:val="Normal"/>
    <w:uiPriority w:val="3"/>
    <w:qFormat/>
    <w:rsid w:val="00652235"/>
    <w:pPr>
      <w:numPr>
        <w:numId w:val="5"/>
      </w:numPr>
      <w:spacing w:after="240" w:line="276" w:lineRule="auto"/>
      <w:contextualSpacing/>
      <w:jc w:val="both"/>
    </w:pPr>
    <w:rPr>
      <w:rFonts w:ascii="Candara" w:eastAsiaTheme="majorEastAsia" w:hAnsi="Candara" w:cstheme="majorBidi"/>
      <w:szCs w:val="22"/>
      <w:lang w:eastAsia="en-US" w:bidi="en-US"/>
    </w:rPr>
  </w:style>
  <w:style w:type="paragraph" w:styleId="EndnoteText">
    <w:name w:val="endnote text"/>
    <w:basedOn w:val="Normal"/>
    <w:link w:val="EndnoteTextChar"/>
    <w:rsid w:val="00652235"/>
    <w:pPr>
      <w:widowControl w:val="0"/>
    </w:pPr>
    <w:rPr>
      <w:snapToGrid w:val="0"/>
      <w:sz w:val="20"/>
      <w:lang w:val="en-US" w:eastAsia="en-US"/>
    </w:rPr>
  </w:style>
  <w:style w:type="character" w:customStyle="1" w:styleId="EndnoteTextChar">
    <w:name w:val="Endnote Text Char"/>
    <w:basedOn w:val="DefaultParagraphFont"/>
    <w:link w:val="EndnoteText"/>
    <w:rsid w:val="00652235"/>
    <w:rPr>
      <w:rFonts w:eastAsia="Times New Roman"/>
      <w:snapToGrid w:val="0"/>
      <w:sz w:val="20"/>
      <w:szCs w:val="20"/>
      <w:lang w:val="en-US" w:eastAsia="en-US"/>
    </w:rPr>
  </w:style>
  <w:style w:type="character" w:styleId="EndnoteReference">
    <w:name w:val="endnote reference"/>
    <w:basedOn w:val="DefaultParagraphFont"/>
    <w:rsid w:val="00652235"/>
    <w:rPr>
      <w:vertAlign w:val="superscript"/>
    </w:rPr>
  </w:style>
  <w:style w:type="character" w:customStyle="1" w:styleId="SmallBold">
    <w:name w:val="Small Bold"/>
    <w:basedOn w:val="DefaultParagraphFont"/>
    <w:uiPriority w:val="4"/>
    <w:qFormat/>
    <w:rsid w:val="00652235"/>
    <w:rPr>
      <w:rFonts w:ascii="Candara" w:hAnsi="Candara"/>
      <w:b/>
      <w:sz w:val="20"/>
      <w:lang w:val="en-AU"/>
    </w:rPr>
  </w:style>
  <w:style w:type="table" w:customStyle="1" w:styleId="Submissiontemplate">
    <w:name w:val="Submission template"/>
    <w:basedOn w:val="TableNormal"/>
    <w:uiPriority w:val="99"/>
    <w:rsid w:val="00652235"/>
    <w:rPr>
      <w:rFonts w:ascii="Candara" w:eastAsiaTheme="majorEastAsia" w:hAnsi="Candara" w:cstheme="majorBidi"/>
      <w:sz w:val="20"/>
      <w:lang w:val="en-US" w:eastAsia="en-US" w:bidi="en-US"/>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left"/>
      </w:pPr>
      <w:tblPr/>
      <w:tcPr>
        <w:shd w:val="clear" w:color="auto" w:fill="BFBFBF" w:themeFill="background1" w:themeFillShade="BF"/>
      </w:tcPr>
    </w:tblStylePr>
    <w:tblStylePr w:type="lastRow">
      <w:tblPr/>
      <w:tcPr>
        <w:shd w:val="clear" w:color="auto" w:fill="FFFFFF" w:themeFill="background1"/>
      </w:tcPr>
    </w:tblStylePr>
    <w:tblStylePr w:type="band1Horz">
      <w:tblPr/>
      <w:tcPr>
        <w:shd w:val="clear" w:color="auto" w:fill="FFFFFF" w:themeFill="background1"/>
      </w:tcPr>
    </w:tblStylePr>
  </w:style>
  <w:style w:type="table" w:customStyle="1" w:styleId="TableGrid2">
    <w:name w:val="Table Grid2"/>
    <w:basedOn w:val="TableNormal"/>
    <w:next w:val="TableGrid"/>
    <w:rsid w:val="00652235"/>
    <w:pPr>
      <w:spacing w:before="40" w:after="40"/>
    </w:pPr>
    <w:rPr>
      <w:rFonts w:ascii="Arial Narrow" w:eastAsia="Times New Roman" w:hAnsi="Arial Narro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Humanist 77 7 BT" w:hAnsi="Humanist 77 7 BT"/>
        <w:b w:val="0"/>
        <w:sz w:val="20"/>
      </w:rPr>
    </w:tblStylePr>
  </w:style>
  <w:style w:type="numbering" w:customStyle="1" w:styleId="Heading1a">
    <w:name w:val="Heading 1a"/>
    <w:basedOn w:val="NoList"/>
    <w:uiPriority w:val="99"/>
    <w:rsid w:val="00652235"/>
    <w:pPr>
      <w:numPr>
        <w:numId w:val="6"/>
      </w:numPr>
    </w:pPr>
  </w:style>
  <w:style w:type="paragraph" w:customStyle="1" w:styleId="Tabletext-left">
    <w:name w:val="Table text - left"/>
    <w:basedOn w:val="Normal"/>
    <w:link w:val="Tabletext-leftChar"/>
    <w:rsid w:val="00652235"/>
    <w:pPr>
      <w:keepNext/>
      <w:tabs>
        <w:tab w:val="left" w:pos="2835"/>
      </w:tabs>
      <w:spacing w:before="120" w:after="120" w:line="312" w:lineRule="auto"/>
      <w:jc w:val="both"/>
    </w:pPr>
    <w:rPr>
      <w:rFonts w:asciiTheme="minorHAnsi" w:hAnsiTheme="minorHAnsi" w:cs="Arial"/>
      <w:sz w:val="20"/>
      <w:lang w:eastAsia="en-US"/>
    </w:rPr>
  </w:style>
  <w:style w:type="character" w:customStyle="1" w:styleId="Tabletext-leftChar">
    <w:name w:val="Table text - left Char"/>
    <w:basedOn w:val="DefaultParagraphFont"/>
    <w:link w:val="Tabletext-left"/>
    <w:rsid w:val="00652235"/>
    <w:rPr>
      <w:rFonts w:asciiTheme="minorHAnsi" w:eastAsia="Times New Roman" w:hAnsiTheme="minorHAnsi" w:cs="Arial"/>
      <w:sz w:val="20"/>
      <w:szCs w:val="20"/>
      <w:lang w:eastAsia="en-US"/>
    </w:rPr>
  </w:style>
  <w:style w:type="table" w:customStyle="1" w:styleId="TableGrid9">
    <w:name w:val="Table Grid9"/>
    <w:basedOn w:val="TableNormal"/>
    <w:next w:val="TableGrid"/>
    <w:uiPriority w:val="39"/>
    <w:rsid w:val="00652235"/>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652235"/>
    <w:pPr>
      <w:spacing w:before="40" w:after="40"/>
    </w:pPr>
    <w:rPr>
      <w:rFonts w:ascii="Arial Narrow" w:eastAsia="Times New Roman" w:hAnsi="Arial Narro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Yu Gothic UI Semibold" w:hAnsi="@Yu Gothic UI Semibold"/>
        <w:b w:val="0"/>
        <w:sz w:val="20"/>
      </w:rPr>
    </w:tblStylePr>
  </w:style>
  <w:style w:type="paragraph" w:customStyle="1" w:styleId="TableText0">
    <w:name w:val="Table Text"/>
    <w:basedOn w:val="Normal"/>
    <w:link w:val="TableTextChar0"/>
    <w:rsid w:val="00652235"/>
    <w:pPr>
      <w:keepNext/>
      <w:spacing w:before="40" w:after="40"/>
    </w:pPr>
    <w:rPr>
      <w:rFonts w:ascii="Arial Narrow" w:hAnsi="Arial Narrow" w:cs="Tahoma"/>
      <w:sz w:val="20"/>
      <w:szCs w:val="22"/>
      <w:lang w:eastAsia="en-US"/>
    </w:rPr>
  </w:style>
  <w:style w:type="character" w:customStyle="1" w:styleId="TableTextChar0">
    <w:name w:val="Table Text Char"/>
    <w:link w:val="TableText0"/>
    <w:rsid w:val="00652235"/>
    <w:rPr>
      <w:rFonts w:ascii="Arial Narrow" w:eastAsia="Times New Roman" w:hAnsi="Arial Narrow" w:cs="Tahoma"/>
      <w:sz w:val="20"/>
      <w:lang w:eastAsia="en-US"/>
    </w:rPr>
  </w:style>
  <w:style w:type="paragraph" w:customStyle="1" w:styleId="Critiquecaptions">
    <w:name w:val="Critique captions"/>
    <w:basedOn w:val="Caption"/>
    <w:link w:val="CritiquecaptionsChar"/>
    <w:qFormat/>
    <w:rsid w:val="00652235"/>
    <w:pPr>
      <w:spacing w:after="120"/>
      <w:jc w:val="left"/>
      <w:outlineLvl w:val="9"/>
    </w:pPr>
    <w:rPr>
      <w:rFonts w:cs="Tahoma"/>
      <w:i/>
      <w:iCs w:val="0"/>
      <w:color w:val="FF0000"/>
      <w:szCs w:val="22"/>
      <w:lang w:eastAsia="en-AU"/>
    </w:rPr>
  </w:style>
  <w:style w:type="character" w:customStyle="1" w:styleId="CritiquecaptionsChar">
    <w:name w:val="Critique captions Char"/>
    <w:basedOn w:val="DefaultParagraphFont"/>
    <w:link w:val="Critiquecaptions"/>
    <w:rsid w:val="00652235"/>
    <w:rPr>
      <w:rFonts w:ascii="Arial Narrow" w:eastAsia="Times New Roman" w:hAnsi="Arial Narrow" w:cs="Tahoma"/>
      <w:b/>
      <w:bCs/>
      <w:i/>
      <w:color w:val="FF0000"/>
      <w:sz w:val="20"/>
    </w:rPr>
  </w:style>
  <w:style w:type="table" w:customStyle="1" w:styleId="TableGrid4">
    <w:name w:val="Table Grid4"/>
    <w:basedOn w:val="TableNormal"/>
    <w:next w:val="TableGrid"/>
    <w:uiPriority w:val="59"/>
    <w:rsid w:val="00652235"/>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652235"/>
    <w:rPr>
      <w:rFonts w:eastAsiaTheme="minorHAnsi" w:cstheme="minorBidi"/>
      <w:sz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652235"/>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59"/>
    <w:rsid w:val="00652235"/>
    <w:rPr>
      <w:rFonts w:eastAsiaTheme="minorHAnsi" w:cstheme="minorBidi"/>
      <w:sz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652235"/>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59"/>
    <w:rsid w:val="00652235"/>
    <w:rPr>
      <w:rFonts w:eastAsiaTheme="minorHAnsi" w:cstheme="minorBidi"/>
      <w:sz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ritiquemainbody">
    <w:name w:val="Critique main body"/>
    <w:basedOn w:val="Normal"/>
    <w:link w:val="CritiquemainbodyChar"/>
    <w:qFormat/>
    <w:rsid w:val="00652235"/>
    <w:pPr>
      <w:spacing w:after="240" w:line="312" w:lineRule="auto"/>
      <w:jc w:val="both"/>
    </w:pPr>
    <w:rPr>
      <w:rFonts w:ascii="Calibri" w:hAnsi="Calibri" w:cs="Tahoma"/>
      <w:i/>
      <w:color w:val="FF0000"/>
      <w:sz w:val="22"/>
      <w:szCs w:val="22"/>
    </w:rPr>
  </w:style>
  <w:style w:type="character" w:customStyle="1" w:styleId="CritiquemainbodyChar">
    <w:name w:val="Critique main body Char"/>
    <w:basedOn w:val="DefaultParagraphFont"/>
    <w:link w:val="Critiquemainbody"/>
    <w:rsid w:val="00652235"/>
    <w:rPr>
      <w:rFonts w:ascii="Calibri" w:eastAsia="Times New Roman" w:hAnsi="Calibri" w:cs="Tahoma"/>
      <w:i/>
      <w:color w:val="FF0000"/>
    </w:rPr>
  </w:style>
  <w:style w:type="paragraph" w:customStyle="1" w:styleId="Critiquetabletext">
    <w:name w:val="Critique table text"/>
    <w:basedOn w:val="Tabletext"/>
    <w:link w:val="CritiquetabletextChar"/>
    <w:qFormat/>
    <w:rsid w:val="00652235"/>
    <w:rPr>
      <w:rFonts w:cs="Tahoma"/>
      <w:color w:val="FF0000"/>
      <w:szCs w:val="20"/>
    </w:rPr>
  </w:style>
  <w:style w:type="paragraph" w:customStyle="1" w:styleId="Critiquetablenotes">
    <w:name w:val="Critique table notes"/>
    <w:basedOn w:val="Tablenotes"/>
    <w:link w:val="CritiquetablenotesChar"/>
    <w:qFormat/>
    <w:rsid w:val="00652235"/>
    <w:pPr>
      <w:spacing w:before="0"/>
      <w:jc w:val="both"/>
    </w:pPr>
    <w:rPr>
      <w:i/>
      <w:color w:val="FF0000"/>
    </w:rPr>
  </w:style>
  <w:style w:type="character" w:customStyle="1" w:styleId="CritiquetabletextChar">
    <w:name w:val="Critique table text Char"/>
    <w:basedOn w:val="TabletextChar"/>
    <w:link w:val="Critiquetabletext"/>
    <w:rsid w:val="00652235"/>
    <w:rPr>
      <w:rFonts w:ascii="Arial Narrow" w:eastAsia="Times New Roman" w:hAnsi="Arial Narrow" w:cs="Tahoma"/>
      <w:color w:val="FF0000"/>
      <w:sz w:val="20"/>
      <w:szCs w:val="20"/>
      <w:lang w:eastAsia="en-US"/>
    </w:rPr>
  </w:style>
  <w:style w:type="character" w:customStyle="1" w:styleId="CritiquetablenotesChar">
    <w:name w:val="Critique table notes Char"/>
    <w:basedOn w:val="TablenotesChar"/>
    <w:link w:val="Critiquetablenotes"/>
    <w:rsid w:val="00652235"/>
    <w:rPr>
      <w:rFonts w:ascii="Arial Narrow" w:eastAsia="Times New Roman" w:hAnsi="Arial Narrow" w:cs="Arial"/>
      <w:i/>
      <w:snapToGrid w:val="0"/>
      <w:color w:val="FF0000"/>
      <w:sz w:val="18"/>
      <w:szCs w:val="20"/>
      <w:lang w:eastAsia="en-US"/>
    </w:rPr>
  </w:style>
  <w:style w:type="table" w:customStyle="1" w:styleId="TableGrid3">
    <w:name w:val="Table Grid3"/>
    <w:basedOn w:val="TableNormal"/>
    <w:next w:val="TableGrid"/>
    <w:uiPriority w:val="59"/>
    <w:rsid w:val="00652235"/>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52235"/>
    <w:pPr>
      <w:spacing w:before="100" w:beforeAutospacing="1" w:after="100" w:afterAutospacing="1"/>
    </w:pPr>
    <w:rPr>
      <w:szCs w:val="24"/>
    </w:rPr>
  </w:style>
  <w:style w:type="table" w:customStyle="1" w:styleId="TableGrid7">
    <w:name w:val="Table Grid7"/>
    <w:basedOn w:val="TableNormal"/>
    <w:next w:val="TableGrid"/>
    <w:uiPriority w:val="39"/>
    <w:rsid w:val="00652235"/>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3636DE"/>
    <w:rPr>
      <w:rFonts w:eastAsiaTheme="minorHAnsi" w:cstheme="minorBidi"/>
      <w:sz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59"/>
    <w:rsid w:val="003636DE"/>
    <w:rPr>
      <w:rFonts w:eastAsiaTheme="minorHAnsi" w:cstheme="minorBidi"/>
      <w:sz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84AA9"/>
    <w:rPr>
      <w:rFonts w:eastAsia="Times New Roman"/>
      <w:sz w:val="24"/>
      <w:szCs w:val="20"/>
    </w:rPr>
  </w:style>
  <w:style w:type="character" w:styleId="Strong">
    <w:name w:val="Strong"/>
    <w:basedOn w:val="DefaultParagraphFont"/>
    <w:uiPriority w:val="22"/>
    <w:qFormat/>
    <w:locked/>
    <w:rsid w:val="000440DA"/>
    <w:rPr>
      <w:b/>
      <w:bCs/>
    </w:rPr>
  </w:style>
  <w:style w:type="paragraph" w:customStyle="1" w:styleId="NormalBeforeBullet">
    <w:name w:val="NormalBeforeBullet"/>
    <w:basedOn w:val="Normal"/>
    <w:qFormat/>
    <w:rsid w:val="00F3242B"/>
    <w:pPr>
      <w:keepNext/>
      <w:spacing w:after="120"/>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818952">
      <w:bodyDiv w:val="1"/>
      <w:marLeft w:val="0"/>
      <w:marRight w:val="0"/>
      <w:marTop w:val="0"/>
      <w:marBottom w:val="0"/>
      <w:divBdr>
        <w:top w:val="none" w:sz="0" w:space="0" w:color="auto"/>
        <w:left w:val="none" w:sz="0" w:space="0" w:color="auto"/>
        <w:bottom w:val="none" w:sz="0" w:space="0" w:color="auto"/>
        <w:right w:val="none" w:sz="0" w:space="0" w:color="auto"/>
      </w:divBdr>
    </w:div>
    <w:div w:id="959383998">
      <w:bodyDiv w:val="1"/>
      <w:marLeft w:val="0"/>
      <w:marRight w:val="0"/>
      <w:marTop w:val="0"/>
      <w:marBottom w:val="0"/>
      <w:divBdr>
        <w:top w:val="none" w:sz="0" w:space="0" w:color="auto"/>
        <w:left w:val="none" w:sz="0" w:space="0" w:color="auto"/>
        <w:bottom w:val="none" w:sz="0" w:space="0" w:color="auto"/>
        <w:right w:val="none" w:sz="0" w:space="0" w:color="auto"/>
      </w:divBdr>
    </w:div>
    <w:div w:id="1352295391">
      <w:marLeft w:val="0"/>
      <w:marRight w:val="0"/>
      <w:marTop w:val="0"/>
      <w:marBottom w:val="0"/>
      <w:divBdr>
        <w:top w:val="none" w:sz="0" w:space="0" w:color="auto"/>
        <w:left w:val="none" w:sz="0" w:space="0" w:color="auto"/>
        <w:bottom w:val="none" w:sz="0" w:space="0" w:color="auto"/>
        <w:right w:val="none" w:sz="0" w:space="0" w:color="auto"/>
      </w:divBdr>
    </w:div>
    <w:div w:id="1764448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ebs.tga.gov.au/" TargetMode="External"/><Relationship Id="rId17" Type="http://schemas.openxmlformats.org/officeDocument/2006/relationships/hyperlink" Target="http://www.msac.gov.au/"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msac.gov.au/internet/msac/publishing.nsf/Content/1518-public"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sac.gov.au/internet/msac/publishing.nsf/Content/1697-public"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msac.gov.au/internet/msac/publishing.nsf/Content/1518-public" TargetMode="External"/><Relationship Id="rId23" Type="http://schemas.openxmlformats.org/officeDocument/2006/relationships/footer" Target="footer3.xml"/><Relationship Id="rId10" Type="http://schemas.openxmlformats.org/officeDocument/2006/relationships/hyperlink" Target="http://www.msac.gov.au/internet/msac/publishing.nsf/Content/1697-public"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msac.gov.au/" TargetMode="External"/><Relationship Id="rId14" Type="http://schemas.openxmlformats.org/officeDocument/2006/relationships/image" Target="media/image3.png"/><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E5581E-B4EF-4C79-985B-E7FCC20C1C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13402</Words>
  <Characters>71701</Characters>
  <Application>Microsoft Office Word</Application>
  <DocSecurity>0</DocSecurity>
  <Lines>1937</Lines>
  <Paragraphs>1289</Paragraphs>
  <ScaleCrop>false</ScaleCrop>
  <Company/>
  <LinksUpToDate>false</LinksUpToDate>
  <CharactersWithSpaces>83814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2022-10-11T01:17:00Z</dcterms:created>
  <dcterms:modified xsi:type="dcterms:W3CDTF">2022-10-11T01:18:00Z</dcterms:modified>
</cp:coreProperties>
</file>