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91E4D"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3F382720" wp14:editId="6841BCFB">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B7C3A4E"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07D57D02" w14:textId="77777777" w:rsidR="00BC1364" w:rsidRPr="00F715D1" w:rsidRDefault="00BC1364" w:rsidP="00F715D1">
      <w:pPr>
        <w:pStyle w:val="Subtitle"/>
      </w:pPr>
      <w:r w:rsidRPr="00F715D1">
        <w:t xml:space="preserve">Application No. </w:t>
      </w:r>
      <w:r w:rsidR="009773E5" w:rsidRPr="00625EC8">
        <w:rPr>
          <w:szCs w:val="24"/>
        </w:rPr>
        <w:t>1617 – BRAF V600 testing to help determine eligibility for PBS access to Braftovi (encorafenib), in patients with metastatic colorectal cancer (Stage IV)</w:t>
      </w:r>
    </w:p>
    <w:p w14:paraId="242971D2" w14:textId="03838BE8" w:rsidR="00BC1364" w:rsidRPr="00F715D1" w:rsidRDefault="00B35595" w:rsidP="008D1722">
      <w:pPr>
        <w:tabs>
          <w:tab w:val="left" w:pos="2694"/>
          <w:tab w:val="left" w:pos="3686"/>
        </w:tabs>
        <w:spacing w:after="240"/>
        <w:rPr>
          <w:rFonts w:ascii="Arial" w:hAnsi="Arial" w:cs="Arial"/>
          <w:b/>
          <w:szCs w:val="24"/>
        </w:rPr>
      </w:pPr>
      <w:r w:rsidRPr="00F715D1">
        <w:rPr>
          <w:rFonts w:ascii="Arial" w:hAnsi="Arial" w:cs="Arial"/>
          <w:b/>
          <w:szCs w:val="24"/>
        </w:rPr>
        <w:t>Applicant</w:t>
      </w:r>
      <w:r w:rsidR="008D1722">
        <w:rPr>
          <w:rFonts w:ascii="Arial" w:hAnsi="Arial" w:cs="Arial"/>
          <w:b/>
          <w:szCs w:val="24"/>
        </w:rPr>
        <w:t>:</w:t>
      </w:r>
      <w:r w:rsidR="008D1722">
        <w:rPr>
          <w:rFonts w:ascii="Arial" w:hAnsi="Arial" w:cs="Arial"/>
          <w:b/>
          <w:szCs w:val="24"/>
        </w:rPr>
        <w:tab/>
      </w:r>
      <w:r w:rsidR="0022043C">
        <w:rPr>
          <w:rFonts w:ascii="Arial" w:hAnsi="Arial" w:cs="Arial"/>
          <w:b/>
          <w:szCs w:val="24"/>
        </w:rPr>
        <w:tab/>
      </w:r>
      <w:r w:rsidR="009773E5" w:rsidRPr="009773E5">
        <w:rPr>
          <w:rFonts w:ascii="Arial" w:hAnsi="Arial" w:cs="Arial"/>
          <w:b/>
          <w:szCs w:val="24"/>
        </w:rPr>
        <w:t xml:space="preserve">Pierre Fabre </w:t>
      </w:r>
      <w:r w:rsidR="00E824EE">
        <w:rPr>
          <w:rFonts w:ascii="Arial" w:hAnsi="Arial" w:cs="Arial"/>
          <w:b/>
          <w:szCs w:val="24"/>
        </w:rPr>
        <w:t>Australia Pty Ltd</w:t>
      </w:r>
    </w:p>
    <w:p w14:paraId="650052B0"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4A4D40" w:rsidRPr="00F715D1">
        <w:rPr>
          <w:rFonts w:ascii="Arial" w:hAnsi="Arial" w:cs="Arial"/>
          <w:b/>
          <w:szCs w:val="24"/>
        </w:rPr>
        <w:t xml:space="preserve">MSAC </w:t>
      </w:r>
      <w:r w:rsidR="004A4D40">
        <w:rPr>
          <w:rFonts w:ascii="Arial" w:hAnsi="Arial" w:cs="Arial"/>
          <w:b/>
          <w:szCs w:val="24"/>
        </w:rPr>
        <w:t>81</w:t>
      </w:r>
      <w:r w:rsidR="004A4D40">
        <w:rPr>
          <w:rFonts w:ascii="Arial" w:hAnsi="Arial" w:cs="Arial"/>
          <w:b/>
          <w:szCs w:val="24"/>
          <w:vertAlign w:val="superscript"/>
        </w:rPr>
        <w:t>st</w:t>
      </w:r>
      <w:r w:rsidR="004A4D40" w:rsidRPr="00F715D1">
        <w:rPr>
          <w:rFonts w:ascii="Arial" w:hAnsi="Arial" w:cs="Arial"/>
          <w:b/>
          <w:szCs w:val="24"/>
        </w:rPr>
        <w:t xml:space="preserve"> Meeting, </w:t>
      </w:r>
      <w:r w:rsidR="004A4D40">
        <w:rPr>
          <w:rFonts w:ascii="Arial" w:hAnsi="Arial" w:cs="Arial"/>
          <w:b/>
          <w:szCs w:val="24"/>
        </w:rPr>
        <w:t>31 March – 1 April 2021</w:t>
      </w:r>
    </w:p>
    <w:p w14:paraId="58711C21"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0650F0F0" w14:textId="0A789E4C" w:rsidR="003D7F29" w:rsidRPr="00F715D1" w:rsidRDefault="003D7F29" w:rsidP="00F715D1">
      <w:pPr>
        <w:pStyle w:val="Heading1"/>
      </w:pPr>
      <w:r w:rsidRPr="00F715D1">
        <w:t>Purpose of application</w:t>
      </w:r>
    </w:p>
    <w:p w14:paraId="6A37DD95" w14:textId="77777777" w:rsidR="00656CCF" w:rsidRPr="0020762B" w:rsidRDefault="00656CCF" w:rsidP="00656CCF">
      <w:pPr>
        <w:pStyle w:val="MSACESParagraph"/>
      </w:pPr>
      <w:r w:rsidRPr="0020762B">
        <w:t>The integrated codependent submission received from Pierre Fabre Australia Pty Ltd by the Department of Health in November 2020 was an integrated codependent application for:</w:t>
      </w:r>
    </w:p>
    <w:p w14:paraId="7C3C9862" w14:textId="4E205870" w:rsidR="00656CCF" w:rsidRDefault="00656CCF" w:rsidP="00656CCF">
      <w:pPr>
        <w:pStyle w:val="MSACESParagraph"/>
        <w:numPr>
          <w:ilvl w:val="0"/>
          <w:numId w:val="26"/>
        </w:numPr>
      </w:pPr>
      <w:r w:rsidRPr="0020762B">
        <w:t>Inclusion of B-rapidly accelerated fibrosarcoma</w:t>
      </w:r>
      <w:r w:rsidRPr="0020762B">
        <w:rPr>
          <w:i/>
        </w:rPr>
        <w:t xml:space="preserve"> (</w:t>
      </w:r>
      <w:r w:rsidRPr="0020762B">
        <w:rPr>
          <w:i/>
          <w:iCs/>
        </w:rPr>
        <w:t>BRAF</w:t>
      </w:r>
      <w:r w:rsidRPr="0020762B">
        <w:t xml:space="preserve">) </w:t>
      </w:r>
      <w:r w:rsidR="00965823" w:rsidRPr="00965823">
        <w:rPr>
          <w:iCs/>
        </w:rPr>
        <w:t>V600E</w:t>
      </w:r>
      <w:r w:rsidRPr="0020762B">
        <w:t xml:space="preserve"> testing into the existing Medicare Benefits Schedule (MBS) item 73338 (listing for rat sarcoma oncogene (</w:t>
      </w:r>
      <w:r w:rsidRPr="0020762B">
        <w:rPr>
          <w:i/>
          <w:iCs/>
        </w:rPr>
        <w:t>RAS</w:t>
      </w:r>
      <w:r w:rsidRPr="0020762B">
        <w:t xml:space="preserve">) testing for metastatic colorectal cancer (mCRC)) for the evaluation of </w:t>
      </w:r>
      <w:r w:rsidRPr="0020762B">
        <w:rPr>
          <w:i/>
          <w:iCs/>
        </w:rPr>
        <w:t xml:space="preserve">BRAF </w:t>
      </w:r>
      <w:r w:rsidR="00965823" w:rsidRPr="00965823">
        <w:rPr>
          <w:iCs/>
        </w:rPr>
        <w:t>V600E</w:t>
      </w:r>
      <w:r w:rsidRPr="0020762B">
        <w:t xml:space="preserve"> variant to determine eligibility for treatment with encorafenib in combination with an epidermal growth factor receptor (EGFR) inhibitor, such as cetuximab, in patients with </w:t>
      </w:r>
      <w:r w:rsidRPr="0020762B">
        <w:rPr>
          <w:i/>
          <w:iCs/>
        </w:rPr>
        <w:t xml:space="preserve">BRAF </w:t>
      </w:r>
      <w:r w:rsidR="00965823" w:rsidRPr="00965823">
        <w:rPr>
          <w:iCs/>
        </w:rPr>
        <w:t>V600E</w:t>
      </w:r>
      <w:r w:rsidRPr="0020762B">
        <w:t xml:space="preserve"> variant mCRC; and</w:t>
      </w:r>
    </w:p>
    <w:p w14:paraId="3BAEE016" w14:textId="5A6E1E5F" w:rsidR="00656CCF" w:rsidRPr="0020762B" w:rsidRDefault="00656CCF" w:rsidP="00656CCF">
      <w:pPr>
        <w:pStyle w:val="MSACESParagraph"/>
        <w:numPr>
          <w:ilvl w:val="0"/>
          <w:numId w:val="26"/>
        </w:numPr>
      </w:pPr>
      <w:r w:rsidRPr="0020762B">
        <w:t xml:space="preserve">Pharmaceutical Benefits Scheme (PBS) Streamlined Authority Required listing of encorafenib in combination with an existing PBS-listed EGFR inhibitor, such as cetuximab for the treatment of mCRC in patients who have evidence of the </w:t>
      </w:r>
      <w:r w:rsidRPr="0020762B">
        <w:rPr>
          <w:i/>
          <w:iCs/>
        </w:rPr>
        <w:t xml:space="preserve">BRAF </w:t>
      </w:r>
      <w:r w:rsidR="00965823" w:rsidRPr="00965823">
        <w:rPr>
          <w:iCs/>
        </w:rPr>
        <w:t>V600E</w:t>
      </w:r>
      <w:r w:rsidRPr="0020762B">
        <w:t xml:space="preserve"> variant, and who have received prior systemic therapy.</w:t>
      </w:r>
    </w:p>
    <w:p w14:paraId="3ED788D4" w14:textId="0A260BBF" w:rsidR="00656CCF" w:rsidRPr="00E824EE" w:rsidRDefault="00656CCF" w:rsidP="00656CCF">
      <w:pPr>
        <w:pStyle w:val="MSACESParagraph"/>
        <w:rPr>
          <w:rFonts w:cs="Times New Roman"/>
          <w:szCs w:val="24"/>
        </w:rPr>
      </w:pPr>
      <w:r w:rsidRPr="0020762B">
        <w:rPr>
          <w:szCs w:val="24"/>
        </w:rPr>
        <w:t xml:space="preserve">The submission flagged a note on the terminology used, </w:t>
      </w:r>
      <w:r w:rsidRPr="0020762B">
        <w:rPr>
          <w:iCs/>
          <w:szCs w:val="24"/>
        </w:rPr>
        <w:t>that as per the Human Genome Variation Society (HGVS) recommendations (den Dunnen et al. 2016), the term ‘variant’ should be used to replace the term ‘mutation’; and ‘</w:t>
      </w:r>
      <w:r w:rsidRPr="0030410E">
        <w:rPr>
          <w:i/>
          <w:iCs/>
          <w:szCs w:val="24"/>
        </w:rPr>
        <w:t xml:space="preserve">BRAF </w:t>
      </w:r>
      <w:r w:rsidR="00965823" w:rsidRPr="00965823">
        <w:rPr>
          <w:iCs/>
          <w:szCs w:val="24"/>
        </w:rPr>
        <w:t>V600E</w:t>
      </w:r>
      <w:r w:rsidRPr="0020762B">
        <w:rPr>
          <w:iCs/>
          <w:szCs w:val="24"/>
        </w:rPr>
        <w:t xml:space="preserve">’ pathogenic variant refers to both class 4 (likely pathogenic) and class 5 (known pathogenic) variants. This is similar for </w:t>
      </w:r>
      <w:r w:rsidRPr="0020762B">
        <w:rPr>
          <w:i/>
          <w:iCs/>
          <w:szCs w:val="24"/>
        </w:rPr>
        <w:t>RAS</w:t>
      </w:r>
      <w:r w:rsidRPr="0020762B">
        <w:rPr>
          <w:iCs/>
          <w:szCs w:val="24"/>
        </w:rPr>
        <w:t xml:space="preserve"> and other pathogenic variants.</w:t>
      </w:r>
    </w:p>
    <w:p w14:paraId="7DD03FC6" w14:textId="77777777" w:rsidR="00E977EE" w:rsidRPr="00F715D1" w:rsidRDefault="00E977EE" w:rsidP="00F715D1">
      <w:pPr>
        <w:pStyle w:val="Heading1"/>
      </w:pPr>
      <w:r w:rsidRPr="00F715D1">
        <w:t>MSAC’s advice to the Minister</w:t>
      </w:r>
    </w:p>
    <w:p w14:paraId="392B8D66" w14:textId="3E92DAB8" w:rsidR="00E977EE" w:rsidRPr="008D4DD3" w:rsidRDefault="00F559A1" w:rsidP="00AF5486">
      <w:pPr>
        <w:pStyle w:val="Default"/>
        <w:spacing w:after="240"/>
        <w:rPr>
          <w:color w:val="auto"/>
        </w:rPr>
      </w:pPr>
      <w:r w:rsidRPr="001342D1">
        <w:rPr>
          <w:szCs w:val="20"/>
        </w:rPr>
        <w:t xml:space="preserve">After considering the strength of the available evidence in relation to comparative safety, </w:t>
      </w:r>
      <w:r>
        <w:rPr>
          <w:szCs w:val="20"/>
        </w:rPr>
        <w:t>clinical effectiveness and cost-</w:t>
      </w:r>
      <w:r w:rsidRPr="001342D1">
        <w:rPr>
          <w:szCs w:val="20"/>
        </w:rPr>
        <w:t xml:space="preserve">effectiveness, </w:t>
      </w:r>
      <w:r w:rsidRPr="007D6AE4">
        <w:rPr>
          <w:szCs w:val="20"/>
        </w:rPr>
        <w:t xml:space="preserve">MSAC supported an amendment to the descriptor for </w:t>
      </w:r>
      <w:r>
        <w:rPr>
          <w:szCs w:val="20"/>
        </w:rPr>
        <w:t>Medicare Benefits Schedule (</w:t>
      </w:r>
      <w:r w:rsidRPr="007D6AE4">
        <w:rPr>
          <w:szCs w:val="20"/>
        </w:rPr>
        <w:t>MBS</w:t>
      </w:r>
      <w:r>
        <w:rPr>
          <w:szCs w:val="20"/>
        </w:rPr>
        <w:t>)</w:t>
      </w:r>
      <w:r w:rsidRPr="007D6AE4">
        <w:rPr>
          <w:szCs w:val="20"/>
        </w:rPr>
        <w:t xml:space="preserve"> item 73338 to include </w:t>
      </w:r>
      <w:r w:rsidRPr="007D6AE4">
        <w:rPr>
          <w:i/>
          <w:szCs w:val="20"/>
        </w:rPr>
        <w:t>BRAF</w:t>
      </w:r>
      <w:r w:rsidRPr="007D6AE4">
        <w:rPr>
          <w:szCs w:val="20"/>
        </w:rPr>
        <w:t xml:space="preserve"> V600 testing, noting that this amendment would not be associated with any change in the fee for this item.</w:t>
      </w:r>
    </w:p>
    <w:p w14:paraId="707C32A3" w14:textId="06148EE4" w:rsidR="008D4DD3" w:rsidRPr="00656CCF" w:rsidRDefault="008D4DD3" w:rsidP="008D4DD3">
      <w:pPr>
        <w:keepNext/>
        <w:tabs>
          <w:tab w:val="left" w:pos="1418"/>
        </w:tabs>
        <w:contextualSpacing/>
        <w:rPr>
          <w:rFonts w:ascii="Arial Narrow" w:hAnsi="Arial Narrow" w:cs="Arial"/>
          <w:b/>
          <w:iCs/>
          <w:sz w:val="20"/>
          <w:lang w:eastAsia="en-US"/>
        </w:rPr>
      </w:pPr>
      <w:r>
        <w:rPr>
          <w:rFonts w:ascii="Arial Narrow" w:eastAsia="Calibri" w:hAnsi="Arial Narrow" w:cs="Arial"/>
          <w:b/>
          <w:iCs/>
          <w:sz w:val="20"/>
          <w:lang w:eastAsia="en-US"/>
        </w:rPr>
        <w:lastRenderedPageBreak/>
        <w:t xml:space="preserve">MSAC-recommended </w:t>
      </w:r>
      <w:r w:rsidRPr="00656CCF">
        <w:rPr>
          <w:rFonts w:ascii="Arial Narrow" w:eastAsia="Calibri" w:hAnsi="Arial Narrow" w:cs="Arial"/>
          <w:b/>
          <w:iCs/>
          <w:sz w:val="20"/>
          <w:lang w:eastAsia="en-US"/>
        </w:rPr>
        <w:t>MBS listing</w:t>
      </w:r>
    </w:p>
    <w:tbl>
      <w:tblPr>
        <w:tblStyle w:val="TableGrid1"/>
        <w:tblW w:w="4981" w:type="pct"/>
        <w:tblLook w:val="04A0" w:firstRow="1" w:lastRow="0" w:firstColumn="1" w:lastColumn="0" w:noHBand="0" w:noVBand="1"/>
        <w:tblDescription w:val="MSAC-recommended MBS listing"/>
      </w:tblPr>
      <w:tblGrid>
        <w:gridCol w:w="8982"/>
      </w:tblGrid>
      <w:tr w:rsidR="008D4DD3" w:rsidRPr="00656CCF" w14:paraId="5456CC61" w14:textId="77777777" w:rsidTr="0054469D">
        <w:trPr>
          <w:tblHeader/>
        </w:trPr>
        <w:tc>
          <w:tcPr>
            <w:tcW w:w="5000" w:type="pct"/>
          </w:tcPr>
          <w:p w14:paraId="67AF8A3A" w14:textId="77777777" w:rsidR="008D4DD3" w:rsidRPr="00656CCF" w:rsidRDefault="008D4DD3" w:rsidP="00EA1DA0">
            <w:pPr>
              <w:spacing w:before="40" w:after="40" w:line="256" w:lineRule="auto"/>
              <w:jc w:val="both"/>
              <w:rPr>
                <w:rFonts w:ascii="Arial Narrow" w:eastAsia="Calibri" w:hAnsi="Arial Narrow" w:cs="Arial"/>
                <w:szCs w:val="22"/>
                <w:lang w:eastAsia="en-US"/>
              </w:rPr>
            </w:pPr>
            <w:r w:rsidRPr="00656CCF">
              <w:rPr>
                <w:rFonts w:ascii="Arial Narrow" w:eastAsia="Calibri" w:hAnsi="Arial Narrow" w:cs="Arial"/>
                <w:sz w:val="20"/>
                <w:szCs w:val="22"/>
                <w:lang w:eastAsia="en-US"/>
              </w:rPr>
              <w:t>Category 6 – Pathology Services</w:t>
            </w:r>
          </w:p>
        </w:tc>
      </w:tr>
      <w:tr w:rsidR="008D4DD3" w:rsidRPr="00656CCF" w14:paraId="0DD35F2C" w14:textId="77777777" w:rsidTr="0054469D">
        <w:tc>
          <w:tcPr>
            <w:tcW w:w="5000" w:type="pct"/>
          </w:tcPr>
          <w:p w14:paraId="20EB8200" w14:textId="77777777" w:rsidR="008D4DD3" w:rsidRPr="00E824EE" w:rsidRDefault="008D4DD3" w:rsidP="00EA1DA0">
            <w:pPr>
              <w:spacing w:before="40" w:after="40" w:line="256" w:lineRule="auto"/>
              <w:jc w:val="both"/>
              <w:rPr>
                <w:rFonts w:ascii="Arial Narrow" w:eastAsia="Calibri" w:hAnsi="Arial Narrow" w:cs="Arial"/>
                <w:bCs/>
                <w:sz w:val="20"/>
                <w:szCs w:val="22"/>
                <w:lang w:eastAsia="en-US"/>
              </w:rPr>
            </w:pPr>
            <w:r w:rsidRPr="00E824EE">
              <w:rPr>
                <w:rFonts w:ascii="Arial Narrow" w:eastAsia="Calibri" w:hAnsi="Arial Narrow" w:cs="Arial"/>
                <w:bCs/>
                <w:sz w:val="20"/>
                <w:szCs w:val="22"/>
                <w:lang w:eastAsia="en-US"/>
              </w:rPr>
              <w:t>MBS item 73338</w:t>
            </w:r>
          </w:p>
          <w:p w14:paraId="0C333951" w14:textId="12BB3C9B" w:rsidR="008D4DD3" w:rsidRPr="00E824EE" w:rsidRDefault="008D4DD3" w:rsidP="00EA1DA0">
            <w:pPr>
              <w:spacing w:before="40" w:after="40" w:line="256" w:lineRule="auto"/>
              <w:jc w:val="both"/>
              <w:rPr>
                <w:rFonts w:ascii="Arial Narrow" w:eastAsia="Calibri" w:hAnsi="Arial Narrow" w:cs="Arial"/>
                <w:sz w:val="20"/>
                <w:szCs w:val="22"/>
                <w:lang w:eastAsia="en-US"/>
              </w:rPr>
            </w:pPr>
            <w:r w:rsidRPr="00656CCF">
              <w:rPr>
                <w:rFonts w:ascii="Arial Narrow" w:eastAsia="Calibri" w:hAnsi="Arial Narrow" w:cs="Arial"/>
                <w:sz w:val="20"/>
                <w:szCs w:val="22"/>
                <w:lang w:eastAsia="en-US"/>
              </w:rPr>
              <w:t>A test of tumour tissue from a patient with metastatic colorectal cancer (stage IV), requested by a specialist or consultant physician, to determine if:</w:t>
            </w:r>
          </w:p>
          <w:p w14:paraId="242A8EE7" w14:textId="77777777" w:rsidR="008D4DD3" w:rsidRPr="00656CCF" w:rsidRDefault="008D4DD3" w:rsidP="0054469D">
            <w:pPr>
              <w:numPr>
                <w:ilvl w:val="0"/>
                <w:numId w:val="27"/>
              </w:numPr>
              <w:spacing w:before="240" w:after="40" w:line="257" w:lineRule="auto"/>
              <w:ind w:hanging="198"/>
              <w:jc w:val="both"/>
              <w:rPr>
                <w:rFonts w:ascii="Arial Narrow" w:eastAsia="Calibri" w:hAnsi="Arial Narrow" w:cs="Arial"/>
                <w:sz w:val="20"/>
                <w:szCs w:val="22"/>
                <w:lang w:eastAsia="en-US"/>
              </w:rPr>
            </w:pPr>
            <w:r w:rsidRPr="00656CCF">
              <w:rPr>
                <w:rFonts w:ascii="Arial Narrow" w:eastAsia="Calibri" w:hAnsi="Arial Narrow" w:cs="Arial"/>
                <w:sz w:val="20"/>
                <w:szCs w:val="22"/>
                <w:lang w:eastAsia="en-US"/>
              </w:rPr>
              <w:t>requirements relating to rat sarcoma oncogene (</w:t>
            </w:r>
            <w:r w:rsidRPr="00656CCF">
              <w:rPr>
                <w:rFonts w:ascii="Arial Narrow" w:eastAsia="Calibri" w:hAnsi="Arial Narrow" w:cs="Arial"/>
                <w:i/>
                <w:iCs/>
                <w:sz w:val="20"/>
                <w:szCs w:val="22"/>
                <w:lang w:eastAsia="en-US"/>
              </w:rPr>
              <w:t>RAS</w:t>
            </w:r>
            <w:r w:rsidRPr="00656CCF">
              <w:rPr>
                <w:rFonts w:ascii="Arial Narrow" w:eastAsia="Calibri" w:hAnsi="Arial Narrow" w:cs="Arial"/>
                <w:sz w:val="20"/>
                <w:szCs w:val="22"/>
                <w:lang w:eastAsia="en-US"/>
              </w:rPr>
              <w:t>) gene variant status for access to cetuximab or panitumumab under the Pharmaceutical Benefits Scheme (PBS) are fulfilled, if:</w:t>
            </w:r>
          </w:p>
          <w:p w14:paraId="0FB8E96C" w14:textId="77777777" w:rsidR="008D4DD3" w:rsidRPr="00656CCF" w:rsidRDefault="008D4DD3" w:rsidP="00EA1DA0">
            <w:pPr>
              <w:numPr>
                <w:ilvl w:val="1"/>
                <w:numId w:val="27"/>
              </w:numPr>
              <w:spacing w:before="40" w:after="40" w:line="256" w:lineRule="auto"/>
              <w:jc w:val="both"/>
              <w:rPr>
                <w:rFonts w:ascii="Arial Narrow" w:eastAsia="Calibri" w:hAnsi="Arial Narrow" w:cs="Arial"/>
                <w:sz w:val="20"/>
                <w:szCs w:val="22"/>
                <w:lang w:eastAsia="en-US"/>
              </w:rPr>
            </w:pPr>
            <w:r w:rsidRPr="00656CCF">
              <w:rPr>
                <w:rFonts w:ascii="Arial Narrow" w:eastAsia="Calibri" w:hAnsi="Arial Narrow" w:cs="Arial"/>
                <w:sz w:val="20"/>
                <w:szCs w:val="22"/>
                <w:lang w:eastAsia="en-US"/>
              </w:rPr>
              <w:t xml:space="preserve">the test is conducted for all clinically-relevant variants on </w:t>
            </w:r>
            <w:r w:rsidRPr="00196E93">
              <w:rPr>
                <w:rFonts w:ascii="Arial Narrow" w:eastAsia="Calibri" w:hAnsi="Arial Narrow" w:cs="Arial"/>
                <w:i/>
                <w:sz w:val="20"/>
                <w:szCs w:val="22"/>
                <w:lang w:eastAsia="en-US"/>
              </w:rPr>
              <w:t>K</w:t>
            </w:r>
            <w:r w:rsidRPr="00656CCF">
              <w:rPr>
                <w:rFonts w:ascii="Arial Narrow" w:eastAsia="Calibri" w:hAnsi="Arial Narrow" w:cs="Arial"/>
                <w:i/>
                <w:iCs/>
                <w:sz w:val="20"/>
                <w:szCs w:val="22"/>
                <w:lang w:eastAsia="en-US"/>
              </w:rPr>
              <w:t>RAS</w:t>
            </w:r>
            <w:r w:rsidRPr="00656CCF">
              <w:rPr>
                <w:rFonts w:ascii="Arial Narrow" w:eastAsia="Calibri" w:hAnsi="Arial Narrow" w:cs="Arial"/>
                <w:sz w:val="20"/>
                <w:szCs w:val="22"/>
                <w:lang w:eastAsia="en-US"/>
              </w:rPr>
              <w:t xml:space="preserve"> exons 2, 3 and 4, and </w:t>
            </w:r>
            <w:r w:rsidRPr="00196E93">
              <w:rPr>
                <w:rFonts w:ascii="Arial Narrow" w:eastAsia="Calibri" w:hAnsi="Arial Narrow" w:cs="Arial"/>
                <w:i/>
                <w:sz w:val="20"/>
                <w:szCs w:val="22"/>
                <w:lang w:eastAsia="en-US"/>
              </w:rPr>
              <w:t>N</w:t>
            </w:r>
            <w:r w:rsidRPr="00656CCF">
              <w:rPr>
                <w:rFonts w:ascii="Arial Narrow" w:eastAsia="Calibri" w:hAnsi="Arial Narrow" w:cs="Arial"/>
                <w:i/>
                <w:iCs/>
                <w:sz w:val="20"/>
                <w:szCs w:val="22"/>
                <w:lang w:eastAsia="en-US"/>
              </w:rPr>
              <w:t>RAS</w:t>
            </w:r>
            <w:r w:rsidRPr="00656CCF">
              <w:rPr>
                <w:rFonts w:ascii="Arial Narrow" w:eastAsia="Calibri" w:hAnsi="Arial Narrow" w:cs="Arial"/>
                <w:sz w:val="20"/>
                <w:szCs w:val="22"/>
                <w:lang w:eastAsia="en-US"/>
              </w:rPr>
              <w:t xml:space="preserve"> exons 2, 3, and 4; or</w:t>
            </w:r>
          </w:p>
          <w:p w14:paraId="6F9FF738" w14:textId="3034230D" w:rsidR="008D4DD3" w:rsidRPr="0054469D" w:rsidRDefault="008D4DD3" w:rsidP="00EA1DA0">
            <w:pPr>
              <w:numPr>
                <w:ilvl w:val="1"/>
                <w:numId w:val="27"/>
              </w:numPr>
              <w:spacing w:before="40" w:after="40" w:line="256" w:lineRule="auto"/>
              <w:jc w:val="both"/>
              <w:rPr>
                <w:rFonts w:ascii="Arial Narrow" w:eastAsia="Calibri" w:hAnsi="Arial Narrow" w:cs="Arial"/>
                <w:sz w:val="20"/>
                <w:szCs w:val="22"/>
                <w:lang w:eastAsia="en-US"/>
              </w:rPr>
            </w:pPr>
            <w:r w:rsidRPr="00656CCF">
              <w:rPr>
                <w:rFonts w:ascii="Arial Narrow" w:eastAsia="Calibri" w:hAnsi="Arial Narrow" w:cs="Arial"/>
                <w:sz w:val="20"/>
                <w:szCs w:val="22"/>
                <w:lang w:eastAsia="en-US"/>
              </w:rPr>
              <w:t xml:space="preserve">a clinically-relevant </w:t>
            </w:r>
            <w:r w:rsidRPr="00656CCF">
              <w:rPr>
                <w:rFonts w:ascii="Arial Narrow" w:eastAsia="Calibri" w:hAnsi="Arial Narrow" w:cs="Arial"/>
                <w:i/>
                <w:iCs/>
                <w:sz w:val="20"/>
                <w:szCs w:val="22"/>
                <w:lang w:eastAsia="en-US"/>
              </w:rPr>
              <w:t>RAS</w:t>
            </w:r>
            <w:r w:rsidRPr="00656CCF">
              <w:rPr>
                <w:rFonts w:ascii="Arial Narrow" w:eastAsia="Calibri" w:hAnsi="Arial Narrow" w:cs="Arial"/>
                <w:sz w:val="20"/>
                <w:szCs w:val="22"/>
                <w:lang w:eastAsia="en-US"/>
              </w:rPr>
              <w:t xml:space="preserve"> variant is </w:t>
            </w:r>
            <w:r w:rsidR="00196E93">
              <w:rPr>
                <w:rFonts w:ascii="Arial Narrow" w:eastAsia="Calibri" w:hAnsi="Arial Narrow" w:cs="Arial"/>
                <w:sz w:val="20"/>
                <w:szCs w:val="22"/>
                <w:lang w:eastAsia="en-US"/>
              </w:rPr>
              <w:t>detected</w:t>
            </w:r>
            <w:r w:rsidRPr="00656CCF">
              <w:rPr>
                <w:rFonts w:ascii="Arial Narrow" w:eastAsia="Calibri" w:hAnsi="Arial Narrow" w:cs="Arial"/>
                <w:sz w:val="20"/>
                <w:szCs w:val="22"/>
                <w:lang w:eastAsia="en-US"/>
              </w:rPr>
              <w:t>;</w:t>
            </w:r>
          </w:p>
          <w:p w14:paraId="25799232" w14:textId="754B502E" w:rsidR="008D4DD3" w:rsidRPr="00196E93" w:rsidRDefault="008D4DD3" w:rsidP="0054469D">
            <w:pPr>
              <w:spacing w:before="240" w:after="240" w:line="257" w:lineRule="auto"/>
              <w:ind w:left="34"/>
              <w:jc w:val="both"/>
              <w:rPr>
                <w:rFonts w:ascii="Arial Narrow" w:eastAsia="Calibri" w:hAnsi="Arial Narrow" w:cs="Arial"/>
                <w:iCs/>
                <w:sz w:val="20"/>
                <w:szCs w:val="22"/>
                <w:lang w:eastAsia="en-US"/>
              </w:rPr>
            </w:pPr>
            <w:r w:rsidRPr="00196E93">
              <w:rPr>
                <w:rFonts w:ascii="Arial Narrow" w:eastAsia="Calibri" w:hAnsi="Arial Narrow" w:cs="Arial"/>
                <w:iCs/>
                <w:sz w:val="20"/>
                <w:szCs w:val="22"/>
                <w:lang w:eastAsia="en-US"/>
              </w:rPr>
              <w:t xml:space="preserve">and, in cases where no </w:t>
            </w:r>
            <w:r w:rsidRPr="00196E93">
              <w:rPr>
                <w:rFonts w:ascii="Arial Narrow" w:eastAsia="Calibri" w:hAnsi="Arial Narrow" w:cs="Arial"/>
                <w:i/>
                <w:iCs/>
                <w:sz w:val="20"/>
                <w:szCs w:val="22"/>
                <w:lang w:eastAsia="en-US"/>
              </w:rPr>
              <w:t>RAS</w:t>
            </w:r>
            <w:r w:rsidRPr="00196E93">
              <w:rPr>
                <w:rFonts w:ascii="Arial Narrow" w:eastAsia="Calibri" w:hAnsi="Arial Narrow" w:cs="Arial"/>
                <w:iCs/>
                <w:sz w:val="20"/>
                <w:szCs w:val="22"/>
                <w:lang w:eastAsia="en-US"/>
              </w:rPr>
              <w:t xml:space="preserve"> </w:t>
            </w:r>
            <w:r w:rsidR="00196E93">
              <w:rPr>
                <w:rFonts w:ascii="Arial Narrow" w:eastAsia="Calibri" w:hAnsi="Arial Narrow" w:cs="Arial"/>
                <w:iCs/>
                <w:sz w:val="20"/>
                <w:szCs w:val="22"/>
                <w:lang w:eastAsia="en-US"/>
              </w:rPr>
              <w:t>variant</w:t>
            </w:r>
            <w:r w:rsidRPr="00196E93">
              <w:rPr>
                <w:rFonts w:ascii="Arial Narrow" w:eastAsia="Calibri" w:hAnsi="Arial Narrow" w:cs="Arial"/>
                <w:iCs/>
                <w:sz w:val="20"/>
                <w:szCs w:val="22"/>
                <w:lang w:eastAsia="en-US"/>
              </w:rPr>
              <w:t xml:space="preserve"> is detected</w:t>
            </w:r>
          </w:p>
          <w:p w14:paraId="43EA47DA" w14:textId="7B69F2FA" w:rsidR="008D4DD3" w:rsidRPr="00656CCF" w:rsidRDefault="00196E93" w:rsidP="00C07AB1">
            <w:pPr>
              <w:numPr>
                <w:ilvl w:val="0"/>
                <w:numId w:val="27"/>
              </w:numPr>
              <w:spacing w:before="40" w:after="40" w:line="256" w:lineRule="auto"/>
              <w:jc w:val="both"/>
              <w:rPr>
                <w:rFonts w:ascii="Arial Narrow" w:eastAsia="Calibri" w:hAnsi="Arial Narrow" w:cs="Arial"/>
                <w:snapToGrid w:val="0"/>
                <w:szCs w:val="22"/>
                <w:lang w:eastAsia="en-US"/>
              </w:rPr>
            </w:pPr>
            <w:r w:rsidRPr="00196E93">
              <w:rPr>
                <w:rFonts w:ascii="Arial Narrow" w:eastAsia="Calibri" w:hAnsi="Arial Narrow" w:cs="Arial"/>
                <w:sz w:val="20"/>
                <w:szCs w:val="22"/>
                <w:lang w:eastAsia="en-US"/>
              </w:rPr>
              <w:t xml:space="preserve">the </w:t>
            </w:r>
            <w:r w:rsidR="008D4DD3" w:rsidRPr="00196E93">
              <w:rPr>
                <w:rFonts w:ascii="Arial Narrow" w:eastAsia="Calibri" w:hAnsi="Arial Narrow" w:cs="Arial"/>
                <w:sz w:val="20"/>
                <w:szCs w:val="22"/>
                <w:lang w:eastAsia="en-US"/>
              </w:rPr>
              <w:t>requirements</w:t>
            </w:r>
            <w:r w:rsidR="008D4DD3" w:rsidRPr="00196E93">
              <w:rPr>
                <w:rFonts w:ascii="Arial Narrow" w:eastAsia="Calibri" w:hAnsi="Arial Narrow" w:cs="Arial"/>
                <w:iCs/>
                <w:sz w:val="20"/>
                <w:szCs w:val="22"/>
                <w:lang w:eastAsia="en-US"/>
              </w:rPr>
              <w:t xml:space="preserve"> relating to </w:t>
            </w:r>
            <w:r w:rsidR="008D4DD3" w:rsidRPr="00196E93">
              <w:rPr>
                <w:rFonts w:ascii="Arial Narrow" w:eastAsia="Calibri" w:hAnsi="Arial Narrow" w:cs="Arial"/>
                <w:i/>
                <w:iCs/>
                <w:sz w:val="20"/>
                <w:szCs w:val="22"/>
                <w:lang w:eastAsia="en-US"/>
              </w:rPr>
              <w:t>BRAF</w:t>
            </w:r>
            <w:r w:rsidR="008D4DD3" w:rsidRPr="00196E93">
              <w:rPr>
                <w:rFonts w:ascii="Arial Narrow" w:eastAsia="Calibri" w:hAnsi="Arial Narrow" w:cs="Arial"/>
                <w:iCs/>
                <w:sz w:val="20"/>
                <w:szCs w:val="22"/>
                <w:lang w:eastAsia="en-US"/>
              </w:rPr>
              <w:t xml:space="preserve"> V600 gene variant status for access to encorafenib under the Pharmaceutical Benefits Scheme (PBS) are fulfilled.</w:t>
            </w:r>
          </w:p>
        </w:tc>
      </w:tr>
      <w:tr w:rsidR="008D4DD3" w:rsidRPr="00656CCF" w14:paraId="1A1B96DB" w14:textId="77777777" w:rsidTr="0054469D">
        <w:tc>
          <w:tcPr>
            <w:tcW w:w="5000" w:type="pct"/>
          </w:tcPr>
          <w:p w14:paraId="00F6E0D2" w14:textId="77777777" w:rsidR="008D4DD3" w:rsidRPr="00E824EE" w:rsidRDefault="008D4DD3" w:rsidP="00EA1DA0">
            <w:pPr>
              <w:spacing w:before="40" w:after="40" w:line="256" w:lineRule="auto"/>
              <w:jc w:val="both"/>
              <w:rPr>
                <w:rFonts w:ascii="Arial Narrow" w:eastAsia="Calibri" w:hAnsi="Arial Narrow" w:cs="Arial"/>
                <w:szCs w:val="22"/>
                <w:lang w:eastAsia="en-US"/>
              </w:rPr>
            </w:pPr>
            <w:r w:rsidRPr="00E824EE">
              <w:rPr>
                <w:rFonts w:ascii="Arial Narrow" w:eastAsia="Calibri" w:hAnsi="Arial Narrow" w:cs="Arial"/>
                <w:bCs/>
                <w:sz w:val="20"/>
                <w:szCs w:val="22"/>
                <w:lang w:eastAsia="en-US"/>
              </w:rPr>
              <w:t>Fee: MBS Fee</w:t>
            </w:r>
            <w:r w:rsidRPr="00E824EE">
              <w:rPr>
                <w:rFonts w:ascii="Arial Narrow" w:eastAsia="Calibri" w:hAnsi="Arial Narrow" w:cs="Arial"/>
                <w:sz w:val="20"/>
                <w:szCs w:val="22"/>
                <w:lang w:eastAsia="en-US"/>
              </w:rPr>
              <w:t>: $362.60 Benefit: 75% = $271.95 85% = $308.25</w:t>
            </w:r>
          </w:p>
        </w:tc>
      </w:tr>
    </w:tbl>
    <w:p w14:paraId="56DC6422" w14:textId="0AEA3EAE" w:rsidR="00CF7307" w:rsidRDefault="00CF7307" w:rsidP="00F715D1">
      <w:pPr>
        <w:pStyle w:val="Default"/>
        <w:spacing w:after="240"/>
        <w:rPr>
          <w:i/>
          <w:color w:val="auto"/>
        </w:rPr>
      </w:pPr>
    </w:p>
    <w:tbl>
      <w:tblPr>
        <w:tblStyle w:val="TableGrid"/>
        <w:tblW w:w="0" w:type="auto"/>
        <w:tblLook w:val="04A0" w:firstRow="1" w:lastRow="0" w:firstColumn="1" w:lastColumn="0" w:noHBand="0" w:noVBand="1"/>
        <w:tblDescription w:val="Consumer summary of MSAC consideration"/>
      </w:tblPr>
      <w:tblGrid>
        <w:gridCol w:w="9016"/>
      </w:tblGrid>
      <w:tr w:rsidR="000663AA" w14:paraId="23CD44A6" w14:textId="77777777" w:rsidTr="004967B0">
        <w:trPr>
          <w:tblHeader/>
        </w:trPr>
        <w:tc>
          <w:tcPr>
            <w:tcW w:w="9016" w:type="dxa"/>
          </w:tcPr>
          <w:p w14:paraId="5FFA63A3" w14:textId="77777777" w:rsidR="000663AA" w:rsidRPr="000663AA" w:rsidRDefault="000663AA" w:rsidP="000663AA">
            <w:pPr>
              <w:pStyle w:val="Default"/>
              <w:spacing w:before="120" w:after="120"/>
              <w:rPr>
                <w:b/>
                <w:color w:val="auto"/>
              </w:rPr>
            </w:pPr>
            <w:r w:rsidRPr="00C06B0B">
              <w:rPr>
                <w:b/>
                <w:color w:val="auto"/>
              </w:rPr>
              <w:t>Consumer summary</w:t>
            </w:r>
          </w:p>
        </w:tc>
      </w:tr>
      <w:tr w:rsidR="000663AA" w14:paraId="325007CA" w14:textId="77777777" w:rsidTr="000663AA">
        <w:tc>
          <w:tcPr>
            <w:tcW w:w="9016" w:type="dxa"/>
          </w:tcPr>
          <w:p w14:paraId="14CF6561" w14:textId="70AAD8C1" w:rsidR="00F559A1" w:rsidRDefault="00F559A1" w:rsidP="00F715D1">
            <w:pPr>
              <w:pStyle w:val="Default"/>
              <w:spacing w:after="240"/>
            </w:pPr>
            <w:r w:rsidRPr="00FB5EFC">
              <w:t>Pierre Fabre Australia</w:t>
            </w:r>
            <w:r w:rsidR="00E824EE">
              <w:t xml:space="preserve"> Pty Ltd</w:t>
            </w:r>
            <w:r>
              <w:t xml:space="preserve"> </w:t>
            </w:r>
            <w:r w:rsidR="00E94CB8">
              <w:t>ha</w:t>
            </w:r>
            <w:r w:rsidR="009D2F8D">
              <w:t>s</w:t>
            </w:r>
            <w:r w:rsidR="00E94CB8">
              <w:t xml:space="preserve"> submitted a</w:t>
            </w:r>
            <w:r w:rsidR="009D2F8D">
              <w:t>n integrated</w:t>
            </w:r>
            <w:r w:rsidR="00E94CB8">
              <w:t xml:space="preserve"> codependent </w:t>
            </w:r>
            <w:r w:rsidR="009D2F8D">
              <w:t xml:space="preserve">submission </w:t>
            </w:r>
            <w:r w:rsidR="00E94CB8">
              <w:t xml:space="preserve">to the Medical </w:t>
            </w:r>
            <w:r w:rsidR="006557B2">
              <w:t>S</w:t>
            </w:r>
            <w:r w:rsidR="00E94CB8">
              <w:t xml:space="preserve">ervices Advisory Committee (MSAC) and the Pharmaceutical Benefits Advisory Committee (PBAC). The MSAC application is for </w:t>
            </w:r>
            <w:r w:rsidR="00E94CB8" w:rsidRPr="002C1D71">
              <w:rPr>
                <w:color w:val="auto"/>
              </w:rPr>
              <w:t xml:space="preserve">funding </w:t>
            </w:r>
            <w:r w:rsidR="00E94CB8">
              <w:rPr>
                <w:color w:val="auto"/>
              </w:rPr>
              <w:t>through</w:t>
            </w:r>
            <w:r w:rsidR="00E94CB8" w:rsidRPr="002C1D71">
              <w:rPr>
                <w:color w:val="auto"/>
              </w:rPr>
              <w:t xml:space="preserve"> the Medicare Benefits Schedule (MBS)</w:t>
            </w:r>
            <w:r w:rsidR="00E94CB8">
              <w:rPr>
                <w:color w:val="auto"/>
              </w:rPr>
              <w:t xml:space="preserve"> </w:t>
            </w:r>
            <w:r w:rsidR="006557B2">
              <w:t>of</w:t>
            </w:r>
            <w:r>
              <w:t xml:space="preserve"> </w:t>
            </w:r>
            <w:r w:rsidRPr="00FB5EFC">
              <w:rPr>
                <w:i/>
                <w:iCs/>
              </w:rPr>
              <w:t>BRAF</w:t>
            </w:r>
            <w:r>
              <w:t xml:space="preserve"> V600 genetic testing for people with metastatic colorectal cancer</w:t>
            </w:r>
            <w:r w:rsidR="00E94CB8">
              <w:t xml:space="preserve"> (</w:t>
            </w:r>
            <w:r>
              <w:t>stage IV bowel cancer that has spread to other areas of the body</w:t>
            </w:r>
            <w:r w:rsidR="00E94CB8">
              <w:t>)</w:t>
            </w:r>
            <w:r>
              <w:t xml:space="preserve">. </w:t>
            </w:r>
            <w:r w:rsidR="00E94CB8">
              <w:t xml:space="preserve">The PBAC application is for funding through the Pharmaceutical Benefits Scheme </w:t>
            </w:r>
            <w:r w:rsidR="006557B2">
              <w:t xml:space="preserve">(PBS) </w:t>
            </w:r>
            <w:r w:rsidR="00E94CB8">
              <w:t xml:space="preserve">of a </w:t>
            </w:r>
            <w:r w:rsidR="009D2F8D">
              <w:t>medicine</w:t>
            </w:r>
            <w:r w:rsidR="00E94CB8">
              <w:t xml:space="preserve"> called encorafenib</w:t>
            </w:r>
            <w:r w:rsidR="006557B2">
              <w:t xml:space="preserve"> for people who test positive to the </w:t>
            </w:r>
            <w:r w:rsidR="006557B2">
              <w:rPr>
                <w:i/>
                <w:iCs/>
              </w:rPr>
              <w:t xml:space="preserve">BRAF </w:t>
            </w:r>
            <w:r w:rsidR="006557B2">
              <w:t>V600 variant</w:t>
            </w:r>
            <w:r w:rsidR="009D2F8D">
              <w:t>.</w:t>
            </w:r>
          </w:p>
          <w:p w14:paraId="7371023E" w14:textId="1ACE4F9A" w:rsidR="00F559A1" w:rsidRDefault="00F559A1" w:rsidP="00F715D1">
            <w:pPr>
              <w:pStyle w:val="Default"/>
              <w:spacing w:after="240"/>
            </w:pPr>
            <w:r>
              <w:t xml:space="preserve">People with stage IV bowel cancer and with a </w:t>
            </w:r>
            <w:r w:rsidRPr="00B56173">
              <w:rPr>
                <w:i/>
                <w:iCs/>
              </w:rPr>
              <w:t>BRAF</w:t>
            </w:r>
            <w:r>
              <w:t xml:space="preserve"> V600 </w:t>
            </w:r>
            <w:r w:rsidR="00E824EE">
              <w:t xml:space="preserve">variant </w:t>
            </w:r>
            <w:r>
              <w:t>have a low survival rate and their cancer spreads quickly. When treated with the drug encorafenib, these people survive longer and have better quality of life.</w:t>
            </w:r>
          </w:p>
          <w:p w14:paraId="516FF3B7" w14:textId="358CA6FD" w:rsidR="00F559A1" w:rsidRDefault="00F559A1" w:rsidP="00F715D1">
            <w:pPr>
              <w:pStyle w:val="Default"/>
              <w:spacing w:after="240"/>
            </w:pPr>
            <w:r>
              <w:t xml:space="preserve">There are different </w:t>
            </w:r>
            <w:r w:rsidR="00E824EE">
              <w:t>variants</w:t>
            </w:r>
            <w:r>
              <w:t xml:space="preserve"> of </w:t>
            </w:r>
            <w:r w:rsidRPr="00B56173">
              <w:rPr>
                <w:i/>
                <w:iCs/>
              </w:rPr>
              <w:t>BRAF</w:t>
            </w:r>
            <w:r>
              <w:t xml:space="preserve"> V600. V600E is the most common. MSAC considered that all </w:t>
            </w:r>
            <w:r w:rsidR="00E824EE">
              <w:t>variants</w:t>
            </w:r>
            <w:r>
              <w:t xml:space="preserve"> </w:t>
            </w:r>
            <w:r w:rsidR="00831EE9">
              <w:t xml:space="preserve">might </w:t>
            </w:r>
            <w:r>
              <w:t xml:space="preserve">respond to encorafenib, and found no reason to </w:t>
            </w:r>
            <w:r w:rsidR="00E94CB8">
              <w:t xml:space="preserve">just </w:t>
            </w:r>
            <w:r>
              <w:t>test for a specific V600 variant.</w:t>
            </w:r>
          </w:p>
          <w:p w14:paraId="4EE5A299" w14:textId="313E9954" w:rsidR="000663AA" w:rsidRPr="000663AA" w:rsidRDefault="00E10DE9" w:rsidP="00F715D1">
            <w:pPr>
              <w:pStyle w:val="Default"/>
              <w:spacing w:after="240"/>
              <w:rPr>
                <w:i/>
                <w:color w:val="auto"/>
              </w:rPr>
            </w:pPr>
            <w:r>
              <w:rPr>
                <w:iCs/>
              </w:rPr>
              <w:t xml:space="preserve">The applicant suggested that </w:t>
            </w:r>
            <w:r w:rsidRPr="00FB5EFC">
              <w:rPr>
                <w:i/>
                <w:iCs/>
              </w:rPr>
              <w:t>BRAF</w:t>
            </w:r>
            <w:r>
              <w:t xml:space="preserve"> V600 genetic testing be added to an existing MBS item (73338) which funds testing for </w:t>
            </w:r>
            <w:r w:rsidRPr="00B56173">
              <w:rPr>
                <w:i/>
                <w:iCs/>
              </w:rPr>
              <w:t>RAS</w:t>
            </w:r>
            <w:r>
              <w:t xml:space="preserve"> gene</w:t>
            </w:r>
            <w:r w:rsidR="00127C1A">
              <w:t xml:space="preserve"> variants</w:t>
            </w:r>
            <w:r>
              <w:t xml:space="preserve">. </w:t>
            </w:r>
            <w:r w:rsidR="00127C1A" w:rsidRPr="00127C1A">
              <w:t xml:space="preserve">Many laboratories are already testing for </w:t>
            </w:r>
            <w:r w:rsidR="00127C1A" w:rsidRPr="00127C1A">
              <w:rPr>
                <w:i/>
              </w:rPr>
              <w:t>BRAF</w:t>
            </w:r>
            <w:r w:rsidR="00127C1A" w:rsidRPr="00127C1A">
              <w:t xml:space="preserve"> gene </w:t>
            </w:r>
            <w:r w:rsidR="009D2F8D">
              <w:t xml:space="preserve">status </w:t>
            </w:r>
            <w:r w:rsidR="00127C1A" w:rsidRPr="00127C1A">
              <w:t xml:space="preserve">when they are </w:t>
            </w:r>
            <w:r w:rsidR="00127C1A">
              <w:t>testing</w:t>
            </w:r>
            <w:r w:rsidR="00127C1A" w:rsidRPr="00127C1A">
              <w:t xml:space="preserve"> a tumour for RAS gene status. This application </w:t>
            </w:r>
            <w:r w:rsidR="00127C1A">
              <w:t xml:space="preserve">requested </w:t>
            </w:r>
            <w:r w:rsidR="00127C1A" w:rsidRPr="00127C1A">
              <w:t xml:space="preserve">testing for </w:t>
            </w:r>
            <w:r w:rsidR="00127C1A" w:rsidRPr="00127C1A">
              <w:rPr>
                <w:i/>
              </w:rPr>
              <w:t>BRAF</w:t>
            </w:r>
            <w:r w:rsidR="00127C1A" w:rsidRPr="00127C1A">
              <w:t xml:space="preserve"> </w:t>
            </w:r>
            <w:r w:rsidR="00127C1A">
              <w:t xml:space="preserve">status </w:t>
            </w:r>
            <w:r w:rsidR="00127C1A" w:rsidRPr="00127C1A">
              <w:t xml:space="preserve">if the </w:t>
            </w:r>
            <w:r w:rsidR="00127C1A" w:rsidRPr="00127C1A">
              <w:rPr>
                <w:i/>
              </w:rPr>
              <w:t>RAS</w:t>
            </w:r>
            <w:r w:rsidR="00127C1A" w:rsidRPr="00127C1A">
              <w:t xml:space="preserve"> gene test is negative, without changing the </w:t>
            </w:r>
            <w:r w:rsidR="00127C1A">
              <w:t xml:space="preserve">MBS </w:t>
            </w:r>
            <w:r w:rsidR="00127C1A" w:rsidRPr="00127C1A">
              <w:t xml:space="preserve">rebate for </w:t>
            </w:r>
            <w:r w:rsidR="00127C1A" w:rsidRPr="009D2F8D">
              <w:rPr>
                <w:i/>
              </w:rPr>
              <w:t>RAS</w:t>
            </w:r>
            <w:r w:rsidR="00127C1A" w:rsidRPr="00127C1A">
              <w:t xml:space="preserve"> testing. </w:t>
            </w:r>
            <w:r w:rsidR="00127C1A">
              <w:t>It</w:t>
            </w:r>
            <w:r w:rsidR="00F559A1">
              <w:t xml:space="preserve"> is very rare for people to have </w:t>
            </w:r>
            <w:r w:rsidR="00E824EE">
              <w:t>variants</w:t>
            </w:r>
            <w:r w:rsidR="00F559A1">
              <w:t xml:space="preserve"> in both the </w:t>
            </w:r>
            <w:r w:rsidR="00F559A1" w:rsidRPr="00B56173">
              <w:rPr>
                <w:i/>
                <w:iCs/>
              </w:rPr>
              <w:t>RAS</w:t>
            </w:r>
            <w:r w:rsidR="00F559A1">
              <w:t xml:space="preserve"> gene and the </w:t>
            </w:r>
            <w:r w:rsidR="00F559A1" w:rsidRPr="00B56173">
              <w:rPr>
                <w:i/>
                <w:iCs/>
              </w:rPr>
              <w:t>BRAF</w:t>
            </w:r>
            <w:r w:rsidR="00F559A1">
              <w:t xml:space="preserve"> gene. Therefore, MSAC considered that people who have a </w:t>
            </w:r>
            <w:r w:rsidR="00F559A1" w:rsidRPr="00B56173">
              <w:rPr>
                <w:i/>
                <w:iCs/>
              </w:rPr>
              <w:t>RAS</w:t>
            </w:r>
            <w:r w:rsidR="00F559A1">
              <w:t xml:space="preserve"> </w:t>
            </w:r>
            <w:r w:rsidR="00E824EE">
              <w:t>variant</w:t>
            </w:r>
            <w:r w:rsidR="00F559A1">
              <w:t xml:space="preserve"> do not need to be tested for </w:t>
            </w:r>
            <w:r w:rsidR="00F559A1" w:rsidRPr="00B56173">
              <w:rPr>
                <w:i/>
                <w:iCs/>
              </w:rPr>
              <w:t>BRAF</w:t>
            </w:r>
            <w:r w:rsidR="00F559A1">
              <w:t xml:space="preserve"> V600 </w:t>
            </w:r>
            <w:r w:rsidR="00E824EE">
              <w:t>variants</w:t>
            </w:r>
            <w:r w:rsidR="00F559A1">
              <w:t>.</w:t>
            </w:r>
          </w:p>
          <w:p w14:paraId="5A9BAFBB" w14:textId="77777777" w:rsidR="000663AA" w:rsidRDefault="000663AA" w:rsidP="00F715D1">
            <w:pPr>
              <w:pStyle w:val="Default"/>
              <w:spacing w:after="240"/>
              <w:rPr>
                <w:b/>
                <w:color w:val="auto"/>
              </w:rPr>
            </w:pPr>
            <w:r w:rsidRPr="00C06B0B">
              <w:rPr>
                <w:b/>
                <w:color w:val="auto"/>
              </w:rPr>
              <w:t xml:space="preserve">MSAC’s </w:t>
            </w:r>
            <w:r>
              <w:rPr>
                <w:b/>
                <w:color w:val="auto"/>
              </w:rPr>
              <w:t>advice</w:t>
            </w:r>
            <w:r w:rsidRPr="00C06B0B">
              <w:rPr>
                <w:b/>
                <w:color w:val="auto"/>
              </w:rPr>
              <w:t xml:space="preserve"> to the Commonwealth Minister</w:t>
            </w:r>
            <w:r>
              <w:rPr>
                <w:b/>
                <w:color w:val="auto"/>
              </w:rPr>
              <w:t xml:space="preserve"> for Health</w:t>
            </w:r>
          </w:p>
          <w:p w14:paraId="21B18535" w14:textId="58A4E8D9" w:rsidR="000663AA" w:rsidRDefault="00F559A1" w:rsidP="00E824EE">
            <w:pPr>
              <w:pStyle w:val="Default"/>
              <w:spacing w:after="240"/>
              <w:rPr>
                <w:i/>
                <w:color w:val="auto"/>
              </w:rPr>
            </w:pPr>
            <w:r>
              <w:t xml:space="preserve">MSAC recommended that </w:t>
            </w:r>
            <w:r>
              <w:rPr>
                <w:i/>
                <w:iCs/>
              </w:rPr>
              <w:t>BRAF</w:t>
            </w:r>
            <w:r w:rsidRPr="00E21867">
              <w:t xml:space="preserve"> </w:t>
            </w:r>
            <w:r>
              <w:t xml:space="preserve">V600 genetic </w:t>
            </w:r>
            <w:r w:rsidRPr="00E21867">
              <w:t xml:space="preserve">testing be </w:t>
            </w:r>
            <w:r w:rsidR="00E94CB8">
              <w:t>funded</w:t>
            </w:r>
            <w:r w:rsidR="00E94CB8" w:rsidRPr="00E21867">
              <w:t xml:space="preserve"> </w:t>
            </w:r>
            <w:r w:rsidRPr="00E21867">
              <w:t xml:space="preserve">for </w:t>
            </w:r>
            <w:r>
              <w:t xml:space="preserve">people </w:t>
            </w:r>
            <w:r w:rsidRPr="00E21867">
              <w:t xml:space="preserve">with metastatic </w:t>
            </w:r>
            <w:r>
              <w:t xml:space="preserve">bowel cancer. MSAC considered the test to be safe, effective and cost-effective. MSAC considered it appropriate to test for all </w:t>
            </w:r>
            <w:r w:rsidRPr="00C04F61">
              <w:rPr>
                <w:i/>
                <w:iCs/>
              </w:rPr>
              <w:t>BRAF</w:t>
            </w:r>
            <w:r>
              <w:t xml:space="preserve"> V600 variants for access to encorafenib. MSAC also considered that people with </w:t>
            </w:r>
            <w:r w:rsidR="00E824EE">
              <w:t>variants</w:t>
            </w:r>
            <w:r>
              <w:t xml:space="preserve"> in their </w:t>
            </w:r>
            <w:r w:rsidRPr="00C04F61">
              <w:rPr>
                <w:i/>
                <w:iCs/>
              </w:rPr>
              <w:t>RAS</w:t>
            </w:r>
            <w:r>
              <w:t xml:space="preserve"> gene did not need to undergo </w:t>
            </w:r>
            <w:r w:rsidRPr="00C04F61">
              <w:rPr>
                <w:i/>
                <w:iCs/>
              </w:rPr>
              <w:t>BRAF</w:t>
            </w:r>
            <w:r>
              <w:t xml:space="preserve"> testing as well.</w:t>
            </w:r>
          </w:p>
        </w:tc>
      </w:tr>
    </w:tbl>
    <w:p w14:paraId="43479970" w14:textId="77777777" w:rsidR="00550354" w:rsidRPr="00F715D1" w:rsidRDefault="00550354" w:rsidP="00F715D1">
      <w:pPr>
        <w:pStyle w:val="Heading1"/>
      </w:pPr>
      <w:r w:rsidRPr="00F715D1">
        <w:lastRenderedPageBreak/>
        <w:t xml:space="preserve">Summary of consideration and rationale for MSAC’s advice </w:t>
      </w:r>
    </w:p>
    <w:p w14:paraId="2CD63B59" w14:textId="08FFFDC9" w:rsidR="00F559A1" w:rsidRDefault="00F559A1" w:rsidP="00D57CBF">
      <w:pPr>
        <w:spacing w:after="240"/>
      </w:pPr>
      <w:r>
        <w:t xml:space="preserve">MSAC noted that this was a codependent application for MBS listing of </w:t>
      </w:r>
      <w:r w:rsidRPr="00511CD1">
        <w:rPr>
          <w:i/>
          <w:iCs/>
        </w:rPr>
        <w:t>BRAF</w:t>
      </w:r>
      <w:r w:rsidRPr="00511CD1">
        <w:t xml:space="preserve"> V600E test in m</w:t>
      </w:r>
      <w:r>
        <w:t>etastatic colorectal cancer (m</w:t>
      </w:r>
      <w:r w:rsidRPr="00511CD1">
        <w:t>CRC</w:t>
      </w:r>
      <w:r>
        <w:t>)</w:t>
      </w:r>
      <w:r w:rsidRPr="00511CD1">
        <w:t xml:space="preserve"> for access to encorafenib (BRAF inhibitor) on </w:t>
      </w:r>
      <w:r>
        <w:t>the Pharmaceutical Benefits Scheme (</w:t>
      </w:r>
      <w:r w:rsidRPr="00511CD1">
        <w:t>PBS</w:t>
      </w:r>
      <w:r>
        <w:t xml:space="preserve">). MSAC noted that the </w:t>
      </w:r>
      <w:r w:rsidRPr="00DC1AA0">
        <w:t xml:space="preserve">Pharmaceutical Benefits Advisory Committee (PBAC) deferred its </w:t>
      </w:r>
      <w:r w:rsidR="00257629">
        <w:t>consideration</w:t>
      </w:r>
      <w:r w:rsidRPr="00DC1AA0">
        <w:t xml:space="preserve"> </w:t>
      </w:r>
      <w:r w:rsidR="00257629">
        <w:t>of</w:t>
      </w:r>
      <w:r>
        <w:t xml:space="preserve"> </w:t>
      </w:r>
      <w:r w:rsidRPr="00DC1AA0">
        <w:t xml:space="preserve">encorafenib </w:t>
      </w:r>
      <w:r w:rsidR="007226A2" w:rsidRPr="007226A2">
        <w:t xml:space="preserve">until an MSAC intention to support the codependent BRAF V600 testing in mCRC via the MBS is available. </w:t>
      </w:r>
      <w:r w:rsidR="007226A2">
        <w:t xml:space="preserve">MSAC </w:t>
      </w:r>
      <w:r w:rsidR="00D57CBF">
        <w:t xml:space="preserve">further </w:t>
      </w:r>
      <w:r w:rsidR="007226A2">
        <w:t>noted that t</w:t>
      </w:r>
      <w:r w:rsidR="007226A2" w:rsidRPr="007226A2">
        <w:t>he PBAC foreshadowed its support for recommending that encorafenib in combination with cetuximab be listed and stated that, if MSAC subsequently decided to support the MBS listi</w:t>
      </w:r>
      <w:r w:rsidR="007226A2">
        <w:t>ng of BRAF V600 testing in mCRC</w:t>
      </w:r>
      <w:r w:rsidR="00D57CBF" w:rsidRPr="00D57CBF">
        <w:t>, it would support an expedited process for reconsideration to align any PBAC recommendation for listing encorafenib aligned with the circumstances supported by MSAC</w:t>
      </w:r>
      <w:r w:rsidR="007226A2">
        <w:t>.</w:t>
      </w:r>
      <w:r w:rsidR="007226A2" w:rsidRPr="007226A2">
        <w:t xml:space="preserve"> </w:t>
      </w:r>
    </w:p>
    <w:p w14:paraId="31AFA11F" w14:textId="0726D7B1" w:rsidR="00F559A1" w:rsidRDefault="00F559A1" w:rsidP="00D57CBF">
      <w:pPr>
        <w:spacing w:after="240"/>
      </w:pPr>
      <w:r>
        <w:t xml:space="preserve">MSAC noted that the </w:t>
      </w:r>
      <w:r w:rsidRPr="00511CD1">
        <w:rPr>
          <w:i/>
          <w:iCs/>
        </w:rPr>
        <w:t>BRAF</w:t>
      </w:r>
      <w:r>
        <w:t xml:space="preserve"> V600E variant increase</w:t>
      </w:r>
      <w:r w:rsidR="00A00C03">
        <w:t>s the</w:t>
      </w:r>
      <w:r>
        <w:t xml:space="preserve"> risk of mortality </w:t>
      </w:r>
      <w:r w:rsidR="00EA1DA0">
        <w:t>(hazard ratio</w:t>
      </w:r>
      <w:r w:rsidR="00EA1DA0" w:rsidRPr="00D3153A">
        <w:rPr>
          <w:rFonts w:eastAsia="Calibri" w:cs="Arial"/>
          <w:iCs/>
        </w:rPr>
        <w:t xml:space="preserve"> = 4.24</w:t>
      </w:r>
      <w:r w:rsidR="00EA1DA0">
        <w:rPr>
          <w:rFonts w:eastAsia="Calibri" w:cs="Arial"/>
          <w:iCs/>
        </w:rPr>
        <w:t xml:space="preserve">; </w:t>
      </w:r>
      <w:r w:rsidR="00EA1DA0" w:rsidRPr="00D3153A">
        <w:rPr>
          <w:rFonts w:eastAsia="Calibri" w:cs="Arial"/>
          <w:iCs/>
        </w:rPr>
        <w:t>95% CI: 1.77, 10.2</w:t>
      </w:r>
      <w:r w:rsidR="00EA1DA0">
        <w:rPr>
          <w:rFonts w:eastAsia="Calibri" w:cs="Arial"/>
          <w:iCs/>
        </w:rPr>
        <w:t xml:space="preserve"> in the only prospective cohort study</w:t>
      </w:r>
      <w:r w:rsidR="00EA1DA0" w:rsidRPr="00D3153A">
        <w:rPr>
          <w:rFonts w:eastAsia="Calibri" w:cs="Arial"/>
          <w:iCs/>
        </w:rPr>
        <w:t>)</w:t>
      </w:r>
      <w:r w:rsidR="00EA1DA0">
        <w:rPr>
          <w:rFonts w:eastAsia="Calibri" w:cs="Arial"/>
          <w:iCs/>
        </w:rPr>
        <w:t xml:space="preserve"> </w:t>
      </w:r>
      <w:r>
        <w:t>and disease progression</w:t>
      </w:r>
      <w:r w:rsidR="00A00C03">
        <w:t xml:space="preserve"> in patients with mCRC</w:t>
      </w:r>
      <w:r>
        <w:t xml:space="preserve">. MSAC noted that treatment options for patients with </w:t>
      </w:r>
      <w:r w:rsidR="00A00C03">
        <w:t>pathogenic</w:t>
      </w:r>
      <w:r>
        <w:t xml:space="preserve"> </w:t>
      </w:r>
      <w:r w:rsidRPr="00511CD1">
        <w:rPr>
          <w:i/>
          <w:iCs/>
        </w:rPr>
        <w:t>BRAF</w:t>
      </w:r>
      <w:r>
        <w:t xml:space="preserve"> variants are limited, thus acknowledging the high clinical need for </w:t>
      </w:r>
      <w:r w:rsidR="00D57CBF">
        <w:t xml:space="preserve">effective </w:t>
      </w:r>
      <w:r w:rsidR="00AB770E">
        <w:t>treatment options</w:t>
      </w:r>
      <w:r>
        <w:t>. MSAC noted that the BEACON trial showed that</w:t>
      </w:r>
      <w:r w:rsidR="00A00C03">
        <w:t>, in patients with mCRC and</w:t>
      </w:r>
      <w:r w:rsidR="00A00C03" w:rsidRPr="00A00C03">
        <w:t xml:space="preserve"> </w:t>
      </w:r>
      <w:r w:rsidR="00A00C03">
        <w:t xml:space="preserve">the </w:t>
      </w:r>
      <w:r w:rsidR="00A00C03" w:rsidRPr="00511CD1">
        <w:rPr>
          <w:i/>
          <w:iCs/>
        </w:rPr>
        <w:t>BRAF</w:t>
      </w:r>
      <w:r w:rsidR="00A00C03">
        <w:t xml:space="preserve"> V600E variant,</w:t>
      </w:r>
      <w:r>
        <w:t xml:space="preserve"> </w:t>
      </w:r>
      <w:r w:rsidRPr="00511CD1">
        <w:t xml:space="preserve">encorafenib </w:t>
      </w:r>
      <w:r>
        <w:t>plus</w:t>
      </w:r>
      <w:r w:rsidRPr="00511CD1">
        <w:t xml:space="preserve"> cetuximab </w:t>
      </w:r>
      <w:r w:rsidR="00D57CBF">
        <w:t xml:space="preserve">significantly </w:t>
      </w:r>
      <w:r w:rsidRPr="00511CD1">
        <w:t>improved overall survival</w:t>
      </w:r>
      <w:r>
        <w:t xml:space="preserve"> compared with</w:t>
      </w:r>
      <w:r w:rsidRPr="00511CD1">
        <w:t xml:space="preserve"> cetuximab </w:t>
      </w:r>
      <w:r>
        <w:t>plus</w:t>
      </w:r>
      <w:r w:rsidRPr="00511CD1">
        <w:t xml:space="preserve"> chemotherapy</w:t>
      </w:r>
      <w:r>
        <w:t xml:space="preserve"> (</w:t>
      </w:r>
      <w:r w:rsidR="00D57CBF">
        <w:t xml:space="preserve">stratified hazard </w:t>
      </w:r>
      <w:r w:rsidR="00D57CBF" w:rsidRPr="005D408C">
        <w:t xml:space="preserve">ratio </w:t>
      </w:r>
      <w:r w:rsidR="006C73CE" w:rsidRPr="006C73CE">
        <w:rPr>
          <w:b/>
          <w:bCs/>
        </w:rPr>
        <w:t>redacted</w:t>
      </w:r>
      <w:r w:rsidR="00D57CBF" w:rsidRPr="006C73CE">
        <w:t xml:space="preserve"> (95% CI</w:t>
      </w:r>
      <w:r w:rsidR="00A00C03" w:rsidRPr="006C73CE">
        <w:t>:</w:t>
      </w:r>
      <w:r w:rsidR="00D57CBF" w:rsidRPr="006C73CE">
        <w:t xml:space="preserve"> </w:t>
      </w:r>
      <w:r w:rsidR="006C73CE" w:rsidRPr="006C73CE">
        <w:rPr>
          <w:b/>
          <w:bCs/>
        </w:rPr>
        <w:t>redacted</w:t>
      </w:r>
      <w:r w:rsidR="00D57CBF" w:rsidRPr="006C73CE">
        <w:t xml:space="preserve"> to </w:t>
      </w:r>
      <w:r w:rsidR="006C73CE" w:rsidRPr="006C73CE">
        <w:rPr>
          <w:b/>
          <w:bCs/>
        </w:rPr>
        <w:t>redacted</w:t>
      </w:r>
      <w:r w:rsidR="00676947" w:rsidRPr="006C73CE">
        <w:t>, 5 May 2020 data cut</w:t>
      </w:r>
      <w:r w:rsidRPr="006C73CE">
        <w:t>)</w:t>
      </w:r>
      <w:r w:rsidR="005D408C" w:rsidRPr="006C73CE">
        <w:rPr>
          <w:rStyle w:val="FootnoteReference"/>
        </w:rPr>
        <w:footnoteReference w:id="1"/>
      </w:r>
      <w:r w:rsidRPr="006C73CE">
        <w:t xml:space="preserve">. </w:t>
      </w:r>
      <w:r w:rsidR="00676947" w:rsidRPr="006C73CE">
        <w:t>Compared with cetux</w:t>
      </w:r>
      <w:r w:rsidR="00676947" w:rsidRPr="00511CD1">
        <w:t xml:space="preserve">imab </w:t>
      </w:r>
      <w:r w:rsidR="00676947">
        <w:t>plus</w:t>
      </w:r>
      <w:r w:rsidR="00676947" w:rsidRPr="00511CD1">
        <w:t xml:space="preserve"> chemotherapy</w:t>
      </w:r>
      <w:r w:rsidR="00676947">
        <w:t>, e</w:t>
      </w:r>
      <w:r w:rsidRPr="00511CD1">
        <w:t xml:space="preserve">ncorafenib </w:t>
      </w:r>
      <w:r>
        <w:t>plus</w:t>
      </w:r>
      <w:r w:rsidRPr="00511CD1">
        <w:t xml:space="preserve"> cetuximab</w:t>
      </w:r>
      <w:r>
        <w:t xml:space="preserve"> also improved the</w:t>
      </w:r>
      <w:r w:rsidRPr="00511CD1">
        <w:t xml:space="preserve"> overall response rate</w:t>
      </w:r>
      <w:r>
        <w:t xml:space="preserve"> and</w:t>
      </w:r>
      <w:r w:rsidRPr="00511CD1">
        <w:t xml:space="preserve"> progression-free survival (PFS), </w:t>
      </w:r>
      <w:r>
        <w:t xml:space="preserve">and </w:t>
      </w:r>
      <w:r w:rsidR="00676947">
        <w:t>produced</w:t>
      </w:r>
      <w:r w:rsidRPr="00511CD1">
        <w:t xml:space="preserve"> manageable tolerability and sustained quality of life (QoL)</w:t>
      </w:r>
      <w:r>
        <w:t>.</w:t>
      </w:r>
    </w:p>
    <w:p w14:paraId="7A57158D" w14:textId="53474AE5" w:rsidR="00CD51D2" w:rsidRDefault="00676947" w:rsidP="00D57CBF">
      <w:pPr>
        <w:spacing w:after="240"/>
      </w:pPr>
      <w:r>
        <w:t xml:space="preserve">However, </w:t>
      </w:r>
      <w:r w:rsidR="00F559A1">
        <w:t xml:space="preserve">MSAC </w:t>
      </w:r>
      <w:r>
        <w:t xml:space="preserve">also </w:t>
      </w:r>
      <w:r w:rsidR="00F559A1">
        <w:t xml:space="preserve">noted that the BEACON trial only enrolled patients with the V600E variant, and </w:t>
      </w:r>
      <w:r w:rsidR="00A00C03">
        <w:t xml:space="preserve">so could not assess </w:t>
      </w:r>
      <w:r w:rsidR="00F559A1">
        <w:t xml:space="preserve">the effect </w:t>
      </w:r>
      <w:r w:rsidR="005A79C0">
        <w:t>for</w:t>
      </w:r>
      <w:r w:rsidR="00F559A1">
        <w:t xml:space="preserve"> patients </w:t>
      </w:r>
      <w:r w:rsidR="005A79C0">
        <w:t>who</w:t>
      </w:r>
      <w:r w:rsidR="00F559A1">
        <w:t xml:space="preserve"> are V600 negative or had another V600 variant.</w:t>
      </w:r>
      <w:r w:rsidR="00FD30AB">
        <w:t xml:space="preserve"> </w:t>
      </w:r>
      <w:r w:rsidR="00831EE9">
        <w:t xml:space="preserve">Therefore, </w:t>
      </w:r>
      <w:r w:rsidR="00FD30AB">
        <w:t xml:space="preserve">MSAC </w:t>
      </w:r>
      <w:r>
        <w:t>considered</w:t>
      </w:r>
      <w:r w:rsidR="00FD30AB">
        <w:t xml:space="preserve"> that the rationale for codependency </w:t>
      </w:r>
      <w:r w:rsidR="00C27E8E">
        <w:t>was based</w:t>
      </w:r>
      <w:r w:rsidR="00FD30AB">
        <w:t xml:space="preserve"> on biological plausibility</w:t>
      </w:r>
      <w:r w:rsidR="00C27E8E">
        <w:t xml:space="preserve"> </w:t>
      </w:r>
      <w:r w:rsidR="00A00C03">
        <w:t>and on</w:t>
      </w:r>
      <w:r w:rsidR="00C27E8E">
        <w:t xml:space="preserve"> preclinical studies</w:t>
      </w:r>
      <w:r w:rsidR="00A00C03">
        <w:t>, which have</w:t>
      </w:r>
      <w:r w:rsidR="004D5FA1">
        <w:t xml:space="preserve"> not</w:t>
      </w:r>
      <w:r w:rsidR="00C27E8E">
        <w:t xml:space="preserve"> shown that </w:t>
      </w:r>
      <w:r w:rsidR="005A79C0">
        <w:t xml:space="preserve">encorafenib </w:t>
      </w:r>
      <w:r w:rsidR="00100C77">
        <w:t xml:space="preserve">is effective against </w:t>
      </w:r>
      <w:r w:rsidR="00C27E8E">
        <w:rPr>
          <w:i/>
        </w:rPr>
        <w:t xml:space="preserve">BRAF </w:t>
      </w:r>
      <w:r w:rsidR="00831EE9">
        <w:t>V</w:t>
      </w:r>
      <w:r w:rsidR="00C27E8E">
        <w:t>600 wild</w:t>
      </w:r>
      <w:r w:rsidR="00831EE9">
        <w:t>-</w:t>
      </w:r>
      <w:r w:rsidR="00C27E8E">
        <w:t>type tumours.</w:t>
      </w:r>
    </w:p>
    <w:p w14:paraId="39C4E94B" w14:textId="2EA7D744" w:rsidR="00F559A1" w:rsidRDefault="00F559A1" w:rsidP="00D57CBF">
      <w:pPr>
        <w:spacing w:after="240"/>
      </w:pPr>
      <w:r>
        <w:t xml:space="preserve">MSAC </w:t>
      </w:r>
      <w:r w:rsidR="00676947">
        <w:t xml:space="preserve">further considered </w:t>
      </w:r>
      <w:r>
        <w:t xml:space="preserve">that it is biologically plausible for </w:t>
      </w:r>
      <w:r w:rsidR="0094445F">
        <w:t>other</w:t>
      </w:r>
      <w:r w:rsidR="00676947">
        <w:t xml:space="preserve"> </w:t>
      </w:r>
      <w:r w:rsidR="00676947" w:rsidRPr="00676947">
        <w:rPr>
          <w:i/>
        </w:rPr>
        <w:t>BRAF</w:t>
      </w:r>
      <w:r w:rsidR="00676947">
        <w:t xml:space="preserve"> V600</w:t>
      </w:r>
      <w:r>
        <w:t xml:space="preserve"> variants to respond </w:t>
      </w:r>
      <w:r w:rsidR="00676947">
        <w:t xml:space="preserve">similarly </w:t>
      </w:r>
      <w:r>
        <w:t>to encorafenib.</w:t>
      </w:r>
      <w:r w:rsidR="0094445F">
        <w:t xml:space="preserve"> MSAC recalled that</w:t>
      </w:r>
      <w:r w:rsidR="00CD51D2">
        <w:t>,</w:t>
      </w:r>
      <w:r w:rsidR="0094445F">
        <w:t xml:space="preserve"> in melanoma, other </w:t>
      </w:r>
      <w:r w:rsidR="00676947" w:rsidRPr="00676947">
        <w:rPr>
          <w:i/>
        </w:rPr>
        <w:t>BRAF</w:t>
      </w:r>
      <w:r w:rsidR="00676947">
        <w:t xml:space="preserve"> </w:t>
      </w:r>
      <w:r w:rsidR="0094445F">
        <w:t xml:space="preserve">V600 variants are considered actionable with documented response to encorafenib </w:t>
      </w:r>
      <w:r w:rsidR="0094445F" w:rsidRPr="0094445F">
        <w:t>(Public Summary Document [PSD] Application No. 1543, p3).</w:t>
      </w:r>
    </w:p>
    <w:p w14:paraId="19F9DCBC" w14:textId="00A0EACE" w:rsidR="00F559A1" w:rsidRDefault="00F559A1" w:rsidP="00D57CBF">
      <w:pPr>
        <w:spacing w:after="240"/>
      </w:pPr>
      <w:r>
        <w:t xml:space="preserve">MSAC noted that the literature states </w:t>
      </w:r>
      <w:r w:rsidRPr="003F1580">
        <w:t xml:space="preserve">that </w:t>
      </w:r>
      <w:r w:rsidRPr="00805C29">
        <w:rPr>
          <w:i/>
          <w:iCs/>
        </w:rPr>
        <w:t>BRAF</w:t>
      </w:r>
      <w:r>
        <w:t xml:space="preserve"> </w:t>
      </w:r>
      <w:r w:rsidRPr="003F1580">
        <w:t xml:space="preserve">V600E accounts for &gt;90% of the </w:t>
      </w:r>
      <w:r w:rsidRPr="00805C29">
        <w:rPr>
          <w:i/>
          <w:iCs/>
        </w:rPr>
        <w:t>BRAF</w:t>
      </w:r>
      <w:r w:rsidRPr="003F1580">
        <w:t xml:space="preserve"> </w:t>
      </w:r>
      <w:r w:rsidR="00831EE9">
        <w:t>variants</w:t>
      </w:r>
      <w:r w:rsidRPr="003F1580">
        <w:t xml:space="preserve"> found in CRC, with a suggestion that other </w:t>
      </w:r>
      <w:r w:rsidRPr="00805C29">
        <w:rPr>
          <w:i/>
          <w:iCs/>
        </w:rPr>
        <w:t>RAS</w:t>
      </w:r>
      <w:r w:rsidRPr="003F1580">
        <w:t>-independent V600</w:t>
      </w:r>
      <w:r>
        <w:t>[x]</w:t>
      </w:r>
      <w:r w:rsidRPr="003F1580">
        <w:t xml:space="preserve"> </w:t>
      </w:r>
      <w:r>
        <w:t>variants</w:t>
      </w:r>
      <w:r w:rsidRPr="003F1580">
        <w:t xml:space="preserve"> might behave similarly, along with rare </w:t>
      </w:r>
      <w:r>
        <w:t>variations</w:t>
      </w:r>
      <w:r w:rsidRPr="003F1580">
        <w:t xml:space="preserve"> in codon</w:t>
      </w:r>
      <w:r>
        <w:t>s</w:t>
      </w:r>
      <w:r w:rsidRPr="003F1580">
        <w:t xml:space="preserve"> 601 and 597 </w:t>
      </w:r>
      <w:r>
        <w:t>(</w:t>
      </w:r>
      <w:r w:rsidRPr="003F1580">
        <w:t xml:space="preserve">Yao </w:t>
      </w:r>
      <w:r w:rsidRPr="00100C77">
        <w:rPr>
          <w:i/>
        </w:rPr>
        <w:t>et al.</w:t>
      </w:r>
      <w:r w:rsidRPr="003F1580">
        <w:t xml:space="preserve"> 2017</w:t>
      </w:r>
      <w:r>
        <w:t>)</w:t>
      </w:r>
      <w:r w:rsidR="00E2304B">
        <w:rPr>
          <w:rStyle w:val="FootnoteReference"/>
        </w:rPr>
        <w:footnoteReference w:id="2"/>
      </w:r>
      <w:r>
        <w:t>.</w:t>
      </w:r>
      <w:r w:rsidR="00E00B66">
        <w:t xml:space="preserve"> MSAC acknowledged that a small number of patients with these </w:t>
      </w:r>
      <w:r w:rsidR="00E2304B">
        <w:t>V</w:t>
      </w:r>
      <w:r w:rsidR="00E00B66">
        <w:t xml:space="preserve">600E-like </w:t>
      </w:r>
      <w:r w:rsidR="00BF02F5">
        <w:t>variants</w:t>
      </w:r>
      <w:r w:rsidR="00E00B66">
        <w:t xml:space="preserve"> will not be eligible for treatment under the proposed PBS and MBS listings</w:t>
      </w:r>
      <w:r w:rsidR="001A3080">
        <w:t xml:space="preserve"> although not </w:t>
      </w:r>
      <w:r w:rsidR="001A3080" w:rsidRPr="003F1580">
        <w:t xml:space="preserve">all assays in current use in Australia will distinguish between different </w:t>
      </w:r>
      <w:r w:rsidR="001A3080">
        <w:t>V</w:t>
      </w:r>
      <w:r w:rsidR="001A3080" w:rsidRPr="003F1580">
        <w:t xml:space="preserve">600 </w:t>
      </w:r>
      <w:r w:rsidR="001A3080">
        <w:t>variants</w:t>
      </w:r>
      <w:r w:rsidR="001A3080" w:rsidRPr="003F1580">
        <w:t xml:space="preserve"> or detect non-</w:t>
      </w:r>
      <w:r w:rsidR="001A3080">
        <w:t>V</w:t>
      </w:r>
      <w:r w:rsidR="001A3080" w:rsidRPr="003F1580">
        <w:t xml:space="preserve">600 </w:t>
      </w:r>
      <w:r w:rsidR="001A3080">
        <w:t>variants</w:t>
      </w:r>
      <w:r w:rsidR="00BA7EB9">
        <w:t xml:space="preserve"> (for example the Idylla </w:t>
      </w:r>
      <w:r w:rsidR="00BA7EB9" w:rsidRPr="00BA7EB9">
        <w:rPr>
          <w:i/>
        </w:rPr>
        <w:t>NRAS</w:t>
      </w:r>
      <w:r w:rsidR="00BA7EB9">
        <w:t>/</w:t>
      </w:r>
      <w:r w:rsidR="00BA7EB9" w:rsidRPr="00BA7EB9">
        <w:rPr>
          <w:i/>
        </w:rPr>
        <w:t>BRAF</w:t>
      </w:r>
      <w:r w:rsidR="00BA7EB9">
        <w:t xml:space="preserve"> kit only detects V600 variants and does not distinguish between them)</w:t>
      </w:r>
      <w:r w:rsidR="001A3080">
        <w:t>.</w:t>
      </w:r>
      <w:r>
        <w:t xml:space="preserve"> MSAC also noted that </w:t>
      </w:r>
      <w:r w:rsidRPr="003F1580">
        <w:t xml:space="preserve">Class 3 </w:t>
      </w:r>
      <w:r w:rsidRPr="00805C29">
        <w:rPr>
          <w:i/>
          <w:iCs/>
        </w:rPr>
        <w:t>RAS</w:t>
      </w:r>
      <w:r w:rsidRPr="003F1580">
        <w:t xml:space="preserve">-dependent </w:t>
      </w:r>
      <w:r w:rsidRPr="00805C29">
        <w:rPr>
          <w:i/>
          <w:iCs/>
        </w:rPr>
        <w:t>BRAF</w:t>
      </w:r>
      <w:r>
        <w:t xml:space="preserve"> variants</w:t>
      </w:r>
      <w:r w:rsidRPr="003F1580">
        <w:t xml:space="preserve"> </w:t>
      </w:r>
      <w:r w:rsidR="005A79C0">
        <w:t>also rarely</w:t>
      </w:r>
      <w:r w:rsidRPr="003F1580">
        <w:t xml:space="preserve"> occur in </w:t>
      </w:r>
      <w:r w:rsidRPr="00805C29">
        <w:rPr>
          <w:i/>
          <w:iCs/>
        </w:rPr>
        <w:t>BRAF</w:t>
      </w:r>
      <w:r w:rsidRPr="003F1580">
        <w:t xml:space="preserve"> codons 546</w:t>
      </w:r>
      <w:r>
        <w:t xml:space="preserve"> and </w:t>
      </w:r>
      <w:r w:rsidRPr="003F1580">
        <w:t xml:space="preserve">596 </w:t>
      </w:r>
      <w:r>
        <w:t>(</w:t>
      </w:r>
      <w:r w:rsidRPr="003F1580">
        <w:t xml:space="preserve">Schirripa </w:t>
      </w:r>
      <w:r w:rsidRPr="00100C77">
        <w:rPr>
          <w:i/>
        </w:rPr>
        <w:t>et al.</w:t>
      </w:r>
      <w:r w:rsidRPr="003F1580">
        <w:t xml:space="preserve"> 2019</w:t>
      </w:r>
      <w:r>
        <w:t>)</w:t>
      </w:r>
      <w:r w:rsidR="00E2304B">
        <w:rPr>
          <w:rStyle w:val="FootnoteReference"/>
        </w:rPr>
        <w:footnoteReference w:id="3"/>
      </w:r>
      <w:r w:rsidRPr="00C37233">
        <w:t>. These tumours are often well-differentiated and, prognosis-wi</w:t>
      </w:r>
      <w:r>
        <w:t>s</w:t>
      </w:r>
      <w:r w:rsidRPr="00C37233">
        <w:t xml:space="preserve">e, behave more like </w:t>
      </w:r>
      <w:r w:rsidRPr="00C37233">
        <w:rPr>
          <w:i/>
          <w:iCs/>
        </w:rPr>
        <w:t>BRAF</w:t>
      </w:r>
      <w:r w:rsidRPr="00C37233">
        <w:t xml:space="preserve"> wild</w:t>
      </w:r>
      <w:r w:rsidR="00100C77">
        <w:t>-</w:t>
      </w:r>
      <w:r w:rsidRPr="00C37233">
        <w:t>type tumours.</w:t>
      </w:r>
      <w:r>
        <w:t xml:space="preserve"> </w:t>
      </w:r>
      <w:r w:rsidR="00CD51D2">
        <w:t xml:space="preserve">MSAC noted that the </w:t>
      </w:r>
      <w:r w:rsidR="00CD51D2" w:rsidRPr="00676947">
        <w:rPr>
          <w:i/>
        </w:rPr>
        <w:t>BRAF</w:t>
      </w:r>
      <w:r w:rsidR="00CD51D2">
        <w:t xml:space="preserve"> V600 testing looks for variants resulting in changes at codon 600 of the </w:t>
      </w:r>
      <w:r w:rsidR="00CD51D2">
        <w:lastRenderedPageBreak/>
        <w:t xml:space="preserve">BRAF protein. MSAC considered that variants on other codons (eg 546, 596) may change the shape of the tyrosine kinase pocket that is targeted by encorafenib and thus reduce its efficacy. </w:t>
      </w:r>
      <w:r>
        <w:t xml:space="preserve">MSAC thus concluded that </w:t>
      </w:r>
      <w:r w:rsidRPr="003F1580">
        <w:t xml:space="preserve">the inability to detect </w:t>
      </w:r>
      <w:r>
        <w:t>these variants</w:t>
      </w:r>
      <w:r w:rsidRPr="003F1580">
        <w:t xml:space="preserve"> in assays </w:t>
      </w:r>
      <w:r>
        <w:t>that</w:t>
      </w:r>
      <w:r w:rsidRPr="003F1580">
        <w:t xml:space="preserve"> only assess </w:t>
      </w:r>
      <w:r w:rsidR="00CD51D2">
        <w:t>V</w:t>
      </w:r>
      <w:r w:rsidRPr="003F1580">
        <w:t>600 is unlikely to be a problem</w:t>
      </w:r>
      <w:r>
        <w:t>.</w:t>
      </w:r>
    </w:p>
    <w:p w14:paraId="2195D537" w14:textId="7FD41F79" w:rsidR="00F559A1" w:rsidRDefault="00F559A1" w:rsidP="00D57CBF">
      <w:pPr>
        <w:spacing w:after="240"/>
      </w:pPr>
      <w:r>
        <w:t xml:space="preserve">MSAC therefore supported testing for all V600 variants, and considered that testing should not be limited to V600E. MSAC also noted that, for melanoma, testing is not restricted to the V600E variant. MSAC acknowledged that this </w:t>
      </w:r>
      <w:r w:rsidR="00AB770E">
        <w:t xml:space="preserve">may be different to the indication approved by </w:t>
      </w:r>
      <w:r>
        <w:t>the Therapeutic Goods Administration (TGA)</w:t>
      </w:r>
      <w:r w:rsidR="00D96E39">
        <w:t>.</w:t>
      </w:r>
    </w:p>
    <w:p w14:paraId="7467EBB2" w14:textId="77777777" w:rsidR="00145E60" w:rsidRPr="003F1580" w:rsidRDefault="00145E60" w:rsidP="00145E60">
      <w:pPr>
        <w:spacing w:after="240"/>
      </w:pPr>
      <w:r>
        <w:t xml:space="preserve">MSAC noted that patients with mCRC are routinely assessed for </w:t>
      </w:r>
      <w:r w:rsidRPr="009B6AF7">
        <w:rPr>
          <w:i/>
          <w:iCs/>
        </w:rPr>
        <w:t>RAS</w:t>
      </w:r>
      <w:r>
        <w:t xml:space="preserve"> status, but that it is extremely rare to be both </w:t>
      </w:r>
      <w:r w:rsidRPr="009B6AF7">
        <w:rPr>
          <w:i/>
          <w:iCs/>
        </w:rPr>
        <w:t>RAS</w:t>
      </w:r>
      <w:r>
        <w:t xml:space="preserve"> positive and </w:t>
      </w:r>
      <w:r w:rsidRPr="009B6AF7">
        <w:rPr>
          <w:i/>
          <w:iCs/>
        </w:rPr>
        <w:t>BRAF</w:t>
      </w:r>
      <w:r>
        <w:t xml:space="preserve"> V600 positive. MSAC noted that many laboratories also assess </w:t>
      </w:r>
      <w:r w:rsidRPr="009A7966">
        <w:rPr>
          <w:i/>
          <w:iCs/>
        </w:rPr>
        <w:t>BRAF</w:t>
      </w:r>
      <w:r>
        <w:t xml:space="preserve"> status at the same time as part of the </w:t>
      </w:r>
      <w:r w:rsidRPr="009A7966">
        <w:rPr>
          <w:i/>
          <w:iCs/>
        </w:rPr>
        <w:t>RAS</w:t>
      </w:r>
      <w:r>
        <w:t xml:space="preserve"> assessment. However, MSAC noted that </w:t>
      </w:r>
      <w:r w:rsidRPr="0094052D">
        <w:rPr>
          <w:i/>
          <w:iCs/>
        </w:rPr>
        <w:t>BRAF</w:t>
      </w:r>
      <w:r>
        <w:t xml:space="preserve"> testing is not required if </w:t>
      </w:r>
      <w:r w:rsidRPr="0094052D">
        <w:rPr>
          <w:i/>
          <w:iCs/>
        </w:rPr>
        <w:t>RAS</w:t>
      </w:r>
      <w:r>
        <w:t xml:space="preserve"> status is positive.</w:t>
      </w:r>
    </w:p>
    <w:p w14:paraId="51C9FE01" w14:textId="23C7BB2A" w:rsidR="00145E60" w:rsidRDefault="00145E60" w:rsidP="00145E60">
      <w:pPr>
        <w:spacing w:after="240"/>
      </w:pPr>
      <w:r>
        <w:t xml:space="preserve">MSAC advised that </w:t>
      </w:r>
      <w:r w:rsidRPr="00FB5EFC">
        <w:t xml:space="preserve">not all </w:t>
      </w:r>
      <w:r w:rsidRPr="00FB5EFC">
        <w:rPr>
          <w:i/>
          <w:iCs/>
        </w:rPr>
        <w:t>RAS</w:t>
      </w:r>
      <w:r w:rsidRPr="00FB5EFC">
        <w:t>/</w:t>
      </w:r>
      <w:r w:rsidRPr="00FB5EFC">
        <w:rPr>
          <w:i/>
          <w:iCs/>
        </w:rPr>
        <w:t>BRAF</w:t>
      </w:r>
      <w:r w:rsidRPr="00FB5EFC">
        <w:t xml:space="preserve"> testing in Australia is currently being done by </w:t>
      </w:r>
      <w:r>
        <w:t>next</w:t>
      </w:r>
      <w:r>
        <w:noBreakHyphen/>
        <w:t>generation sequencing (</w:t>
      </w:r>
      <w:r w:rsidRPr="00FB5EFC">
        <w:t>NGS</w:t>
      </w:r>
      <w:r>
        <w:t>)</w:t>
      </w:r>
      <w:r w:rsidRPr="00FB5EFC">
        <w:t xml:space="preserve"> panels</w:t>
      </w:r>
      <w:r>
        <w:t xml:space="preserve">, as stated in the application. MSAC noted that some pathology providers use sequential polymerase chain reaction (PCR) testing. MSAC noted that laboratories using NGS will simultaneously test for </w:t>
      </w:r>
      <w:r>
        <w:rPr>
          <w:i/>
        </w:rPr>
        <w:t xml:space="preserve">RAS </w:t>
      </w:r>
      <w:r>
        <w:t xml:space="preserve">and </w:t>
      </w:r>
      <w:r w:rsidRPr="00CD238D">
        <w:rPr>
          <w:i/>
        </w:rPr>
        <w:t>BRAF</w:t>
      </w:r>
      <w:r>
        <w:t xml:space="preserve"> variants whereas laboratories using PCR may first test </w:t>
      </w:r>
      <w:r>
        <w:rPr>
          <w:i/>
        </w:rPr>
        <w:t xml:space="preserve">KRAS </w:t>
      </w:r>
      <w:r>
        <w:t xml:space="preserve">then test for </w:t>
      </w:r>
      <w:r>
        <w:rPr>
          <w:i/>
        </w:rPr>
        <w:t xml:space="preserve">NRAS </w:t>
      </w:r>
      <w:r>
        <w:t xml:space="preserve">and </w:t>
      </w:r>
      <w:r>
        <w:rPr>
          <w:i/>
        </w:rPr>
        <w:t xml:space="preserve">BRAF </w:t>
      </w:r>
      <w:r>
        <w:t xml:space="preserve">V600 if </w:t>
      </w:r>
      <w:r>
        <w:rPr>
          <w:i/>
        </w:rPr>
        <w:t xml:space="preserve">KRAS </w:t>
      </w:r>
      <w:r>
        <w:t>is wild-type.</w:t>
      </w:r>
    </w:p>
    <w:p w14:paraId="0C216C4F" w14:textId="6E85890E" w:rsidR="00F559A1" w:rsidRPr="008F0DBE" w:rsidRDefault="00F559A1" w:rsidP="00D57CBF">
      <w:pPr>
        <w:spacing w:after="240"/>
      </w:pPr>
      <w:r>
        <w:t xml:space="preserve">MSAC noted that no reference </w:t>
      </w:r>
      <w:r w:rsidRPr="003F1580">
        <w:t xml:space="preserve">standard </w:t>
      </w:r>
      <w:r>
        <w:t xml:space="preserve">was presented for detecting the </w:t>
      </w:r>
      <w:r w:rsidRPr="003F1580">
        <w:rPr>
          <w:i/>
          <w:iCs/>
        </w:rPr>
        <w:t>BRAF</w:t>
      </w:r>
      <w:r>
        <w:t xml:space="preserve"> V600E variant, but noted</w:t>
      </w:r>
      <w:r w:rsidRPr="003F1580">
        <w:t xml:space="preserve"> </w:t>
      </w:r>
      <w:r>
        <w:t>that the</w:t>
      </w:r>
      <w:r w:rsidRPr="003F1580">
        <w:t xml:space="preserve"> </w:t>
      </w:r>
      <w:r>
        <w:t>BEACON</w:t>
      </w:r>
      <w:r w:rsidRPr="003F1580">
        <w:t xml:space="preserve"> </w:t>
      </w:r>
      <w:r>
        <w:t>b</w:t>
      </w:r>
      <w:r w:rsidRPr="003F1580">
        <w:t xml:space="preserve">ridging </w:t>
      </w:r>
      <w:r>
        <w:t>s</w:t>
      </w:r>
      <w:r w:rsidRPr="003F1580">
        <w:t xml:space="preserve">tudy </w:t>
      </w:r>
      <w:r w:rsidR="00145E60">
        <w:t xml:space="preserve">between the clinical trial assay and the subsequently marketed assay reported </w:t>
      </w:r>
      <w:r w:rsidR="00F43371">
        <w:t>high</w:t>
      </w:r>
      <w:r w:rsidR="00145E60">
        <w:t xml:space="preserve"> (&gt;99%) </w:t>
      </w:r>
      <w:r w:rsidRPr="003F1580">
        <w:t xml:space="preserve">concordance </w:t>
      </w:r>
      <w:r w:rsidR="00CD238D">
        <w:t xml:space="preserve">and a similar </w:t>
      </w:r>
      <w:r w:rsidR="00C07AB1">
        <w:t xml:space="preserve">prediction of encorafenib’s </w:t>
      </w:r>
      <w:r w:rsidR="00CD238D">
        <w:t>reduction in mortality</w:t>
      </w:r>
      <w:r>
        <w:t>.</w:t>
      </w:r>
      <w:r w:rsidR="00CD238D">
        <w:t xml:space="preserve"> </w:t>
      </w:r>
      <w:r w:rsidR="00145E60">
        <w:t xml:space="preserve">Other analytical </w:t>
      </w:r>
      <w:r w:rsidR="00CD51D2">
        <w:t>concordance</w:t>
      </w:r>
      <w:r w:rsidR="00145E60">
        <w:t xml:space="preserve"> studies across different</w:t>
      </w:r>
      <w:r w:rsidR="00145E60" w:rsidRPr="003F1580">
        <w:t xml:space="preserve"> </w:t>
      </w:r>
      <w:r w:rsidR="00145E60" w:rsidRPr="003F1580">
        <w:rPr>
          <w:i/>
          <w:iCs/>
        </w:rPr>
        <w:t>BRAF</w:t>
      </w:r>
      <w:r w:rsidR="00145E60" w:rsidRPr="003F1580">
        <w:t xml:space="preserve"> testing methodologies </w:t>
      </w:r>
      <w:r w:rsidR="00145E60">
        <w:t xml:space="preserve">reported good </w:t>
      </w:r>
      <w:r w:rsidR="00145E60" w:rsidRPr="003F1580">
        <w:t>(</w:t>
      </w:r>
      <w:r w:rsidR="00145E60">
        <w:t>between &gt;</w:t>
      </w:r>
      <w:r w:rsidR="00145E60" w:rsidRPr="003F1580">
        <w:t>95%</w:t>
      </w:r>
      <w:r w:rsidR="00145E60">
        <w:t xml:space="preserve"> and &gt;99%</w:t>
      </w:r>
      <w:r w:rsidR="00145E60" w:rsidRPr="003F1580">
        <w:t>)</w:t>
      </w:r>
      <w:r w:rsidR="00145E60">
        <w:t xml:space="preserve"> concordance. </w:t>
      </w:r>
      <w:r>
        <w:t xml:space="preserve">MSAC </w:t>
      </w:r>
      <w:r w:rsidR="00C07AB1">
        <w:t xml:space="preserve">therefore </w:t>
      </w:r>
      <w:r>
        <w:t>agreed with the pre-MSAC response that the concordance was high and the lack of a reference standard was not of concern for decision making.</w:t>
      </w:r>
      <w:r w:rsidR="00FB74AC">
        <w:t xml:space="preserve"> MSAC concluded that the item therefore </w:t>
      </w:r>
      <w:r w:rsidR="00EA1DA0">
        <w:t xml:space="preserve">did not need to specify any particular </w:t>
      </w:r>
      <w:r w:rsidR="0006594D">
        <w:t xml:space="preserve">testing </w:t>
      </w:r>
      <w:r w:rsidR="00FB74AC">
        <w:t>methodology.</w:t>
      </w:r>
    </w:p>
    <w:p w14:paraId="610E6004" w14:textId="53EA86F7" w:rsidR="00F559A1" w:rsidRDefault="00F559A1" w:rsidP="00D57CBF">
      <w:pPr>
        <w:spacing w:after="240"/>
      </w:pPr>
      <w:r>
        <w:t>MSAC noted the commentary’s s</w:t>
      </w:r>
      <w:r w:rsidRPr="00805C29">
        <w:t>ensitivity analyses of test accuracy (assuming 5% misclassification as worst</w:t>
      </w:r>
      <w:r>
        <w:t>-</w:t>
      </w:r>
      <w:r w:rsidRPr="00805C29">
        <w:t xml:space="preserve">case scenario) shows </w:t>
      </w:r>
      <w:r>
        <w:t xml:space="preserve">a </w:t>
      </w:r>
      <w:r w:rsidRPr="000A5164">
        <w:t>5.3% increase</w:t>
      </w:r>
      <w:r>
        <w:t xml:space="preserve"> on the incremental cost</w:t>
      </w:r>
      <w:r w:rsidR="00E2304B">
        <w:noBreakHyphen/>
      </w:r>
      <w:r>
        <w:t>effectiveness ratio (ICER)</w:t>
      </w:r>
      <w:r w:rsidR="00C07AB1">
        <w:t>.</w:t>
      </w:r>
      <w:r>
        <w:t xml:space="preserve"> MSAC </w:t>
      </w:r>
      <w:r w:rsidR="00C07AB1">
        <w:t xml:space="preserve">considered this </w:t>
      </w:r>
      <w:r>
        <w:t xml:space="preserve">to </w:t>
      </w:r>
      <w:r w:rsidR="00C07AB1">
        <w:t>support the value of the accuracy of the test</w:t>
      </w:r>
      <w:r>
        <w:t>.</w:t>
      </w:r>
    </w:p>
    <w:p w14:paraId="628DCA74" w14:textId="162DBF0F" w:rsidR="00FB74AC" w:rsidRPr="00A847E8" w:rsidRDefault="00FB74AC" w:rsidP="00FB74AC">
      <w:pPr>
        <w:spacing w:after="240"/>
        <w:rPr>
          <w:sz w:val="22"/>
          <w:szCs w:val="18"/>
        </w:rPr>
      </w:pPr>
      <w:r>
        <w:t xml:space="preserve">MSAC noted advice from the </w:t>
      </w:r>
      <w:r w:rsidRPr="00596E7B">
        <w:t>National Pathology Accredit</w:t>
      </w:r>
      <w:r>
        <w:t xml:space="preserve">ation Advisory Council (NPAAC) that </w:t>
      </w:r>
      <w:r>
        <w:rPr>
          <w:i/>
        </w:rPr>
        <w:t xml:space="preserve">BRAF </w:t>
      </w:r>
      <w:r>
        <w:t xml:space="preserve">testing is established with a quality assurance program (QAP) provided through the </w:t>
      </w:r>
      <w:r w:rsidRPr="00A847E8">
        <w:t>Royal College of Pathologists of Australasia</w:t>
      </w:r>
      <w:r>
        <w:t xml:space="preserve"> (RCPA). MSAC noted that the RCPA was proposing to include </w:t>
      </w:r>
      <w:r>
        <w:rPr>
          <w:i/>
        </w:rPr>
        <w:t xml:space="preserve">BRAF </w:t>
      </w:r>
      <w:r>
        <w:t>V600 testing in its existing colorectal cancer QAP.</w:t>
      </w:r>
    </w:p>
    <w:p w14:paraId="7F8655FC" w14:textId="0C398A59" w:rsidR="00F559A1" w:rsidRDefault="00946334" w:rsidP="00C07AB1">
      <w:pPr>
        <w:pStyle w:val="NormalBeforeBullet"/>
        <w:keepNext w:val="0"/>
        <w:spacing w:after="240"/>
      </w:pPr>
      <w:r>
        <w:t>MSAC noted that i</w:t>
      </w:r>
      <w:r w:rsidRPr="00805C29">
        <w:t xml:space="preserve">ncluding the requirement for </w:t>
      </w:r>
      <w:r w:rsidRPr="00805C29">
        <w:rPr>
          <w:i/>
          <w:iCs/>
        </w:rPr>
        <w:t>BRAF</w:t>
      </w:r>
      <w:r w:rsidRPr="00805C29">
        <w:t xml:space="preserve"> testing is not proposed to change the cost of current </w:t>
      </w:r>
      <w:r w:rsidRPr="00805C29">
        <w:rPr>
          <w:i/>
          <w:iCs/>
        </w:rPr>
        <w:t>RAS</w:t>
      </w:r>
      <w:r w:rsidRPr="00805C29">
        <w:t xml:space="preserve"> testing or its utili</w:t>
      </w:r>
      <w:r>
        <w:t>s</w:t>
      </w:r>
      <w:r w:rsidRPr="00805C29">
        <w:t>ation</w:t>
      </w:r>
      <w:r>
        <w:t xml:space="preserve">, with no increased cost to the MBS. MSAC considered whether individual laboratories would increase their fees if </w:t>
      </w:r>
      <w:r w:rsidRPr="0094052D">
        <w:rPr>
          <w:i/>
          <w:iCs/>
        </w:rPr>
        <w:t>BRAF</w:t>
      </w:r>
      <w:r>
        <w:t xml:space="preserve"> was included and thus result in out-of-pocket costs, but found no evidence to support this.</w:t>
      </w:r>
      <w:r w:rsidR="000765F6">
        <w:t xml:space="preserve"> </w:t>
      </w:r>
      <w:r w:rsidR="008F0DBE">
        <w:t>MSAC considered that repeat testing should not be restricted as repeat testing using a different method may be needed for a small number of cases with indeterminate results. MSAC noted that 3% of patients accessing item 73338 between 2014</w:t>
      </w:r>
      <w:r w:rsidR="00E2304B">
        <w:t xml:space="preserve"> and </w:t>
      </w:r>
      <w:r w:rsidR="008F0DBE">
        <w:t xml:space="preserve">2017 received two or more services. </w:t>
      </w:r>
      <w:r w:rsidR="00CD51D2">
        <w:t xml:space="preserve">MSAC </w:t>
      </w:r>
      <w:r w:rsidR="00EA1DA0">
        <w:t>considered</w:t>
      </w:r>
      <w:r w:rsidR="00CD51D2">
        <w:t xml:space="preserve"> that t</w:t>
      </w:r>
      <w:r w:rsidR="00D70D0A">
        <w:t>he</w:t>
      </w:r>
      <w:r w:rsidR="00C97731">
        <w:t xml:space="preserve"> proposed item descriptor </w:t>
      </w:r>
      <w:r w:rsidR="00CD51D2">
        <w:t xml:space="preserve">would </w:t>
      </w:r>
      <w:r w:rsidR="00C97731">
        <w:t xml:space="preserve">require </w:t>
      </w:r>
      <w:r w:rsidR="00E2304B">
        <w:t xml:space="preserve">the requesting </w:t>
      </w:r>
      <w:r w:rsidR="00C97731">
        <w:t>clinician to make another request</w:t>
      </w:r>
      <w:r w:rsidR="00CD51D2">
        <w:t xml:space="preserve"> and </w:t>
      </w:r>
      <w:r w:rsidR="00C97731">
        <w:t xml:space="preserve">did not consider </w:t>
      </w:r>
      <w:r w:rsidR="00D70D0A">
        <w:t xml:space="preserve">this </w:t>
      </w:r>
      <w:r w:rsidR="00CD51D2">
        <w:t xml:space="preserve">to be </w:t>
      </w:r>
      <w:r w:rsidR="00D70D0A">
        <w:t>necessary.</w:t>
      </w:r>
      <w:r w:rsidR="00C97731">
        <w:t xml:space="preserve"> </w:t>
      </w:r>
      <w:r w:rsidR="00EA1DA0">
        <w:t xml:space="preserve">Overall, </w:t>
      </w:r>
      <w:r w:rsidR="00F559A1">
        <w:t xml:space="preserve">MSAC supported funding </w:t>
      </w:r>
      <w:r w:rsidR="00F559A1" w:rsidRPr="00754E3F">
        <w:rPr>
          <w:i/>
          <w:iCs/>
        </w:rPr>
        <w:t>BRAF</w:t>
      </w:r>
      <w:r w:rsidR="00F559A1">
        <w:t xml:space="preserve"> V600 testing</w:t>
      </w:r>
      <w:r w:rsidR="00EA1DA0">
        <w:t xml:space="preserve"> in mCRC</w:t>
      </w:r>
      <w:r w:rsidR="00F559A1">
        <w:t xml:space="preserve">, subject to the following </w:t>
      </w:r>
      <w:r w:rsidR="00CD51D2">
        <w:t xml:space="preserve">item </w:t>
      </w:r>
      <w:r w:rsidR="00F559A1">
        <w:t xml:space="preserve">descriptor changes </w:t>
      </w:r>
      <w:r w:rsidR="00CD51D2">
        <w:t xml:space="preserve">to the </w:t>
      </w:r>
      <w:r w:rsidR="00F559A1">
        <w:t>current MBS item 73338</w:t>
      </w:r>
      <w:r w:rsidR="00981AC6">
        <w:t xml:space="preserve"> </w:t>
      </w:r>
      <w:r w:rsidR="00981AC6" w:rsidRPr="00CD51D2">
        <w:t>(</w:t>
      </w:r>
      <w:r w:rsidR="00CD51D2">
        <w:t xml:space="preserve">after point 1b and </w:t>
      </w:r>
      <w:r w:rsidR="00981AC6" w:rsidRPr="00C07AB1">
        <w:rPr>
          <w:i/>
        </w:rPr>
        <w:t>in italics</w:t>
      </w:r>
      <w:r w:rsidR="00981AC6" w:rsidRPr="00CD51D2">
        <w:t>)</w:t>
      </w:r>
      <w:r w:rsidR="00F559A1">
        <w:t>:</w:t>
      </w:r>
    </w:p>
    <w:p w14:paraId="325400D2" w14:textId="37E415B0" w:rsidR="00CA49DE" w:rsidRDefault="00981AC6" w:rsidP="00C07AB1">
      <w:pPr>
        <w:pStyle w:val="NormalBeforeBullet"/>
        <w:keepNext w:val="0"/>
        <w:spacing w:after="240"/>
      </w:pPr>
      <w:r w:rsidRPr="00981AC6">
        <w:lastRenderedPageBreak/>
        <w:t>A test of tumour tissue from a patient with metastatic colorectal cancer (stage IV), requested by a specialist or consultant physician, to determine if:</w:t>
      </w:r>
    </w:p>
    <w:p w14:paraId="4420E438" w14:textId="73A78FAC" w:rsidR="00981AC6" w:rsidRDefault="00981AC6" w:rsidP="00C07AB1">
      <w:pPr>
        <w:pStyle w:val="NormalBeforeBullet"/>
        <w:keepNext w:val="0"/>
        <w:numPr>
          <w:ilvl w:val="0"/>
          <w:numId w:val="32"/>
        </w:numPr>
        <w:spacing w:after="240"/>
        <w:ind w:left="357" w:hanging="357"/>
      </w:pPr>
      <w:r w:rsidRPr="00981AC6">
        <w:t>requirements relating to rat sarcoma oncogene (RAS) gene variant status for access to cetuximab or panitumumab under the Pharmaceutical Benefits Scheme (PBS) are fulfilled, if:</w:t>
      </w:r>
    </w:p>
    <w:p w14:paraId="65B7C5F0" w14:textId="77777777" w:rsidR="00981AC6" w:rsidRPr="00981AC6" w:rsidRDefault="00981AC6" w:rsidP="00981AC6">
      <w:pPr>
        <w:pStyle w:val="ListParagraph"/>
        <w:numPr>
          <w:ilvl w:val="1"/>
          <w:numId w:val="32"/>
        </w:numPr>
        <w:rPr>
          <w:color w:val="000000"/>
        </w:rPr>
      </w:pPr>
      <w:r w:rsidRPr="00981AC6">
        <w:rPr>
          <w:color w:val="000000"/>
        </w:rPr>
        <w:t>the test is conducted for all clinically-relevant variants on KRAS exons 2, 3 and 4, and NRAS exons 2, 3, and 4; or</w:t>
      </w:r>
    </w:p>
    <w:p w14:paraId="0E8E8F4B" w14:textId="37ECF75F" w:rsidR="00981AC6" w:rsidRPr="00981AC6" w:rsidRDefault="00981AC6" w:rsidP="00C07AB1">
      <w:pPr>
        <w:pStyle w:val="ListParagraph"/>
        <w:numPr>
          <w:ilvl w:val="1"/>
          <w:numId w:val="32"/>
        </w:numPr>
      </w:pPr>
      <w:r w:rsidRPr="00981AC6">
        <w:rPr>
          <w:color w:val="000000"/>
        </w:rPr>
        <w:t>a clinically-relevant RAS variant is</w:t>
      </w:r>
      <w:r w:rsidR="003235DE">
        <w:rPr>
          <w:color w:val="000000"/>
        </w:rPr>
        <w:t xml:space="preserve"> </w:t>
      </w:r>
      <w:r w:rsidR="00196E93">
        <w:rPr>
          <w:color w:val="000000"/>
        </w:rPr>
        <w:t>detected</w:t>
      </w:r>
      <w:r w:rsidRPr="00981AC6">
        <w:rPr>
          <w:color w:val="000000"/>
        </w:rPr>
        <w:t>;</w:t>
      </w:r>
    </w:p>
    <w:p w14:paraId="5F9DB143" w14:textId="370E7654" w:rsidR="00F559A1" w:rsidRPr="00C07AB1" w:rsidRDefault="00F559A1" w:rsidP="0054469D">
      <w:pPr>
        <w:spacing w:before="240" w:after="240"/>
        <w:rPr>
          <w:i/>
          <w:szCs w:val="24"/>
        </w:rPr>
      </w:pPr>
      <w:r w:rsidRPr="00C07AB1">
        <w:rPr>
          <w:i/>
          <w:szCs w:val="24"/>
        </w:rPr>
        <w:t xml:space="preserve">… and, in cases where no </w:t>
      </w:r>
      <w:r w:rsidRPr="00C07AB1">
        <w:rPr>
          <w:i/>
          <w:iCs/>
          <w:szCs w:val="24"/>
        </w:rPr>
        <w:t>RAS</w:t>
      </w:r>
      <w:r w:rsidRPr="00C07AB1">
        <w:rPr>
          <w:i/>
          <w:szCs w:val="24"/>
        </w:rPr>
        <w:t xml:space="preserve"> </w:t>
      </w:r>
      <w:r w:rsidR="00BF02F5">
        <w:rPr>
          <w:i/>
          <w:szCs w:val="24"/>
        </w:rPr>
        <w:t>variant</w:t>
      </w:r>
      <w:r w:rsidRPr="00C07AB1">
        <w:rPr>
          <w:i/>
          <w:szCs w:val="24"/>
        </w:rPr>
        <w:t xml:space="preserve"> is detected</w:t>
      </w:r>
    </w:p>
    <w:p w14:paraId="3FA635FA" w14:textId="40DE479D" w:rsidR="00F559A1" w:rsidRPr="00C07AB1" w:rsidRDefault="00196E93" w:rsidP="00C07AB1">
      <w:pPr>
        <w:pStyle w:val="ListParagraph"/>
        <w:numPr>
          <w:ilvl w:val="0"/>
          <w:numId w:val="32"/>
        </w:numPr>
        <w:spacing w:after="240"/>
        <w:rPr>
          <w:i/>
          <w:szCs w:val="24"/>
        </w:rPr>
      </w:pPr>
      <w:r>
        <w:rPr>
          <w:i/>
          <w:szCs w:val="24"/>
        </w:rPr>
        <w:t xml:space="preserve">the </w:t>
      </w:r>
      <w:r w:rsidR="00F559A1" w:rsidRPr="00C07AB1">
        <w:rPr>
          <w:i/>
          <w:szCs w:val="24"/>
        </w:rPr>
        <w:t xml:space="preserve">requirements relating to </w:t>
      </w:r>
      <w:r w:rsidR="00F559A1" w:rsidRPr="00C07AB1">
        <w:rPr>
          <w:i/>
          <w:iCs/>
          <w:szCs w:val="24"/>
        </w:rPr>
        <w:t>BRAF</w:t>
      </w:r>
      <w:r w:rsidR="00F559A1" w:rsidRPr="00C07AB1">
        <w:rPr>
          <w:i/>
          <w:szCs w:val="24"/>
        </w:rPr>
        <w:t xml:space="preserve"> V600 gene variant status for access to encorafenib under the Pharmaceutical Benefits Scheme (PBS) are fulfilled.</w:t>
      </w:r>
    </w:p>
    <w:p w14:paraId="66717B1B" w14:textId="1A4968B0" w:rsidR="00C07AB1" w:rsidRDefault="00F559A1" w:rsidP="00C07AB1">
      <w:pPr>
        <w:spacing w:after="240"/>
        <w:rPr>
          <w:i/>
          <w:szCs w:val="24"/>
        </w:rPr>
      </w:pPr>
      <w:r>
        <w:t xml:space="preserve">MSAC’s support is also subject to TGA </w:t>
      </w:r>
      <w:r w:rsidRPr="00754E3F">
        <w:t>approval and PBAC support for listing</w:t>
      </w:r>
      <w:r w:rsidR="003D3EDF">
        <w:t xml:space="preserve"> encorafenib</w:t>
      </w:r>
      <w:r>
        <w:t>.</w:t>
      </w:r>
    </w:p>
    <w:p w14:paraId="0B29FEAE" w14:textId="77777777" w:rsidR="00BC1364" w:rsidRPr="00F715D1" w:rsidRDefault="00BC1364" w:rsidP="00F715D1">
      <w:pPr>
        <w:pStyle w:val="Heading1"/>
      </w:pPr>
      <w:r w:rsidRPr="00F715D1">
        <w:t>Background</w:t>
      </w:r>
    </w:p>
    <w:p w14:paraId="651C1F7E" w14:textId="56FAE630" w:rsidR="00656CCF" w:rsidRPr="00ED0409" w:rsidRDefault="00656CCF" w:rsidP="00656CCF">
      <w:r w:rsidRPr="00ED0409">
        <w:t xml:space="preserve">The MSAC has not previously considered </w:t>
      </w:r>
      <w:r w:rsidRPr="00ED0409">
        <w:rPr>
          <w:i/>
        </w:rPr>
        <w:t xml:space="preserve">BRAF </w:t>
      </w:r>
      <w:r w:rsidR="00965823" w:rsidRPr="00965823">
        <w:t>V600E</w:t>
      </w:r>
      <w:r w:rsidRPr="00ED0409">
        <w:t xml:space="preserve"> testing for access to encorafenib for mCRC. The ADAR (p19) noted that within pathogenic BRAF-variants in mCRC, </w:t>
      </w:r>
      <w:r w:rsidRPr="00802A07">
        <w:rPr>
          <w:i/>
        </w:rPr>
        <w:t xml:space="preserve">BRAF </w:t>
      </w:r>
      <w:r w:rsidR="00965823" w:rsidRPr="00965823">
        <w:t>V600E</w:t>
      </w:r>
      <w:r w:rsidRPr="00ED0409">
        <w:t xml:space="preserve"> accounts for more than 90% (Luu and Price, 2019)</w:t>
      </w:r>
      <w:r w:rsidRPr="00ED0409">
        <w:rPr>
          <w:vertAlign w:val="superscript"/>
        </w:rPr>
        <w:footnoteReference w:id="4"/>
      </w:r>
      <w:r w:rsidRPr="00ED0409">
        <w:t>.</w:t>
      </w:r>
    </w:p>
    <w:p w14:paraId="02F10D27" w14:textId="77777777" w:rsidR="00656CCF" w:rsidRPr="00ED0409" w:rsidRDefault="00656CCF" w:rsidP="00656CCF">
      <w:pPr>
        <w:keepNext/>
        <w:keepLines/>
        <w:spacing w:before="200"/>
        <w:outlineLvl w:val="1"/>
        <w:rPr>
          <w:bCs/>
          <w:i/>
          <w:szCs w:val="26"/>
        </w:rPr>
      </w:pPr>
      <w:r w:rsidRPr="00ED0409">
        <w:rPr>
          <w:bCs/>
          <w:i/>
          <w:szCs w:val="26"/>
        </w:rPr>
        <w:t>Application 1543</w:t>
      </w:r>
    </w:p>
    <w:p w14:paraId="7492459D" w14:textId="77E8A920" w:rsidR="00656CCF" w:rsidRPr="00ED0409" w:rsidRDefault="00656CCF" w:rsidP="00656CCF">
      <w:r w:rsidRPr="00ED0409">
        <w:rPr>
          <w:i/>
        </w:rPr>
        <w:t xml:space="preserve">BRAF </w:t>
      </w:r>
      <w:r w:rsidRPr="007C3B31">
        <w:t>V600</w:t>
      </w:r>
      <w:r w:rsidRPr="00ED0409">
        <w:t xml:space="preserve"> testing is currently MBS listed via MBS item 73336 as a means of determining eligibility for PBS</w:t>
      </w:r>
      <w:r w:rsidR="0041748B">
        <w:t>-</w:t>
      </w:r>
      <w:r w:rsidRPr="00ED0409">
        <w:t xml:space="preserve">listed encorafenib for the treatment of patients with metastatic melanoma. The COLUMBUS trial, considered by MSAC in its </w:t>
      </w:r>
      <w:r w:rsidR="0041748B">
        <w:t xml:space="preserve">November 2018 </w:t>
      </w:r>
      <w:r w:rsidRPr="00ED0409">
        <w:t xml:space="preserve">consideration of </w:t>
      </w:r>
      <w:r w:rsidRPr="00ED0409">
        <w:rPr>
          <w:i/>
        </w:rPr>
        <w:t xml:space="preserve">BRAF </w:t>
      </w:r>
      <w:r w:rsidRPr="007C3B31">
        <w:t>V600</w:t>
      </w:r>
      <w:r w:rsidRPr="00965823">
        <w:t xml:space="preserve"> </w:t>
      </w:r>
      <w:r w:rsidRPr="00ED0409">
        <w:t xml:space="preserve">testing to determine eligibility for encorafenib in metastatic melanoma, used the BioMerieux THxIDTM BRAF diagnostic test that can identify both </w:t>
      </w:r>
      <w:r w:rsidRPr="00ED0409">
        <w:rPr>
          <w:i/>
        </w:rPr>
        <w:t xml:space="preserve">BRAF </w:t>
      </w:r>
      <w:r w:rsidR="00965823" w:rsidRPr="00965823">
        <w:t>V600E</w:t>
      </w:r>
      <w:r w:rsidRPr="00ED0409">
        <w:rPr>
          <w:i/>
        </w:rPr>
        <w:t xml:space="preserve"> </w:t>
      </w:r>
      <w:r w:rsidRPr="00ED0409">
        <w:t xml:space="preserve">and </w:t>
      </w:r>
      <w:r w:rsidR="00965823" w:rsidRPr="00965823">
        <w:t>V600K</w:t>
      </w:r>
      <w:r w:rsidRPr="00ED0409">
        <w:t xml:space="preserve"> gene </w:t>
      </w:r>
      <w:r w:rsidR="00BF02F5">
        <w:t>variants</w:t>
      </w:r>
      <w:r w:rsidRPr="00ED0409">
        <w:t xml:space="preserve"> to select patients eligible for the study (</w:t>
      </w:r>
      <w:hyperlink r:id="rId10" w:history="1">
        <w:r w:rsidRPr="00ED0409">
          <w:rPr>
            <w:color w:val="0000FF"/>
            <w:szCs w:val="24"/>
            <w:u w:val="single"/>
          </w:rPr>
          <w:t>Public Summary Document [PSD] Application No. 1543</w:t>
        </w:r>
      </w:hyperlink>
      <w:r w:rsidRPr="00ED0409">
        <w:rPr>
          <w:szCs w:val="24"/>
        </w:rPr>
        <w:t>, p3).</w:t>
      </w:r>
    </w:p>
    <w:p w14:paraId="2A859DF0" w14:textId="77777777" w:rsidR="00656CCF" w:rsidRPr="00ED0409" w:rsidRDefault="00656CCF" w:rsidP="00656CCF">
      <w:pPr>
        <w:keepNext/>
        <w:keepLines/>
        <w:spacing w:before="200"/>
        <w:outlineLvl w:val="1"/>
        <w:rPr>
          <w:bCs/>
          <w:i/>
          <w:szCs w:val="26"/>
        </w:rPr>
      </w:pPr>
      <w:r w:rsidRPr="00ED0409">
        <w:rPr>
          <w:bCs/>
          <w:i/>
          <w:szCs w:val="26"/>
        </w:rPr>
        <w:t>Application 1207</w:t>
      </w:r>
    </w:p>
    <w:p w14:paraId="6308BB01" w14:textId="33AD2CC8" w:rsidR="00656CCF" w:rsidRPr="00ED0409" w:rsidRDefault="0041748B" w:rsidP="00656CCF">
      <w:pPr>
        <w:tabs>
          <w:tab w:val="left" w:pos="2028"/>
        </w:tabs>
      </w:pPr>
      <w:r>
        <w:t>In</w:t>
      </w:r>
      <w:r w:rsidR="00656CCF" w:rsidRPr="00ED0409">
        <w:t xml:space="preserve"> April 2013, MSAC considered </w:t>
      </w:r>
      <w:r w:rsidR="00656CCF" w:rsidRPr="00ED0409">
        <w:rPr>
          <w:i/>
        </w:rPr>
        <w:t xml:space="preserve">BRAF </w:t>
      </w:r>
      <w:r w:rsidR="00656CCF" w:rsidRPr="007C3B31">
        <w:t>V600</w:t>
      </w:r>
      <w:r w:rsidR="00656CCF" w:rsidRPr="00965823">
        <w:t xml:space="preserve"> </w:t>
      </w:r>
      <w:r w:rsidR="00656CCF" w:rsidRPr="00ED0409">
        <w:t>testing for locally advanced or metastatic melanoma to determine eligibility for dabrafenib treatment. The submission presented</w:t>
      </w:r>
      <w:r>
        <w:t xml:space="preserve"> response rates from the single-</w:t>
      </w:r>
      <w:r w:rsidR="00656CCF" w:rsidRPr="00ED0409">
        <w:t>arm Phase II BREAK-2 study. It stated these results provide evidence that patients whose tumours harbour non-</w:t>
      </w:r>
      <w:r w:rsidR="00965823" w:rsidRPr="00965823">
        <w:t>V600E</w:t>
      </w:r>
      <w:r w:rsidR="00656CCF" w:rsidRPr="00ED0409">
        <w:t xml:space="preserve"> (including </w:t>
      </w:r>
      <w:r w:rsidR="00656CCF" w:rsidRPr="00ED0409">
        <w:rPr>
          <w:i/>
        </w:rPr>
        <w:t xml:space="preserve">BRAF </w:t>
      </w:r>
      <w:r w:rsidR="00965823" w:rsidRPr="00965823">
        <w:t>V600K</w:t>
      </w:r>
      <w:r w:rsidR="00656CCF" w:rsidRPr="00ED0409">
        <w:t xml:space="preserve">) mutations derive clinical benefit from dabrafenib consistent with that observed in patients with </w:t>
      </w:r>
      <w:r w:rsidR="00656CCF" w:rsidRPr="00ED0409">
        <w:rPr>
          <w:i/>
        </w:rPr>
        <w:t xml:space="preserve">BRAF </w:t>
      </w:r>
      <w:r w:rsidR="00965823" w:rsidRPr="00965823">
        <w:t>V600E</w:t>
      </w:r>
      <w:r w:rsidR="00656CCF" w:rsidRPr="00ED0409">
        <w:t>-</w:t>
      </w:r>
      <w:r w:rsidR="00656CCF">
        <w:t>positive</w:t>
      </w:r>
      <w:r w:rsidR="00656CCF" w:rsidRPr="00ED0409">
        <w:t xml:space="preserve"> melanomas (</w:t>
      </w:r>
      <w:hyperlink r:id="rId11" w:history="1">
        <w:r w:rsidR="00656CCF" w:rsidRPr="00ED0409">
          <w:rPr>
            <w:color w:val="0000FF"/>
            <w:u w:val="single"/>
          </w:rPr>
          <w:t>PSD Application 1207</w:t>
        </w:r>
      </w:hyperlink>
      <w:r w:rsidR="00656CCF" w:rsidRPr="00ED0409">
        <w:t xml:space="preserve">, p4). The </w:t>
      </w:r>
      <w:r w:rsidR="00656CCF">
        <w:t xml:space="preserve">eligible population </w:t>
      </w:r>
      <w:r w:rsidR="00656CCF" w:rsidRPr="00ED0409">
        <w:t xml:space="preserve">for the BREAK-3 trial was limited to those with </w:t>
      </w:r>
      <w:r w:rsidR="00656CCF" w:rsidRPr="00ED0409">
        <w:rPr>
          <w:i/>
        </w:rPr>
        <w:t xml:space="preserve">BRAF </w:t>
      </w:r>
      <w:r w:rsidR="00965823" w:rsidRPr="00965823">
        <w:t>V600E</w:t>
      </w:r>
      <w:r w:rsidR="00656CCF">
        <w:t>-</w:t>
      </w:r>
      <w:r w:rsidR="00656CCF" w:rsidRPr="00ED0409">
        <w:t>positive melanoma (</w:t>
      </w:r>
      <w:hyperlink r:id="rId12" w:history="1">
        <w:r w:rsidR="00656CCF" w:rsidRPr="00ED0409">
          <w:rPr>
            <w:color w:val="0000FF"/>
            <w:u w:val="single"/>
          </w:rPr>
          <w:t>PSD Application 1207</w:t>
        </w:r>
      </w:hyperlink>
      <w:r w:rsidR="00656CCF" w:rsidRPr="00ED0409">
        <w:t>, p4-5).</w:t>
      </w:r>
    </w:p>
    <w:p w14:paraId="60FB05C1" w14:textId="77777777" w:rsidR="00656CCF" w:rsidRPr="00ED0409" w:rsidRDefault="00656CCF" w:rsidP="00656CCF">
      <w:pPr>
        <w:keepNext/>
        <w:keepLines/>
        <w:spacing w:before="200"/>
        <w:outlineLvl w:val="1"/>
        <w:rPr>
          <w:bCs/>
          <w:i/>
          <w:szCs w:val="26"/>
        </w:rPr>
      </w:pPr>
      <w:r w:rsidRPr="00ED0409">
        <w:rPr>
          <w:bCs/>
          <w:i/>
          <w:szCs w:val="26"/>
        </w:rPr>
        <w:t>Application 1172</w:t>
      </w:r>
    </w:p>
    <w:p w14:paraId="1918A8A3" w14:textId="6D1DAE9F" w:rsidR="00656CCF" w:rsidRPr="00ED0409" w:rsidRDefault="00656CCF" w:rsidP="00656CCF">
      <w:pPr>
        <w:tabs>
          <w:tab w:val="left" w:pos="2028"/>
        </w:tabs>
      </w:pPr>
      <w:r w:rsidRPr="00ED0409">
        <w:t xml:space="preserve">In August 2012, MSAC considered application 1172 for </w:t>
      </w:r>
      <w:r w:rsidRPr="009C1970">
        <w:rPr>
          <w:i/>
        </w:rPr>
        <w:t>BRAF</w:t>
      </w:r>
      <w:r w:rsidRPr="00ED0409">
        <w:t xml:space="preserve"> testing in patients with unresectable stage III or</w:t>
      </w:r>
      <w:r>
        <w:t xml:space="preserve"> metastatic stage IV melanoma </w:t>
      </w:r>
      <w:r w:rsidRPr="00ED0409">
        <w:t xml:space="preserve">to determine eligibility for </w:t>
      </w:r>
      <w:r>
        <w:t>vemu</w:t>
      </w:r>
      <w:r w:rsidRPr="00ED0409">
        <w:t>rafenib treatment</w:t>
      </w:r>
      <w:r>
        <w:t xml:space="preserve">. </w:t>
      </w:r>
      <w:r w:rsidRPr="00ED0409">
        <w:t xml:space="preserve">MSAC discussed whether the definition of the biomarker should be limited to </w:t>
      </w:r>
      <w:r w:rsidR="00965823" w:rsidRPr="00965823">
        <w:t>V600E</w:t>
      </w:r>
      <w:r w:rsidRPr="00ED0409">
        <w:t xml:space="preserve"> mutations (as prespecified for BRIM3), to </w:t>
      </w:r>
      <w:r w:rsidR="00965823" w:rsidRPr="00965823">
        <w:t>V600E</w:t>
      </w:r>
      <w:r w:rsidRPr="00ED0409">
        <w:t xml:space="preserve"> or </w:t>
      </w:r>
      <w:r w:rsidR="00965823" w:rsidRPr="00965823">
        <w:t>V600K</w:t>
      </w:r>
      <w:r w:rsidRPr="00ED0409">
        <w:t xml:space="preserve"> mutations (noting that BRIM3 also randomised participants with </w:t>
      </w:r>
      <w:r w:rsidR="00965823" w:rsidRPr="00965823">
        <w:t>V600K</w:t>
      </w:r>
      <w:r w:rsidRPr="00ED0409">
        <w:t xml:space="preserve"> mutations – because the Cobas 4800 assay used in BRIM3 trial has some cross reactivity with </w:t>
      </w:r>
      <w:r w:rsidR="00965823" w:rsidRPr="00965823">
        <w:t>V600K</w:t>
      </w:r>
      <w:r w:rsidRPr="00ED0409">
        <w:t xml:space="preserve"> – and reported results for this subgroup), or to any </w:t>
      </w:r>
      <w:r w:rsidRPr="007C3B31">
        <w:t>V600</w:t>
      </w:r>
      <w:r w:rsidRPr="00965823">
        <w:t xml:space="preserve"> </w:t>
      </w:r>
      <w:r w:rsidRPr="00ED0409">
        <w:t xml:space="preserve">mutation. MSAC noted that the limited prevalence data </w:t>
      </w:r>
      <w:r w:rsidRPr="00ED0409">
        <w:lastRenderedPageBreak/>
        <w:t>available suggest</w:t>
      </w:r>
      <w:r w:rsidR="00206DA9">
        <w:t>ed</w:t>
      </w:r>
      <w:r w:rsidRPr="00ED0409">
        <w:t xml:space="preserve"> that </w:t>
      </w:r>
      <w:r w:rsidR="00965823" w:rsidRPr="00965823">
        <w:t>V600K</w:t>
      </w:r>
      <w:r w:rsidRPr="00ED0409">
        <w:t xml:space="preserve"> may be more prevalent in Australia than in BRIM3 and that this might be explained by the exclusion of patients with brain metastases from BRIM3 and the greater rate of melanoma associated with sun exposure in Australia (</w:t>
      </w:r>
      <w:hyperlink r:id="rId13" w:history="1">
        <w:r w:rsidRPr="00ED0409">
          <w:rPr>
            <w:color w:val="0000FF"/>
            <w:u w:val="single"/>
          </w:rPr>
          <w:t>PSD Application 1172</w:t>
        </w:r>
      </w:hyperlink>
      <w:r>
        <w:t>, p9).</w:t>
      </w:r>
    </w:p>
    <w:p w14:paraId="3E8AD4A6" w14:textId="4388A21B" w:rsidR="00656CCF" w:rsidRPr="00ED0409" w:rsidRDefault="00656CCF" w:rsidP="0054469D">
      <w:pPr>
        <w:tabs>
          <w:tab w:val="left" w:pos="2028"/>
        </w:tabs>
        <w:spacing w:before="240"/>
      </w:pPr>
      <w:r w:rsidRPr="00ED0409">
        <w:t>In the context of a more general set of issues to be considered when judging the optimal</w:t>
      </w:r>
      <w:r>
        <w:t xml:space="preserve"> </w:t>
      </w:r>
      <w:r w:rsidRPr="00ED0409">
        <w:t xml:space="preserve">definition of the biomarker as </w:t>
      </w:r>
      <w:r>
        <w:t xml:space="preserve">had been </w:t>
      </w:r>
      <w:r w:rsidRPr="00ED0409">
        <w:t xml:space="preserve">recorded in its deliberations relating to </w:t>
      </w:r>
      <w:hyperlink r:id="rId14" w:history="1">
        <w:r w:rsidRPr="00ED0409">
          <w:rPr>
            <w:color w:val="0000FF"/>
            <w:u w:val="single"/>
          </w:rPr>
          <w:t>application 1173</w:t>
        </w:r>
      </w:hyperlink>
      <w:r>
        <w:rPr>
          <w:color w:val="0000FF"/>
          <w:u w:val="single"/>
        </w:rPr>
        <w:t xml:space="preserve"> </w:t>
      </w:r>
      <w:r w:rsidRPr="00ED0409">
        <w:t>(</w:t>
      </w:r>
      <w:r w:rsidRPr="009C1970">
        <w:rPr>
          <w:i/>
        </w:rPr>
        <w:t>EGFR</w:t>
      </w:r>
      <w:r w:rsidRPr="00ED0409">
        <w:t xml:space="preserve"> testing to support first-line erlotinib), MSAC advised that the biomarker be defined</w:t>
      </w:r>
      <w:r>
        <w:t xml:space="preserve"> </w:t>
      </w:r>
      <w:r w:rsidRPr="00ED0409">
        <w:t>simply as “</w:t>
      </w:r>
      <w:r w:rsidRPr="00ED0409">
        <w:rPr>
          <w:i/>
        </w:rPr>
        <w:t xml:space="preserve">BRAF </w:t>
      </w:r>
      <w:r w:rsidRPr="007C3B31">
        <w:t>V600</w:t>
      </w:r>
      <w:r w:rsidRPr="00965823">
        <w:t xml:space="preserve"> </w:t>
      </w:r>
      <w:r w:rsidRPr="00ED0409">
        <w:t>mutations”. It based this advice on the non-statistically significant</w:t>
      </w:r>
      <w:r>
        <w:t xml:space="preserve"> </w:t>
      </w:r>
      <w:r w:rsidRPr="00ED0409">
        <w:t>trend towards a greater treatment effect in the exploratory analysis of the 57/675 (8%)</w:t>
      </w:r>
      <w:r>
        <w:t xml:space="preserve"> </w:t>
      </w:r>
      <w:r w:rsidRPr="00ED0409">
        <w:t xml:space="preserve">participants in BRIM3 with </w:t>
      </w:r>
      <w:r w:rsidR="00965823" w:rsidRPr="00965823">
        <w:t>V600K</w:t>
      </w:r>
      <w:r w:rsidRPr="00ED0409">
        <w:t xml:space="preserve"> mutations and the rarity of other </w:t>
      </w:r>
      <w:r w:rsidRPr="007C3B31">
        <w:t>V600</w:t>
      </w:r>
      <w:r w:rsidRPr="00ED0409">
        <w:t xml:space="preserve"> mutations</w:t>
      </w:r>
      <w:r>
        <w:t xml:space="preserve"> </w:t>
      </w:r>
      <w:r w:rsidRPr="00ED0409">
        <w:t>meaning that evidence of harm or benefit cannot be concluded from the 18/675 (3%)</w:t>
      </w:r>
      <w:r>
        <w:t xml:space="preserve"> </w:t>
      </w:r>
      <w:r w:rsidRPr="00ED0409">
        <w:t xml:space="preserve">participants in BRIM3 who had neither a </w:t>
      </w:r>
      <w:r w:rsidR="00965823" w:rsidRPr="00965823">
        <w:t>V600E</w:t>
      </w:r>
      <w:r w:rsidRPr="00ED0409">
        <w:t xml:space="preserve"> nor a </w:t>
      </w:r>
      <w:r w:rsidR="00965823" w:rsidRPr="00965823">
        <w:t>V600K</w:t>
      </w:r>
      <w:r w:rsidRPr="00ED0409">
        <w:t xml:space="preserve"> mutation. In the absence of</w:t>
      </w:r>
      <w:r>
        <w:t xml:space="preserve"> </w:t>
      </w:r>
      <w:r w:rsidRPr="00ED0409">
        <w:t xml:space="preserve">clear clinical utility data for the residual </w:t>
      </w:r>
      <w:r w:rsidRPr="007C3B31">
        <w:t>V600</w:t>
      </w:r>
      <w:r w:rsidRPr="00ED0409">
        <w:t xml:space="preserve"> mutation subtypes, MSAC accepted expert</w:t>
      </w:r>
      <w:r>
        <w:t xml:space="preserve"> </w:t>
      </w:r>
      <w:r w:rsidRPr="00ED0409">
        <w:t xml:space="preserve">advice that there was </w:t>
      </w:r>
      <w:r w:rsidRPr="009C1970">
        <w:rPr>
          <w:i/>
        </w:rPr>
        <w:t>in vitro</w:t>
      </w:r>
      <w:r w:rsidRPr="00ED0409">
        <w:t xml:space="preserve"> data to support a conclusion that the other mutation subtypes</w:t>
      </w:r>
      <w:r>
        <w:t xml:space="preserve"> </w:t>
      </w:r>
      <w:r w:rsidRPr="00ED0409">
        <w:t>also drive melanoma growth, and that a BRAF inhibitor stops this growth. In addition,</w:t>
      </w:r>
      <w:r>
        <w:t xml:space="preserve"> </w:t>
      </w:r>
      <w:r w:rsidRPr="00ED0409">
        <w:t>MSAC accepted that there was a biological argument that these subtypes all have the same</w:t>
      </w:r>
      <w:r>
        <w:t xml:space="preserve"> </w:t>
      </w:r>
      <w:r w:rsidRPr="00ED0409">
        <w:t>functional consequences and simil</w:t>
      </w:r>
      <w:r>
        <w:t>ar three-dimensional structure.</w:t>
      </w:r>
    </w:p>
    <w:p w14:paraId="56EA42FC" w14:textId="5F541B39" w:rsidR="00BC1364" w:rsidRPr="00656CCF" w:rsidRDefault="00656CCF" w:rsidP="0054469D">
      <w:pPr>
        <w:tabs>
          <w:tab w:val="left" w:pos="2028"/>
        </w:tabs>
        <w:spacing w:before="240"/>
      </w:pPr>
      <w:r w:rsidRPr="00ED0409">
        <w:t>MSAC supported the addition of vemurafenib to MBS Item 73336 at its March 2016 meeting (</w:t>
      </w:r>
      <w:hyperlink r:id="rId15" w:history="1">
        <w:r w:rsidRPr="00ED0409">
          <w:rPr>
            <w:color w:val="0000FF"/>
            <w:u w:val="single"/>
          </w:rPr>
          <w:t>PSD Application 1172.1</w:t>
        </w:r>
      </w:hyperlink>
      <w:r w:rsidRPr="00ED0409">
        <w:t>).</w:t>
      </w:r>
    </w:p>
    <w:p w14:paraId="741892E3" w14:textId="77777777" w:rsidR="00BC1364" w:rsidRPr="00F715D1" w:rsidRDefault="00BC1364" w:rsidP="00F715D1">
      <w:pPr>
        <w:pStyle w:val="Heading1"/>
      </w:pPr>
      <w:r w:rsidRPr="00F715D1">
        <w:t>Prerequisites to implementation of any funding advice</w:t>
      </w:r>
    </w:p>
    <w:p w14:paraId="6DC80A65" w14:textId="62C3E90C" w:rsidR="00BC1364" w:rsidRPr="00656CCF" w:rsidRDefault="00656CCF" w:rsidP="00656CCF">
      <w:r w:rsidRPr="00ED0409">
        <w:t xml:space="preserve">The submission stated that no specific test type is requested for </w:t>
      </w:r>
      <w:r w:rsidRPr="00ED0409">
        <w:rPr>
          <w:i/>
        </w:rPr>
        <w:t xml:space="preserve">BRAF </w:t>
      </w:r>
      <w:r w:rsidR="00965823" w:rsidRPr="00965823">
        <w:t>V600E</w:t>
      </w:r>
      <w:r w:rsidRPr="00ED0409">
        <w:t xml:space="preserve"> testing, and that existing testing panel approaches used for MBS item 73338, currently used for the determination of pathogenic genetic variants in mCRC tumours, could be used if they include the </w:t>
      </w:r>
      <w:r w:rsidRPr="00ED0409">
        <w:rPr>
          <w:i/>
        </w:rPr>
        <w:t xml:space="preserve">BRAF </w:t>
      </w:r>
      <w:r w:rsidR="00965823" w:rsidRPr="00965823">
        <w:t>V600E</w:t>
      </w:r>
      <w:r w:rsidRPr="00ED0409">
        <w:t xml:space="preserve"> test. All </w:t>
      </w:r>
      <w:r w:rsidR="00206DA9">
        <w:t xml:space="preserve">MBS-billable </w:t>
      </w:r>
      <w:r w:rsidRPr="00ED0409">
        <w:rPr>
          <w:i/>
        </w:rPr>
        <w:t xml:space="preserve">BRAF </w:t>
      </w:r>
      <w:r w:rsidR="00965823" w:rsidRPr="00965823">
        <w:t>V600E</w:t>
      </w:r>
      <w:r w:rsidRPr="00ED0409">
        <w:t xml:space="preserve"> tests must occur in National Association of Testing Authorities (NATA) accredited laboratories utilising Therapeutic Goods Australia (TGA) listed test kits. Competence to perform the requested test currently listed in MBS item 73336 (</w:t>
      </w:r>
      <w:r w:rsidRPr="00ED0409">
        <w:rPr>
          <w:i/>
        </w:rPr>
        <w:t xml:space="preserve">BRAF </w:t>
      </w:r>
      <w:r w:rsidRPr="007C3B31">
        <w:t>V600</w:t>
      </w:r>
      <w:r w:rsidRPr="00965823">
        <w:t xml:space="preserve"> </w:t>
      </w:r>
      <w:r w:rsidRPr="00ED0409">
        <w:t xml:space="preserve">testing) is already being monitored through a Royal College of Pathologists Australasia (RCPA) quality assurance program (QAP). The National Pathology Accreditation Advisory Council </w:t>
      </w:r>
      <w:r w:rsidR="00206DA9">
        <w:t xml:space="preserve">(NPAAC) </w:t>
      </w:r>
      <w:r w:rsidRPr="00ED0409">
        <w:t xml:space="preserve">advised that </w:t>
      </w:r>
      <w:r w:rsidRPr="00ED0409">
        <w:rPr>
          <w:i/>
        </w:rPr>
        <w:t xml:space="preserve">BRAF </w:t>
      </w:r>
      <w:r w:rsidR="00965823" w:rsidRPr="00965823">
        <w:t>V600E</w:t>
      </w:r>
      <w:r w:rsidRPr="00ED0409">
        <w:t xml:space="preserve"> testing is already established in a number of laboratories in Australia.</w:t>
      </w:r>
    </w:p>
    <w:p w14:paraId="2E43AF51" w14:textId="77777777" w:rsidR="00BC1364" w:rsidRPr="00F715D1" w:rsidRDefault="00BC1364" w:rsidP="00F715D1">
      <w:pPr>
        <w:pStyle w:val="Heading1"/>
      </w:pPr>
      <w:r w:rsidRPr="00F715D1">
        <w:t>Proposal for public funding</w:t>
      </w:r>
    </w:p>
    <w:p w14:paraId="2440E3C6" w14:textId="788C851E" w:rsidR="0054469D" w:rsidRDefault="00656CCF" w:rsidP="0054469D">
      <w:pPr>
        <w:spacing w:before="120" w:after="240"/>
        <w:rPr>
          <w:rFonts w:eastAsia="Calibri" w:cs="Arial"/>
          <w:iCs/>
          <w:szCs w:val="22"/>
          <w:lang w:eastAsia="en-US"/>
        </w:rPr>
      </w:pPr>
      <w:r w:rsidRPr="00656CCF">
        <w:rPr>
          <w:rFonts w:eastAsia="Calibri" w:cs="Arial"/>
          <w:szCs w:val="22"/>
          <w:lang w:eastAsia="en-US"/>
        </w:rPr>
        <w:t xml:space="preserve">The submission requested that </w:t>
      </w:r>
      <w:r w:rsidRPr="00656CCF">
        <w:rPr>
          <w:rFonts w:eastAsia="Calibri" w:cs="Arial"/>
          <w:i/>
          <w:iCs/>
          <w:szCs w:val="22"/>
          <w:lang w:eastAsia="en-US"/>
        </w:rPr>
        <w:t xml:space="preserve">BRAF </w:t>
      </w:r>
      <w:r w:rsidR="00965823" w:rsidRPr="00965823">
        <w:rPr>
          <w:rFonts w:eastAsia="Calibri" w:cs="Arial"/>
          <w:iCs/>
          <w:szCs w:val="22"/>
          <w:lang w:eastAsia="en-US"/>
        </w:rPr>
        <w:t>V600E</w:t>
      </w:r>
      <w:r w:rsidRPr="00656CCF">
        <w:rPr>
          <w:rFonts w:eastAsia="Calibri" w:cs="Arial"/>
          <w:szCs w:val="22"/>
          <w:lang w:eastAsia="en-US"/>
        </w:rPr>
        <w:t xml:space="preserve"> testing be added to the current descriptor for MBS item 73338 to determine eligibility for PBS-listed encorafenib. MBS item 73338 allows testing for </w:t>
      </w:r>
      <w:r w:rsidRPr="00656CCF">
        <w:rPr>
          <w:rFonts w:eastAsia="Calibri" w:cs="Arial"/>
          <w:i/>
          <w:iCs/>
          <w:szCs w:val="22"/>
          <w:lang w:eastAsia="en-US"/>
        </w:rPr>
        <w:t>RAS</w:t>
      </w:r>
      <w:r w:rsidRPr="00656CCF">
        <w:rPr>
          <w:rFonts w:eastAsia="Calibri" w:cs="Arial"/>
          <w:szCs w:val="22"/>
          <w:lang w:eastAsia="en-US"/>
        </w:rPr>
        <w:t xml:space="preserve"> status of a patient with mCRC to determine eligibility for PBS-listed cetuximab or panitumumab. The submission did not propose a change to the applicable fee for the test as it is currently routinely performed and reported alongside </w:t>
      </w:r>
      <w:r w:rsidRPr="00656CCF">
        <w:rPr>
          <w:rFonts w:eastAsia="Calibri" w:cs="Arial"/>
          <w:i/>
          <w:iCs/>
          <w:szCs w:val="22"/>
          <w:lang w:eastAsia="en-US"/>
        </w:rPr>
        <w:t>RAS</w:t>
      </w:r>
      <w:r w:rsidRPr="00656CCF">
        <w:rPr>
          <w:rFonts w:eastAsia="Calibri" w:cs="Arial"/>
          <w:szCs w:val="22"/>
          <w:lang w:eastAsia="en-US"/>
        </w:rPr>
        <w:t xml:space="preserve"> status as an important prognostic tool. The Commentary considered that t</w:t>
      </w:r>
      <w:r w:rsidRPr="00656CCF">
        <w:rPr>
          <w:rFonts w:eastAsia="Calibri" w:cs="Arial"/>
          <w:iCs/>
          <w:szCs w:val="22"/>
          <w:lang w:eastAsia="en-US"/>
        </w:rPr>
        <w:t xml:space="preserve">his was reasonable. The Commentary highlighted that the submission does not consider any additional out-of-pocket costs that may be incurred by patients due to the inclusion of the formal reporting of </w:t>
      </w:r>
      <w:r w:rsidRPr="00656CCF">
        <w:rPr>
          <w:rFonts w:eastAsia="Calibri" w:cs="Arial"/>
          <w:i/>
          <w:iCs/>
          <w:szCs w:val="22"/>
          <w:lang w:eastAsia="en-US"/>
        </w:rPr>
        <w:t xml:space="preserve">BRAF </w:t>
      </w:r>
      <w:r w:rsidR="00965823" w:rsidRPr="00965823">
        <w:rPr>
          <w:rFonts w:eastAsia="Calibri" w:cs="Arial"/>
          <w:iCs/>
          <w:szCs w:val="22"/>
          <w:lang w:eastAsia="en-US"/>
        </w:rPr>
        <w:t>V600E</w:t>
      </w:r>
      <w:r w:rsidRPr="00656CCF">
        <w:rPr>
          <w:rFonts w:eastAsia="Calibri" w:cs="Arial"/>
          <w:iCs/>
          <w:szCs w:val="22"/>
          <w:lang w:eastAsia="en-US"/>
        </w:rPr>
        <w:t xml:space="preserve"> testing as part of MBS Item 73338. </w:t>
      </w:r>
      <w:r w:rsidRPr="00656CCF">
        <w:rPr>
          <w:rFonts w:eastAsia="Calibri" w:cs="Arial"/>
          <w:szCs w:val="22"/>
          <w:lang w:eastAsia="en-US"/>
        </w:rPr>
        <w:t xml:space="preserve">The proposed new descriptor for MBS item 73338 is presented in </w:t>
      </w:r>
      <w:r w:rsidRPr="00656CCF">
        <w:rPr>
          <w:rFonts w:eastAsia="Calibri"/>
          <w:szCs w:val="22"/>
          <w:lang w:eastAsia="en-US"/>
        </w:rPr>
        <w:fldChar w:fldCharType="begin"/>
      </w:r>
      <w:r w:rsidRPr="00656CCF">
        <w:rPr>
          <w:rFonts w:eastAsia="Calibri"/>
          <w:szCs w:val="22"/>
          <w:lang w:eastAsia="en-US"/>
        </w:rPr>
        <w:instrText xml:space="preserve"> REF _Ref62210032 \h  \* MERGEFORMAT </w:instrText>
      </w:r>
      <w:r w:rsidRPr="00656CCF">
        <w:rPr>
          <w:rFonts w:eastAsia="Calibri"/>
          <w:szCs w:val="22"/>
          <w:lang w:eastAsia="en-US"/>
        </w:rPr>
      </w:r>
      <w:r w:rsidRPr="00656CCF">
        <w:rPr>
          <w:rFonts w:eastAsia="Calibri"/>
          <w:szCs w:val="22"/>
          <w:lang w:eastAsia="en-US"/>
        </w:rPr>
        <w:fldChar w:fldCharType="separate"/>
      </w:r>
      <w:r w:rsidR="00153C7B" w:rsidRPr="00153C7B">
        <w:t>Table 1</w:t>
      </w:r>
      <w:r w:rsidRPr="00656CCF">
        <w:rPr>
          <w:rFonts w:eastAsia="Calibri"/>
          <w:szCs w:val="22"/>
          <w:lang w:eastAsia="en-US"/>
        </w:rPr>
        <w:fldChar w:fldCharType="end"/>
      </w:r>
      <w:r w:rsidRPr="00656CCF">
        <w:rPr>
          <w:rFonts w:eastAsia="Calibri"/>
          <w:szCs w:val="22"/>
          <w:lang w:eastAsia="en-US"/>
        </w:rPr>
        <w:t>.</w:t>
      </w:r>
      <w:r w:rsidRPr="00656CCF">
        <w:rPr>
          <w:rFonts w:eastAsia="Calibri" w:cs="Arial"/>
          <w:szCs w:val="22"/>
          <w:lang w:eastAsia="en-US"/>
        </w:rPr>
        <w:t xml:space="preserve"> </w:t>
      </w:r>
      <w:r w:rsidRPr="00656CCF">
        <w:rPr>
          <w:rFonts w:eastAsia="Calibri" w:cs="Arial"/>
          <w:iCs/>
          <w:szCs w:val="22"/>
          <w:lang w:eastAsia="en-US"/>
        </w:rPr>
        <w:t xml:space="preserve">This was consistent with the proposed MBS item descriptor agreed in the ratified PICO confirmation. The requested test intervention, </w:t>
      </w:r>
      <w:r w:rsidRPr="00656CCF">
        <w:rPr>
          <w:rFonts w:eastAsia="Calibri" w:cs="Arial"/>
          <w:i/>
          <w:iCs/>
          <w:szCs w:val="22"/>
          <w:lang w:eastAsia="en-US"/>
        </w:rPr>
        <w:t xml:space="preserve">BRAF </w:t>
      </w:r>
      <w:r w:rsidR="00965823" w:rsidRPr="00965823">
        <w:rPr>
          <w:rFonts w:eastAsia="Calibri" w:cs="Arial"/>
          <w:iCs/>
          <w:szCs w:val="22"/>
          <w:lang w:eastAsia="en-US"/>
        </w:rPr>
        <w:t>V600E</w:t>
      </w:r>
      <w:r w:rsidRPr="00656CCF">
        <w:rPr>
          <w:rFonts w:eastAsia="Calibri" w:cs="Arial"/>
          <w:iCs/>
          <w:szCs w:val="22"/>
          <w:lang w:eastAsia="en-US"/>
        </w:rPr>
        <w:t xml:space="preserve"> test, and the eligible population, were consistent with those specified in the ratified PICO confirmation.</w:t>
      </w:r>
      <w:r w:rsidR="0054469D">
        <w:rPr>
          <w:rFonts w:eastAsia="Calibri" w:cs="Arial"/>
          <w:iCs/>
          <w:szCs w:val="22"/>
          <w:lang w:eastAsia="en-US"/>
        </w:rPr>
        <w:br w:type="page"/>
      </w:r>
    </w:p>
    <w:p w14:paraId="020DF50A" w14:textId="43FD49EF" w:rsidR="00656CCF" w:rsidRPr="00656CCF" w:rsidRDefault="00656CCF" w:rsidP="00656CCF">
      <w:pPr>
        <w:keepNext/>
        <w:tabs>
          <w:tab w:val="left" w:pos="1418"/>
        </w:tabs>
        <w:contextualSpacing/>
        <w:rPr>
          <w:rFonts w:ascii="Arial Narrow" w:hAnsi="Arial Narrow" w:cs="Arial"/>
          <w:b/>
          <w:iCs/>
          <w:sz w:val="20"/>
          <w:lang w:eastAsia="en-US"/>
        </w:rPr>
      </w:pPr>
      <w:bookmarkStart w:id="0" w:name="_Ref62210032"/>
      <w:r w:rsidRPr="00656CCF">
        <w:rPr>
          <w:rFonts w:ascii="Arial Narrow" w:hAnsi="Arial Narrow" w:cs="Arial"/>
          <w:b/>
          <w:iCs/>
          <w:sz w:val="20"/>
          <w:lang w:eastAsia="en-US"/>
        </w:rPr>
        <w:lastRenderedPageBreak/>
        <w:t xml:space="preserve">Table </w:t>
      </w:r>
      <w:r w:rsidR="008D4DD3">
        <w:rPr>
          <w:rFonts w:ascii="Arial Narrow" w:hAnsi="Arial Narrow" w:cs="Arial"/>
          <w:b/>
          <w:iCs/>
          <w:sz w:val="20"/>
          <w:lang w:eastAsia="en-US"/>
        </w:rPr>
        <w:t>1</w:t>
      </w:r>
      <w:bookmarkEnd w:id="0"/>
      <w:r w:rsidRPr="00656CCF">
        <w:rPr>
          <w:rFonts w:ascii="Arial Narrow" w:eastAsia="Calibri" w:hAnsi="Arial Narrow" w:cs="Arial"/>
          <w:b/>
          <w:iCs/>
          <w:sz w:val="20"/>
          <w:lang w:eastAsia="en-US"/>
        </w:rPr>
        <w:tab/>
        <w:t>Proposed MBS listing</w:t>
      </w:r>
    </w:p>
    <w:tbl>
      <w:tblPr>
        <w:tblStyle w:val="TableGrid1"/>
        <w:tblW w:w="4981" w:type="pct"/>
        <w:tblLook w:val="04A0" w:firstRow="1" w:lastRow="0" w:firstColumn="1" w:lastColumn="0" w:noHBand="0" w:noVBand="1"/>
        <w:tblDescription w:val="Proposed MBS listing"/>
      </w:tblPr>
      <w:tblGrid>
        <w:gridCol w:w="8982"/>
      </w:tblGrid>
      <w:tr w:rsidR="00656CCF" w:rsidRPr="00656CCF" w14:paraId="3F5FF655" w14:textId="77777777" w:rsidTr="0054469D">
        <w:trPr>
          <w:tblHeader/>
        </w:trPr>
        <w:tc>
          <w:tcPr>
            <w:tcW w:w="5000" w:type="pct"/>
          </w:tcPr>
          <w:p w14:paraId="6C7E2BB7" w14:textId="77777777" w:rsidR="00656CCF" w:rsidRPr="00656CCF" w:rsidRDefault="00656CCF" w:rsidP="00656CCF">
            <w:pPr>
              <w:spacing w:before="40" w:after="40" w:line="256" w:lineRule="auto"/>
              <w:jc w:val="both"/>
              <w:rPr>
                <w:rFonts w:ascii="Arial Narrow" w:eastAsia="Calibri" w:hAnsi="Arial Narrow" w:cs="Arial"/>
                <w:szCs w:val="22"/>
                <w:lang w:eastAsia="en-US"/>
              </w:rPr>
            </w:pPr>
            <w:r w:rsidRPr="00656CCF">
              <w:rPr>
                <w:rFonts w:ascii="Arial Narrow" w:eastAsia="Calibri" w:hAnsi="Arial Narrow" w:cs="Arial"/>
                <w:sz w:val="20"/>
                <w:szCs w:val="22"/>
                <w:lang w:eastAsia="en-US"/>
              </w:rPr>
              <w:t>Category 6 – Pathology Services</w:t>
            </w:r>
          </w:p>
        </w:tc>
      </w:tr>
      <w:tr w:rsidR="00656CCF" w:rsidRPr="00656CCF" w14:paraId="35CF1296" w14:textId="77777777" w:rsidTr="0054469D">
        <w:tc>
          <w:tcPr>
            <w:tcW w:w="5000" w:type="pct"/>
          </w:tcPr>
          <w:p w14:paraId="5F79E62E" w14:textId="77777777" w:rsidR="00656CCF" w:rsidRPr="00656CCF" w:rsidRDefault="00656CCF" w:rsidP="00656CCF">
            <w:pPr>
              <w:spacing w:before="40" w:after="40" w:line="256" w:lineRule="auto"/>
              <w:jc w:val="both"/>
              <w:rPr>
                <w:rFonts w:ascii="Arial Narrow" w:eastAsia="Calibri" w:hAnsi="Arial Narrow" w:cs="Arial"/>
                <w:b/>
                <w:bCs/>
                <w:sz w:val="20"/>
                <w:szCs w:val="22"/>
                <w:lang w:eastAsia="en-US"/>
              </w:rPr>
            </w:pPr>
            <w:r w:rsidRPr="00656CCF">
              <w:rPr>
                <w:rFonts w:ascii="Arial Narrow" w:eastAsia="Calibri" w:hAnsi="Arial Narrow" w:cs="Arial"/>
                <w:b/>
                <w:bCs/>
                <w:sz w:val="20"/>
                <w:szCs w:val="22"/>
                <w:lang w:eastAsia="en-US"/>
              </w:rPr>
              <w:t>MBS item 73338</w:t>
            </w:r>
          </w:p>
          <w:p w14:paraId="722D4A8D" w14:textId="6F82432C" w:rsidR="00656CCF" w:rsidRPr="0054469D" w:rsidRDefault="00656CCF" w:rsidP="00656CCF">
            <w:pPr>
              <w:spacing w:before="40" w:after="40" w:line="256" w:lineRule="auto"/>
              <w:jc w:val="both"/>
              <w:rPr>
                <w:rFonts w:ascii="Arial Narrow" w:eastAsia="Calibri" w:hAnsi="Arial Narrow" w:cs="Arial"/>
                <w:sz w:val="20"/>
                <w:szCs w:val="22"/>
                <w:lang w:eastAsia="en-US"/>
              </w:rPr>
            </w:pPr>
            <w:r w:rsidRPr="00656CCF">
              <w:rPr>
                <w:rFonts w:ascii="Arial Narrow" w:eastAsia="Calibri" w:hAnsi="Arial Narrow" w:cs="Arial"/>
                <w:sz w:val="20"/>
                <w:szCs w:val="22"/>
                <w:lang w:eastAsia="en-US"/>
              </w:rPr>
              <w:t>A test of tumour tissue from a patient with metastatic colorectal cancer (stage IV), requested by a specialist or consultant physician, to determine if:</w:t>
            </w:r>
          </w:p>
          <w:p w14:paraId="4E91FBDB" w14:textId="77777777" w:rsidR="00656CCF" w:rsidRPr="00656CCF" w:rsidRDefault="00656CCF" w:rsidP="0054469D">
            <w:pPr>
              <w:spacing w:before="240" w:after="40" w:line="257" w:lineRule="auto"/>
              <w:jc w:val="both"/>
              <w:rPr>
                <w:rFonts w:ascii="Arial Narrow" w:eastAsia="Calibri" w:hAnsi="Arial Narrow" w:cs="Arial"/>
                <w:sz w:val="20"/>
                <w:szCs w:val="22"/>
                <w:lang w:eastAsia="en-US"/>
              </w:rPr>
            </w:pPr>
            <w:r w:rsidRPr="00656CCF">
              <w:rPr>
                <w:rFonts w:ascii="Arial Narrow" w:eastAsia="Calibri" w:hAnsi="Arial Narrow" w:cs="Arial"/>
                <w:sz w:val="20"/>
                <w:szCs w:val="22"/>
                <w:lang w:eastAsia="en-US"/>
              </w:rPr>
              <w:t>requirements relating to rat sarcoma oncogene (</w:t>
            </w:r>
            <w:r w:rsidRPr="00656CCF">
              <w:rPr>
                <w:rFonts w:ascii="Arial Narrow" w:eastAsia="Calibri" w:hAnsi="Arial Narrow" w:cs="Arial"/>
                <w:i/>
                <w:iCs/>
                <w:sz w:val="20"/>
                <w:szCs w:val="22"/>
                <w:lang w:eastAsia="en-US"/>
              </w:rPr>
              <w:t>RAS</w:t>
            </w:r>
            <w:r w:rsidRPr="00656CCF">
              <w:rPr>
                <w:rFonts w:ascii="Arial Narrow" w:eastAsia="Calibri" w:hAnsi="Arial Narrow" w:cs="Arial"/>
                <w:sz w:val="20"/>
                <w:szCs w:val="22"/>
                <w:lang w:eastAsia="en-US"/>
              </w:rPr>
              <w:t>) gene variant status for access to cetuximab or panitumumab under the Pharmaceutical Benefits Scheme (PBS) are fulfilled, if:</w:t>
            </w:r>
          </w:p>
          <w:p w14:paraId="5177EB7B" w14:textId="77777777" w:rsidR="00656CCF" w:rsidRPr="00656CCF" w:rsidRDefault="00656CCF" w:rsidP="00656CCF">
            <w:pPr>
              <w:numPr>
                <w:ilvl w:val="1"/>
                <w:numId w:val="27"/>
              </w:numPr>
              <w:spacing w:before="40" w:after="40" w:line="256" w:lineRule="auto"/>
              <w:jc w:val="both"/>
              <w:rPr>
                <w:rFonts w:ascii="Arial Narrow" w:eastAsia="Calibri" w:hAnsi="Arial Narrow" w:cs="Arial"/>
                <w:sz w:val="20"/>
                <w:szCs w:val="22"/>
                <w:lang w:eastAsia="en-US"/>
              </w:rPr>
            </w:pPr>
            <w:r w:rsidRPr="00656CCF">
              <w:rPr>
                <w:rFonts w:ascii="Arial Narrow" w:eastAsia="Calibri" w:hAnsi="Arial Narrow" w:cs="Arial"/>
                <w:sz w:val="20"/>
                <w:szCs w:val="22"/>
                <w:lang w:eastAsia="en-US"/>
              </w:rPr>
              <w:t>the test is conducted for all clinically-relevant variants on K</w:t>
            </w:r>
            <w:r w:rsidRPr="00656CCF">
              <w:rPr>
                <w:rFonts w:ascii="Arial Narrow" w:eastAsia="Calibri" w:hAnsi="Arial Narrow" w:cs="Arial"/>
                <w:i/>
                <w:iCs/>
                <w:sz w:val="20"/>
                <w:szCs w:val="22"/>
                <w:lang w:eastAsia="en-US"/>
              </w:rPr>
              <w:t>RAS</w:t>
            </w:r>
            <w:r w:rsidRPr="00656CCF">
              <w:rPr>
                <w:rFonts w:ascii="Arial Narrow" w:eastAsia="Calibri" w:hAnsi="Arial Narrow" w:cs="Arial"/>
                <w:sz w:val="20"/>
                <w:szCs w:val="22"/>
                <w:lang w:eastAsia="en-US"/>
              </w:rPr>
              <w:t xml:space="preserve"> exons 2, 3 and 4, and N</w:t>
            </w:r>
            <w:r w:rsidRPr="00656CCF">
              <w:rPr>
                <w:rFonts w:ascii="Arial Narrow" w:eastAsia="Calibri" w:hAnsi="Arial Narrow" w:cs="Arial"/>
                <w:i/>
                <w:iCs/>
                <w:sz w:val="20"/>
                <w:szCs w:val="22"/>
                <w:lang w:eastAsia="en-US"/>
              </w:rPr>
              <w:t>RAS</w:t>
            </w:r>
            <w:r w:rsidRPr="00656CCF">
              <w:rPr>
                <w:rFonts w:ascii="Arial Narrow" w:eastAsia="Calibri" w:hAnsi="Arial Narrow" w:cs="Arial"/>
                <w:sz w:val="20"/>
                <w:szCs w:val="22"/>
                <w:lang w:eastAsia="en-US"/>
              </w:rPr>
              <w:t xml:space="preserve"> exons 2, 3, and 4; or</w:t>
            </w:r>
          </w:p>
          <w:p w14:paraId="6FFCA407" w14:textId="44976908" w:rsidR="00656CCF" w:rsidRPr="0054469D" w:rsidRDefault="00656CCF" w:rsidP="00656CCF">
            <w:pPr>
              <w:numPr>
                <w:ilvl w:val="1"/>
                <w:numId w:val="27"/>
              </w:numPr>
              <w:spacing w:before="40" w:after="40" w:line="256" w:lineRule="auto"/>
              <w:jc w:val="both"/>
              <w:rPr>
                <w:rFonts w:ascii="Arial Narrow" w:eastAsia="Calibri" w:hAnsi="Arial Narrow" w:cs="Arial"/>
                <w:sz w:val="20"/>
                <w:szCs w:val="22"/>
                <w:lang w:eastAsia="en-US"/>
              </w:rPr>
            </w:pPr>
            <w:r w:rsidRPr="00656CCF">
              <w:rPr>
                <w:rFonts w:ascii="Arial Narrow" w:eastAsia="Calibri" w:hAnsi="Arial Narrow" w:cs="Arial"/>
                <w:sz w:val="20"/>
                <w:szCs w:val="22"/>
                <w:lang w:eastAsia="en-US"/>
              </w:rPr>
              <w:t xml:space="preserve">a clinically-relevant </w:t>
            </w:r>
            <w:r w:rsidRPr="00656CCF">
              <w:rPr>
                <w:rFonts w:ascii="Arial Narrow" w:eastAsia="Calibri" w:hAnsi="Arial Narrow" w:cs="Arial"/>
                <w:i/>
                <w:iCs/>
                <w:sz w:val="20"/>
                <w:szCs w:val="22"/>
                <w:lang w:eastAsia="en-US"/>
              </w:rPr>
              <w:t>RAS</w:t>
            </w:r>
            <w:r w:rsidRPr="00656CCF">
              <w:rPr>
                <w:rFonts w:ascii="Arial Narrow" w:eastAsia="Calibri" w:hAnsi="Arial Narrow" w:cs="Arial"/>
                <w:sz w:val="20"/>
                <w:szCs w:val="22"/>
                <w:lang w:eastAsia="en-US"/>
              </w:rPr>
              <w:t xml:space="preserve"> variant is found;</w:t>
            </w:r>
          </w:p>
          <w:p w14:paraId="530C81A4" w14:textId="690A50E1" w:rsidR="00656CCF" w:rsidRPr="008D4DD3" w:rsidRDefault="00656CCF" w:rsidP="0054469D">
            <w:pPr>
              <w:spacing w:before="240" w:after="240" w:line="257" w:lineRule="auto"/>
              <w:jc w:val="both"/>
              <w:rPr>
                <w:rFonts w:ascii="Arial Narrow" w:eastAsia="Calibri" w:hAnsi="Arial Narrow" w:cs="Arial"/>
                <w:i/>
                <w:iCs/>
                <w:sz w:val="20"/>
                <w:szCs w:val="22"/>
                <w:lang w:eastAsia="en-US"/>
              </w:rPr>
            </w:pPr>
            <w:r w:rsidRPr="008D4DD3">
              <w:rPr>
                <w:rFonts w:ascii="Arial Narrow" w:eastAsia="Calibri" w:hAnsi="Arial Narrow" w:cs="Arial"/>
                <w:i/>
                <w:iCs/>
                <w:sz w:val="20"/>
                <w:szCs w:val="22"/>
                <w:lang w:eastAsia="en-US"/>
              </w:rPr>
              <w:t>and, when also requested</w:t>
            </w:r>
          </w:p>
          <w:p w14:paraId="21D65030" w14:textId="0497E1E5" w:rsidR="00656CCF" w:rsidRPr="00656CCF" w:rsidRDefault="00656CCF" w:rsidP="00656CCF">
            <w:pPr>
              <w:spacing w:before="40" w:after="40" w:line="256" w:lineRule="auto"/>
              <w:jc w:val="both"/>
              <w:rPr>
                <w:rFonts w:ascii="Arial Narrow" w:eastAsia="Calibri" w:hAnsi="Arial Narrow" w:cs="Arial"/>
                <w:snapToGrid w:val="0"/>
                <w:szCs w:val="22"/>
                <w:lang w:eastAsia="en-US"/>
              </w:rPr>
            </w:pPr>
            <w:r w:rsidRPr="00656CCF">
              <w:rPr>
                <w:rFonts w:ascii="Arial Narrow" w:eastAsia="Calibri" w:hAnsi="Arial Narrow" w:cs="Arial"/>
                <w:i/>
                <w:iCs/>
                <w:sz w:val="20"/>
                <w:szCs w:val="22"/>
                <w:lang w:eastAsia="en-US"/>
              </w:rPr>
              <w:t xml:space="preserve">requirements relating to BRAF </w:t>
            </w:r>
            <w:r w:rsidRPr="00965823">
              <w:rPr>
                <w:rFonts w:ascii="Arial Narrow" w:eastAsia="Calibri" w:hAnsi="Arial Narrow" w:cs="Arial"/>
                <w:i/>
                <w:iCs/>
                <w:sz w:val="20"/>
                <w:szCs w:val="22"/>
                <w:lang w:eastAsia="en-US"/>
              </w:rPr>
              <w:t>V600E</w:t>
            </w:r>
            <w:r w:rsidRPr="00656CCF">
              <w:rPr>
                <w:rFonts w:ascii="Arial Narrow" w:eastAsia="Calibri" w:hAnsi="Arial Narrow" w:cs="Arial"/>
                <w:i/>
                <w:iCs/>
                <w:sz w:val="20"/>
                <w:szCs w:val="22"/>
                <w:lang w:eastAsia="en-US"/>
              </w:rPr>
              <w:t xml:space="preserve"> gene variant status for access to encorafenib under the Pharmaceutical Benefits Scheme (PBS) are fulfilled.</w:t>
            </w:r>
          </w:p>
        </w:tc>
      </w:tr>
      <w:tr w:rsidR="00656CCF" w:rsidRPr="00656CCF" w14:paraId="41A5674E" w14:textId="77777777" w:rsidTr="0054469D">
        <w:tc>
          <w:tcPr>
            <w:tcW w:w="5000" w:type="pct"/>
          </w:tcPr>
          <w:p w14:paraId="6408D377" w14:textId="77777777" w:rsidR="00656CCF" w:rsidRPr="008D4DD3" w:rsidRDefault="00656CCF" w:rsidP="00656CCF">
            <w:pPr>
              <w:spacing w:before="40" w:after="40" w:line="256" w:lineRule="auto"/>
              <w:jc w:val="both"/>
              <w:rPr>
                <w:rFonts w:ascii="Arial Narrow" w:eastAsia="Calibri" w:hAnsi="Arial Narrow" w:cs="Arial"/>
                <w:szCs w:val="22"/>
                <w:lang w:eastAsia="en-US"/>
              </w:rPr>
            </w:pPr>
            <w:r w:rsidRPr="008D4DD3">
              <w:rPr>
                <w:rFonts w:ascii="Arial Narrow" w:eastAsia="Calibri" w:hAnsi="Arial Narrow" w:cs="Arial"/>
                <w:bCs/>
                <w:sz w:val="20"/>
                <w:szCs w:val="22"/>
                <w:lang w:eastAsia="en-US"/>
              </w:rPr>
              <w:t xml:space="preserve">Fee: MBS </w:t>
            </w:r>
            <w:r w:rsidRPr="000A5164">
              <w:rPr>
                <w:rFonts w:ascii="Arial Narrow" w:eastAsia="Calibri" w:hAnsi="Arial Narrow" w:cs="Arial"/>
                <w:bCs/>
                <w:sz w:val="20"/>
                <w:szCs w:val="22"/>
                <w:lang w:eastAsia="en-US"/>
              </w:rPr>
              <w:t>Fee</w:t>
            </w:r>
            <w:r w:rsidRPr="000A5164">
              <w:rPr>
                <w:rFonts w:ascii="Arial Narrow" w:eastAsia="Calibri" w:hAnsi="Arial Narrow" w:cs="Arial"/>
                <w:sz w:val="20"/>
                <w:szCs w:val="22"/>
                <w:lang w:eastAsia="en-US"/>
              </w:rPr>
              <w:t>: $362.60 Benefit: 75% = $271.95 85% = $308.25</w:t>
            </w:r>
          </w:p>
        </w:tc>
      </w:tr>
    </w:tbl>
    <w:p w14:paraId="0178E478" w14:textId="2D549813" w:rsidR="00656CCF" w:rsidRPr="00656CCF" w:rsidRDefault="00656CCF" w:rsidP="00656CCF">
      <w:pPr>
        <w:spacing w:before="120" w:after="240"/>
        <w:contextualSpacing/>
        <w:rPr>
          <w:rFonts w:ascii="Arial Narrow" w:eastAsia="Calibri" w:hAnsi="Arial Narrow" w:cs="Arial"/>
          <w:snapToGrid w:val="0"/>
          <w:sz w:val="18"/>
          <w:szCs w:val="22"/>
          <w:lang w:eastAsia="en-US"/>
        </w:rPr>
      </w:pPr>
      <w:r w:rsidRPr="00656CCF">
        <w:rPr>
          <w:rFonts w:ascii="Arial Narrow" w:eastAsia="Calibri" w:hAnsi="Arial Narrow" w:cs="Arial"/>
          <w:snapToGrid w:val="0"/>
          <w:sz w:val="18"/>
          <w:szCs w:val="22"/>
          <w:lang w:eastAsia="en-US"/>
        </w:rPr>
        <w:t xml:space="preserve">Note: </w:t>
      </w:r>
      <w:r w:rsidRPr="00656CCF">
        <w:rPr>
          <w:rFonts w:ascii="Arial Narrow" w:eastAsia="Calibri" w:hAnsi="Arial Narrow" w:cs="Arial"/>
          <w:i/>
          <w:iCs/>
          <w:snapToGrid w:val="0"/>
          <w:sz w:val="18"/>
          <w:szCs w:val="22"/>
          <w:lang w:eastAsia="en-US"/>
        </w:rPr>
        <w:t>italicised is the proposed additional descriptor for MBS item 73338 to formalise the inclusion of BRAF V600E in the gene panel reporting for access to encorafenib under the PBS</w:t>
      </w:r>
      <w:r w:rsidRPr="00656CCF">
        <w:rPr>
          <w:rFonts w:ascii="Arial Narrow" w:eastAsia="Calibri" w:hAnsi="Arial Narrow" w:cs="Arial"/>
          <w:snapToGrid w:val="0"/>
          <w:sz w:val="18"/>
          <w:szCs w:val="22"/>
          <w:lang w:eastAsia="en-US"/>
        </w:rPr>
        <w:t>.</w:t>
      </w:r>
    </w:p>
    <w:p w14:paraId="15E18DDD" w14:textId="77777777" w:rsidR="00656CCF" w:rsidRPr="00656CCF" w:rsidRDefault="00656CCF" w:rsidP="00656CCF">
      <w:pPr>
        <w:spacing w:before="120" w:after="240"/>
        <w:contextualSpacing/>
        <w:rPr>
          <w:rFonts w:ascii="Arial Narrow" w:eastAsia="Calibri" w:hAnsi="Arial Narrow" w:cs="Arial"/>
          <w:snapToGrid w:val="0"/>
          <w:sz w:val="18"/>
          <w:szCs w:val="22"/>
          <w:lang w:eastAsia="en-US"/>
        </w:rPr>
      </w:pPr>
      <w:r w:rsidRPr="00656CCF">
        <w:rPr>
          <w:rFonts w:ascii="Arial Narrow" w:eastAsia="Calibri" w:hAnsi="Arial Narrow" w:cs="Arial"/>
          <w:snapToGrid w:val="0"/>
          <w:sz w:val="18"/>
          <w:szCs w:val="22"/>
          <w:lang w:eastAsia="en-US"/>
        </w:rPr>
        <w:t xml:space="preserve">Abbreviations: </w:t>
      </w:r>
      <w:r w:rsidRPr="00656CCF">
        <w:rPr>
          <w:rFonts w:ascii="Arial Narrow" w:eastAsia="Calibri" w:hAnsi="Arial Narrow" w:cs="Arial"/>
          <w:i/>
          <w:snapToGrid w:val="0"/>
          <w:sz w:val="18"/>
          <w:szCs w:val="22"/>
          <w:lang w:eastAsia="en-US"/>
        </w:rPr>
        <w:t>BRAF</w:t>
      </w:r>
      <w:r w:rsidRPr="00656CCF">
        <w:rPr>
          <w:rFonts w:ascii="Arial Narrow" w:eastAsia="Calibri" w:hAnsi="Arial Narrow" w:cs="Arial"/>
          <w:snapToGrid w:val="0"/>
          <w:sz w:val="18"/>
          <w:szCs w:val="22"/>
          <w:lang w:eastAsia="en-US"/>
        </w:rPr>
        <w:t xml:space="preserve"> = B-Rapidly Accelerated Fibrosarcoma; K</w:t>
      </w:r>
      <w:r w:rsidRPr="00656CCF">
        <w:rPr>
          <w:rFonts w:ascii="Arial Narrow" w:eastAsia="Calibri" w:hAnsi="Arial Narrow" w:cs="Arial"/>
          <w:i/>
          <w:iCs/>
          <w:snapToGrid w:val="0"/>
          <w:sz w:val="18"/>
          <w:szCs w:val="22"/>
          <w:lang w:eastAsia="en-US"/>
        </w:rPr>
        <w:t>RAS</w:t>
      </w:r>
      <w:r w:rsidRPr="00656CCF">
        <w:rPr>
          <w:rFonts w:ascii="Arial Narrow" w:eastAsia="Calibri" w:hAnsi="Arial Narrow" w:cs="Arial"/>
          <w:snapToGrid w:val="0"/>
          <w:sz w:val="18"/>
          <w:szCs w:val="22"/>
          <w:lang w:eastAsia="en-US"/>
        </w:rPr>
        <w:t xml:space="preserve"> = Kirsten Rat Sarcoma Oncogene; N</w:t>
      </w:r>
      <w:r w:rsidRPr="00656CCF">
        <w:rPr>
          <w:rFonts w:ascii="Arial Narrow" w:eastAsia="Calibri" w:hAnsi="Arial Narrow" w:cs="Arial"/>
          <w:i/>
          <w:iCs/>
          <w:snapToGrid w:val="0"/>
          <w:sz w:val="18"/>
          <w:szCs w:val="22"/>
          <w:lang w:eastAsia="en-US"/>
        </w:rPr>
        <w:t>RAS</w:t>
      </w:r>
      <w:r w:rsidRPr="00656CCF">
        <w:rPr>
          <w:rFonts w:ascii="Arial Narrow" w:eastAsia="Calibri" w:hAnsi="Arial Narrow" w:cs="Arial"/>
          <w:snapToGrid w:val="0"/>
          <w:sz w:val="18"/>
          <w:szCs w:val="22"/>
          <w:lang w:eastAsia="en-US"/>
        </w:rPr>
        <w:t xml:space="preserve"> = Neuroblastoma Rat Sarcoma Oncogene; </w:t>
      </w:r>
      <w:r w:rsidRPr="00656CCF">
        <w:rPr>
          <w:rFonts w:ascii="Arial Narrow" w:eastAsia="Calibri" w:hAnsi="Arial Narrow" w:cs="Arial"/>
          <w:i/>
          <w:iCs/>
          <w:snapToGrid w:val="0"/>
          <w:sz w:val="18"/>
          <w:szCs w:val="22"/>
          <w:lang w:eastAsia="en-US"/>
        </w:rPr>
        <w:t>RAS</w:t>
      </w:r>
      <w:r w:rsidRPr="00656CCF">
        <w:rPr>
          <w:rFonts w:ascii="Arial Narrow" w:eastAsia="Calibri" w:hAnsi="Arial Narrow" w:cs="Arial"/>
          <w:snapToGrid w:val="0"/>
          <w:sz w:val="18"/>
          <w:szCs w:val="22"/>
          <w:lang w:eastAsia="en-US"/>
        </w:rPr>
        <w:t xml:space="preserve"> = Rat Sarcoma Oncogene; PBS = Pharmaceutical Benefits Scheme.</w:t>
      </w:r>
    </w:p>
    <w:p w14:paraId="090C0898" w14:textId="77777777" w:rsidR="00BC1364" w:rsidRPr="00656CCF" w:rsidRDefault="00656CCF" w:rsidP="00656CCF">
      <w:pPr>
        <w:spacing w:before="120" w:after="240"/>
        <w:contextualSpacing/>
        <w:rPr>
          <w:rFonts w:ascii="Arial Narrow" w:eastAsia="Calibri" w:hAnsi="Arial Narrow" w:cs="Arial"/>
          <w:snapToGrid w:val="0"/>
          <w:sz w:val="18"/>
          <w:szCs w:val="22"/>
          <w:lang w:eastAsia="en-US"/>
        </w:rPr>
      </w:pPr>
      <w:r w:rsidRPr="00656CCF">
        <w:rPr>
          <w:rFonts w:ascii="Arial Narrow" w:eastAsia="Calibri" w:hAnsi="Arial Narrow" w:cs="Arial"/>
          <w:snapToGrid w:val="0"/>
          <w:sz w:val="18"/>
          <w:szCs w:val="22"/>
          <w:lang w:eastAsia="en-US"/>
        </w:rPr>
        <w:t>Source: Table 1-14, p53 of the submission.</w:t>
      </w:r>
    </w:p>
    <w:p w14:paraId="2DB25BC4" w14:textId="77777777" w:rsidR="00BC1364" w:rsidRPr="00F715D1" w:rsidRDefault="00BC1364" w:rsidP="00F715D1">
      <w:pPr>
        <w:pStyle w:val="Heading1"/>
      </w:pPr>
      <w:r w:rsidRPr="00F715D1">
        <w:t xml:space="preserve">Summary of </w:t>
      </w:r>
      <w:r w:rsidR="00C06B0B">
        <w:t>public c</w:t>
      </w:r>
      <w:r w:rsidR="003D7F29" w:rsidRPr="00F715D1">
        <w:t>onsultation</w:t>
      </w:r>
      <w:r w:rsidR="00C06B0B">
        <w:t xml:space="preserve"> f</w:t>
      </w:r>
      <w:r w:rsidRPr="00F715D1">
        <w:t>eedback</w:t>
      </w:r>
      <w:r w:rsidR="00C06B0B">
        <w:t>/c</w:t>
      </w:r>
      <w:r w:rsidR="003D7F29" w:rsidRPr="00F715D1">
        <w:t>onsumer Issues</w:t>
      </w:r>
    </w:p>
    <w:p w14:paraId="2E77344D" w14:textId="77777777" w:rsidR="005D1DD3" w:rsidRPr="00C15B9A" w:rsidRDefault="005D1DD3" w:rsidP="005D1DD3">
      <w:pPr>
        <w:pStyle w:val="MSACESParagraph"/>
        <w:rPr>
          <w:color w:val="000000" w:themeColor="text1"/>
        </w:rPr>
      </w:pPr>
      <w:r w:rsidRPr="008C6B46">
        <w:rPr>
          <w:color w:val="000000" w:themeColor="text1"/>
        </w:rPr>
        <w:t>No consumer feedback/consumer comments were received for this application.</w:t>
      </w:r>
    </w:p>
    <w:p w14:paraId="2E1E31BF" w14:textId="77777777" w:rsidR="00BC1364" w:rsidRPr="00F715D1" w:rsidRDefault="00BC1364" w:rsidP="00F715D1">
      <w:pPr>
        <w:pStyle w:val="Heading1"/>
      </w:pPr>
      <w:r w:rsidRPr="00F715D1">
        <w:t>Proposed intervention’s place in clinical management</w:t>
      </w:r>
    </w:p>
    <w:p w14:paraId="0759BACB" w14:textId="11DD0FA9" w:rsidR="008D4DD3" w:rsidRPr="0020762B" w:rsidRDefault="008D4DD3" w:rsidP="008D4DD3">
      <w:pPr>
        <w:pStyle w:val="MSACESParagraph"/>
      </w:pPr>
      <w:r w:rsidRPr="0020762B">
        <w:t>A summary of the components of the overall clinical claim addressed by the submission is presented in</w:t>
      </w:r>
      <w:r>
        <w:t xml:space="preserve"> </w:t>
      </w:r>
      <w:r>
        <w:fldChar w:fldCharType="begin"/>
      </w:r>
      <w:r>
        <w:instrText xml:space="preserve"> REF _Ref64018344 \h  \* MERGEFORMAT </w:instrText>
      </w:r>
      <w:r>
        <w:fldChar w:fldCharType="separate"/>
      </w:r>
      <w:r w:rsidR="00153C7B">
        <w:t>Table 2</w:t>
      </w:r>
      <w:r>
        <w:fldChar w:fldCharType="end"/>
      </w:r>
      <w:r w:rsidRPr="0020762B">
        <w:t>. While the submission stated that the proposed pharmaceutical intervention was ‘treatment with encorafenib in combination with an EGFR inhibitor such as cetuximab’ it presented clinical evidence to support only the effectiveness and safety of encorafenib + cetuximab and not encorafenib in combination with any other EGFR inhibitor, such as the currently available panitumumab.</w:t>
      </w:r>
    </w:p>
    <w:p w14:paraId="185FAB15" w14:textId="412BC3F0" w:rsidR="008D4DD3" w:rsidRDefault="008D4DD3" w:rsidP="0054469D">
      <w:pPr>
        <w:pStyle w:val="Caption"/>
      </w:pPr>
      <w:bookmarkStart w:id="1" w:name="_Ref64018344"/>
      <w:r>
        <w:lastRenderedPageBreak/>
        <w:t>Table 2</w:t>
      </w:r>
      <w:bookmarkEnd w:id="1"/>
      <w:r>
        <w:tab/>
      </w:r>
      <w:r w:rsidRPr="0020762B">
        <w:t>Key components of the clinical issue addressed by the submission</w:t>
      </w:r>
    </w:p>
    <w:tbl>
      <w:tblPr>
        <w:tblStyle w:val="PBACTableStyle"/>
        <w:tblW w:w="0" w:type="auto"/>
        <w:tblLook w:val="04A0" w:firstRow="1" w:lastRow="0" w:firstColumn="1" w:lastColumn="0" w:noHBand="0" w:noVBand="1"/>
        <w:tblDescription w:val="Key components of the clinical issue addressed by the submission"/>
      </w:tblPr>
      <w:tblGrid>
        <w:gridCol w:w="1271"/>
        <w:gridCol w:w="7745"/>
      </w:tblGrid>
      <w:tr w:rsidR="008D4DD3" w:rsidRPr="0020762B" w14:paraId="42098916" w14:textId="77777777" w:rsidTr="00EA1D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tcPr>
          <w:p w14:paraId="2932F3FC" w14:textId="77777777" w:rsidR="008D4DD3" w:rsidRPr="0020762B" w:rsidRDefault="008D4DD3" w:rsidP="00EA1DA0">
            <w:pPr>
              <w:pStyle w:val="TableText"/>
              <w:keepNext/>
              <w:widowControl/>
            </w:pPr>
            <w:r w:rsidRPr="0020762B">
              <w:t>Component</w:t>
            </w:r>
          </w:p>
        </w:tc>
        <w:tc>
          <w:tcPr>
            <w:tcW w:w="7745" w:type="dxa"/>
          </w:tcPr>
          <w:p w14:paraId="22C6DC98" w14:textId="77777777" w:rsidR="008D4DD3" w:rsidRPr="0020762B" w:rsidRDefault="008D4DD3" w:rsidP="00EA1DA0">
            <w:pPr>
              <w:pStyle w:val="TableText"/>
              <w:keepNext/>
              <w:widowControl/>
              <w:cnfStyle w:val="100000000000" w:firstRow="1" w:lastRow="0" w:firstColumn="0" w:lastColumn="0" w:oddVBand="0" w:evenVBand="0" w:oddHBand="0" w:evenHBand="0" w:firstRowFirstColumn="0" w:firstRowLastColumn="0" w:lastRowFirstColumn="0" w:lastRowLastColumn="0"/>
            </w:pPr>
            <w:r w:rsidRPr="0020762B">
              <w:t>Description</w:t>
            </w:r>
          </w:p>
        </w:tc>
      </w:tr>
      <w:tr w:rsidR="008D4DD3" w:rsidRPr="0020762B" w14:paraId="13F50165" w14:textId="77777777" w:rsidTr="00EA1DA0">
        <w:tc>
          <w:tcPr>
            <w:cnfStyle w:val="001000000000" w:firstRow="0" w:lastRow="0" w:firstColumn="1" w:lastColumn="0" w:oddVBand="0" w:evenVBand="0" w:oddHBand="0" w:evenHBand="0" w:firstRowFirstColumn="0" w:firstRowLastColumn="0" w:lastRowFirstColumn="0" w:lastRowLastColumn="0"/>
            <w:tcW w:w="1271" w:type="dxa"/>
          </w:tcPr>
          <w:p w14:paraId="02DCF0FB" w14:textId="77777777" w:rsidR="008D4DD3" w:rsidRPr="0020762B" w:rsidRDefault="008D4DD3" w:rsidP="00EA1DA0">
            <w:pPr>
              <w:pStyle w:val="TableText"/>
              <w:keepNext/>
              <w:widowControl/>
            </w:pPr>
            <w:r w:rsidRPr="0020762B">
              <w:t>Population</w:t>
            </w:r>
          </w:p>
        </w:tc>
        <w:tc>
          <w:tcPr>
            <w:tcW w:w="7745" w:type="dxa"/>
          </w:tcPr>
          <w:p w14:paraId="71157471" w14:textId="77777777" w:rsidR="008D4DD3" w:rsidRPr="0020762B" w:rsidRDefault="008D4DD3" w:rsidP="00EA1DA0">
            <w:pPr>
              <w:pStyle w:val="TableText"/>
              <w:keepNext/>
              <w:widowControl/>
              <w:jc w:val="left"/>
              <w:cnfStyle w:val="000000000000" w:firstRow="0" w:lastRow="0" w:firstColumn="0" w:lastColumn="0" w:oddVBand="0" w:evenVBand="0" w:oddHBand="0" w:evenHBand="0" w:firstRowFirstColumn="0" w:firstRowLastColumn="0" w:lastRowFirstColumn="0" w:lastRowLastColumn="0"/>
            </w:pPr>
            <w:r w:rsidRPr="0020762B">
              <w:t>Test: Patients diagnosed with Stage IV metastatic colorectal cancer (mCRC).</w:t>
            </w:r>
          </w:p>
          <w:p w14:paraId="5F211A26" w14:textId="77777777" w:rsidR="008D4DD3" w:rsidRPr="0020762B" w:rsidRDefault="008D4DD3" w:rsidP="00EA1DA0">
            <w:pPr>
              <w:pStyle w:val="TableText"/>
              <w:keepNext/>
              <w:widowControl/>
              <w:jc w:val="left"/>
              <w:cnfStyle w:val="000000000000" w:firstRow="0" w:lastRow="0" w:firstColumn="0" w:lastColumn="0" w:oddVBand="0" w:evenVBand="0" w:oddHBand="0" w:evenHBand="0" w:firstRowFirstColumn="0" w:firstRowLastColumn="0" w:lastRowFirstColumn="0" w:lastRowLastColumn="0"/>
            </w:pPr>
            <w:r w:rsidRPr="0020762B">
              <w:t xml:space="preserve">Medicine: Patients with mCRC who have received prior systemic therapy in the metastatic setting, and who have a </w:t>
            </w:r>
            <w:r w:rsidRPr="0020762B">
              <w:rPr>
                <w:i/>
                <w:iCs/>
              </w:rPr>
              <w:t xml:space="preserve">BRAF </w:t>
            </w:r>
            <w:r w:rsidRPr="00965823">
              <w:rPr>
                <w:iCs/>
              </w:rPr>
              <w:t>V600E</w:t>
            </w:r>
            <w:r w:rsidRPr="0020762B">
              <w:t xml:space="preserve"> pathogenic variant in tumour tissue.</w:t>
            </w:r>
            <w:r w:rsidRPr="0020762B">
              <w:rPr>
                <w:vertAlign w:val="superscript"/>
              </w:rPr>
              <w:t>a</w:t>
            </w:r>
          </w:p>
        </w:tc>
      </w:tr>
      <w:tr w:rsidR="008D4DD3" w:rsidRPr="0020762B" w14:paraId="308F0415" w14:textId="77777777" w:rsidTr="00EA1DA0">
        <w:tc>
          <w:tcPr>
            <w:cnfStyle w:val="001000000000" w:firstRow="0" w:lastRow="0" w:firstColumn="1" w:lastColumn="0" w:oddVBand="0" w:evenVBand="0" w:oddHBand="0" w:evenHBand="0" w:firstRowFirstColumn="0" w:firstRowLastColumn="0" w:lastRowFirstColumn="0" w:lastRowLastColumn="0"/>
            <w:tcW w:w="1271" w:type="dxa"/>
          </w:tcPr>
          <w:p w14:paraId="39432E26" w14:textId="77777777" w:rsidR="008D4DD3" w:rsidRPr="0020762B" w:rsidRDefault="008D4DD3" w:rsidP="00EA1DA0">
            <w:pPr>
              <w:pStyle w:val="TableText"/>
              <w:keepNext/>
              <w:widowControl/>
            </w:pPr>
            <w:r w:rsidRPr="0020762B">
              <w:t>Intervention</w:t>
            </w:r>
          </w:p>
        </w:tc>
        <w:tc>
          <w:tcPr>
            <w:tcW w:w="7745" w:type="dxa"/>
          </w:tcPr>
          <w:p w14:paraId="614E32F5" w14:textId="77777777" w:rsidR="008D4DD3" w:rsidRPr="0020762B" w:rsidRDefault="008D4DD3" w:rsidP="00EA1DA0">
            <w:pPr>
              <w:pStyle w:val="TableText"/>
              <w:keepNext/>
              <w:widowControl/>
              <w:jc w:val="left"/>
              <w:cnfStyle w:val="000000000000" w:firstRow="0" w:lastRow="0" w:firstColumn="0" w:lastColumn="0" w:oddVBand="0" w:evenVBand="0" w:oddHBand="0" w:evenHBand="0" w:firstRowFirstColumn="0" w:firstRowLastColumn="0" w:lastRowFirstColumn="0" w:lastRowLastColumn="0"/>
            </w:pPr>
            <w:r w:rsidRPr="0020762B">
              <w:t xml:space="preserve">Test: </w:t>
            </w:r>
            <w:r w:rsidRPr="0020762B">
              <w:rPr>
                <w:i/>
                <w:iCs/>
              </w:rPr>
              <w:t xml:space="preserve">BRAF </w:t>
            </w:r>
            <w:r w:rsidRPr="00965823">
              <w:rPr>
                <w:iCs/>
              </w:rPr>
              <w:t>V600E</w:t>
            </w:r>
            <w:r w:rsidRPr="0020762B">
              <w:t xml:space="preserve"> variant testing added to existing MBS item 73338.</w:t>
            </w:r>
          </w:p>
          <w:p w14:paraId="1005C1F7" w14:textId="77777777" w:rsidR="008D4DD3" w:rsidRPr="0020762B" w:rsidRDefault="008D4DD3" w:rsidP="00EA1DA0">
            <w:pPr>
              <w:pStyle w:val="TableText"/>
              <w:keepNext/>
              <w:widowControl/>
              <w:jc w:val="left"/>
              <w:cnfStyle w:val="000000000000" w:firstRow="0" w:lastRow="0" w:firstColumn="0" w:lastColumn="0" w:oddVBand="0" w:evenVBand="0" w:oddHBand="0" w:evenHBand="0" w:firstRowFirstColumn="0" w:firstRowLastColumn="0" w:lastRowFirstColumn="0" w:lastRowLastColumn="0"/>
            </w:pPr>
            <w:r w:rsidRPr="0020762B">
              <w:rPr>
                <w:i/>
                <w:iCs/>
              </w:rPr>
              <w:t xml:space="preserve">BRAF </w:t>
            </w:r>
            <w:r w:rsidRPr="00965823">
              <w:rPr>
                <w:iCs/>
              </w:rPr>
              <w:t>V600E</w:t>
            </w:r>
            <w:r w:rsidRPr="0020762B">
              <w:t xml:space="preserve"> variant testing</w:t>
            </w:r>
            <w:r w:rsidRPr="0020762B">
              <w:rPr>
                <w:vertAlign w:val="superscript"/>
              </w:rPr>
              <w:t>b</w:t>
            </w:r>
            <w:r w:rsidRPr="0020762B">
              <w:t xml:space="preserve"> involves taking a biopsy of the mCRC tumour and performing DNA extraction and assay.</w:t>
            </w:r>
            <w:r w:rsidRPr="0020762B">
              <w:rPr>
                <w:vertAlign w:val="superscript"/>
              </w:rPr>
              <w:t>c</w:t>
            </w:r>
          </w:p>
          <w:p w14:paraId="47EED5DB" w14:textId="77777777" w:rsidR="008D4DD3" w:rsidRPr="0020762B" w:rsidRDefault="008D4DD3" w:rsidP="00EA1DA0">
            <w:pPr>
              <w:pStyle w:val="TableText"/>
              <w:keepNext/>
              <w:widowControl/>
              <w:jc w:val="left"/>
              <w:cnfStyle w:val="000000000000" w:firstRow="0" w:lastRow="0" w:firstColumn="0" w:lastColumn="0" w:oddVBand="0" w:evenVBand="0" w:oddHBand="0" w:evenHBand="0" w:firstRowFirstColumn="0" w:firstRowLastColumn="0" w:lastRowFirstColumn="0" w:lastRowLastColumn="0"/>
            </w:pPr>
            <w:r w:rsidRPr="0020762B">
              <w:t>Medicine: Treatment with encorafenib [in combination with an EGFR inhibitor such as cetuximab] (also known as a doublet-therapy group).</w:t>
            </w:r>
            <w:r w:rsidRPr="0020762B">
              <w:rPr>
                <w:vertAlign w:val="superscript"/>
              </w:rPr>
              <w:t>d</w:t>
            </w:r>
          </w:p>
        </w:tc>
      </w:tr>
      <w:tr w:rsidR="008D4DD3" w:rsidRPr="0020762B" w14:paraId="4322D5D4" w14:textId="77777777" w:rsidTr="00EA1DA0">
        <w:tc>
          <w:tcPr>
            <w:cnfStyle w:val="001000000000" w:firstRow="0" w:lastRow="0" w:firstColumn="1" w:lastColumn="0" w:oddVBand="0" w:evenVBand="0" w:oddHBand="0" w:evenHBand="0" w:firstRowFirstColumn="0" w:firstRowLastColumn="0" w:lastRowFirstColumn="0" w:lastRowLastColumn="0"/>
            <w:tcW w:w="1271" w:type="dxa"/>
          </w:tcPr>
          <w:p w14:paraId="799C6514" w14:textId="77777777" w:rsidR="008D4DD3" w:rsidRPr="0020762B" w:rsidRDefault="008D4DD3" w:rsidP="00EA1DA0">
            <w:pPr>
              <w:pStyle w:val="TableText"/>
              <w:keepNext/>
              <w:widowControl/>
            </w:pPr>
            <w:r w:rsidRPr="0020762B">
              <w:t>Comparator</w:t>
            </w:r>
          </w:p>
        </w:tc>
        <w:tc>
          <w:tcPr>
            <w:tcW w:w="7745" w:type="dxa"/>
          </w:tcPr>
          <w:p w14:paraId="7FDEAD18" w14:textId="77777777" w:rsidR="008D4DD3" w:rsidRPr="0020762B" w:rsidRDefault="008D4DD3" w:rsidP="00EA1DA0">
            <w:pPr>
              <w:pStyle w:val="TableText"/>
              <w:keepNext/>
              <w:widowControl/>
              <w:jc w:val="left"/>
              <w:cnfStyle w:val="000000000000" w:firstRow="0" w:lastRow="0" w:firstColumn="0" w:lastColumn="0" w:oddVBand="0" w:evenVBand="0" w:oddHBand="0" w:evenHBand="0" w:firstRowFirstColumn="0" w:firstRowLastColumn="0" w:lastRowFirstColumn="0" w:lastRowLastColumn="0"/>
            </w:pPr>
            <w:r w:rsidRPr="0020762B">
              <w:t xml:space="preserve">Test: No testing, i.e. MBS item 73338 in its current format, which has no explicit inclusion of </w:t>
            </w:r>
            <w:r w:rsidRPr="0020762B">
              <w:rPr>
                <w:i/>
                <w:iCs/>
              </w:rPr>
              <w:t xml:space="preserve">BRAF </w:t>
            </w:r>
            <w:r w:rsidRPr="00965823">
              <w:rPr>
                <w:iCs/>
              </w:rPr>
              <w:t>V600E</w:t>
            </w:r>
            <w:r w:rsidRPr="0020762B">
              <w:t xml:space="preserve"> variant testing in mCRC, and no reference to encorafenib.</w:t>
            </w:r>
          </w:p>
          <w:p w14:paraId="1CA3633D" w14:textId="77777777" w:rsidR="008D4DD3" w:rsidRPr="0020762B" w:rsidRDefault="008D4DD3" w:rsidP="00EA1DA0">
            <w:pPr>
              <w:pStyle w:val="TableText"/>
              <w:keepNext/>
              <w:widowControl/>
              <w:jc w:val="left"/>
              <w:cnfStyle w:val="000000000000" w:firstRow="0" w:lastRow="0" w:firstColumn="0" w:lastColumn="0" w:oddVBand="0" w:evenVBand="0" w:oddHBand="0" w:evenHBand="0" w:firstRowFirstColumn="0" w:firstRowLastColumn="0" w:lastRowFirstColumn="0" w:lastRowLastColumn="0"/>
            </w:pPr>
            <w:r>
              <w:t xml:space="preserve">Medicine: </w:t>
            </w:r>
            <w:r w:rsidRPr="0020762B">
              <w:t xml:space="preserve">FOLFIRI + cetuximab or irinotecan + cetuximab. </w:t>
            </w:r>
          </w:p>
        </w:tc>
      </w:tr>
      <w:tr w:rsidR="008D4DD3" w:rsidRPr="0020762B" w14:paraId="5B135A32" w14:textId="77777777" w:rsidTr="00EA1DA0">
        <w:tc>
          <w:tcPr>
            <w:cnfStyle w:val="001000000000" w:firstRow="0" w:lastRow="0" w:firstColumn="1" w:lastColumn="0" w:oddVBand="0" w:evenVBand="0" w:oddHBand="0" w:evenHBand="0" w:firstRowFirstColumn="0" w:firstRowLastColumn="0" w:lastRowFirstColumn="0" w:lastRowLastColumn="0"/>
            <w:tcW w:w="1271" w:type="dxa"/>
          </w:tcPr>
          <w:p w14:paraId="2A720879" w14:textId="77777777" w:rsidR="008D4DD3" w:rsidRPr="0020762B" w:rsidRDefault="008D4DD3" w:rsidP="00EA1DA0">
            <w:pPr>
              <w:pStyle w:val="TableText"/>
              <w:keepNext/>
              <w:widowControl/>
            </w:pPr>
            <w:r w:rsidRPr="0020762B">
              <w:t>Outcomes</w:t>
            </w:r>
          </w:p>
        </w:tc>
        <w:tc>
          <w:tcPr>
            <w:tcW w:w="7745" w:type="dxa"/>
          </w:tcPr>
          <w:p w14:paraId="73BBD75B" w14:textId="77777777" w:rsidR="008D4DD3" w:rsidRPr="0020762B" w:rsidRDefault="008D4DD3" w:rsidP="00EA1DA0">
            <w:pPr>
              <w:pStyle w:val="TableText"/>
              <w:keepNext/>
              <w:widowControl/>
              <w:jc w:val="left"/>
              <w:cnfStyle w:val="000000000000" w:firstRow="0" w:lastRow="0" w:firstColumn="0" w:lastColumn="0" w:oddVBand="0" w:evenVBand="0" w:oddHBand="0" w:evenHBand="0" w:firstRowFirstColumn="0" w:firstRowLastColumn="0" w:lastRowFirstColumn="0" w:lastRowLastColumn="0"/>
            </w:pPr>
            <w:r w:rsidRPr="0020762B">
              <w:t xml:space="preserve">Test: Concordance between the evidentiary standard and other </w:t>
            </w:r>
            <w:r w:rsidRPr="0020762B">
              <w:rPr>
                <w:i/>
                <w:iCs/>
              </w:rPr>
              <w:t xml:space="preserve">BRAF </w:t>
            </w:r>
            <w:r w:rsidRPr="00965823">
              <w:rPr>
                <w:iCs/>
              </w:rPr>
              <w:t>V600E</w:t>
            </w:r>
            <w:r w:rsidRPr="0020762B">
              <w:t xml:space="preserve"> variant testing methods likely to be used in Australia.</w:t>
            </w:r>
          </w:p>
          <w:p w14:paraId="0841B041" w14:textId="77777777" w:rsidR="008D4DD3" w:rsidRPr="0020762B" w:rsidRDefault="008D4DD3" w:rsidP="00EA1DA0">
            <w:pPr>
              <w:pStyle w:val="TableText"/>
              <w:keepNext/>
              <w:widowControl/>
              <w:jc w:val="left"/>
              <w:cnfStyle w:val="000000000000" w:firstRow="0" w:lastRow="0" w:firstColumn="0" w:lastColumn="0" w:oddVBand="0" w:evenVBand="0" w:oddHBand="0" w:evenHBand="0" w:firstRowFirstColumn="0" w:firstRowLastColumn="0" w:lastRowFirstColumn="0" w:lastRowLastColumn="0"/>
            </w:pPr>
            <w:r w:rsidRPr="0020762B">
              <w:t xml:space="preserve">Medicine: OS, ORR, PFS, health-related quality of life and adverse events associated with treatment. </w:t>
            </w:r>
          </w:p>
        </w:tc>
      </w:tr>
      <w:tr w:rsidR="008D4DD3" w:rsidRPr="0020762B" w14:paraId="397BAFE8" w14:textId="77777777" w:rsidTr="00EA1DA0">
        <w:tc>
          <w:tcPr>
            <w:cnfStyle w:val="001000000000" w:firstRow="0" w:lastRow="0" w:firstColumn="1" w:lastColumn="0" w:oddVBand="0" w:evenVBand="0" w:oddHBand="0" w:evenHBand="0" w:firstRowFirstColumn="0" w:firstRowLastColumn="0" w:lastRowFirstColumn="0" w:lastRowLastColumn="0"/>
            <w:tcW w:w="1271" w:type="dxa"/>
          </w:tcPr>
          <w:p w14:paraId="10780CEE" w14:textId="77777777" w:rsidR="008D4DD3" w:rsidRPr="0020762B" w:rsidRDefault="008D4DD3" w:rsidP="00EA1DA0">
            <w:pPr>
              <w:pStyle w:val="TableText"/>
              <w:keepNext/>
              <w:widowControl/>
            </w:pPr>
            <w:r w:rsidRPr="0020762B">
              <w:t>Clinical claim</w:t>
            </w:r>
          </w:p>
        </w:tc>
        <w:tc>
          <w:tcPr>
            <w:tcW w:w="7745" w:type="dxa"/>
          </w:tcPr>
          <w:p w14:paraId="6894B4FD" w14:textId="77777777" w:rsidR="008D4DD3" w:rsidRPr="0020762B" w:rsidRDefault="008D4DD3" w:rsidP="00EA1DA0">
            <w:pPr>
              <w:pStyle w:val="TableText"/>
              <w:keepNext/>
              <w:widowControl/>
              <w:jc w:val="left"/>
              <w:cnfStyle w:val="000000000000" w:firstRow="0" w:lastRow="0" w:firstColumn="0" w:lastColumn="0" w:oddVBand="0" w:evenVBand="0" w:oddHBand="0" w:evenHBand="0" w:firstRowFirstColumn="0" w:firstRowLastColumn="0" w:lastRowFirstColumn="0" w:lastRowLastColumn="0"/>
            </w:pPr>
            <w:r w:rsidRPr="0020762B">
              <w:t xml:space="preserve">Test: </w:t>
            </w:r>
            <w:r w:rsidRPr="0020762B">
              <w:rPr>
                <w:i/>
                <w:iCs/>
              </w:rPr>
              <w:t xml:space="preserve">BRAF </w:t>
            </w:r>
            <w:r w:rsidRPr="00965823">
              <w:rPr>
                <w:iCs/>
              </w:rPr>
              <w:t>V600E</w:t>
            </w:r>
            <w:r w:rsidRPr="0020762B">
              <w:t xml:space="preserve"> variant testing methods likely to be used in Australia are concordant.</w:t>
            </w:r>
          </w:p>
          <w:p w14:paraId="2BF04665" w14:textId="77777777" w:rsidR="008D4DD3" w:rsidRPr="0020762B" w:rsidRDefault="008D4DD3" w:rsidP="00EA1DA0">
            <w:pPr>
              <w:pStyle w:val="TableText"/>
              <w:keepNext/>
              <w:widowControl/>
              <w:jc w:val="left"/>
              <w:cnfStyle w:val="000000000000" w:firstRow="0" w:lastRow="0" w:firstColumn="0" w:lastColumn="0" w:oddVBand="0" w:evenVBand="0" w:oddHBand="0" w:evenHBand="0" w:firstRowFirstColumn="0" w:firstRowLastColumn="0" w:lastRowFirstColumn="0" w:lastRowLastColumn="0"/>
            </w:pPr>
            <w:r w:rsidRPr="0020762B">
              <w:t>Medicine: Encorafenib in combination with an anti-EGFR agent such as cetuximab</w:t>
            </w:r>
            <w:r w:rsidRPr="0020762B">
              <w:rPr>
                <w:vertAlign w:val="superscript"/>
              </w:rPr>
              <w:t>d</w:t>
            </w:r>
            <w:r w:rsidRPr="0020762B">
              <w:t>, is superior in terms of effectiveness compared with FOLFIRI + cetuximab or irinotecan + cetuximab.</w:t>
            </w:r>
          </w:p>
          <w:p w14:paraId="3BC96D87" w14:textId="77777777" w:rsidR="008D4DD3" w:rsidRPr="0020762B" w:rsidRDefault="008D4DD3" w:rsidP="00EA1DA0">
            <w:pPr>
              <w:pStyle w:val="TableText"/>
              <w:keepNext/>
              <w:widowControl/>
              <w:jc w:val="left"/>
              <w:cnfStyle w:val="000000000000" w:firstRow="0" w:lastRow="0" w:firstColumn="0" w:lastColumn="0" w:oddVBand="0" w:evenVBand="0" w:oddHBand="0" w:evenHBand="0" w:firstRowFirstColumn="0" w:firstRowLastColumn="0" w:lastRowFirstColumn="0" w:lastRowLastColumn="0"/>
            </w:pPr>
            <w:r w:rsidRPr="0020762B">
              <w:t>Encorafenib in combination with an anti-EGFR agent such as cetuximab</w:t>
            </w:r>
            <w:r w:rsidRPr="0020762B">
              <w:rPr>
                <w:vertAlign w:val="superscript"/>
              </w:rPr>
              <w:t>d</w:t>
            </w:r>
            <w:r w:rsidRPr="0020762B">
              <w:t>, demonstrated a manageable tolerability profile and is superior in terms of safety compared with FOLFIRI + cetux</w:t>
            </w:r>
            <w:r>
              <w:t>imab or irinotecan + cetuximab.</w:t>
            </w:r>
          </w:p>
        </w:tc>
      </w:tr>
    </w:tbl>
    <w:p w14:paraId="59182548" w14:textId="77777777" w:rsidR="008D4DD3" w:rsidRDefault="008D4DD3" w:rsidP="008D4DD3">
      <w:pPr>
        <w:spacing w:after="240"/>
        <w:contextualSpacing/>
        <w:rPr>
          <w:rFonts w:ascii="Arial Narrow" w:hAnsi="Arial Narrow" w:cs="Arial"/>
          <w:snapToGrid w:val="0"/>
          <w:sz w:val="18"/>
        </w:rPr>
      </w:pPr>
      <w:r w:rsidRPr="0020762B">
        <w:rPr>
          <w:rFonts w:ascii="Arial Narrow" w:hAnsi="Arial Narrow" w:cs="Arial"/>
          <w:snapToGrid w:val="0"/>
          <w:sz w:val="18"/>
        </w:rPr>
        <w:t xml:space="preserve">Source: Table </w:t>
      </w:r>
      <w:r>
        <w:rPr>
          <w:rFonts w:ascii="Arial Narrow" w:hAnsi="Arial Narrow" w:cs="Arial"/>
          <w:snapToGrid w:val="0"/>
          <w:sz w:val="18"/>
        </w:rPr>
        <w:t>1-1, p 23-24 of the submission.</w:t>
      </w:r>
    </w:p>
    <w:p w14:paraId="0E5B185F" w14:textId="77777777" w:rsidR="008D4DD3" w:rsidRPr="0020762B" w:rsidRDefault="008D4DD3" w:rsidP="008D4DD3">
      <w:pPr>
        <w:spacing w:after="240"/>
        <w:contextualSpacing/>
        <w:rPr>
          <w:rFonts w:ascii="Arial Narrow" w:hAnsi="Arial Narrow" w:cs="Arial"/>
          <w:snapToGrid w:val="0"/>
          <w:sz w:val="18"/>
        </w:rPr>
      </w:pPr>
      <w:r w:rsidRPr="0020762B">
        <w:rPr>
          <w:rFonts w:ascii="Arial Narrow" w:hAnsi="Arial Narrow" w:cs="Arial"/>
          <w:snapToGrid w:val="0"/>
          <w:sz w:val="18"/>
        </w:rPr>
        <w:t>Abbreviations: BRAF = B-rapidly accelerated fibrosarcoma; EGFR = epidermal growth factor receptor; FOLFIRI = 5-fluorouracil/folinic acid/irinotecan; FOLFOX = 5-fluoracil/folinic acid/oxaliplatin; MBS = Medicare Benefits Schedule; mCRC = metastatic colorectal cancer; ORR = objective response rate; OS = overall survival; P</w:t>
      </w:r>
      <w:r>
        <w:rPr>
          <w:rFonts w:ascii="Arial Narrow" w:hAnsi="Arial Narrow" w:cs="Arial"/>
          <w:snapToGrid w:val="0"/>
          <w:sz w:val="18"/>
        </w:rPr>
        <w:t>FS = progression-free survival.</w:t>
      </w:r>
    </w:p>
    <w:p w14:paraId="57C2A67D" w14:textId="77777777" w:rsidR="008D4DD3" w:rsidRPr="0020762B" w:rsidRDefault="008D4DD3" w:rsidP="008D4DD3">
      <w:pPr>
        <w:spacing w:after="240"/>
        <w:contextualSpacing/>
        <w:rPr>
          <w:rFonts w:ascii="Arial Narrow" w:hAnsi="Arial Narrow" w:cs="Arial"/>
          <w:snapToGrid w:val="0"/>
          <w:sz w:val="18"/>
        </w:rPr>
      </w:pPr>
      <w:r w:rsidRPr="0020762B">
        <w:rPr>
          <w:rFonts w:ascii="Arial Narrow" w:hAnsi="Arial Narrow" w:cs="Arial"/>
          <w:snapToGrid w:val="0"/>
          <w:sz w:val="18"/>
          <w:vertAlign w:val="superscript"/>
        </w:rPr>
        <w:t>a</w:t>
      </w:r>
      <w:r w:rsidRPr="0020762B">
        <w:rPr>
          <w:rFonts w:ascii="Arial Narrow" w:hAnsi="Arial Narrow" w:cs="Arial"/>
          <w:snapToGrid w:val="0"/>
          <w:sz w:val="18"/>
        </w:rPr>
        <w:t xml:space="preserve"> Key exclusion criteria included no prior treatment with any rapidly accelerated fibrosarcoma (RAF) inhibitor, mitogen-activated protein kinase (MEK) inhibitor, cetuximab, panitumumab or other EGFR inhibitors.</w:t>
      </w:r>
    </w:p>
    <w:p w14:paraId="6179E92B" w14:textId="77777777" w:rsidR="008D4DD3" w:rsidRPr="0020762B" w:rsidRDefault="008D4DD3" w:rsidP="008D4DD3">
      <w:pPr>
        <w:spacing w:after="240"/>
        <w:contextualSpacing/>
        <w:rPr>
          <w:rFonts w:ascii="Arial Narrow" w:hAnsi="Arial Narrow" w:cs="Arial"/>
          <w:snapToGrid w:val="0"/>
          <w:sz w:val="18"/>
        </w:rPr>
      </w:pPr>
      <w:r w:rsidRPr="0020762B">
        <w:rPr>
          <w:rFonts w:ascii="Arial Narrow" w:hAnsi="Arial Narrow" w:cs="Arial"/>
          <w:snapToGrid w:val="0"/>
          <w:sz w:val="18"/>
          <w:vertAlign w:val="superscript"/>
        </w:rPr>
        <w:t>b</w:t>
      </w:r>
      <w:r w:rsidRPr="0020762B">
        <w:rPr>
          <w:rFonts w:ascii="Arial Narrow" w:hAnsi="Arial Narrow" w:cs="Arial"/>
          <w:snapToGrid w:val="0"/>
          <w:sz w:val="18"/>
        </w:rPr>
        <w:t xml:space="preserve"> Upon the amendment of MBS item 73338, to include </w:t>
      </w:r>
      <w:r w:rsidRPr="0020762B">
        <w:rPr>
          <w:rFonts w:ascii="Arial Narrow" w:hAnsi="Arial Narrow" w:cs="Arial"/>
          <w:i/>
          <w:iCs/>
          <w:snapToGrid w:val="0"/>
          <w:sz w:val="18"/>
        </w:rPr>
        <w:t xml:space="preserve">BRAF </w:t>
      </w:r>
      <w:r w:rsidRPr="00965823">
        <w:rPr>
          <w:rFonts w:ascii="Arial Narrow" w:hAnsi="Arial Narrow" w:cs="Arial"/>
          <w:iCs/>
          <w:snapToGrid w:val="0"/>
          <w:sz w:val="18"/>
        </w:rPr>
        <w:t>V600E</w:t>
      </w:r>
      <w:r w:rsidRPr="0020762B">
        <w:rPr>
          <w:rFonts w:ascii="Arial Narrow" w:hAnsi="Arial Narrow" w:cs="Arial"/>
          <w:i/>
          <w:snapToGrid w:val="0"/>
          <w:sz w:val="18"/>
        </w:rPr>
        <w:t xml:space="preserve"> </w:t>
      </w:r>
      <w:r w:rsidRPr="0020762B">
        <w:rPr>
          <w:rFonts w:ascii="Arial Narrow" w:hAnsi="Arial Narrow" w:cs="Arial"/>
          <w:snapToGrid w:val="0"/>
          <w:sz w:val="18"/>
        </w:rPr>
        <w:t xml:space="preserve">testing alongside </w:t>
      </w:r>
      <w:r w:rsidRPr="0020762B">
        <w:rPr>
          <w:rFonts w:ascii="Arial Narrow" w:hAnsi="Arial Narrow" w:cs="Arial"/>
          <w:i/>
          <w:iCs/>
          <w:snapToGrid w:val="0"/>
          <w:sz w:val="18"/>
        </w:rPr>
        <w:t>RAS</w:t>
      </w:r>
      <w:r w:rsidRPr="0020762B">
        <w:rPr>
          <w:rFonts w:ascii="Arial Narrow" w:hAnsi="Arial Narrow" w:cs="Arial"/>
          <w:i/>
          <w:snapToGrid w:val="0"/>
          <w:sz w:val="18"/>
        </w:rPr>
        <w:t xml:space="preserve"> </w:t>
      </w:r>
      <w:r w:rsidRPr="0020762B">
        <w:rPr>
          <w:rFonts w:ascii="Arial Narrow" w:hAnsi="Arial Narrow" w:cs="Arial"/>
          <w:snapToGrid w:val="0"/>
          <w:sz w:val="18"/>
        </w:rPr>
        <w:t>gene testing.</w:t>
      </w:r>
    </w:p>
    <w:p w14:paraId="1CF2F5B5" w14:textId="77777777" w:rsidR="008D4DD3" w:rsidRPr="0020762B" w:rsidRDefault="008D4DD3" w:rsidP="008D4DD3">
      <w:pPr>
        <w:spacing w:after="240"/>
        <w:contextualSpacing/>
        <w:rPr>
          <w:rFonts w:ascii="Arial Narrow" w:hAnsi="Arial Narrow" w:cs="Arial"/>
          <w:snapToGrid w:val="0"/>
          <w:sz w:val="18"/>
        </w:rPr>
      </w:pPr>
      <w:r w:rsidRPr="0020762B">
        <w:rPr>
          <w:rFonts w:ascii="Arial Narrow" w:hAnsi="Arial Narrow" w:cs="Arial"/>
          <w:snapToGrid w:val="0"/>
          <w:sz w:val="18"/>
          <w:vertAlign w:val="superscript"/>
        </w:rPr>
        <w:t>c</w:t>
      </w:r>
      <w:r w:rsidRPr="0020762B">
        <w:rPr>
          <w:rFonts w:ascii="Arial Narrow" w:hAnsi="Arial Narrow" w:cs="Arial"/>
          <w:snapToGrid w:val="0"/>
          <w:sz w:val="18"/>
        </w:rPr>
        <w:t xml:space="preserve"> Such as polymerase chain reaction (PCR) based assays, Sanger sequencing, or next generation sequencing (NGS).</w:t>
      </w:r>
    </w:p>
    <w:p w14:paraId="2FC8E77D" w14:textId="77777777" w:rsidR="008D4DD3" w:rsidRPr="003459FE" w:rsidRDefault="008D4DD3" w:rsidP="00BF02F5">
      <w:pPr>
        <w:spacing w:after="240"/>
        <w:rPr>
          <w:rFonts w:ascii="Arial Narrow" w:hAnsi="Arial Narrow" w:cs="Arial"/>
          <w:snapToGrid w:val="0"/>
          <w:sz w:val="18"/>
        </w:rPr>
      </w:pPr>
      <w:r w:rsidRPr="003459FE">
        <w:rPr>
          <w:rFonts w:ascii="Arial Narrow" w:hAnsi="Arial Narrow" w:cs="Arial"/>
          <w:snapToGrid w:val="0"/>
          <w:sz w:val="18"/>
          <w:vertAlign w:val="superscript"/>
        </w:rPr>
        <w:t xml:space="preserve">d </w:t>
      </w:r>
      <w:r w:rsidRPr="003459FE">
        <w:rPr>
          <w:rFonts w:ascii="Arial Narrow" w:hAnsi="Arial Narrow" w:cs="Arial"/>
          <w:snapToGrid w:val="0"/>
          <w:color w:val="000000"/>
          <w:sz w:val="18"/>
        </w:rPr>
        <w:t>The clinical evidence in support of the effectiveness and safety was based on information for encorafenib + cetuximab and not in combination with any other EGFR inhibitor (such as panitumumab).</w:t>
      </w:r>
    </w:p>
    <w:p w14:paraId="37EB4D47" w14:textId="29B493B1" w:rsidR="005D1DD3" w:rsidRPr="005D1DD3" w:rsidRDefault="005D1DD3" w:rsidP="00BF02F5">
      <w:pPr>
        <w:spacing w:after="240"/>
        <w:rPr>
          <w:rFonts w:eastAsia="Calibri" w:cs="Arial"/>
          <w:szCs w:val="22"/>
          <w:lang w:eastAsia="en-US"/>
        </w:rPr>
      </w:pPr>
      <w:r w:rsidRPr="005D1DD3">
        <w:rPr>
          <w:rFonts w:eastAsia="Calibri" w:cs="Arial"/>
          <w:szCs w:val="22"/>
          <w:lang w:eastAsia="en-US"/>
        </w:rPr>
        <w:t xml:space="preserve">The submission stated that approximately 50% of new patients with CRC (stage I, II, III) will progress to mCRC during the course of their disease. Of mCRC patients, approximately 55% are </w:t>
      </w:r>
      <w:r w:rsidRPr="005D1DD3">
        <w:rPr>
          <w:rFonts w:eastAsia="Calibri" w:cs="Arial"/>
          <w:i/>
          <w:iCs/>
          <w:szCs w:val="22"/>
          <w:lang w:eastAsia="en-US"/>
        </w:rPr>
        <w:t xml:space="preserve">RAS </w:t>
      </w:r>
      <w:r w:rsidR="00206DA9">
        <w:rPr>
          <w:rFonts w:eastAsia="Calibri" w:cs="Arial"/>
          <w:szCs w:val="22"/>
          <w:lang w:eastAsia="en-US"/>
        </w:rPr>
        <w:t xml:space="preserve">wild type </w:t>
      </w:r>
      <w:r w:rsidRPr="005D1DD3">
        <w:rPr>
          <w:rFonts w:eastAsia="Calibri" w:cs="Arial"/>
          <w:szCs w:val="22"/>
          <w:lang w:eastAsia="en-US"/>
        </w:rPr>
        <w:t xml:space="preserve">and 45% have a </w:t>
      </w:r>
      <w:r w:rsidRPr="005D1DD3">
        <w:rPr>
          <w:rFonts w:eastAsia="Calibri" w:cs="Arial"/>
          <w:i/>
          <w:iCs/>
          <w:szCs w:val="22"/>
          <w:lang w:eastAsia="en-US"/>
        </w:rPr>
        <w:t>RAS</w:t>
      </w:r>
      <w:r w:rsidRPr="005D1DD3">
        <w:rPr>
          <w:rFonts w:eastAsia="Calibri" w:cs="Arial"/>
          <w:szCs w:val="22"/>
          <w:lang w:eastAsia="en-US"/>
        </w:rPr>
        <w:t xml:space="preserve"> pathogenic variant. The </w:t>
      </w:r>
      <w:r w:rsidRPr="005D1DD3">
        <w:rPr>
          <w:rFonts w:eastAsia="Calibri" w:cs="Arial"/>
          <w:i/>
          <w:iCs/>
          <w:szCs w:val="22"/>
          <w:lang w:eastAsia="en-US"/>
        </w:rPr>
        <w:t>BRAF</w:t>
      </w:r>
      <w:r w:rsidRPr="005D1DD3">
        <w:rPr>
          <w:rFonts w:eastAsia="Calibri" w:cs="Arial"/>
          <w:szCs w:val="22"/>
          <w:lang w:eastAsia="en-US"/>
        </w:rPr>
        <w:t xml:space="preserve"> variant, a sub-category of </w:t>
      </w:r>
      <w:r w:rsidRPr="005D1DD3">
        <w:rPr>
          <w:rFonts w:eastAsia="Calibri" w:cs="Arial"/>
          <w:i/>
          <w:iCs/>
          <w:szCs w:val="22"/>
          <w:lang w:eastAsia="en-US"/>
        </w:rPr>
        <w:t xml:space="preserve">RAS </w:t>
      </w:r>
      <w:r w:rsidR="00206DA9">
        <w:rPr>
          <w:rFonts w:eastAsia="Calibri" w:cs="Arial"/>
          <w:szCs w:val="22"/>
          <w:lang w:eastAsia="en-US"/>
        </w:rPr>
        <w:t xml:space="preserve">wild type, </w:t>
      </w:r>
      <w:r w:rsidRPr="005D1DD3">
        <w:rPr>
          <w:rFonts w:eastAsia="Calibri" w:cs="Arial"/>
          <w:szCs w:val="22"/>
          <w:lang w:eastAsia="en-US"/>
        </w:rPr>
        <w:t xml:space="preserve">is a different pathogenic genetic variant, </w:t>
      </w:r>
      <w:r w:rsidR="00206DA9">
        <w:rPr>
          <w:rFonts w:eastAsia="Calibri" w:cs="Arial"/>
          <w:szCs w:val="22"/>
          <w:lang w:eastAsia="en-US"/>
        </w:rPr>
        <w:t>and</w:t>
      </w:r>
      <w:r w:rsidRPr="005D1DD3">
        <w:rPr>
          <w:rFonts w:eastAsia="Calibri" w:cs="Arial"/>
          <w:szCs w:val="22"/>
          <w:lang w:eastAsia="en-US"/>
        </w:rPr>
        <w:t xml:space="preserve"> accounts for around 10% of patients with mCRC in clinical trials. Within </w:t>
      </w:r>
      <w:r w:rsidRPr="005D1DD3">
        <w:rPr>
          <w:rFonts w:eastAsia="Calibri" w:cs="Arial"/>
          <w:i/>
          <w:iCs/>
          <w:szCs w:val="22"/>
          <w:lang w:eastAsia="en-US"/>
        </w:rPr>
        <w:t>BRAF</w:t>
      </w:r>
      <w:r w:rsidRPr="005D1DD3">
        <w:rPr>
          <w:rFonts w:eastAsia="Calibri" w:cs="Arial"/>
          <w:szCs w:val="22"/>
          <w:lang w:eastAsia="en-US"/>
        </w:rPr>
        <w:t xml:space="preserve"> pathogenic variants in mCRC, </w:t>
      </w:r>
      <w:r w:rsidRPr="005D1DD3">
        <w:rPr>
          <w:rFonts w:eastAsia="Calibri" w:cs="Arial"/>
          <w:i/>
          <w:iCs/>
          <w:szCs w:val="22"/>
          <w:lang w:eastAsia="en-US"/>
        </w:rPr>
        <w:t xml:space="preserve">BRAF </w:t>
      </w:r>
      <w:r w:rsidR="00965823" w:rsidRPr="00965823">
        <w:rPr>
          <w:rFonts w:eastAsia="Calibri" w:cs="Arial"/>
          <w:iCs/>
          <w:szCs w:val="22"/>
          <w:lang w:eastAsia="en-US"/>
        </w:rPr>
        <w:t>V600E</w:t>
      </w:r>
      <w:r w:rsidRPr="005D1DD3">
        <w:rPr>
          <w:rFonts w:eastAsia="Calibri" w:cs="Arial"/>
          <w:szCs w:val="22"/>
          <w:lang w:eastAsia="en-US"/>
        </w:rPr>
        <w:t xml:space="preserve"> accounts for 90-95% of all BRAF variants. Other </w:t>
      </w:r>
      <w:r w:rsidRPr="005D1DD3">
        <w:rPr>
          <w:rFonts w:eastAsia="Calibri" w:cs="Arial"/>
          <w:i/>
          <w:iCs/>
          <w:szCs w:val="22"/>
          <w:lang w:eastAsia="en-US"/>
        </w:rPr>
        <w:t>BRAF</w:t>
      </w:r>
      <w:r w:rsidRPr="005D1DD3">
        <w:rPr>
          <w:rFonts w:eastAsia="Calibri" w:cs="Arial"/>
          <w:szCs w:val="22"/>
          <w:lang w:eastAsia="en-US"/>
        </w:rPr>
        <w:t xml:space="preserve"> variants include </w:t>
      </w:r>
      <w:r w:rsidR="00965823" w:rsidRPr="00965823">
        <w:rPr>
          <w:rFonts w:eastAsia="Calibri" w:cs="Arial"/>
          <w:iCs/>
          <w:szCs w:val="22"/>
          <w:lang w:eastAsia="en-US"/>
        </w:rPr>
        <w:t>V600K</w:t>
      </w:r>
      <w:r w:rsidRPr="005D1DD3">
        <w:rPr>
          <w:rFonts w:eastAsia="Calibri" w:cs="Arial"/>
          <w:iCs/>
          <w:szCs w:val="22"/>
          <w:lang w:eastAsia="en-US"/>
        </w:rPr>
        <w:t>,</w:t>
      </w:r>
      <w:r w:rsidRPr="005D1DD3">
        <w:rPr>
          <w:rFonts w:eastAsia="Calibri" w:cs="Arial"/>
          <w:i/>
          <w:iCs/>
          <w:szCs w:val="22"/>
          <w:lang w:eastAsia="en-US"/>
        </w:rPr>
        <w:t xml:space="preserve"> </w:t>
      </w:r>
      <w:r w:rsidRPr="008D4DD3">
        <w:rPr>
          <w:rFonts w:eastAsia="Calibri" w:cs="Arial"/>
          <w:iCs/>
          <w:szCs w:val="22"/>
          <w:lang w:eastAsia="en-US"/>
        </w:rPr>
        <w:t>V600R</w:t>
      </w:r>
      <w:r w:rsidRPr="005D1DD3">
        <w:rPr>
          <w:rFonts w:eastAsia="Calibri" w:cs="Arial"/>
          <w:szCs w:val="22"/>
          <w:lang w:eastAsia="en-US"/>
        </w:rPr>
        <w:t xml:space="preserve"> and </w:t>
      </w:r>
      <w:r w:rsidRPr="008D4DD3">
        <w:rPr>
          <w:rFonts w:eastAsia="Calibri" w:cs="Arial"/>
          <w:iCs/>
          <w:szCs w:val="22"/>
          <w:lang w:eastAsia="en-US"/>
        </w:rPr>
        <w:t>V600D</w:t>
      </w:r>
      <w:r w:rsidRPr="005D1DD3">
        <w:rPr>
          <w:rFonts w:eastAsia="Calibri" w:cs="Arial"/>
          <w:szCs w:val="22"/>
          <w:lang w:eastAsia="en-US"/>
        </w:rPr>
        <w:t xml:space="preserve">. The submission noted that the </w:t>
      </w:r>
      <w:r w:rsidRPr="005D1DD3">
        <w:rPr>
          <w:rFonts w:eastAsia="Calibri" w:cs="Arial"/>
          <w:i/>
          <w:iCs/>
          <w:szCs w:val="22"/>
          <w:lang w:eastAsia="en-US"/>
        </w:rPr>
        <w:t xml:space="preserve">BRAF </w:t>
      </w:r>
      <w:r w:rsidRPr="007C3B31">
        <w:rPr>
          <w:rFonts w:eastAsia="Calibri" w:cs="Arial"/>
          <w:iCs/>
          <w:szCs w:val="22"/>
          <w:lang w:eastAsia="en-US"/>
        </w:rPr>
        <w:t>V600</w:t>
      </w:r>
      <w:r w:rsidRPr="00965823">
        <w:rPr>
          <w:rFonts w:eastAsia="Calibri" w:cs="Arial"/>
          <w:szCs w:val="22"/>
          <w:lang w:eastAsia="en-US"/>
        </w:rPr>
        <w:t xml:space="preserve"> </w:t>
      </w:r>
      <w:r w:rsidRPr="005D1DD3">
        <w:rPr>
          <w:rFonts w:eastAsia="Calibri" w:cs="Arial"/>
          <w:szCs w:val="22"/>
          <w:lang w:eastAsia="en-US"/>
        </w:rPr>
        <w:t>variants occur in approximately 10-13% of Australian mCRC patients.</w:t>
      </w:r>
    </w:p>
    <w:p w14:paraId="59006D91" w14:textId="0CFCEC9C" w:rsidR="005D1DD3" w:rsidRPr="005D1DD3" w:rsidRDefault="005D1DD3" w:rsidP="005D1DD3">
      <w:pPr>
        <w:spacing w:after="240"/>
        <w:rPr>
          <w:rFonts w:eastAsia="Calibri" w:cs="Arial"/>
          <w:szCs w:val="22"/>
          <w:lang w:eastAsia="en-US"/>
        </w:rPr>
      </w:pPr>
      <w:r w:rsidRPr="005D1DD3">
        <w:rPr>
          <w:rFonts w:eastAsia="Calibri" w:cs="Arial"/>
          <w:szCs w:val="22"/>
          <w:lang w:eastAsia="en-US"/>
        </w:rPr>
        <w:t xml:space="preserve">The target population for the </w:t>
      </w:r>
      <w:r w:rsidRPr="005D1DD3">
        <w:rPr>
          <w:rFonts w:eastAsia="Calibri" w:cs="Arial"/>
          <w:i/>
          <w:iCs/>
          <w:szCs w:val="22"/>
          <w:lang w:eastAsia="en-US"/>
        </w:rPr>
        <w:t xml:space="preserve">BRAF </w:t>
      </w:r>
      <w:r w:rsidR="00965823" w:rsidRPr="00965823">
        <w:rPr>
          <w:rFonts w:eastAsia="Calibri" w:cs="Arial"/>
          <w:iCs/>
          <w:szCs w:val="22"/>
          <w:lang w:eastAsia="en-US"/>
        </w:rPr>
        <w:t>V600E</w:t>
      </w:r>
      <w:r w:rsidRPr="005D1DD3">
        <w:rPr>
          <w:rFonts w:eastAsia="Calibri" w:cs="Arial"/>
          <w:szCs w:val="22"/>
          <w:lang w:eastAsia="en-US"/>
        </w:rPr>
        <w:t xml:space="preserve"> genetic test is all patients newly diagnosed with mCRC. The biomarker, the </w:t>
      </w:r>
      <w:r w:rsidRPr="005D1DD3">
        <w:rPr>
          <w:rFonts w:eastAsia="Calibri" w:cs="Arial"/>
          <w:i/>
          <w:iCs/>
          <w:szCs w:val="22"/>
          <w:lang w:eastAsia="en-US"/>
        </w:rPr>
        <w:t xml:space="preserve">BRAF </w:t>
      </w:r>
      <w:r w:rsidR="00965823" w:rsidRPr="00965823">
        <w:rPr>
          <w:rFonts w:eastAsia="Calibri" w:cs="Arial"/>
          <w:iCs/>
          <w:szCs w:val="22"/>
          <w:lang w:eastAsia="en-US"/>
        </w:rPr>
        <w:t>V600E</w:t>
      </w:r>
      <w:r w:rsidRPr="005D1DD3">
        <w:rPr>
          <w:rFonts w:eastAsia="Calibri" w:cs="Arial"/>
          <w:szCs w:val="22"/>
          <w:lang w:eastAsia="en-US"/>
        </w:rPr>
        <w:t xml:space="preserve"> variant, </w:t>
      </w:r>
      <w:r w:rsidR="00206DA9" w:rsidRPr="005D1DD3">
        <w:rPr>
          <w:rFonts w:eastAsia="Calibri" w:cs="Arial"/>
          <w:szCs w:val="22"/>
          <w:lang w:eastAsia="en-US"/>
        </w:rPr>
        <w:t>where a valine-to-glutamate change occurs at position 600</w:t>
      </w:r>
      <w:r w:rsidR="00206DA9">
        <w:rPr>
          <w:rFonts w:eastAsia="Calibri" w:cs="Arial"/>
          <w:szCs w:val="22"/>
          <w:lang w:eastAsia="en-US"/>
        </w:rPr>
        <w:t xml:space="preserve">, </w:t>
      </w:r>
      <w:r w:rsidRPr="005D1DD3">
        <w:rPr>
          <w:rFonts w:eastAsia="Calibri" w:cs="Arial"/>
          <w:szCs w:val="22"/>
          <w:lang w:eastAsia="en-US"/>
        </w:rPr>
        <w:t xml:space="preserve">is characterised by increased kinase activity in the BRAF </w:t>
      </w:r>
      <w:r w:rsidR="00206DA9">
        <w:rPr>
          <w:rFonts w:eastAsia="Calibri" w:cs="Arial"/>
          <w:szCs w:val="22"/>
          <w:lang w:eastAsia="en-US"/>
        </w:rPr>
        <w:t>protein</w:t>
      </w:r>
      <w:r w:rsidRPr="005D1DD3">
        <w:rPr>
          <w:rFonts w:eastAsia="Calibri" w:cs="Arial"/>
          <w:szCs w:val="22"/>
          <w:lang w:eastAsia="en-US"/>
        </w:rPr>
        <w:t xml:space="preserve">, a constituent in the EGFR-mediated MAPK pathway. Compared to other mCRC subtypes, the presence of the </w:t>
      </w:r>
      <w:r w:rsidRPr="005D1DD3">
        <w:rPr>
          <w:rFonts w:eastAsia="Calibri" w:cs="Arial"/>
          <w:i/>
          <w:szCs w:val="22"/>
          <w:lang w:eastAsia="en-US"/>
        </w:rPr>
        <w:t xml:space="preserve">BRAF </w:t>
      </w:r>
      <w:r w:rsidR="00965823" w:rsidRPr="00965823">
        <w:rPr>
          <w:rFonts w:eastAsia="Calibri" w:cs="Arial"/>
          <w:szCs w:val="22"/>
          <w:lang w:eastAsia="en-US"/>
        </w:rPr>
        <w:t>V600E</w:t>
      </w:r>
      <w:r w:rsidRPr="005D1DD3">
        <w:rPr>
          <w:rFonts w:eastAsia="Calibri" w:cs="Arial"/>
          <w:szCs w:val="22"/>
          <w:lang w:eastAsia="en-US"/>
        </w:rPr>
        <w:t xml:space="preserve"> variant indicates poor prognosis.</w:t>
      </w:r>
    </w:p>
    <w:p w14:paraId="0078262D" w14:textId="6DCE768A" w:rsidR="005D1DD3" w:rsidRPr="005D1DD3" w:rsidRDefault="005D1DD3" w:rsidP="005D1DD3">
      <w:pPr>
        <w:spacing w:after="240"/>
        <w:rPr>
          <w:rFonts w:eastAsia="Calibri" w:cs="Arial"/>
          <w:szCs w:val="22"/>
          <w:lang w:eastAsia="en-US"/>
        </w:rPr>
      </w:pPr>
      <w:r w:rsidRPr="005D1DD3">
        <w:rPr>
          <w:rFonts w:eastAsia="Calibri" w:cs="Arial"/>
          <w:szCs w:val="22"/>
          <w:lang w:eastAsia="en-US"/>
        </w:rPr>
        <w:t xml:space="preserve">In order to detect the presence of the </w:t>
      </w:r>
      <w:r w:rsidRPr="005D1DD3">
        <w:rPr>
          <w:rFonts w:eastAsia="Calibri" w:cs="Arial"/>
          <w:i/>
          <w:szCs w:val="22"/>
          <w:lang w:eastAsia="en-US"/>
        </w:rPr>
        <w:t xml:space="preserve">BRAF </w:t>
      </w:r>
      <w:r w:rsidR="00965823" w:rsidRPr="00965823">
        <w:rPr>
          <w:rFonts w:eastAsia="Calibri" w:cs="Arial"/>
          <w:szCs w:val="22"/>
          <w:lang w:eastAsia="en-US"/>
        </w:rPr>
        <w:t>V600E</w:t>
      </w:r>
      <w:r w:rsidRPr="005D1DD3">
        <w:rPr>
          <w:rFonts w:eastAsia="Calibri" w:cs="Arial"/>
          <w:szCs w:val="22"/>
          <w:lang w:eastAsia="en-US"/>
        </w:rPr>
        <w:t xml:space="preserve"> variant, the test involves taking a biopsy of the mCRC tumour (often done by the surgeon or oncologist who requests testing) and performing DNA extraction and assay. The procedure is similar to conducting </w:t>
      </w:r>
      <w:r w:rsidRPr="005D1DD3">
        <w:rPr>
          <w:rFonts w:eastAsia="Calibri" w:cs="Arial"/>
          <w:i/>
          <w:iCs/>
          <w:szCs w:val="22"/>
          <w:lang w:eastAsia="en-US"/>
        </w:rPr>
        <w:t>RAS</w:t>
      </w:r>
      <w:r w:rsidRPr="005D1DD3">
        <w:rPr>
          <w:rFonts w:eastAsia="Calibri" w:cs="Arial"/>
          <w:szCs w:val="22"/>
          <w:lang w:eastAsia="en-US"/>
        </w:rPr>
        <w:t xml:space="preserve"> testing in patients with mCRC, as prescribed in MBS item 73338, and the same as conducting </w:t>
      </w:r>
      <w:r w:rsidRPr="005D1DD3">
        <w:rPr>
          <w:rFonts w:eastAsia="Calibri" w:cs="Arial"/>
          <w:i/>
          <w:iCs/>
          <w:szCs w:val="22"/>
          <w:lang w:eastAsia="en-US"/>
        </w:rPr>
        <w:t xml:space="preserve">BRAF </w:t>
      </w:r>
      <w:r w:rsidR="00965823" w:rsidRPr="00965823">
        <w:rPr>
          <w:rFonts w:eastAsia="Calibri" w:cs="Arial"/>
          <w:iCs/>
          <w:szCs w:val="22"/>
          <w:lang w:eastAsia="en-US"/>
        </w:rPr>
        <w:t>V600E</w:t>
      </w:r>
      <w:r w:rsidRPr="005D1DD3">
        <w:rPr>
          <w:rFonts w:eastAsia="Calibri" w:cs="Arial"/>
          <w:szCs w:val="22"/>
          <w:lang w:eastAsia="en-US"/>
        </w:rPr>
        <w:t xml:space="preserve"> testing in patients with metastatic melanoma, as prescribed in MBS item 73336. Examples of assays include next generation sequencing (NGS), polymerase chain reaction (PCR), mass spectrometry (MS), high resolution melti</w:t>
      </w:r>
      <w:r w:rsidR="00206DA9">
        <w:rPr>
          <w:rFonts w:eastAsia="Calibri" w:cs="Arial"/>
          <w:szCs w:val="22"/>
          <w:lang w:eastAsia="en-US"/>
        </w:rPr>
        <w:t>ng (HRM) and Sanger sequencing.</w:t>
      </w:r>
    </w:p>
    <w:p w14:paraId="1C5D3F4D" w14:textId="70DBDCBA" w:rsidR="005D1DD3" w:rsidRPr="005D1DD3" w:rsidRDefault="005D1DD3" w:rsidP="005D1DD3">
      <w:pPr>
        <w:spacing w:after="240"/>
        <w:rPr>
          <w:rFonts w:eastAsia="Calibri" w:cs="Arial"/>
          <w:szCs w:val="22"/>
          <w:lang w:eastAsia="en-US"/>
        </w:rPr>
      </w:pPr>
      <w:r w:rsidRPr="005D1DD3">
        <w:rPr>
          <w:rFonts w:eastAsia="Calibri" w:cs="Arial"/>
          <w:szCs w:val="22"/>
          <w:lang w:eastAsia="en-US"/>
        </w:rPr>
        <w:lastRenderedPageBreak/>
        <w:t xml:space="preserve">The proposed gene testing and treatment pathways for patients with mCRC were based on current diagnostic and treatment pathways for mCRC in the Australian healthcare system. The submission claimed that once mCRC is diagnosed, a patient’s surgeon or oncologist would ordinarily order </w:t>
      </w:r>
      <w:r w:rsidRPr="005D1DD3">
        <w:rPr>
          <w:rFonts w:eastAsia="Calibri" w:cs="Arial"/>
          <w:i/>
          <w:iCs/>
          <w:szCs w:val="22"/>
          <w:lang w:eastAsia="en-US"/>
        </w:rPr>
        <w:t xml:space="preserve">BRAF </w:t>
      </w:r>
      <w:r w:rsidR="00965823" w:rsidRPr="00965823">
        <w:rPr>
          <w:rFonts w:eastAsia="Calibri" w:cs="Arial"/>
          <w:iCs/>
          <w:szCs w:val="22"/>
          <w:lang w:eastAsia="en-US"/>
        </w:rPr>
        <w:t>V600E</w:t>
      </w:r>
      <w:r w:rsidRPr="005D1DD3">
        <w:rPr>
          <w:rFonts w:eastAsia="Calibri" w:cs="Arial"/>
          <w:szCs w:val="22"/>
          <w:lang w:eastAsia="en-US"/>
        </w:rPr>
        <w:t xml:space="preserve"> testing which is conducted at the same time as </w:t>
      </w:r>
      <w:r w:rsidRPr="005D1DD3">
        <w:rPr>
          <w:rFonts w:eastAsia="Calibri" w:cs="Arial"/>
          <w:i/>
          <w:iCs/>
          <w:szCs w:val="22"/>
          <w:lang w:eastAsia="en-US"/>
        </w:rPr>
        <w:t>RAS</w:t>
      </w:r>
      <w:r w:rsidRPr="005D1DD3">
        <w:rPr>
          <w:rFonts w:eastAsia="Calibri" w:cs="Arial"/>
          <w:szCs w:val="22"/>
          <w:lang w:eastAsia="en-US"/>
        </w:rPr>
        <w:t xml:space="preserve"> testing under MBS item 73338. The presence of a </w:t>
      </w:r>
      <w:r w:rsidRPr="005D1DD3">
        <w:rPr>
          <w:rFonts w:eastAsia="Calibri" w:cs="Arial"/>
          <w:i/>
          <w:iCs/>
          <w:szCs w:val="22"/>
          <w:lang w:eastAsia="en-US"/>
        </w:rPr>
        <w:t>RAS</w:t>
      </w:r>
      <w:r w:rsidRPr="005D1DD3">
        <w:rPr>
          <w:rFonts w:eastAsia="Calibri" w:cs="Arial"/>
          <w:szCs w:val="22"/>
          <w:lang w:eastAsia="en-US"/>
        </w:rPr>
        <w:t xml:space="preserve"> pathogenic variant, as opposed to being </w:t>
      </w:r>
      <w:r w:rsidRPr="005D1DD3">
        <w:rPr>
          <w:rFonts w:eastAsia="Calibri" w:cs="Arial"/>
          <w:i/>
          <w:iCs/>
          <w:szCs w:val="22"/>
          <w:lang w:eastAsia="en-US"/>
        </w:rPr>
        <w:t xml:space="preserve">RAS </w:t>
      </w:r>
      <w:r w:rsidR="00206DA9" w:rsidRPr="00206DA9">
        <w:rPr>
          <w:rFonts w:eastAsia="Calibri" w:cs="Arial"/>
          <w:iCs/>
          <w:szCs w:val="22"/>
          <w:lang w:eastAsia="en-US"/>
        </w:rPr>
        <w:t>wild type</w:t>
      </w:r>
      <w:r w:rsidRPr="005D1DD3">
        <w:rPr>
          <w:rFonts w:eastAsia="Calibri" w:cs="Arial"/>
          <w:szCs w:val="22"/>
          <w:lang w:eastAsia="en-US"/>
        </w:rPr>
        <w:t xml:space="preserve">, rules out the presence of a </w:t>
      </w:r>
      <w:r w:rsidRPr="005D1DD3">
        <w:rPr>
          <w:rFonts w:eastAsia="Calibri" w:cs="Arial"/>
          <w:i/>
          <w:iCs/>
          <w:szCs w:val="22"/>
          <w:lang w:eastAsia="en-US"/>
        </w:rPr>
        <w:t>BRAF</w:t>
      </w:r>
      <w:r w:rsidRPr="005D1DD3">
        <w:rPr>
          <w:rFonts w:eastAsia="Calibri" w:cs="Arial"/>
          <w:szCs w:val="22"/>
          <w:lang w:eastAsia="en-US"/>
        </w:rPr>
        <w:t xml:space="preserve"> pathogenic variant. Those with </w:t>
      </w:r>
      <w:r w:rsidRPr="005D1DD3">
        <w:rPr>
          <w:rFonts w:eastAsia="Calibri" w:cs="Arial"/>
          <w:i/>
          <w:iCs/>
          <w:szCs w:val="22"/>
          <w:lang w:eastAsia="en-US"/>
        </w:rPr>
        <w:t>RAS</w:t>
      </w:r>
      <w:r w:rsidRPr="005D1DD3">
        <w:rPr>
          <w:rFonts w:eastAsia="Calibri" w:cs="Arial"/>
          <w:szCs w:val="22"/>
          <w:lang w:eastAsia="en-US"/>
        </w:rPr>
        <w:t xml:space="preserve"> </w:t>
      </w:r>
      <w:r w:rsidR="00206DA9">
        <w:rPr>
          <w:rFonts w:eastAsia="Calibri" w:cs="Arial"/>
          <w:szCs w:val="22"/>
          <w:lang w:eastAsia="en-US"/>
        </w:rPr>
        <w:t xml:space="preserve">wild type </w:t>
      </w:r>
      <w:r w:rsidRPr="005D1DD3">
        <w:rPr>
          <w:rFonts w:eastAsia="Calibri" w:cs="Arial"/>
          <w:szCs w:val="22"/>
          <w:lang w:eastAsia="en-US"/>
        </w:rPr>
        <w:t xml:space="preserve">could have either </w:t>
      </w:r>
      <w:r w:rsidRPr="005D1DD3">
        <w:rPr>
          <w:rFonts w:eastAsia="Calibri" w:cs="Arial"/>
          <w:i/>
          <w:iCs/>
          <w:szCs w:val="22"/>
          <w:lang w:eastAsia="en-US"/>
        </w:rPr>
        <w:t>BRAF</w:t>
      </w:r>
      <w:r w:rsidRPr="005D1DD3">
        <w:rPr>
          <w:rFonts w:eastAsia="Calibri" w:cs="Arial"/>
          <w:szCs w:val="22"/>
          <w:lang w:eastAsia="en-US"/>
        </w:rPr>
        <w:t xml:space="preserve"> </w:t>
      </w:r>
      <w:r w:rsidR="00206DA9">
        <w:rPr>
          <w:rFonts w:eastAsia="Calibri" w:cs="Arial"/>
          <w:szCs w:val="22"/>
          <w:lang w:eastAsia="en-US"/>
        </w:rPr>
        <w:t xml:space="preserve">wild type </w:t>
      </w:r>
      <w:r w:rsidRPr="005D1DD3">
        <w:rPr>
          <w:rFonts w:eastAsia="Calibri" w:cs="Arial"/>
          <w:szCs w:val="22"/>
          <w:lang w:eastAsia="en-US"/>
        </w:rPr>
        <w:t xml:space="preserve">or </w:t>
      </w:r>
      <w:r w:rsidRPr="005D1DD3">
        <w:rPr>
          <w:rFonts w:eastAsia="Calibri" w:cs="Arial"/>
          <w:i/>
          <w:iCs/>
          <w:szCs w:val="22"/>
          <w:lang w:eastAsia="en-US"/>
        </w:rPr>
        <w:t xml:space="preserve">BRAF </w:t>
      </w:r>
      <w:r w:rsidRPr="005D1DD3">
        <w:rPr>
          <w:rFonts w:eastAsia="Calibri" w:cs="Arial"/>
          <w:szCs w:val="22"/>
          <w:lang w:eastAsia="en-US"/>
        </w:rPr>
        <w:t xml:space="preserve">variants, as depicted in the current treatment regimen. The submission noted that given that determination of </w:t>
      </w:r>
      <w:r w:rsidRPr="005D1DD3">
        <w:rPr>
          <w:rFonts w:eastAsia="Calibri" w:cs="Arial"/>
          <w:i/>
          <w:szCs w:val="22"/>
          <w:lang w:eastAsia="en-US"/>
        </w:rPr>
        <w:t>BRAF</w:t>
      </w:r>
      <w:r w:rsidRPr="005D1DD3">
        <w:rPr>
          <w:rFonts w:eastAsia="Calibri" w:cs="Arial"/>
          <w:szCs w:val="22"/>
          <w:lang w:eastAsia="en-US"/>
        </w:rPr>
        <w:t xml:space="preserve"> status can be conducted as part of existing testing procedures, the expansion of MBS item 73338 would not necessitate investment in specific equipment required for its performance</w:t>
      </w:r>
      <w:r w:rsidRPr="005D1DD3">
        <w:rPr>
          <w:rFonts w:eastAsia="Calibri" w:cs="Arial"/>
          <w:color w:val="0070C0"/>
          <w:szCs w:val="22"/>
          <w:lang w:eastAsia="en-US"/>
        </w:rPr>
        <w:t xml:space="preserve">. </w:t>
      </w:r>
      <w:r w:rsidRPr="005D1DD3">
        <w:rPr>
          <w:rFonts w:eastAsia="Calibri" w:cs="Arial"/>
          <w:iCs/>
          <w:szCs w:val="22"/>
          <w:lang w:eastAsia="en-US"/>
        </w:rPr>
        <w:t xml:space="preserve">This was considered reasonable by the Commentary and supported by the survey of pathologists presented </w:t>
      </w:r>
      <w:r w:rsidR="00247552">
        <w:rPr>
          <w:rFonts w:eastAsia="Calibri" w:cs="Arial"/>
          <w:iCs/>
          <w:szCs w:val="22"/>
          <w:lang w:eastAsia="en-US"/>
        </w:rPr>
        <w:t xml:space="preserve">in </w:t>
      </w:r>
      <w:r w:rsidRPr="005D1DD3">
        <w:rPr>
          <w:rFonts w:eastAsia="Calibri" w:cs="Arial"/>
          <w:iCs/>
          <w:szCs w:val="22"/>
          <w:lang w:eastAsia="en-US"/>
        </w:rPr>
        <w:t>the submission.</w:t>
      </w:r>
      <w:r w:rsidRPr="005D1DD3">
        <w:rPr>
          <w:rFonts w:eastAsia="Calibri" w:cs="Arial"/>
          <w:szCs w:val="22"/>
          <w:lang w:eastAsia="en-US"/>
        </w:rPr>
        <w:t xml:space="preserve"> </w:t>
      </w:r>
      <w:r w:rsidRPr="005D1DD3">
        <w:rPr>
          <w:rFonts w:eastAsia="Calibri" w:cs="Arial"/>
          <w:iCs/>
          <w:szCs w:val="22"/>
          <w:lang w:eastAsia="en-US"/>
        </w:rPr>
        <w:t>The proposed testing was consistent with the proposed treatment pathway</w:t>
      </w:r>
      <w:r w:rsidRPr="005D1DD3">
        <w:rPr>
          <w:rFonts w:eastAsia="Calibri" w:cs="Arial"/>
          <w:szCs w:val="22"/>
          <w:lang w:eastAsia="en-US"/>
        </w:rPr>
        <w:t>.</w:t>
      </w:r>
    </w:p>
    <w:p w14:paraId="4052343B" w14:textId="2085CE9F" w:rsidR="005D1DD3" w:rsidRPr="005D1DD3" w:rsidRDefault="005D1DD3" w:rsidP="005D1DD3">
      <w:pPr>
        <w:spacing w:after="240"/>
        <w:rPr>
          <w:rFonts w:eastAsia="Calibri"/>
          <w:i/>
          <w:szCs w:val="22"/>
          <w:lang w:eastAsia="en-US"/>
        </w:rPr>
      </w:pPr>
      <w:r w:rsidRPr="005D1DD3">
        <w:rPr>
          <w:rFonts w:eastAsia="Calibri"/>
          <w:szCs w:val="22"/>
          <w:lang w:eastAsia="en-US"/>
        </w:rPr>
        <w:t xml:space="preserve">The submission claimed that there is no reference standard available for the current testing methodologies for the </w:t>
      </w:r>
      <w:r w:rsidRPr="005D1DD3">
        <w:rPr>
          <w:rFonts w:eastAsia="Calibri"/>
          <w:i/>
          <w:iCs/>
          <w:szCs w:val="22"/>
          <w:lang w:eastAsia="en-US"/>
        </w:rPr>
        <w:t xml:space="preserve">BRAF </w:t>
      </w:r>
      <w:r w:rsidR="00965823" w:rsidRPr="00965823">
        <w:rPr>
          <w:rFonts w:eastAsia="Calibri"/>
          <w:iCs/>
          <w:szCs w:val="22"/>
          <w:lang w:eastAsia="en-US"/>
        </w:rPr>
        <w:t>V600E</w:t>
      </w:r>
      <w:r w:rsidRPr="005D1DD3">
        <w:rPr>
          <w:rFonts w:eastAsia="Calibri"/>
          <w:szCs w:val="22"/>
          <w:lang w:eastAsia="en-US"/>
        </w:rPr>
        <w:t xml:space="preserve"> variant. The Commentary noted that n</w:t>
      </w:r>
      <w:r w:rsidRPr="005D1DD3">
        <w:rPr>
          <w:rFonts w:eastAsia="Calibri"/>
          <w:iCs/>
          <w:szCs w:val="22"/>
          <w:lang w:eastAsia="en-US"/>
        </w:rPr>
        <w:t>o justification was provided by the submission to support this claim.</w:t>
      </w:r>
      <w:r w:rsidRPr="005D1DD3">
        <w:rPr>
          <w:rFonts w:eastAsia="Calibri"/>
          <w:i/>
          <w:iCs/>
          <w:szCs w:val="22"/>
          <w:lang w:eastAsia="en-US"/>
        </w:rPr>
        <w:t xml:space="preserve"> </w:t>
      </w:r>
      <w:r w:rsidRPr="005D1DD3">
        <w:rPr>
          <w:rFonts w:eastAsia="Calibri"/>
          <w:iCs/>
          <w:szCs w:val="22"/>
          <w:lang w:eastAsia="en-US"/>
        </w:rPr>
        <w:t xml:space="preserve">The Commentary noted that </w:t>
      </w:r>
      <w:hyperlink r:id="rId16" w:history="1">
        <w:r w:rsidRPr="005D1DD3">
          <w:rPr>
            <w:rFonts w:eastAsia="Calibri"/>
            <w:iCs/>
            <w:color w:val="0000FF"/>
            <w:szCs w:val="22"/>
            <w:u w:val="single"/>
            <w:lang w:eastAsia="en-US"/>
          </w:rPr>
          <w:t>MSAC Application 1172</w:t>
        </w:r>
      </w:hyperlink>
      <w:r w:rsidRPr="005D1DD3">
        <w:rPr>
          <w:rFonts w:eastAsia="Calibri"/>
          <w:iCs/>
          <w:szCs w:val="22"/>
          <w:lang w:eastAsia="en-US"/>
        </w:rPr>
        <w:t xml:space="preserve"> (BRAF genetic testing in patients with metastatic melanoma) proposed a reference standard constructed using DNA sequencing (Sanger sequencing) with confirmatory pyrosequencing for the resolution of discordant cases. This reference included all </w:t>
      </w:r>
      <w:r w:rsidRPr="005D1DD3">
        <w:rPr>
          <w:rFonts w:eastAsia="Calibri"/>
          <w:i/>
          <w:iCs/>
          <w:szCs w:val="22"/>
          <w:lang w:eastAsia="en-US"/>
        </w:rPr>
        <w:t xml:space="preserve">BRAF </w:t>
      </w:r>
      <w:r w:rsidRPr="007C3B31">
        <w:rPr>
          <w:rFonts w:eastAsia="Calibri"/>
          <w:iCs/>
          <w:szCs w:val="22"/>
          <w:lang w:eastAsia="en-US"/>
        </w:rPr>
        <w:t>V600</w:t>
      </w:r>
      <w:r w:rsidRPr="005D1DD3">
        <w:rPr>
          <w:rFonts w:eastAsia="Calibri"/>
          <w:iCs/>
          <w:szCs w:val="22"/>
          <w:lang w:eastAsia="en-US"/>
        </w:rPr>
        <w:t xml:space="preserve"> </w:t>
      </w:r>
      <w:r w:rsidRPr="005D1DD3">
        <w:rPr>
          <w:rFonts w:eastAsia="Calibri" w:cs="Arial"/>
          <w:szCs w:val="22"/>
          <w:lang w:eastAsia="en-US"/>
        </w:rPr>
        <w:t>pathogenic variants</w:t>
      </w:r>
      <w:r w:rsidRPr="005D1DD3">
        <w:rPr>
          <w:rFonts w:eastAsia="Calibri"/>
          <w:iCs/>
          <w:szCs w:val="22"/>
          <w:lang w:eastAsia="en-US"/>
        </w:rPr>
        <w:t xml:space="preserve"> rather than the </w:t>
      </w:r>
      <w:r w:rsidRPr="005D1DD3">
        <w:rPr>
          <w:rFonts w:eastAsia="Calibri"/>
          <w:i/>
          <w:iCs/>
          <w:szCs w:val="22"/>
          <w:lang w:eastAsia="en-US"/>
        </w:rPr>
        <w:t xml:space="preserve">BRAF </w:t>
      </w:r>
      <w:r w:rsidR="00965823" w:rsidRPr="00965823">
        <w:rPr>
          <w:rFonts w:eastAsia="Calibri"/>
          <w:iCs/>
          <w:szCs w:val="22"/>
          <w:lang w:eastAsia="en-US"/>
        </w:rPr>
        <w:t>V600E</w:t>
      </w:r>
      <w:r w:rsidRPr="005D1DD3">
        <w:rPr>
          <w:rFonts w:eastAsia="Calibri"/>
          <w:iCs/>
          <w:szCs w:val="22"/>
          <w:lang w:eastAsia="en-US"/>
        </w:rPr>
        <w:t xml:space="preserve"> variant specified in the current submission. The Commentary noted that although DNA sequencing has previously been considered the reference standard in </w:t>
      </w:r>
      <w:r w:rsidRPr="005D1DD3">
        <w:rPr>
          <w:rFonts w:eastAsia="Calibri"/>
          <w:i/>
          <w:iCs/>
          <w:szCs w:val="22"/>
          <w:lang w:eastAsia="en-US"/>
        </w:rPr>
        <w:t xml:space="preserve">BRAF </w:t>
      </w:r>
      <w:r w:rsidRPr="007C3B31">
        <w:rPr>
          <w:rFonts w:eastAsia="Calibri"/>
          <w:iCs/>
          <w:szCs w:val="22"/>
          <w:lang w:eastAsia="en-US"/>
        </w:rPr>
        <w:t>V600</w:t>
      </w:r>
      <w:r w:rsidRPr="00965823">
        <w:rPr>
          <w:rFonts w:eastAsia="Calibri"/>
          <w:iCs/>
          <w:szCs w:val="22"/>
          <w:lang w:eastAsia="en-US"/>
        </w:rPr>
        <w:t xml:space="preserve"> </w:t>
      </w:r>
      <w:r w:rsidRPr="005D1DD3">
        <w:rPr>
          <w:rFonts w:eastAsia="Calibri"/>
          <w:iCs/>
          <w:szCs w:val="22"/>
          <w:lang w:eastAsia="en-US"/>
        </w:rPr>
        <w:t>testing</w:t>
      </w:r>
      <w:r w:rsidR="00F43371">
        <w:rPr>
          <w:rFonts w:eastAsia="Calibri"/>
          <w:iCs/>
          <w:szCs w:val="22"/>
          <w:lang w:eastAsia="en-US"/>
        </w:rPr>
        <w:t>,</w:t>
      </w:r>
      <w:r w:rsidRPr="005D1DD3">
        <w:rPr>
          <w:rFonts w:eastAsia="Calibri"/>
          <w:iCs/>
          <w:szCs w:val="22"/>
          <w:lang w:eastAsia="en-US"/>
        </w:rPr>
        <w:t xml:space="preserve"> it is not 100% sensitive or specific (Cheng et al. 2018)</w:t>
      </w:r>
      <w:r w:rsidRPr="005D1DD3">
        <w:rPr>
          <w:rFonts w:eastAsia="Calibri"/>
          <w:iCs/>
          <w:szCs w:val="22"/>
          <w:vertAlign w:val="superscript"/>
          <w:lang w:eastAsia="en-US"/>
        </w:rPr>
        <w:footnoteReference w:id="5"/>
      </w:r>
      <w:r w:rsidRPr="005D1DD3">
        <w:rPr>
          <w:rFonts w:eastAsia="Calibri"/>
          <w:iCs/>
          <w:szCs w:val="22"/>
          <w:lang w:eastAsia="en-US"/>
        </w:rPr>
        <w:t>. More recently next-generation sequencing (NGS) testing has been considered as an alternative reference standard (Lo et al. 2016)</w:t>
      </w:r>
      <w:r w:rsidRPr="005D1DD3">
        <w:rPr>
          <w:rFonts w:eastAsia="Calibri"/>
          <w:iCs/>
          <w:szCs w:val="22"/>
          <w:vertAlign w:val="superscript"/>
          <w:lang w:eastAsia="en-US"/>
        </w:rPr>
        <w:footnoteReference w:id="6"/>
      </w:r>
      <w:r w:rsidRPr="005D1DD3">
        <w:rPr>
          <w:rFonts w:eastAsia="Calibri"/>
          <w:iCs/>
          <w:szCs w:val="22"/>
          <w:lang w:eastAsia="en-US"/>
        </w:rPr>
        <w:t>.</w:t>
      </w:r>
    </w:p>
    <w:p w14:paraId="2CAA96CF" w14:textId="4DF455DB" w:rsidR="005D1DD3" w:rsidRPr="005D1DD3" w:rsidRDefault="005D1DD3" w:rsidP="005D1DD3">
      <w:pPr>
        <w:spacing w:before="120" w:after="160"/>
        <w:rPr>
          <w:rFonts w:eastAsia="Calibri"/>
          <w:i/>
          <w:iCs/>
          <w:szCs w:val="22"/>
          <w:lang w:eastAsia="en-US"/>
        </w:rPr>
      </w:pPr>
      <w:r w:rsidRPr="005D1DD3">
        <w:rPr>
          <w:rFonts w:eastAsia="Calibri"/>
          <w:szCs w:val="22"/>
          <w:lang w:eastAsia="en-US"/>
        </w:rPr>
        <w:t>The therascreen</w:t>
      </w:r>
      <w:r w:rsidRPr="005D1DD3">
        <w:rPr>
          <w:rFonts w:eastAsia="Calibri"/>
          <w:szCs w:val="22"/>
          <w:vertAlign w:val="superscript"/>
          <w:lang w:eastAsia="en-US"/>
        </w:rPr>
        <w:t>®</w:t>
      </w:r>
      <w:r w:rsidRPr="005D1DD3">
        <w:rPr>
          <w:rFonts w:eastAsia="Calibri"/>
          <w:szCs w:val="22"/>
          <w:lang w:eastAsia="en-US"/>
        </w:rPr>
        <w:t xml:space="preserve"> real time (RT)-polymerase chain reaction (PCR) companion diagnostic (CDx) Kit, hereafter referred to as RT-PCR-CDx test was nominated by the submission as the evidentiary standard. The submission justified this choice by arguing the similarity between CDx and therascreen</w:t>
      </w:r>
      <w:r w:rsidRPr="005D1DD3">
        <w:rPr>
          <w:rFonts w:eastAsia="Calibri"/>
          <w:szCs w:val="22"/>
          <w:vertAlign w:val="superscript"/>
          <w:lang w:eastAsia="en-US"/>
        </w:rPr>
        <w:t>®</w:t>
      </w:r>
      <w:r w:rsidRPr="005D1DD3">
        <w:rPr>
          <w:rFonts w:eastAsia="Calibri"/>
          <w:szCs w:val="22"/>
          <w:lang w:eastAsia="en-US"/>
        </w:rPr>
        <w:t xml:space="preserve"> RT-PCR clinical trial assay (CTA) Kit, hereafter referred to as RT-PCR-CTA, which was used in the pivotal trial BEACON CRC (hereafter referred to as BEACON) for the proposed PBS listing to establish the presence of the </w:t>
      </w:r>
      <w:r w:rsidRPr="005D1DD3">
        <w:rPr>
          <w:rFonts w:eastAsia="Calibri"/>
          <w:i/>
          <w:iCs/>
          <w:szCs w:val="22"/>
          <w:lang w:eastAsia="en-US"/>
        </w:rPr>
        <w:t xml:space="preserve">BRAF </w:t>
      </w:r>
      <w:r w:rsidR="00965823" w:rsidRPr="00965823">
        <w:rPr>
          <w:rFonts w:eastAsia="Calibri"/>
          <w:iCs/>
          <w:szCs w:val="22"/>
          <w:lang w:eastAsia="en-US"/>
        </w:rPr>
        <w:t>V600E</w:t>
      </w:r>
      <w:r w:rsidRPr="005D1DD3">
        <w:rPr>
          <w:rFonts w:eastAsia="Calibri"/>
          <w:szCs w:val="22"/>
          <w:lang w:eastAsia="en-US"/>
        </w:rPr>
        <w:t xml:space="preserve"> variant. RT-PCR-CDx has additional software changes compared to RT-PCR-CTA. </w:t>
      </w:r>
      <w:r w:rsidRPr="005D1DD3">
        <w:rPr>
          <w:rFonts w:eastAsia="Calibri"/>
          <w:iCs/>
          <w:szCs w:val="22"/>
          <w:lang w:eastAsia="en-US"/>
        </w:rPr>
        <w:t>The Commentary noted that the implications, if any, of those additional software changes were not addressed by the submission, however the submission presented a bridging study which estimated the concordance between RT-PCR-CDx and RT-PCR-CTA.</w:t>
      </w:r>
    </w:p>
    <w:p w14:paraId="69D479A8" w14:textId="7C0FC93C" w:rsidR="00BC1364" w:rsidRPr="00F715D1" w:rsidRDefault="00BF02F5" w:rsidP="00F715D1">
      <w:pPr>
        <w:pStyle w:val="Heading1"/>
      </w:pPr>
      <w:r>
        <w:t>Comparator</w:t>
      </w:r>
    </w:p>
    <w:p w14:paraId="174C0D2E" w14:textId="77777777" w:rsidR="0010279F" w:rsidRPr="008C6B46" w:rsidRDefault="0010279F" w:rsidP="0010279F">
      <w:pPr>
        <w:spacing w:after="240"/>
        <w:rPr>
          <w:rFonts w:eastAsia="Calibri" w:cs="Arial"/>
        </w:rPr>
      </w:pPr>
      <w:r w:rsidRPr="008C6B46">
        <w:rPr>
          <w:rFonts w:eastAsia="Calibri" w:cs="Arial"/>
        </w:rPr>
        <w:t xml:space="preserve">The proposed test comparator is MBS item 73338 with its current item, which allows testing for </w:t>
      </w:r>
      <w:r w:rsidRPr="008C6B46">
        <w:rPr>
          <w:rFonts w:eastAsia="Calibri" w:cs="Arial"/>
          <w:i/>
          <w:iCs/>
        </w:rPr>
        <w:t>RAS</w:t>
      </w:r>
      <w:r w:rsidRPr="008C6B46">
        <w:rPr>
          <w:rFonts w:eastAsia="Calibri" w:cs="Arial"/>
        </w:rPr>
        <w:t xml:space="preserve"> status of a patient with mCRC to determine eligibility for cetuximab or panitumumab. The Commentary considered that this was appropriate.</w:t>
      </w:r>
    </w:p>
    <w:p w14:paraId="5BA26DCF" w14:textId="77777777" w:rsidR="00BC1364" w:rsidRPr="00F715D1" w:rsidRDefault="00BC1364" w:rsidP="00F715D1">
      <w:pPr>
        <w:pStyle w:val="Heading1"/>
      </w:pPr>
      <w:r w:rsidRPr="00F715D1">
        <w:t>Comparative safety</w:t>
      </w:r>
    </w:p>
    <w:p w14:paraId="015B7EB6" w14:textId="34FEAEF4" w:rsidR="0010279F" w:rsidRPr="0010279F" w:rsidRDefault="0010279F" w:rsidP="0010279F">
      <w:pPr>
        <w:spacing w:after="240"/>
        <w:rPr>
          <w:rFonts w:eastAsia="Calibri" w:cs="Arial"/>
          <w:szCs w:val="22"/>
          <w:lang w:eastAsia="en-US"/>
        </w:rPr>
      </w:pPr>
      <w:r w:rsidRPr="0010279F">
        <w:rPr>
          <w:rFonts w:eastAsia="Calibri" w:cs="Arial"/>
          <w:szCs w:val="22"/>
          <w:lang w:eastAsia="en-US"/>
        </w:rPr>
        <w:t xml:space="preserve">The approach taken in the submission to support the contention that targeting of </w:t>
      </w:r>
      <w:r w:rsidRPr="0010279F">
        <w:rPr>
          <w:rFonts w:eastAsia="Calibri" w:cs="Arial"/>
          <w:i/>
          <w:iCs/>
          <w:szCs w:val="22"/>
          <w:lang w:eastAsia="en-US"/>
        </w:rPr>
        <w:t xml:space="preserve">BRAF </w:t>
      </w:r>
      <w:r w:rsidR="00965823" w:rsidRPr="00965823">
        <w:rPr>
          <w:rFonts w:eastAsia="Calibri" w:cs="Arial"/>
          <w:iCs/>
          <w:szCs w:val="22"/>
          <w:lang w:eastAsia="en-US"/>
        </w:rPr>
        <w:t>V600E</w:t>
      </w:r>
      <w:r w:rsidRPr="0010279F">
        <w:rPr>
          <w:rFonts w:eastAsia="Calibri" w:cs="Arial"/>
          <w:szCs w:val="22"/>
          <w:lang w:eastAsia="en-US"/>
        </w:rPr>
        <w:t xml:space="preserve"> with encorafenib + cetuximab will improve patients’ overall survival (OS), </w:t>
      </w:r>
      <w:r w:rsidRPr="0010279F">
        <w:rPr>
          <w:rFonts w:eastAsia="Calibri" w:cs="Arial"/>
          <w:szCs w:val="22"/>
          <w:lang w:eastAsia="en-US"/>
        </w:rPr>
        <w:lastRenderedPageBreak/>
        <w:t xml:space="preserve">progression-free survival (PFS) and overall response rate (ORR), and sustain their quality of life (QoL) was to present a linked evidence approach, as </w:t>
      </w:r>
      <w:r w:rsidRPr="0010279F">
        <w:rPr>
          <w:rFonts w:eastAsia="Calibri"/>
          <w:szCs w:val="22"/>
          <w:lang w:eastAsia="en-US"/>
        </w:rPr>
        <w:t xml:space="preserve">summarised in </w:t>
      </w:r>
      <w:r w:rsidR="00E87AFC">
        <w:rPr>
          <w:rFonts w:eastAsia="Calibri"/>
          <w:szCs w:val="22"/>
          <w:lang w:eastAsia="en-US"/>
        </w:rPr>
        <w:t>Table 3</w:t>
      </w:r>
      <w:r w:rsidRPr="0010279F">
        <w:rPr>
          <w:rFonts w:eastAsia="Calibri"/>
          <w:szCs w:val="22"/>
          <w:lang w:eastAsia="en-US"/>
        </w:rPr>
        <w:t>.</w:t>
      </w:r>
    </w:p>
    <w:p w14:paraId="2E18BDCC" w14:textId="5B2614CF" w:rsidR="0010279F" w:rsidRPr="0010279F" w:rsidRDefault="0010279F" w:rsidP="0010279F">
      <w:pPr>
        <w:keepNext/>
        <w:tabs>
          <w:tab w:val="left" w:pos="1418"/>
        </w:tabs>
        <w:contextualSpacing/>
        <w:rPr>
          <w:rFonts w:ascii="Arial Narrow" w:hAnsi="Arial Narrow" w:cs="Arial"/>
          <w:b/>
          <w:iCs/>
          <w:sz w:val="20"/>
          <w:lang w:eastAsia="en-US"/>
        </w:rPr>
      </w:pPr>
      <w:bookmarkStart w:id="2" w:name="_Ref64018379"/>
      <w:r w:rsidRPr="0010279F">
        <w:rPr>
          <w:rFonts w:ascii="Arial Narrow" w:hAnsi="Arial Narrow" w:cs="Arial"/>
          <w:b/>
          <w:iCs/>
          <w:sz w:val="20"/>
          <w:lang w:eastAsia="en-US"/>
        </w:rPr>
        <w:t>Table</w:t>
      </w:r>
      <w:bookmarkEnd w:id="2"/>
      <w:r w:rsidR="009835BB">
        <w:rPr>
          <w:rFonts w:ascii="Arial Narrow" w:hAnsi="Arial Narrow" w:cs="Arial"/>
          <w:b/>
          <w:iCs/>
          <w:sz w:val="20"/>
          <w:lang w:eastAsia="en-US"/>
        </w:rPr>
        <w:t xml:space="preserve"> 3</w:t>
      </w:r>
      <w:r w:rsidRPr="0010279F">
        <w:rPr>
          <w:rFonts w:ascii="Arial Narrow" w:eastAsia="Calibri" w:hAnsi="Arial Narrow" w:cs="Arial"/>
          <w:b/>
          <w:iCs/>
          <w:sz w:val="20"/>
          <w:lang w:eastAsia="en-US"/>
        </w:rPr>
        <w:tab/>
        <w:t>Summary of the linked evidence approach</w:t>
      </w:r>
    </w:p>
    <w:tbl>
      <w:tblPr>
        <w:tblStyle w:val="TableGrid1"/>
        <w:tblW w:w="5000" w:type="pct"/>
        <w:tblLook w:val="04A0" w:firstRow="1" w:lastRow="0" w:firstColumn="1" w:lastColumn="0" w:noHBand="0" w:noVBand="1"/>
        <w:tblDescription w:val="Summary of the linked evidence approach"/>
      </w:tblPr>
      <w:tblGrid>
        <w:gridCol w:w="1980"/>
        <w:gridCol w:w="3545"/>
        <w:gridCol w:w="1700"/>
        <w:gridCol w:w="1791"/>
      </w:tblGrid>
      <w:tr w:rsidR="0010279F" w:rsidRPr="0010279F" w14:paraId="78F35628" w14:textId="77777777" w:rsidTr="0054469D">
        <w:trPr>
          <w:tblHeader/>
        </w:trPr>
        <w:tc>
          <w:tcPr>
            <w:tcW w:w="1098" w:type="pct"/>
          </w:tcPr>
          <w:p w14:paraId="0635FF00" w14:textId="3E90723C" w:rsidR="0010279F" w:rsidRPr="0010279F" w:rsidRDefault="0010279F" w:rsidP="00F43371">
            <w:pPr>
              <w:keepNext/>
              <w:rPr>
                <w:rFonts w:ascii="Arial Narrow" w:eastAsia="Calibri" w:hAnsi="Arial Narrow" w:cs="Arial"/>
                <w:b/>
                <w:sz w:val="20"/>
                <w:szCs w:val="22"/>
                <w:lang w:eastAsia="en-US"/>
              </w:rPr>
            </w:pPr>
          </w:p>
        </w:tc>
        <w:tc>
          <w:tcPr>
            <w:tcW w:w="1966" w:type="pct"/>
            <w:hideMark/>
          </w:tcPr>
          <w:p w14:paraId="60845157" w14:textId="77777777" w:rsidR="0010279F" w:rsidRPr="0010279F" w:rsidRDefault="0010279F" w:rsidP="0010279F">
            <w:pPr>
              <w:keepNext/>
              <w:rPr>
                <w:rFonts w:ascii="Arial Narrow" w:eastAsia="Calibri" w:hAnsi="Arial Narrow" w:cs="Arial"/>
                <w:b/>
                <w:sz w:val="20"/>
                <w:szCs w:val="22"/>
                <w:lang w:eastAsia="en-US"/>
              </w:rPr>
            </w:pPr>
            <w:r w:rsidRPr="0010279F">
              <w:rPr>
                <w:rFonts w:ascii="Arial Narrow" w:eastAsia="Calibri" w:hAnsi="Arial Narrow" w:cs="Arial"/>
                <w:b/>
                <w:sz w:val="20"/>
                <w:szCs w:val="22"/>
                <w:lang w:eastAsia="en-US"/>
              </w:rPr>
              <w:t>Type of evidence supplied</w:t>
            </w:r>
          </w:p>
        </w:tc>
        <w:tc>
          <w:tcPr>
            <w:tcW w:w="943" w:type="pct"/>
            <w:hideMark/>
          </w:tcPr>
          <w:p w14:paraId="4F3170DA" w14:textId="77777777" w:rsidR="0010279F" w:rsidRPr="0010279F" w:rsidRDefault="0010279F" w:rsidP="0010279F">
            <w:pPr>
              <w:keepNext/>
              <w:rPr>
                <w:rFonts w:ascii="Arial Narrow" w:eastAsia="Calibri" w:hAnsi="Arial Narrow" w:cs="Arial"/>
                <w:b/>
                <w:sz w:val="20"/>
                <w:szCs w:val="22"/>
                <w:lang w:eastAsia="en-US"/>
              </w:rPr>
            </w:pPr>
            <w:r w:rsidRPr="0010279F">
              <w:rPr>
                <w:rFonts w:ascii="Arial Narrow" w:eastAsia="Calibri" w:hAnsi="Arial Narrow" w:cs="Arial"/>
                <w:b/>
                <w:sz w:val="20"/>
                <w:szCs w:val="22"/>
                <w:lang w:eastAsia="en-US"/>
              </w:rPr>
              <w:t>Extent of evidence supplied</w:t>
            </w:r>
          </w:p>
        </w:tc>
        <w:tc>
          <w:tcPr>
            <w:tcW w:w="993" w:type="pct"/>
            <w:hideMark/>
          </w:tcPr>
          <w:p w14:paraId="36C32F1E" w14:textId="77777777" w:rsidR="0010279F" w:rsidRPr="0010279F" w:rsidRDefault="0010279F" w:rsidP="0010279F">
            <w:pPr>
              <w:keepNext/>
              <w:rPr>
                <w:rFonts w:ascii="Arial Narrow" w:eastAsia="Calibri" w:hAnsi="Arial Narrow" w:cs="Arial"/>
                <w:b/>
                <w:sz w:val="20"/>
                <w:szCs w:val="22"/>
                <w:lang w:eastAsia="en-US"/>
              </w:rPr>
            </w:pPr>
            <w:r w:rsidRPr="0010279F">
              <w:rPr>
                <w:rFonts w:ascii="Arial Narrow" w:eastAsia="Calibri" w:hAnsi="Arial Narrow" w:cs="Arial"/>
                <w:b/>
                <w:sz w:val="20"/>
                <w:szCs w:val="22"/>
                <w:lang w:eastAsia="en-US"/>
              </w:rPr>
              <w:t>Overall risk of bias in clinical trials</w:t>
            </w:r>
          </w:p>
        </w:tc>
      </w:tr>
      <w:tr w:rsidR="0010279F" w:rsidRPr="0010279F" w14:paraId="4764F8F9" w14:textId="77777777" w:rsidTr="0054469D">
        <w:tc>
          <w:tcPr>
            <w:tcW w:w="1098" w:type="pct"/>
            <w:hideMark/>
          </w:tcPr>
          <w:p w14:paraId="2A3D2894" w14:textId="77777777" w:rsidR="0010279F" w:rsidRPr="0010279F" w:rsidRDefault="0010279F" w:rsidP="0010279F">
            <w:pPr>
              <w:keepNext/>
              <w:rPr>
                <w:rFonts w:ascii="Arial Narrow" w:eastAsia="Calibri" w:hAnsi="Arial Narrow" w:cs="Arial"/>
                <w:sz w:val="20"/>
                <w:szCs w:val="22"/>
                <w:lang w:eastAsia="en-US"/>
              </w:rPr>
            </w:pPr>
            <w:r w:rsidRPr="0010279F">
              <w:rPr>
                <w:rFonts w:ascii="Arial Narrow" w:eastAsia="Calibri" w:hAnsi="Arial Narrow" w:cs="Arial"/>
                <w:sz w:val="20"/>
                <w:szCs w:val="22"/>
                <w:lang w:eastAsia="en-US"/>
              </w:rPr>
              <w:t>Accuracy and performance of the test (analytical validity)</w:t>
            </w:r>
          </w:p>
        </w:tc>
        <w:tc>
          <w:tcPr>
            <w:tcW w:w="1966" w:type="pct"/>
            <w:hideMark/>
          </w:tcPr>
          <w:p w14:paraId="074A8CE9" w14:textId="77777777" w:rsidR="0010279F" w:rsidRPr="0010279F" w:rsidRDefault="0010279F" w:rsidP="0010279F">
            <w:pPr>
              <w:keepNext/>
              <w:rPr>
                <w:rFonts w:ascii="Arial Narrow" w:eastAsia="Calibri" w:hAnsi="Arial Narrow" w:cs="Arial"/>
                <w:sz w:val="20"/>
                <w:szCs w:val="22"/>
                <w:lang w:eastAsia="en-US"/>
              </w:rPr>
            </w:pPr>
            <w:r w:rsidRPr="0010279F">
              <w:rPr>
                <w:rFonts w:ascii="Arial Narrow" w:eastAsia="Calibri" w:hAnsi="Arial Narrow" w:cs="Arial"/>
                <w:sz w:val="20"/>
                <w:szCs w:val="22"/>
                <w:lang w:eastAsia="en-US"/>
              </w:rPr>
              <w:t>1 diagnostic case control study</w:t>
            </w:r>
          </w:p>
          <w:p w14:paraId="520C83A3" w14:textId="77777777" w:rsidR="0010279F" w:rsidRPr="0010279F" w:rsidRDefault="0010279F" w:rsidP="0010279F">
            <w:pPr>
              <w:keepNext/>
              <w:rPr>
                <w:rFonts w:ascii="Arial Narrow" w:eastAsia="Calibri" w:hAnsi="Arial Narrow" w:cs="Arial"/>
                <w:sz w:val="20"/>
                <w:szCs w:val="22"/>
                <w:lang w:eastAsia="en-US"/>
              </w:rPr>
            </w:pPr>
            <w:r w:rsidRPr="0010279F">
              <w:rPr>
                <w:rFonts w:ascii="Arial Narrow" w:eastAsia="Calibri" w:hAnsi="Arial Narrow" w:cs="Arial"/>
                <w:sz w:val="20"/>
                <w:szCs w:val="22"/>
                <w:lang w:eastAsia="en-US"/>
              </w:rPr>
              <w:t>15 concordance studies</w:t>
            </w:r>
          </w:p>
        </w:tc>
        <w:tc>
          <w:tcPr>
            <w:tcW w:w="943" w:type="pct"/>
            <w:hideMark/>
          </w:tcPr>
          <w:p w14:paraId="4522D882" w14:textId="77777777" w:rsidR="0010279F" w:rsidRPr="0010279F" w:rsidRDefault="00153C7B" w:rsidP="0010279F">
            <w:pPr>
              <w:keepNext/>
              <w:rPr>
                <w:rFonts w:ascii="Arial Narrow" w:eastAsia="Calibri" w:hAnsi="Arial Narrow" w:cs="Arial"/>
                <w:sz w:val="20"/>
                <w:szCs w:val="22"/>
                <w:lang w:eastAsia="en-US"/>
              </w:rPr>
            </w:pPr>
            <w:sdt>
              <w:sdtPr>
                <w:rPr>
                  <w:rFonts w:ascii="Arial Narrow" w:eastAsia="Calibri" w:hAnsi="Arial Narrow" w:cs="Arial"/>
                  <w:sz w:val="20"/>
                  <w:szCs w:val="22"/>
                  <w:lang w:eastAsia="en-US"/>
                </w:rPr>
                <w:id w:val="1621495349"/>
                <w14:checkbox>
                  <w14:checked w14:val="1"/>
                  <w14:checkedState w14:val="2612" w14:font="MS Gothic"/>
                  <w14:uncheckedState w14:val="2610" w14:font="MS Gothic"/>
                </w14:checkbox>
              </w:sdtPr>
              <w:sdtEndPr/>
              <w:sdtContent>
                <w:r w:rsidR="0010279F" w:rsidRPr="0010279F">
                  <w:rPr>
                    <w:rFonts w:ascii="Segoe UI Symbol" w:eastAsia="Calibri" w:hAnsi="Segoe UI Symbol" w:cs="Segoe UI Symbol"/>
                    <w:sz w:val="20"/>
                    <w:szCs w:val="22"/>
                    <w:lang w:eastAsia="en-US"/>
                  </w:rPr>
                  <w:t>☒</w:t>
                </w:r>
              </w:sdtContent>
            </w:sdt>
            <w:r w:rsidR="0010279F" w:rsidRPr="0010279F">
              <w:rPr>
                <w:rFonts w:ascii="Arial Narrow" w:eastAsia="Calibri" w:hAnsi="Arial Narrow" w:cs="Arial"/>
                <w:sz w:val="20"/>
                <w:szCs w:val="22"/>
                <w:lang w:eastAsia="en-US"/>
              </w:rPr>
              <w:t xml:space="preserve">   k=1</w:t>
            </w:r>
            <w:r w:rsidR="0010279F" w:rsidRPr="0010279F">
              <w:rPr>
                <w:rFonts w:ascii="Arial Narrow" w:eastAsia="Calibri" w:hAnsi="Arial Narrow" w:cs="Arial"/>
                <w:sz w:val="20"/>
                <w:szCs w:val="22"/>
                <w:lang w:eastAsia="en-US"/>
              </w:rPr>
              <w:tab/>
              <w:t xml:space="preserve">  n=600</w:t>
            </w:r>
          </w:p>
          <w:p w14:paraId="64D8DA53" w14:textId="6F56FDAA" w:rsidR="0010279F" w:rsidRPr="0010279F" w:rsidRDefault="00153C7B" w:rsidP="0010279F">
            <w:pPr>
              <w:keepNext/>
              <w:rPr>
                <w:rFonts w:ascii="Arial Narrow" w:eastAsia="Calibri" w:hAnsi="Arial Narrow" w:cs="Arial"/>
                <w:sz w:val="20"/>
                <w:szCs w:val="22"/>
                <w:lang w:eastAsia="en-US"/>
              </w:rPr>
            </w:pPr>
            <w:sdt>
              <w:sdtPr>
                <w:rPr>
                  <w:rFonts w:ascii="Arial Narrow" w:eastAsia="Calibri" w:hAnsi="Arial Narrow" w:cs="Arial"/>
                  <w:sz w:val="20"/>
                  <w:szCs w:val="22"/>
                  <w:lang w:eastAsia="en-US"/>
                </w:rPr>
                <w:id w:val="1581244522"/>
                <w14:checkbox>
                  <w14:checked w14:val="1"/>
                  <w14:checkedState w14:val="2612" w14:font="MS Gothic"/>
                  <w14:uncheckedState w14:val="2610" w14:font="MS Gothic"/>
                </w14:checkbox>
              </w:sdtPr>
              <w:sdtEndPr/>
              <w:sdtContent>
                <w:r w:rsidR="0010279F" w:rsidRPr="0010279F">
                  <w:rPr>
                    <w:rFonts w:ascii="Segoe UI Symbol" w:eastAsia="Calibri" w:hAnsi="Segoe UI Symbol" w:cs="Segoe UI Symbol"/>
                    <w:sz w:val="20"/>
                    <w:szCs w:val="22"/>
                    <w:lang w:eastAsia="en-US"/>
                  </w:rPr>
                  <w:t>☒</w:t>
                </w:r>
              </w:sdtContent>
            </w:sdt>
            <w:r w:rsidR="0010279F" w:rsidRPr="0010279F">
              <w:rPr>
                <w:rFonts w:ascii="Arial Narrow" w:eastAsia="Calibri" w:hAnsi="Arial Narrow" w:cs="Arial"/>
                <w:sz w:val="20"/>
                <w:szCs w:val="22"/>
                <w:lang w:eastAsia="en-US"/>
              </w:rPr>
              <w:t xml:space="preserve">   k=15</w:t>
            </w:r>
            <w:r w:rsidR="00F43371" w:rsidRPr="0010279F">
              <w:rPr>
                <w:rFonts w:ascii="Arial Narrow" w:eastAsia="Calibri" w:hAnsi="Arial Narrow" w:cs="Arial"/>
                <w:sz w:val="20"/>
                <w:szCs w:val="22"/>
                <w:lang w:eastAsia="en-US"/>
              </w:rPr>
              <w:tab/>
            </w:r>
            <w:r w:rsidR="0010279F" w:rsidRPr="0010279F">
              <w:rPr>
                <w:rFonts w:ascii="Arial Narrow" w:eastAsia="Calibri" w:hAnsi="Arial Narrow" w:cs="Arial"/>
                <w:sz w:val="20"/>
                <w:szCs w:val="22"/>
                <w:lang w:eastAsia="en-US"/>
              </w:rPr>
              <w:t xml:space="preserve">  n= 3,268</w:t>
            </w:r>
          </w:p>
        </w:tc>
        <w:tc>
          <w:tcPr>
            <w:tcW w:w="993" w:type="pct"/>
            <w:hideMark/>
          </w:tcPr>
          <w:p w14:paraId="6E3C9FF4" w14:textId="2B778F61" w:rsidR="0010279F" w:rsidRPr="0010279F" w:rsidRDefault="00F43371" w:rsidP="0010279F">
            <w:pPr>
              <w:keepNext/>
              <w:rPr>
                <w:rFonts w:ascii="Arial Narrow" w:eastAsia="Calibri" w:hAnsi="Arial Narrow" w:cs="Arial"/>
                <w:sz w:val="20"/>
                <w:szCs w:val="22"/>
                <w:lang w:eastAsia="en-US"/>
              </w:rPr>
            </w:pPr>
            <w:r>
              <w:rPr>
                <w:rFonts w:ascii="Arial Narrow" w:eastAsia="Calibri" w:hAnsi="Arial Narrow" w:cs="Arial"/>
                <w:sz w:val="20"/>
                <w:szCs w:val="22"/>
                <w:lang w:eastAsia="en-US"/>
              </w:rPr>
              <w:t>Low</w:t>
            </w:r>
          </w:p>
          <w:p w14:paraId="26D152DF" w14:textId="5292D428" w:rsidR="0010279F" w:rsidRPr="0010279F" w:rsidRDefault="00F43371" w:rsidP="0010279F">
            <w:pPr>
              <w:keepNext/>
              <w:rPr>
                <w:rFonts w:ascii="Arial Narrow" w:eastAsia="Calibri" w:hAnsi="Arial Narrow" w:cs="Arial"/>
                <w:sz w:val="20"/>
                <w:szCs w:val="22"/>
                <w:lang w:eastAsia="en-US"/>
              </w:rPr>
            </w:pPr>
            <w:r>
              <w:rPr>
                <w:rFonts w:ascii="Arial Narrow" w:eastAsia="Calibri" w:hAnsi="Arial Narrow" w:cs="Arial"/>
                <w:sz w:val="20"/>
                <w:szCs w:val="22"/>
                <w:lang w:eastAsia="en-US"/>
              </w:rPr>
              <w:t>Moderate</w:t>
            </w:r>
          </w:p>
        </w:tc>
      </w:tr>
      <w:tr w:rsidR="0010279F" w:rsidRPr="0010279F" w14:paraId="1DEE6DBF" w14:textId="77777777" w:rsidTr="0054469D">
        <w:tc>
          <w:tcPr>
            <w:tcW w:w="1098" w:type="pct"/>
            <w:hideMark/>
          </w:tcPr>
          <w:p w14:paraId="07B038A2" w14:textId="77777777" w:rsidR="0010279F" w:rsidRPr="0010279F" w:rsidRDefault="0010279F" w:rsidP="0010279F">
            <w:pPr>
              <w:keepNext/>
              <w:rPr>
                <w:rFonts w:ascii="Arial Narrow" w:eastAsia="Calibri" w:hAnsi="Arial Narrow" w:cs="Arial"/>
                <w:sz w:val="20"/>
                <w:szCs w:val="22"/>
                <w:lang w:eastAsia="en-US"/>
              </w:rPr>
            </w:pPr>
            <w:r w:rsidRPr="0010279F">
              <w:rPr>
                <w:rFonts w:ascii="Arial Narrow" w:eastAsia="Calibri" w:hAnsi="Arial Narrow" w:cs="Arial"/>
                <w:sz w:val="20"/>
                <w:szCs w:val="22"/>
                <w:lang w:eastAsia="en-US"/>
              </w:rPr>
              <w:t>Prognostic evidence</w:t>
            </w:r>
          </w:p>
        </w:tc>
        <w:tc>
          <w:tcPr>
            <w:tcW w:w="1966" w:type="pct"/>
            <w:hideMark/>
          </w:tcPr>
          <w:p w14:paraId="0E795FF8" w14:textId="77777777" w:rsidR="0010279F" w:rsidRPr="0010279F" w:rsidRDefault="0010279F" w:rsidP="0010279F">
            <w:pPr>
              <w:keepNext/>
              <w:rPr>
                <w:rFonts w:ascii="Arial Narrow" w:eastAsia="Calibri" w:hAnsi="Arial Narrow" w:cs="Arial"/>
                <w:sz w:val="20"/>
                <w:szCs w:val="22"/>
                <w:lang w:eastAsia="en-US"/>
              </w:rPr>
            </w:pPr>
            <w:r w:rsidRPr="0010279F">
              <w:rPr>
                <w:rFonts w:ascii="Arial Narrow" w:eastAsia="Calibri" w:hAnsi="Arial Narrow" w:cs="Arial"/>
                <w:sz w:val="20"/>
                <w:szCs w:val="22"/>
                <w:lang w:eastAsia="en-US"/>
              </w:rPr>
              <w:t>1 prospective cohort study</w:t>
            </w:r>
          </w:p>
          <w:p w14:paraId="61635AA6" w14:textId="77777777" w:rsidR="0010279F" w:rsidRPr="0010279F" w:rsidRDefault="0010279F" w:rsidP="0010279F">
            <w:pPr>
              <w:keepNext/>
              <w:rPr>
                <w:rFonts w:ascii="Arial Narrow" w:eastAsia="Calibri" w:hAnsi="Arial Narrow" w:cs="Arial"/>
                <w:sz w:val="20"/>
                <w:szCs w:val="22"/>
                <w:lang w:eastAsia="en-US"/>
              </w:rPr>
            </w:pPr>
            <w:r w:rsidRPr="0010279F">
              <w:rPr>
                <w:rFonts w:ascii="Arial Narrow" w:eastAsia="Calibri" w:hAnsi="Arial Narrow" w:cs="Arial"/>
                <w:sz w:val="20"/>
                <w:szCs w:val="22"/>
                <w:lang w:eastAsia="en-US"/>
              </w:rPr>
              <w:t>17 retrospective cohort studies</w:t>
            </w:r>
          </w:p>
        </w:tc>
        <w:tc>
          <w:tcPr>
            <w:tcW w:w="943" w:type="pct"/>
            <w:hideMark/>
          </w:tcPr>
          <w:p w14:paraId="3B997CEE" w14:textId="77777777" w:rsidR="0010279F" w:rsidRPr="0010279F" w:rsidRDefault="00153C7B" w:rsidP="0010279F">
            <w:pPr>
              <w:keepNext/>
              <w:rPr>
                <w:rFonts w:ascii="Arial Narrow" w:eastAsia="Calibri" w:hAnsi="Arial Narrow" w:cs="Arial"/>
                <w:sz w:val="20"/>
                <w:szCs w:val="22"/>
                <w:lang w:eastAsia="en-US"/>
              </w:rPr>
            </w:pPr>
            <w:sdt>
              <w:sdtPr>
                <w:rPr>
                  <w:rFonts w:ascii="Arial Narrow" w:eastAsia="Calibri" w:hAnsi="Arial Narrow" w:cs="Arial"/>
                  <w:sz w:val="20"/>
                  <w:szCs w:val="22"/>
                  <w:lang w:eastAsia="en-US"/>
                </w:rPr>
                <w:id w:val="-1646503294"/>
                <w14:checkbox>
                  <w14:checked w14:val="1"/>
                  <w14:checkedState w14:val="2612" w14:font="MS Gothic"/>
                  <w14:uncheckedState w14:val="2610" w14:font="MS Gothic"/>
                </w14:checkbox>
              </w:sdtPr>
              <w:sdtEndPr/>
              <w:sdtContent>
                <w:r w:rsidR="0010279F" w:rsidRPr="0010279F">
                  <w:rPr>
                    <w:rFonts w:ascii="Segoe UI Symbol" w:eastAsia="Calibri" w:hAnsi="Segoe UI Symbol" w:cs="Segoe UI Symbol"/>
                    <w:sz w:val="20"/>
                    <w:szCs w:val="22"/>
                    <w:lang w:eastAsia="en-US"/>
                  </w:rPr>
                  <w:t>☒</w:t>
                </w:r>
              </w:sdtContent>
            </w:sdt>
            <w:r w:rsidR="0010279F" w:rsidRPr="0010279F">
              <w:rPr>
                <w:rFonts w:ascii="Arial Narrow" w:eastAsia="Calibri" w:hAnsi="Arial Narrow" w:cs="Arial"/>
                <w:sz w:val="20"/>
                <w:szCs w:val="22"/>
                <w:lang w:eastAsia="en-US"/>
              </w:rPr>
              <w:t xml:space="preserve">   k=1</w:t>
            </w:r>
            <w:r w:rsidR="0010279F" w:rsidRPr="0010279F">
              <w:rPr>
                <w:rFonts w:ascii="Arial Narrow" w:eastAsia="Calibri" w:hAnsi="Arial Narrow" w:cs="Arial"/>
                <w:sz w:val="20"/>
                <w:szCs w:val="22"/>
                <w:lang w:eastAsia="en-US"/>
              </w:rPr>
              <w:tab/>
              <w:t xml:space="preserve">  n=139</w:t>
            </w:r>
          </w:p>
          <w:p w14:paraId="0A5A7C26" w14:textId="41177AA5" w:rsidR="0010279F" w:rsidRPr="0010279F" w:rsidRDefault="00153C7B" w:rsidP="0010279F">
            <w:pPr>
              <w:keepNext/>
              <w:rPr>
                <w:rFonts w:ascii="Arial Narrow" w:eastAsia="Calibri" w:hAnsi="Arial Narrow" w:cs="Arial"/>
                <w:sz w:val="20"/>
                <w:szCs w:val="22"/>
                <w:lang w:eastAsia="en-US"/>
              </w:rPr>
            </w:pPr>
            <w:sdt>
              <w:sdtPr>
                <w:rPr>
                  <w:rFonts w:ascii="Arial Narrow" w:eastAsia="Calibri" w:hAnsi="Arial Narrow" w:cs="Arial"/>
                  <w:sz w:val="20"/>
                  <w:szCs w:val="22"/>
                  <w:lang w:eastAsia="en-US"/>
                </w:rPr>
                <w:id w:val="2012955203"/>
                <w14:checkbox>
                  <w14:checked w14:val="1"/>
                  <w14:checkedState w14:val="2612" w14:font="MS Gothic"/>
                  <w14:uncheckedState w14:val="2610" w14:font="MS Gothic"/>
                </w14:checkbox>
              </w:sdtPr>
              <w:sdtEndPr/>
              <w:sdtContent>
                <w:r w:rsidR="0010279F" w:rsidRPr="0010279F">
                  <w:rPr>
                    <w:rFonts w:ascii="Segoe UI Symbol" w:eastAsia="Calibri" w:hAnsi="Segoe UI Symbol" w:cs="Segoe UI Symbol"/>
                    <w:sz w:val="20"/>
                    <w:szCs w:val="22"/>
                    <w:lang w:eastAsia="en-US"/>
                  </w:rPr>
                  <w:t>☒</w:t>
                </w:r>
              </w:sdtContent>
            </w:sdt>
            <w:r w:rsidR="0010279F" w:rsidRPr="0010279F">
              <w:rPr>
                <w:rFonts w:ascii="Arial Narrow" w:eastAsia="Calibri" w:hAnsi="Arial Narrow" w:cs="Arial"/>
                <w:sz w:val="20"/>
                <w:szCs w:val="22"/>
                <w:lang w:eastAsia="en-US"/>
              </w:rPr>
              <w:t xml:space="preserve">   k=17</w:t>
            </w:r>
            <w:r w:rsidR="00F43371" w:rsidRPr="0010279F">
              <w:rPr>
                <w:rFonts w:ascii="Arial Narrow" w:eastAsia="Calibri" w:hAnsi="Arial Narrow" w:cs="Arial"/>
                <w:sz w:val="20"/>
                <w:szCs w:val="22"/>
                <w:lang w:eastAsia="en-US"/>
              </w:rPr>
              <w:tab/>
            </w:r>
            <w:r w:rsidR="0010279F" w:rsidRPr="0010279F">
              <w:rPr>
                <w:rFonts w:ascii="Arial Narrow" w:eastAsia="Calibri" w:hAnsi="Arial Narrow" w:cs="Arial"/>
                <w:sz w:val="20"/>
                <w:szCs w:val="22"/>
                <w:lang w:eastAsia="en-US"/>
              </w:rPr>
              <w:t xml:space="preserve">  n= 5,061</w:t>
            </w:r>
          </w:p>
        </w:tc>
        <w:tc>
          <w:tcPr>
            <w:tcW w:w="993" w:type="pct"/>
            <w:hideMark/>
          </w:tcPr>
          <w:p w14:paraId="4C596E6F" w14:textId="2B20D48C" w:rsidR="0010279F" w:rsidRPr="0010279F" w:rsidRDefault="00F43371" w:rsidP="0010279F">
            <w:pPr>
              <w:keepNext/>
              <w:rPr>
                <w:rFonts w:ascii="Arial Narrow" w:eastAsia="Calibri" w:hAnsi="Arial Narrow" w:cs="Arial"/>
                <w:sz w:val="20"/>
                <w:szCs w:val="22"/>
                <w:lang w:eastAsia="en-US"/>
              </w:rPr>
            </w:pPr>
            <w:r>
              <w:rPr>
                <w:rFonts w:ascii="Arial Narrow" w:eastAsia="Calibri" w:hAnsi="Arial Narrow" w:cs="Arial"/>
                <w:sz w:val="20"/>
                <w:szCs w:val="22"/>
                <w:lang w:eastAsia="en-US"/>
              </w:rPr>
              <w:t>Moderate</w:t>
            </w:r>
          </w:p>
        </w:tc>
      </w:tr>
      <w:tr w:rsidR="0010279F" w:rsidRPr="0010279F" w14:paraId="41EFF248" w14:textId="77777777" w:rsidTr="0054469D">
        <w:tc>
          <w:tcPr>
            <w:tcW w:w="1098" w:type="pct"/>
            <w:hideMark/>
          </w:tcPr>
          <w:p w14:paraId="5EF4EE8F" w14:textId="77777777" w:rsidR="0010279F" w:rsidRPr="0010279F" w:rsidRDefault="0010279F" w:rsidP="0010279F">
            <w:pPr>
              <w:keepNext/>
              <w:rPr>
                <w:rFonts w:ascii="Arial Narrow" w:eastAsia="Calibri" w:hAnsi="Arial Narrow" w:cs="Arial"/>
                <w:sz w:val="20"/>
                <w:szCs w:val="22"/>
                <w:lang w:eastAsia="en-US"/>
              </w:rPr>
            </w:pPr>
            <w:r w:rsidRPr="0010279F">
              <w:rPr>
                <w:rFonts w:ascii="Arial Narrow" w:eastAsia="Calibri" w:hAnsi="Arial Narrow" w:cs="Arial"/>
                <w:sz w:val="20"/>
                <w:szCs w:val="22"/>
                <w:lang w:eastAsia="en-US"/>
              </w:rPr>
              <w:t xml:space="preserve">Change in patient management </w:t>
            </w:r>
          </w:p>
        </w:tc>
        <w:tc>
          <w:tcPr>
            <w:tcW w:w="1966" w:type="pct"/>
            <w:hideMark/>
          </w:tcPr>
          <w:p w14:paraId="7570CA4C" w14:textId="77777777" w:rsidR="0010279F" w:rsidRPr="0010279F" w:rsidRDefault="0010279F" w:rsidP="0010279F">
            <w:pPr>
              <w:keepNext/>
              <w:rPr>
                <w:rFonts w:ascii="Arial Narrow" w:eastAsia="Calibri" w:hAnsi="Arial Narrow" w:cs="Arial"/>
                <w:sz w:val="20"/>
                <w:szCs w:val="22"/>
                <w:lang w:eastAsia="en-US"/>
              </w:rPr>
            </w:pPr>
            <w:r w:rsidRPr="0010279F">
              <w:rPr>
                <w:rFonts w:ascii="Arial Narrow" w:eastAsia="Calibri" w:hAnsi="Arial Narrow" w:cs="Arial"/>
                <w:sz w:val="20"/>
                <w:szCs w:val="22"/>
                <w:lang w:eastAsia="en-US"/>
              </w:rPr>
              <w:t>No evidence provided</w:t>
            </w:r>
          </w:p>
        </w:tc>
        <w:tc>
          <w:tcPr>
            <w:tcW w:w="943" w:type="pct"/>
            <w:hideMark/>
          </w:tcPr>
          <w:p w14:paraId="030DCA76" w14:textId="77777777" w:rsidR="0010279F" w:rsidRPr="0010279F" w:rsidRDefault="00153C7B" w:rsidP="0010279F">
            <w:pPr>
              <w:keepNext/>
              <w:rPr>
                <w:rFonts w:ascii="Arial Narrow" w:eastAsia="Calibri" w:hAnsi="Arial Narrow" w:cs="Arial"/>
                <w:sz w:val="20"/>
                <w:szCs w:val="22"/>
                <w:lang w:eastAsia="en-US"/>
              </w:rPr>
            </w:pPr>
            <w:sdt>
              <w:sdtPr>
                <w:rPr>
                  <w:rFonts w:ascii="Arial Narrow" w:eastAsia="Calibri" w:hAnsi="Arial Narrow" w:cs="Arial"/>
                  <w:sz w:val="20"/>
                  <w:szCs w:val="22"/>
                  <w:lang w:eastAsia="en-US"/>
                </w:rPr>
                <w:id w:val="1495303867"/>
                <w14:checkbox>
                  <w14:checked w14:val="0"/>
                  <w14:checkedState w14:val="2612" w14:font="MS Gothic"/>
                  <w14:uncheckedState w14:val="2610" w14:font="MS Gothic"/>
                </w14:checkbox>
              </w:sdtPr>
              <w:sdtEndPr/>
              <w:sdtContent>
                <w:r w:rsidR="0010279F" w:rsidRPr="0010279F">
                  <w:rPr>
                    <w:rFonts w:ascii="Segoe UI Symbol" w:eastAsia="Calibri" w:hAnsi="Segoe UI Symbol" w:cs="Segoe UI Symbol"/>
                    <w:sz w:val="20"/>
                    <w:szCs w:val="22"/>
                    <w:lang w:eastAsia="en-US"/>
                  </w:rPr>
                  <w:t>☐</w:t>
                </w:r>
              </w:sdtContent>
            </w:sdt>
            <w:r w:rsidR="0010279F" w:rsidRPr="0010279F">
              <w:rPr>
                <w:rFonts w:ascii="Arial Narrow" w:eastAsia="Calibri" w:hAnsi="Arial Narrow" w:cs="Arial"/>
                <w:sz w:val="20"/>
                <w:szCs w:val="22"/>
                <w:lang w:eastAsia="en-US"/>
              </w:rPr>
              <w:t xml:space="preserve">   k=0</w:t>
            </w:r>
            <w:r w:rsidR="0010279F" w:rsidRPr="0010279F">
              <w:rPr>
                <w:rFonts w:ascii="Arial Narrow" w:eastAsia="Calibri" w:hAnsi="Arial Narrow" w:cs="Arial"/>
                <w:sz w:val="20"/>
                <w:szCs w:val="22"/>
                <w:lang w:eastAsia="en-US"/>
              </w:rPr>
              <w:tab/>
              <w:t xml:space="preserve">  n=0</w:t>
            </w:r>
          </w:p>
        </w:tc>
        <w:tc>
          <w:tcPr>
            <w:tcW w:w="993" w:type="pct"/>
            <w:hideMark/>
          </w:tcPr>
          <w:p w14:paraId="431CC64B" w14:textId="77777777" w:rsidR="0010279F" w:rsidRPr="0010279F" w:rsidRDefault="0010279F" w:rsidP="0010279F">
            <w:pPr>
              <w:keepNext/>
              <w:rPr>
                <w:rFonts w:ascii="Arial Narrow" w:eastAsia="Calibri" w:hAnsi="Arial Narrow" w:cs="Arial"/>
                <w:sz w:val="20"/>
                <w:szCs w:val="22"/>
                <w:lang w:eastAsia="en-US"/>
              </w:rPr>
            </w:pPr>
          </w:p>
        </w:tc>
      </w:tr>
      <w:tr w:rsidR="0010279F" w:rsidRPr="0010279F" w14:paraId="2DDF7F23" w14:textId="77777777" w:rsidTr="0054469D">
        <w:tc>
          <w:tcPr>
            <w:tcW w:w="1098" w:type="pct"/>
          </w:tcPr>
          <w:p w14:paraId="2D2E8621" w14:textId="77777777" w:rsidR="0010279F" w:rsidRPr="0010279F" w:rsidRDefault="0010279F" w:rsidP="0010279F">
            <w:pPr>
              <w:keepNext/>
              <w:rPr>
                <w:rFonts w:ascii="Arial Narrow" w:eastAsia="Calibri" w:hAnsi="Arial Narrow" w:cs="Arial"/>
                <w:sz w:val="20"/>
                <w:szCs w:val="22"/>
                <w:lang w:eastAsia="en-US"/>
              </w:rPr>
            </w:pPr>
            <w:r w:rsidRPr="0010279F">
              <w:rPr>
                <w:rFonts w:ascii="Arial Narrow" w:eastAsia="Calibri" w:hAnsi="Arial Narrow" w:cs="Arial"/>
                <w:sz w:val="20"/>
                <w:szCs w:val="22"/>
                <w:lang w:eastAsia="en-US"/>
              </w:rPr>
              <w:t xml:space="preserve">Treatment effectiveness </w:t>
            </w:r>
          </w:p>
        </w:tc>
        <w:tc>
          <w:tcPr>
            <w:tcW w:w="1966" w:type="pct"/>
          </w:tcPr>
          <w:p w14:paraId="6CDC6EE3" w14:textId="77777777" w:rsidR="0010279F" w:rsidRPr="0010279F" w:rsidRDefault="0010279F" w:rsidP="0010279F">
            <w:pPr>
              <w:keepNext/>
              <w:rPr>
                <w:rFonts w:ascii="Arial Narrow" w:eastAsia="Calibri" w:hAnsi="Arial Narrow" w:cs="Arial"/>
                <w:sz w:val="20"/>
                <w:szCs w:val="22"/>
                <w:lang w:eastAsia="en-US"/>
              </w:rPr>
            </w:pPr>
          </w:p>
        </w:tc>
        <w:tc>
          <w:tcPr>
            <w:tcW w:w="943" w:type="pct"/>
          </w:tcPr>
          <w:p w14:paraId="5F96DE91" w14:textId="77777777" w:rsidR="0010279F" w:rsidRPr="0010279F" w:rsidRDefault="0010279F" w:rsidP="0010279F">
            <w:pPr>
              <w:keepNext/>
              <w:rPr>
                <w:rFonts w:ascii="Arial Narrow" w:eastAsia="Calibri" w:hAnsi="Arial Narrow" w:cs="Arial"/>
                <w:sz w:val="20"/>
                <w:szCs w:val="22"/>
                <w:lang w:eastAsia="en-US"/>
              </w:rPr>
            </w:pPr>
          </w:p>
        </w:tc>
        <w:tc>
          <w:tcPr>
            <w:tcW w:w="993" w:type="pct"/>
            <w:hideMark/>
          </w:tcPr>
          <w:p w14:paraId="39E5544A" w14:textId="77777777" w:rsidR="0010279F" w:rsidRPr="0010279F" w:rsidRDefault="0010279F" w:rsidP="0010279F">
            <w:pPr>
              <w:keepNext/>
              <w:rPr>
                <w:rFonts w:ascii="Arial Narrow" w:eastAsia="Calibri" w:hAnsi="Arial Narrow" w:cs="Arial"/>
                <w:sz w:val="20"/>
                <w:szCs w:val="22"/>
                <w:lang w:eastAsia="en-US"/>
              </w:rPr>
            </w:pPr>
          </w:p>
        </w:tc>
      </w:tr>
      <w:tr w:rsidR="0010279F" w:rsidRPr="0010279F" w14:paraId="19E2D387" w14:textId="77777777" w:rsidTr="0054469D">
        <w:tc>
          <w:tcPr>
            <w:tcW w:w="1098" w:type="pct"/>
          </w:tcPr>
          <w:p w14:paraId="721D3CE6" w14:textId="77777777" w:rsidR="0010279F" w:rsidRPr="0010279F" w:rsidRDefault="0010279F" w:rsidP="0010279F">
            <w:pPr>
              <w:keepNext/>
              <w:rPr>
                <w:rFonts w:ascii="Arial Narrow" w:eastAsia="Calibri" w:hAnsi="Arial Narrow" w:cs="Arial"/>
                <w:sz w:val="20"/>
                <w:szCs w:val="22"/>
                <w:lang w:eastAsia="en-US"/>
              </w:rPr>
            </w:pPr>
            <w:r w:rsidRPr="0010279F">
              <w:rPr>
                <w:rFonts w:ascii="Arial Narrow" w:eastAsia="Calibri" w:hAnsi="Arial Narrow" w:cs="Arial"/>
                <w:sz w:val="20"/>
                <w:szCs w:val="22"/>
                <w:lang w:eastAsia="en-US"/>
              </w:rPr>
              <w:t>Predictive effect</w:t>
            </w:r>
          </w:p>
          <w:p w14:paraId="66B645EE" w14:textId="77777777" w:rsidR="0010279F" w:rsidRPr="0010279F" w:rsidRDefault="0010279F" w:rsidP="0010279F">
            <w:pPr>
              <w:keepNext/>
              <w:rPr>
                <w:rFonts w:ascii="Arial Narrow" w:eastAsia="Calibri" w:hAnsi="Arial Narrow" w:cs="Arial"/>
                <w:sz w:val="20"/>
                <w:szCs w:val="22"/>
                <w:lang w:eastAsia="en-US"/>
              </w:rPr>
            </w:pPr>
            <w:r w:rsidRPr="0010279F">
              <w:rPr>
                <w:rFonts w:ascii="Arial Narrow" w:eastAsia="Calibri" w:hAnsi="Arial Narrow" w:cs="Arial"/>
                <w:sz w:val="20"/>
                <w:szCs w:val="22"/>
                <w:lang w:eastAsia="en-US"/>
              </w:rPr>
              <w:t>(treatment effect variation)</w:t>
            </w:r>
          </w:p>
        </w:tc>
        <w:tc>
          <w:tcPr>
            <w:tcW w:w="1966" w:type="pct"/>
          </w:tcPr>
          <w:p w14:paraId="79A59765" w14:textId="77777777" w:rsidR="0010279F" w:rsidRPr="0010279F" w:rsidRDefault="0010279F" w:rsidP="0010279F">
            <w:pPr>
              <w:keepNext/>
              <w:rPr>
                <w:rFonts w:ascii="Arial Narrow" w:eastAsia="Calibri" w:hAnsi="Arial Narrow" w:cs="Arial"/>
                <w:sz w:val="20"/>
                <w:szCs w:val="22"/>
                <w:lang w:eastAsia="en-US"/>
              </w:rPr>
            </w:pPr>
            <w:r w:rsidRPr="0010279F">
              <w:rPr>
                <w:rFonts w:ascii="Arial Narrow" w:eastAsia="Calibri" w:hAnsi="Arial Narrow" w:cs="Arial"/>
                <w:sz w:val="20"/>
                <w:szCs w:val="22"/>
                <w:lang w:eastAsia="en-US"/>
              </w:rPr>
              <w:t>No evidence provided</w:t>
            </w:r>
          </w:p>
        </w:tc>
        <w:tc>
          <w:tcPr>
            <w:tcW w:w="943" w:type="pct"/>
          </w:tcPr>
          <w:p w14:paraId="60ADF906" w14:textId="77777777" w:rsidR="0010279F" w:rsidRPr="0010279F" w:rsidRDefault="00153C7B" w:rsidP="0010279F">
            <w:pPr>
              <w:keepNext/>
              <w:rPr>
                <w:rFonts w:ascii="Arial Narrow" w:eastAsia="Calibri" w:hAnsi="Arial Narrow" w:cs="Arial"/>
                <w:sz w:val="20"/>
                <w:szCs w:val="22"/>
                <w:lang w:eastAsia="en-US"/>
              </w:rPr>
            </w:pPr>
            <w:sdt>
              <w:sdtPr>
                <w:rPr>
                  <w:rFonts w:ascii="Arial Narrow" w:eastAsia="Calibri" w:hAnsi="Arial Narrow" w:cs="Arial"/>
                  <w:sz w:val="20"/>
                  <w:szCs w:val="22"/>
                  <w:lang w:eastAsia="en-US"/>
                </w:rPr>
                <w:id w:val="354078960"/>
                <w14:checkbox>
                  <w14:checked w14:val="0"/>
                  <w14:checkedState w14:val="2612" w14:font="MS Gothic"/>
                  <w14:uncheckedState w14:val="2610" w14:font="MS Gothic"/>
                </w14:checkbox>
              </w:sdtPr>
              <w:sdtEndPr/>
              <w:sdtContent>
                <w:r w:rsidR="0010279F" w:rsidRPr="0010279F">
                  <w:rPr>
                    <w:rFonts w:ascii="Segoe UI Symbol" w:eastAsia="Calibri" w:hAnsi="Segoe UI Symbol" w:cs="Segoe UI Symbol"/>
                    <w:sz w:val="20"/>
                    <w:szCs w:val="22"/>
                    <w:lang w:eastAsia="en-US"/>
                  </w:rPr>
                  <w:t>☐</w:t>
                </w:r>
              </w:sdtContent>
            </w:sdt>
            <w:r w:rsidR="0010279F" w:rsidRPr="0010279F">
              <w:rPr>
                <w:rFonts w:ascii="Arial Narrow" w:eastAsia="Calibri" w:hAnsi="Arial Narrow" w:cs="Arial"/>
                <w:sz w:val="20"/>
                <w:szCs w:val="22"/>
                <w:lang w:eastAsia="en-US"/>
              </w:rPr>
              <w:t xml:space="preserve">   k=0</w:t>
            </w:r>
            <w:r w:rsidR="0010279F" w:rsidRPr="0010279F">
              <w:rPr>
                <w:rFonts w:ascii="Arial Narrow" w:eastAsia="Calibri" w:hAnsi="Arial Narrow" w:cs="Arial"/>
                <w:sz w:val="20"/>
                <w:szCs w:val="22"/>
                <w:lang w:eastAsia="en-US"/>
              </w:rPr>
              <w:tab/>
              <w:t xml:space="preserve">  n=0</w:t>
            </w:r>
          </w:p>
        </w:tc>
        <w:tc>
          <w:tcPr>
            <w:tcW w:w="993" w:type="pct"/>
          </w:tcPr>
          <w:p w14:paraId="0D37346C" w14:textId="77777777" w:rsidR="0010279F" w:rsidRPr="0010279F" w:rsidRDefault="0010279F" w:rsidP="0010279F">
            <w:pPr>
              <w:keepNext/>
              <w:rPr>
                <w:rFonts w:ascii="Arial Narrow" w:eastAsia="Calibri" w:hAnsi="Arial Narrow" w:cs="Arial"/>
                <w:sz w:val="20"/>
                <w:szCs w:val="22"/>
                <w:lang w:eastAsia="en-US"/>
              </w:rPr>
            </w:pPr>
          </w:p>
        </w:tc>
      </w:tr>
      <w:tr w:rsidR="0010279F" w:rsidRPr="0010279F" w14:paraId="003E4481" w14:textId="77777777" w:rsidTr="0054469D">
        <w:tc>
          <w:tcPr>
            <w:tcW w:w="1098" w:type="pct"/>
          </w:tcPr>
          <w:p w14:paraId="2DD98FAD" w14:textId="77777777" w:rsidR="0010279F" w:rsidRPr="0010279F" w:rsidRDefault="0010279F" w:rsidP="0010279F">
            <w:pPr>
              <w:keepNext/>
              <w:rPr>
                <w:rFonts w:ascii="Arial Narrow" w:eastAsia="Calibri" w:hAnsi="Arial Narrow" w:cs="Arial"/>
                <w:sz w:val="20"/>
                <w:szCs w:val="22"/>
                <w:lang w:eastAsia="en-US"/>
              </w:rPr>
            </w:pPr>
            <w:r w:rsidRPr="0010279F">
              <w:rPr>
                <w:rFonts w:ascii="Arial Narrow" w:eastAsia="Calibri" w:hAnsi="Arial Narrow" w:cs="Arial"/>
                <w:sz w:val="20"/>
                <w:szCs w:val="22"/>
                <w:lang w:eastAsia="en-US"/>
              </w:rPr>
              <w:t>Treatment effect (enriched)</w:t>
            </w:r>
          </w:p>
        </w:tc>
        <w:tc>
          <w:tcPr>
            <w:tcW w:w="1966" w:type="pct"/>
          </w:tcPr>
          <w:p w14:paraId="0E69AB14" w14:textId="07EB5741" w:rsidR="0010279F" w:rsidRPr="0010279F" w:rsidRDefault="0010279F" w:rsidP="00F43371">
            <w:pPr>
              <w:keepNext/>
              <w:rPr>
                <w:rFonts w:ascii="Arial Narrow" w:eastAsia="Calibri" w:hAnsi="Arial Narrow" w:cs="Arial"/>
                <w:sz w:val="20"/>
                <w:szCs w:val="22"/>
                <w:lang w:eastAsia="en-US"/>
              </w:rPr>
            </w:pPr>
            <w:r w:rsidRPr="0010279F">
              <w:rPr>
                <w:rFonts w:ascii="Arial Narrow" w:eastAsia="Calibri" w:hAnsi="Arial Narrow" w:cs="Arial"/>
                <w:sz w:val="20"/>
                <w:szCs w:val="22"/>
                <w:lang w:eastAsia="en-US"/>
              </w:rPr>
              <w:t>Single randomised controlled trial of encorafenib + cetuximab compared to irinotecan/cetuximab or FOLFIRI/cetuximab in</w:t>
            </w:r>
            <w:r w:rsidR="00F43371" w:rsidRPr="0010279F">
              <w:rPr>
                <w:rFonts w:ascii="Arial Narrow" w:eastAsia="Calibri" w:hAnsi="Arial Narrow" w:cs="Arial"/>
                <w:sz w:val="20"/>
                <w:szCs w:val="22"/>
                <w:lang w:eastAsia="en-US"/>
              </w:rPr>
              <w:t xml:space="preserve"> patients</w:t>
            </w:r>
            <w:r w:rsidR="00F43371">
              <w:rPr>
                <w:rFonts w:ascii="Arial Narrow" w:eastAsia="Calibri" w:hAnsi="Arial Narrow" w:cs="Arial"/>
                <w:sz w:val="20"/>
                <w:szCs w:val="22"/>
                <w:lang w:eastAsia="en-US"/>
              </w:rPr>
              <w:t xml:space="preserve"> with</w:t>
            </w:r>
            <w:r w:rsidRPr="0010279F">
              <w:rPr>
                <w:rFonts w:ascii="Arial Narrow" w:eastAsia="Calibri" w:hAnsi="Arial Narrow" w:cs="Arial"/>
                <w:sz w:val="20"/>
                <w:szCs w:val="22"/>
                <w:lang w:eastAsia="en-US"/>
              </w:rPr>
              <w:t xml:space="preserve"> </w:t>
            </w:r>
            <w:r w:rsidRPr="0010279F">
              <w:rPr>
                <w:rFonts w:ascii="Arial Narrow" w:eastAsia="Calibri" w:hAnsi="Arial Narrow" w:cs="Arial"/>
                <w:i/>
                <w:iCs/>
                <w:sz w:val="20"/>
                <w:szCs w:val="22"/>
                <w:lang w:eastAsia="en-US"/>
              </w:rPr>
              <w:t xml:space="preserve">BRAF </w:t>
            </w:r>
            <w:r w:rsidR="00965823" w:rsidRPr="00965823">
              <w:rPr>
                <w:rFonts w:ascii="Arial Narrow" w:eastAsia="Calibri" w:hAnsi="Arial Narrow" w:cs="Arial"/>
                <w:iCs/>
                <w:sz w:val="20"/>
                <w:szCs w:val="22"/>
                <w:lang w:eastAsia="en-US"/>
              </w:rPr>
              <w:t>V600E</w:t>
            </w:r>
            <w:r w:rsidRPr="0010279F">
              <w:rPr>
                <w:rFonts w:ascii="Arial Narrow" w:eastAsia="Calibri" w:hAnsi="Arial Narrow" w:cs="Arial"/>
                <w:sz w:val="20"/>
                <w:szCs w:val="22"/>
                <w:lang w:eastAsia="en-US"/>
              </w:rPr>
              <w:t xml:space="preserve"> </w:t>
            </w:r>
            <w:r w:rsidR="007C3B31">
              <w:rPr>
                <w:rFonts w:ascii="Arial Narrow" w:eastAsia="Calibri" w:hAnsi="Arial Narrow" w:cs="Arial"/>
                <w:sz w:val="20"/>
                <w:szCs w:val="22"/>
                <w:lang w:eastAsia="en-US"/>
              </w:rPr>
              <w:t>positive</w:t>
            </w:r>
            <w:r w:rsidRPr="0010279F">
              <w:rPr>
                <w:rFonts w:ascii="Arial Narrow" w:eastAsia="Calibri" w:hAnsi="Arial Narrow" w:cs="Arial"/>
                <w:sz w:val="20"/>
                <w:szCs w:val="22"/>
                <w:lang w:eastAsia="en-US"/>
              </w:rPr>
              <w:t xml:space="preserve"> mCRC.</w:t>
            </w:r>
          </w:p>
        </w:tc>
        <w:tc>
          <w:tcPr>
            <w:tcW w:w="943" w:type="pct"/>
          </w:tcPr>
          <w:p w14:paraId="06D4DFD5" w14:textId="77777777" w:rsidR="0010279F" w:rsidRPr="0010279F" w:rsidRDefault="00153C7B" w:rsidP="0010279F">
            <w:pPr>
              <w:keepNext/>
              <w:rPr>
                <w:rFonts w:ascii="Arial Narrow" w:eastAsia="Calibri" w:hAnsi="Arial Narrow" w:cs="Arial"/>
                <w:sz w:val="20"/>
                <w:szCs w:val="22"/>
                <w:lang w:eastAsia="en-US"/>
              </w:rPr>
            </w:pPr>
            <w:sdt>
              <w:sdtPr>
                <w:rPr>
                  <w:rFonts w:ascii="Arial Narrow" w:eastAsia="Calibri" w:hAnsi="Arial Narrow" w:cs="Arial"/>
                  <w:sz w:val="20"/>
                  <w:szCs w:val="22"/>
                  <w:lang w:eastAsia="en-US"/>
                </w:rPr>
                <w:id w:val="-179740270"/>
                <w14:checkbox>
                  <w14:checked w14:val="1"/>
                  <w14:checkedState w14:val="2612" w14:font="MS Gothic"/>
                  <w14:uncheckedState w14:val="2610" w14:font="MS Gothic"/>
                </w14:checkbox>
              </w:sdtPr>
              <w:sdtEndPr/>
              <w:sdtContent>
                <w:r w:rsidR="0010279F" w:rsidRPr="0010279F">
                  <w:rPr>
                    <w:rFonts w:ascii="Segoe UI Symbol" w:eastAsia="Calibri" w:hAnsi="Segoe UI Symbol" w:cs="Segoe UI Symbol"/>
                    <w:sz w:val="20"/>
                    <w:szCs w:val="22"/>
                    <w:lang w:eastAsia="en-US"/>
                  </w:rPr>
                  <w:t>☒</w:t>
                </w:r>
              </w:sdtContent>
            </w:sdt>
            <w:r w:rsidR="0010279F" w:rsidRPr="0010279F">
              <w:rPr>
                <w:rFonts w:ascii="Arial Narrow" w:eastAsia="Calibri" w:hAnsi="Arial Narrow" w:cs="Arial"/>
                <w:sz w:val="20"/>
                <w:szCs w:val="22"/>
                <w:lang w:eastAsia="en-US"/>
              </w:rPr>
              <w:t xml:space="preserve">   k=1</w:t>
            </w:r>
            <w:r w:rsidR="0010279F" w:rsidRPr="0010279F">
              <w:rPr>
                <w:rFonts w:ascii="Arial Narrow" w:eastAsia="Calibri" w:hAnsi="Arial Narrow" w:cs="Arial"/>
                <w:sz w:val="20"/>
                <w:szCs w:val="22"/>
                <w:lang w:eastAsia="en-US"/>
              </w:rPr>
              <w:tab/>
              <w:t xml:space="preserve">  n=441</w:t>
            </w:r>
          </w:p>
        </w:tc>
        <w:tc>
          <w:tcPr>
            <w:tcW w:w="993" w:type="pct"/>
          </w:tcPr>
          <w:p w14:paraId="2F9B9F62" w14:textId="0D1C35AB" w:rsidR="0010279F" w:rsidRPr="0010279F" w:rsidRDefault="00F43371" w:rsidP="0010279F">
            <w:pPr>
              <w:keepNext/>
              <w:rPr>
                <w:rFonts w:ascii="Arial Narrow" w:eastAsia="Calibri" w:hAnsi="Arial Narrow" w:cs="Arial"/>
                <w:sz w:val="20"/>
                <w:szCs w:val="22"/>
                <w:lang w:eastAsia="en-US"/>
              </w:rPr>
            </w:pPr>
            <w:r>
              <w:rPr>
                <w:rFonts w:ascii="Arial Narrow" w:eastAsia="Calibri" w:hAnsi="Arial Narrow" w:cs="Arial"/>
                <w:sz w:val="20"/>
                <w:szCs w:val="22"/>
                <w:lang w:eastAsia="en-US"/>
              </w:rPr>
              <w:t>Low</w:t>
            </w:r>
          </w:p>
        </w:tc>
      </w:tr>
    </w:tbl>
    <w:p w14:paraId="6FD6AA6E" w14:textId="77777777" w:rsidR="0010279F" w:rsidRPr="0010279F" w:rsidRDefault="0010279F" w:rsidP="0010279F">
      <w:pPr>
        <w:spacing w:after="240"/>
        <w:contextualSpacing/>
        <w:rPr>
          <w:rFonts w:ascii="Arial Narrow" w:hAnsi="Arial Narrow" w:cs="Arial"/>
          <w:snapToGrid w:val="0"/>
          <w:sz w:val="18"/>
          <w:lang w:eastAsia="en-US"/>
        </w:rPr>
      </w:pPr>
      <w:r w:rsidRPr="0010279F">
        <w:rPr>
          <w:rFonts w:ascii="Arial Narrow" w:hAnsi="Arial Narrow" w:cs="Arial"/>
          <w:snapToGrid w:val="0"/>
          <w:sz w:val="18"/>
          <w:lang w:eastAsia="en-US"/>
        </w:rPr>
        <w:t>Abbreviations: BRAF= B-Rapidly Accelerated Fibrosarcoma; FOLFIRI = 5-fluorouracil/ folinic acid/irinotecan; k=number of studies, mCRC = metastatic colorectal cancer; n=number of patients.</w:t>
      </w:r>
    </w:p>
    <w:p w14:paraId="72A6DAC6" w14:textId="53EF74B1" w:rsidR="0010279F" w:rsidRPr="0010279F" w:rsidRDefault="0010279F" w:rsidP="00A00C03">
      <w:pPr>
        <w:spacing w:after="240"/>
        <w:rPr>
          <w:rFonts w:ascii="Arial Narrow" w:hAnsi="Arial Narrow" w:cs="Arial"/>
          <w:snapToGrid w:val="0"/>
          <w:sz w:val="18"/>
          <w:lang w:eastAsia="en-US"/>
        </w:rPr>
      </w:pPr>
      <w:r w:rsidRPr="0010279F">
        <w:rPr>
          <w:rFonts w:ascii="Arial Narrow" w:hAnsi="Arial Narrow" w:cs="Arial"/>
          <w:snapToGrid w:val="0"/>
          <w:sz w:val="18"/>
          <w:lang w:eastAsia="en-US"/>
        </w:rPr>
        <w:t>Source: constructed during the evaluation.</w:t>
      </w:r>
    </w:p>
    <w:p w14:paraId="0623C7E2" w14:textId="4A23F45E" w:rsidR="0010279F" w:rsidRPr="0010279F" w:rsidRDefault="0010279F" w:rsidP="00A00C03">
      <w:pPr>
        <w:rPr>
          <w:rFonts w:eastAsia="Calibri" w:cs="Arial"/>
          <w:szCs w:val="22"/>
          <w:lang w:eastAsia="en-US"/>
        </w:rPr>
      </w:pPr>
      <w:r w:rsidRPr="0010279F">
        <w:rPr>
          <w:rFonts w:eastAsia="Calibri" w:cs="Arial"/>
          <w:iCs/>
          <w:szCs w:val="22"/>
          <w:lang w:eastAsia="en-US"/>
        </w:rPr>
        <w:t xml:space="preserve">The submission presented evidence to address some parts of the analytic framework as outlined </w:t>
      </w:r>
      <w:r w:rsidRPr="00E87AFC">
        <w:rPr>
          <w:rFonts w:eastAsia="Calibri"/>
          <w:iCs/>
          <w:szCs w:val="22"/>
          <w:lang w:eastAsia="en-US"/>
        </w:rPr>
        <w:t xml:space="preserve">in </w:t>
      </w:r>
      <w:r w:rsidR="00E87AFC" w:rsidRPr="00E87AFC">
        <w:rPr>
          <w:rFonts w:eastAsia="Calibri"/>
          <w:iCs/>
          <w:szCs w:val="22"/>
          <w:lang w:eastAsia="en-US"/>
        </w:rPr>
        <w:t>Table 4</w:t>
      </w:r>
      <w:r w:rsidRPr="00E87AFC">
        <w:rPr>
          <w:rFonts w:eastAsia="Calibri"/>
          <w:szCs w:val="22"/>
          <w:lang w:eastAsia="en-US"/>
        </w:rPr>
        <w:t>. No</w:t>
      </w:r>
      <w:r w:rsidRPr="00E87AFC">
        <w:rPr>
          <w:rFonts w:eastAsia="Calibri" w:cs="Arial"/>
          <w:szCs w:val="22"/>
          <w:lang w:eastAsia="en-US"/>
        </w:rPr>
        <w:t xml:space="preserve"> </w:t>
      </w:r>
      <w:r w:rsidRPr="0010279F">
        <w:rPr>
          <w:rFonts w:eastAsia="Calibri" w:cs="Arial"/>
          <w:szCs w:val="22"/>
          <w:lang w:eastAsia="en-US"/>
        </w:rPr>
        <w:t>evidence was presented to in</w:t>
      </w:r>
      <w:r w:rsidR="00F43371">
        <w:rPr>
          <w:rFonts w:eastAsia="Calibri" w:cs="Arial"/>
          <w:szCs w:val="22"/>
          <w:lang w:eastAsia="en-US"/>
        </w:rPr>
        <w:t>form the following comparisons:</w:t>
      </w:r>
    </w:p>
    <w:p w14:paraId="25B7D696" w14:textId="628788AD" w:rsidR="0010279F" w:rsidRPr="0010279F" w:rsidRDefault="0010279F" w:rsidP="00747874">
      <w:pPr>
        <w:numPr>
          <w:ilvl w:val="0"/>
          <w:numId w:val="28"/>
        </w:numPr>
        <w:spacing w:after="120"/>
        <w:ind w:left="714" w:hanging="357"/>
        <w:contextualSpacing/>
        <w:rPr>
          <w:rFonts w:eastAsia="Calibri" w:cs="Arial"/>
          <w:szCs w:val="22"/>
          <w:lang w:eastAsia="en-US"/>
        </w:rPr>
      </w:pPr>
      <w:r w:rsidRPr="0010279F">
        <w:rPr>
          <w:rFonts w:eastAsia="Calibri" w:cs="Arial"/>
          <w:i/>
          <w:iCs/>
          <w:szCs w:val="22"/>
          <w:lang w:eastAsia="en-US"/>
        </w:rPr>
        <w:t xml:space="preserve">BRAF </w:t>
      </w:r>
      <w:r w:rsidR="00965823" w:rsidRPr="00965823">
        <w:rPr>
          <w:rFonts w:eastAsia="Calibri" w:cs="Arial"/>
          <w:iCs/>
          <w:szCs w:val="22"/>
          <w:lang w:eastAsia="en-US"/>
        </w:rPr>
        <w:t>V600E</w:t>
      </w:r>
      <w:r w:rsidRPr="0010279F">
        <w:rPr>
          <w:rFonts w:eastAsia="Calibri" w:cs="Arial"/>
          <w:szCs w:val="22"/>
          <w:lang w:eastAsia="en-US"/>
        </w:rPr>
        <w:t xml:space="preserve"> test versus no </w:t>
      </w:r>
      <w:r w:rsidRPr="0010279F">
        <w:rPr>
          <w:rFonts w:eastAsia="Calibri" w:cs="Arial"/>
          <w:i/>
          <w:iCs/>
          <w:szCs w:val="22"/>
          <w:lang w:eastAsia="en-US"/>
        </w:rPr>
        <w:t xml:space="preserve">BRAF </w:t>
      </w:r>
      <w:r w:rsidR="00965823" w:rsidRPr="00965823">
        <w:rPr>
          <w:rFonts w:eastAsia="Calibri" w:cs="Arial"/>
          <w:iCs/>
          <w:szCs w:val="22"/>
          <w:lang w:eastAsia="en-US"/>
        </w:rPr>
        <w:t>V600E</w:t>
      </w:r>
      <w:r w:rsidRPr="0010279F">
        <w:rPr>
          <w:rFonts w:eastAsia="Calibri" w:cs="Arial"/>
          <w:szCs w:val="22"/>
          <w:lang w:eastAsia="en-US"/>
        </w:rPr>
        <w:t xml:space="preserve"> test</w:t>
      </w:r>
    </w:p>
    <w:p w14:paraId="18AFF5C9" w14:textId="240B5D15" w:rsidR="0010279F" w:rsidRPr="0010279F" w:rsidRDefault="0010279F" w:rsidP="00747874">
      <w:pPr>
        <w:numPr>
          <w:ilvl w:val="0"/>
          <w:numId w:val="28"/>
        </w:numPr>
        <w:spacing w:before="120" w:after="120"/>
        <w:contextualSpacing/>
        <w:rPr>
          <w:rFonts w:eastAsia="Calibri" w:cs="Arial"/>
          <w:szCs w:val="22"/>
          <w:lang w:eastAsia="en-US"/>
        </w:rPr>
      </w:pPr>
      <w:r w:rsidRPr="0010279F">
        <w:rPr>
          <w:rFonts w:eastAsia="Calibri" w:cs="Arial"/>
          <w:i/>
          <w:iCs/>
          <w:szCs w:val="22"/>
          <w:lang w:eastAsia="en-US"/>
        </w:rPr>
        <w:t xml:space="preserve">BRAF </w:t>
      </w:r>
      <w:r w:rsidR="00965823" w:rsidRPr="00965823">
        <w:rPr>
          <w:rFonts w:eastAsia="Calibri" w:cs="Arial"/>
          <w:iCs/>
          <w:szCs w:val="22"/>
          <w:lang w:eastAsia="en-US"/>
        </w:rPr>
        <w:t>V600E</w:t>
      </w:r>
      <w:r w:rsidRPr="0010279F">
        <w:rPr>
          <w:rFonts w:eastAsia="Calibri" w:cs="Arial"/>
          <w:szCs w:val="22"/>
          <w:lang w:eastAsia="en-US"/>
        </w:rPr>
        <w:t xml:space="preserve"> test versus an alternative test</w:t>
      </w:r>
    </w:p>
    <w:p w14:paraId="3174E9D3" w14:textId="04FCFEFB" w:rsidR="0010279F" w:rsidRPr="0010279F" w:rsidRDefault="00A00C03" w:rsidP="00747874">
      <w:pPr>
        <w:numPr>
          <w:ilvl w:val="0"/>
          <w:numId w:val="28"/>
        </w:numPr>
        <w:spacing w:before="120" w:after="240"/>
        <w:ind w:left="714" w:hanging="357"/>
        <w:rPr>
          <w:rFonts w:eastAsia="Calibri" w:cs="Arial"/>
          <w:szCs w:val="22"/>
          <w:lang w:eastAsia="en-US"/>
        </w:rPr>
      </w:pPr>
      <w:r>
        <w:rPr>
          <w:rFonts w:eastAsia="Calibri" w:cs="Arial"/>
          <w:szCs w:val="22"/>
          <w:lang w:eastAsia="en-US"/>
        </w:rPr>
        <w:t>o</w:t>
      </w:r>
      <w:r w:rsidR="0010279F" w:rsidRPr="0010279F">
        <w:rPr>
          <w:rFonts w:eastAsia="Calibri" w:cs="Arial"/>
          <w:szCs w:val="22"/>
          <w:lang w:eastAsia="en-US"/>
        </w:rPr>
        <w:t xml:space="preserve">utcomes for patients who tested negative to </w:t>
      </w:r>
      <w:r w:rsidR="0010279F" w:rsidRPr="0010279F">
        <w:rPr>
          <w:rFonts w:eastAsia="Calibri" w:cs="Arial"/>
          <w:i/>
          <w:iCs/>
          <w:szCs w:val="22"/>
          <w:lang w:eastAsia="en-US"/>
        </w:rPr>
        <w:t xml:space="preserve">BRAF </w:t>
      </w:r>
      <w:r w:rsidR="00965823" w:rsidRPr="00965823">
        <w:rPr>
          <w:rFonts w:eastAsia="Calibri" w:cs="Arial"/>
          <w:iCs/>
          <w:szCs w:val="22"/>
          <w:lang w:eastAsia="en-US"/>
        </w:rPr>
        <w:t>V600E</w:t>
      </w:r>
      <w:r w:rsidR="0010279F" w:rsidRPr="0010279F">
        <w:rPr>
          <w:rFonts w:eastAsia="Calibri" w:cs="Arial"/>
          <w:szCs w:val="22"/>
          <w:lang w:eastAsia="en-US"/>
        </w:rPr>
        <w:t xml:space="preserve"> in the proposed medicine arm versus patients who tested negative to </w:t>
      </w:r>
      <w:r w:rsidR="0010279F" w:rsidRPr="0010279F">
        <w:rPr>
          <w:rFonts w:eastAsia="Calibri" w:cs="Arial"/>
          <w:i/>
          <w:iCs/>
          <w:szCs w:val="22"/>
          <w:lang w:eastAsia="en-US"/>
        </w:rPr>
        <w:t xml:space="preserve">BRAF </w:t>
      </w:r>
      <w:r w:rsidR="00965823" w:rsidRPr="00965823">
        <w:rPr>
          <w:rFonts w:eastAsia="Calibri" w:cs="Arial"/>
          <w:iCs/>
          <w:szCs w:val="22"/>
          <w:lang w:eastAsia="en-US"/>
        </w:rPr>
        <w:t>V600E</w:t>
      </w:r>
      <w:r w:rsidR="0010279F" w:rsidRPr="0010279F">
        <w:rPr>
          <w:rFonts w:eastAsia="Calibri" w:cs="Arial"/>
          <w:szCs w:val="22"/>
          <w:lang w:eastAsia="en-US"/>
        </w:rPr>
        <w:t xml:space="preserve"> in the comparator medicine arm</w:t>
      </w:r>
      <w:r>
        <w:rPr>
          <w:rFonts w:eastAsia="Calibri" w:cs="Arial"/>
          <w:szCs w:val="22"/>
          <w:lang w:eastAsia="en-US"/>
        </w:rPr>
        <w:t>.</w:t>
      </w:r>
    </w:p>
    <w:p w14:paraId="6D3B1A44" w14:textId="5A3786B1" w:rsidR="0010279F" w:rsidRPr="0010279F" w:rsidRDefault="0010279F" w:rsidP="0010279F">
      <w:pPr>
        <w:keepNext/>
        <w:tabs>
          <w:tab w:val="left" w:pos="1418"/>
        </w:tabs>
        <w:contextualSpacing/>
        <w:rPr>
          <w:rFonts w:ascii="Arial Narrow" w:hAnsi="Arial Narrow" w:cs="Arial"/>
          <w:b/>
          <w:iCs/>
          <w:sz w:val="20"/>
          <w:lang w:eastAsia="en-US"/>
        </w:rPr>
      </w:pPr>
      <w:bookmarkStart w:id="3" w:name="_Ref64018462"/>
      <w:r w:rsidRPr="0010279F">
        <w:rPr>
          <w:rFonts w:ascii="Arial Narrow" w:hAnsi="Arial Narrow" w:cs="Arial"/>
          <w:b/>
          <w:iCs/>
          <w:sz w:val="20"/>
          <w:lang w:eastAsia="en-US"/>
        </w:rPr>
        <w:t>Table</w:t>
      </w:r>
      <w:bookmarkEnd w:id="3"/>
      <w:r w:rsidR="009835BB">
        <w:rPr>
          <w:rFonts w:ascii="Arial Narrow" w:hAnsi="Arial Narrow" w:cs="Arial"/>
          <w:b/>
          <w:iCs/>
          <w:sz w:val="20"/>
          <w:lang w:eastAsia="en-US"/>
        </w:rPr>
        <w:t xml:space="preserve"> 4</w:t>
      </w:r>
      <w:r w:rsidRPr="0010279F">
        <w:rPr>
          <w:rFonts w:ascii="Arial Narrow" w:hAnsi="Arial Narrow" w:cs="Arial"/>
          <w:b/>
          <w:iCs/>
          <w:sz w:val="20"/>
          <w:lang w:eastAsia="en-US"/>
        </w:rPr>
        <w:tab/>
        <w:t>Data availability to inform comparisons</w:t>
      </w:r>
    </w:p>
    <w:tbl>
      <w:tblPr>
        <w:tblStyle w:val="TableGrid1"/>
        <w:tblW w:w="5000" w:type="pct"/>
        <w:tblLook w:val="04A0" w:firstRow="1" w:lastRow="0" w:firstColumn="1" w:lastColumn="0" w:noHBand="0" w:noVBand="1"/>
        <w:tblDescription w:val="Data availability to inform comparisons"/>
      </w:tblPr>
      <w:tblGrid>
        <w:gridCol w:w="3397"/>
        <w:gridCol w:w="2694"/>
        <w:gridCol w:w="2925"/>
      </w:tblGrid>
      <w:tr w:rsidR="0010279F" w:rsidRPr="0010279F" w14:paraId="506AA636" w14:textId="77777777" w:rsidTr="0054469D">
        <w:trPr>
          <w:tblHeader/>
        </w:trPr>
        <w:tc>
          <w:tcPr>
            <w:tcW w:w="1884" w:type="pct"/>
            <w:hideMark/>
          </w:tcPr>
          <w:p w14:paraId="0F6BA202" w14:textId="77777777" w:rsidR="0010279F" w:rsidRPr="0010279F" w:rsidRDefault="0010279F" w:rsidP="0010279F">
            <w:pPr>
              <w:spacing w:before="40" w:after="40" w:line="256" w:lineRule="auto"/>
              <w:rPr>
                <w:rFonts w:ascii="Arial Narrow" w:eastAsia="Calibri" w:hAnsi="Arial Narrow" w:cs="Arial"/>
                <w:sz w:val="20"/>
                <w:szCs w:val="22"/>
                <w:lang w:eastAsia="en-US"/>
              </w:rPr>
            </w:pPr>
            <w:r w:rsidRPr="0010279F">
              <w:rPr>
                <w:rFonts w:ascii="Arial Narrow" w:eastAsia="Calibri" w:hAnsi="Arial Narrow" w:cs="Arial"/>
                <w:sz w:val="20"/>
                <w:szCs w:val="22"/>
                <w:lang w:eastAsia="en-US"/>
              </w:rPr>
              <w:t>Proposed test vs no test</w:t>
            </w:r>
          </w:p>
        </w:tc>
        <w:tc>
          <w:tcPr>
            <w:tcW w:w="3116" w:type="pct"/>
            <w:gridSpan w:val="2"/>
            <w:hideMark/>
          </w:tcPr>
          <w:p w14:paraId="2F32F195" w14:textId="77777777" w:rsidR="0010279F" w:rsidRPr="0010279F" w:rsidRDefault="0010279F" w:rsidP="0010279F">
            <w:pPr>
              <w:spacing w:before="40" w:after="40" w:line="256" w:lineRule="auto"/>
              <w:rPr>
                <w:rFonts w:ascii="Arial Narrow" w:eastAsia="Calibri" w:hAnsi="Arial Narrow" w:cs="Arial"/>
                <w:sz w:val="20"/>
                <w:szCs w:val="22"/>
                <w:lang w:eastAsia="en-US"/>
              </w:rPr>
            </w:pPr>
            <w:r w:rsidRPr="0010279F">
              <w:rPr>
                <w:rFonts w:ascii="Arial Narrow" w:eastAsia="Calibri" w:hAnsi="Arial Narrow" w:cs="Arial"/>
                <w:sz w:val="20"/>
                <w:szCs w:val="22"/>
                <w:lang w:eastAsia="en-US"/>
              </w:rPr>
              <w:t>No evidence presented</w:t>
            </w:r>
          </w:p>
        </w:tc>
      </w:tr>
      <w:tr w:rsidR="0010279F" w:rsidRPr="0010279F" w14:paraId="7329DA46" w14:textId="77777777" w:rsidTr="0054469D">
        <w:tc>
          <w:tcPr>
            <w:tcW w:w="1884" w:type="pct"/>
            <w:hideMark/>
          </w:tcPr>
          <w:p w14:paraId="26775197" w14:textId="77777777" w:rsidR="0010279F" w:rsidRPr="0010279F" w:rsidRDefault="0010279F" w:rsidP="0010279F">
            <w:pPr>
              <w:spacing w:before="40" w:after="40" w:line="256" w:lineRule="auto"/>
              <w:rPr>
                <w:rFonts w:ascii="Arial Narrow" w:eastAsia="Calibri" w:hAnsi="Arial Narrow" w:cs="Arial"/>
                <w:sz w:val="20"/>
                <w:szCs w:val="22"/>
                <w:lang w:eastAsia="en-US"/>
              </w:rPr>
            </w:pPr>
            <w:r w:rsidRPr="0010279F">
              <w:rPr>
                <w:rFonts w:ascii="Arial Narrow" w:eastAsia="Calibri" w:hAnsi="Arial Narrow" w:cs="Arial"/>
                <w:sz w:val="20"/>
                <w:szCs w:val="22"/>
                <w:lang w:eastAsia="en-US"/>
              </w:rPr>
              <w:t>Proposed test vs alternative test</w:t>
            </w:r>
          </w:p>
        </w:tc>
        <w:tc>
          <w:tcPr>
            <w:tcW w:w="3116" w:type="pct"/>
            <w:gridSpan w:val="2"/>
            <w:hideMark/>
          </w:tcPr>
          <w:p w14:paraId="4A81DDE1" w14:textId="77777777" w:rsidR="0010279F" w:rsidRPr="0010279F" w:rsidRDefault="0010279F" w:rsidP="0010279F">
            <w:pPr>
              <w:spacing w:before="40" w:after="40" w:line="256" w:lineRule="auto"/>
              <w:rPr>
                <w:rFonts w:ascii="Arial Narrow" w:eastAsia="Calibri" w:hAnsi="Arial Narrow" w:cs="Arial"/>
                <w:sz w:val="20"/>
                <w:szCs w:val="22"/>
                <w:lang w:eastAsia="en-US"/>
              </w:rPr>
            </w:pPr>
            <w:r w:rsidRPr="0010279F">
              <w:rPr>
                <w:rFonts w:ascii="Arial Narrow" w:eastAsia="Calibri" w:hAnsi="Arial Narrow" w:cs="Arial"/>
                <w:sz w:val="20"/>
                <w:szCs w:val="22"/>
                <w:lang w:eastAsia="en-US"/>
              </w:rPr>
              <w:t>Concordance of all available tests was presented</w:t>
            </w:r>
          </w:p>
        </w:tc>
      </w:tr>
      <w:tr w:rsidR="0010279F" w:rsidRPr="0010279F" w14:paraId="3AFAC3D5" w14:textId="77777777" w:rsidTr="0054469D">
        <w:tc>
          <w:tcPr>
            <w:tcW w:w="1884" w:type="pct"/>
          </w:tcPr>
          <w:p w14:paraId="27A7B1F5" w14:textId="77777777" w:rsidR="0010279F" w:rsidRPr="0010279F" w:rsidRDefault="0010279F" w:rsidP="0010279F">
            <w:pPr>
              <w:spacing w:before="40" w:after="40" w:line="256" w:lineRule="auto"/>
              <w:rPr>
                <w:rFonts w:ascii="Arial Narrow" w:eastAsia="Calibri" w:hAnsi="Arial Narrow" w:cs="Arial"/>
                <w:sz w:val="20"/>
                <w:szCs w:val="22"/>
                <w:lang w:eastAsia="en-US"/>
              </w:rPr>
            </w:pPr>
          </w:p>
        </w:tc>
        <w:tc>
          <w:tcPr>
            <w:tcW w:w="1494" w:type="pct"/>
            <w:hideMark/>
          </w:tcPr>
          <w:p w14:paraId="6762C7A9" w14:textId="77777777" w:rsidR="0010279F" w:rsidRPr="0010279F" w:rsidRDefault="0010279F" w:rsidP="0010279F">
            <w:pPr>
              <w:spacing w:before="40" w:after="40" w:line="256" w:lineRule="auto"/>
              <w:rPr>
                <w:rFonts w:ascii="Arial Narrow" w:eastAsia="Calibri" w:hAnsi="Arial Narrow" w:cs="Arial"/>
                <w:sz w:val="20"/>
                <w:szCs w:val="22"/>
                <w:lang w:eastAsia="en-US"/>
              </w:rPr>
            </w:pPr>
            <w:r w:rsidRPr="0010279F">
              <w:rPr>
                <w:rFonts w:ascii="Arial Narrow" w:eastAsia="Calibri" w:hAnsi="Arial Narrow" w:cs="Arial"/>
                <w:sz w:val="20"/>
                <w:szCs w:val="22"/>
                <w:lang w:eastAsia="en-US"/>
              </w:rPr>
              <w:t>Proposed medicine</w:t>
            </w:r>
          </w:p>
        </w:tc>
        <w:tc>
          <w:tcPr>
            <w:tcW w:w="1622" w:type="pct"/>
            <w:hideMark/>
          </w:tcPr>
          <w:p w14:paraId="53929F6C" w14:textId="77777777" w:rsidR="0010279F" w:rsidRPr="0010279F" w:rsidRDefault="0010279F" w:rsidP="0010279F">
            <w:pPr>
              <w:spacing w:before="40" w:after="40" w:line="256" w:lineRule="auto"/>
              <w:rPr>
                <w:rFonts w:ascii="Arial Narrow" w:eastAsia="Calibri" w:hAnsi="Arial Narrow" w:cs="Arial"/>
                <w:sz w:val="20"/>
                <w:szCs w:val="22"/>
                <w:lang w:eastAsia="en-US"/>
              </w:rPr>
            </w:pPr>
            <w:r w:rsidRPr="0010279F">
              <w:rPr>
                <w:rFonts w:ascii="Arial Narrow" w:eastAsia="Calibri" w:hAnsi="Arial Narrow" w:cs="Arial"/>
                <w:sz w:val="20"/>
                <w:szCs w:val="22"/>
                <w:lang w:eastAsia="en-US"/>
              </w:rPr>
              <w:t>Comparator medicine</w:t>
            </w:r>
          </w:p>
        </w:tc>
      </w:tr>
      <w:tr w:rsidR="0010279F" w:rsidRPr="0010279F" w14:paraId="29F4049F" w14:textId="77777777" w:rsidTr="0054469D">
        <w:tc>
          <w:tcPr>
            <w:tcW w:w="1884" w:type="pct"/>
            <w:hideMark/>
          </w:tcPr>
          <w:p w14:paraId="413794CD" w14:textId="77777777" w:rsidR="0010279F" w:rsidRPr="0010279F" w:rsidRDefault="0010279F" w:rsidP="0010279F">
            <w:pPr>
              <w:spacing w:before="40" w:after="40" w:line="256" w:lineRule="auto"/>
              <w:rPr>
                <w:rFonts w:ascii="Arial Narrow" w:eastAsia="Calibri" w:hAnsi="Arial Narrow" w:cs="Arial"/>
                <w:sz w:val="20"/>
                <w:szCs w:val="22"/>
                <w:lang w:eastAsia="en-US"/>
              </w:rPr>
            </w:pPr>
            <w:r w:rsidRPr="0010279F">
              <w:rPr>
                <w:rFonts w:ascii="Arial Narrow" w:eastAsia="Calibri" w:hAnsi="Arial Narrow" w:cs="Arial"/>
                <w:sz w:val="20"/>
                <w:szCs w:val="22"/>
                <w:lang w:eastAsia="en-US"/>
              </w:rPr>
              <w:t>Biomarker test positive</w:t>
            </w:r>
          </w:p>
        </w:tc>
        <w:tc>
          <w:tcPr>
            <w:tcW w:w="1494" w:type="pct"/>
            <w:hideMark/>
          </w:tcPr>
          <w:p w14:paraId="0C544ED3" w14:textId="77777777" w:rsidR="0010279F" w:rsidRPr="0010279F" w:rsidRDefault="0010279F" w:rsidP="0010279F">
            <w:pPr>
              <w:spacing w:before="40" w:after="40" w:line="256" w:lineRule="auto"/>
              <w:rPr>
                <w:rFonts w:ascii="Arial Narrow" w:eastAsia="Calibri" w:hAnsi="Arial Narrow" w:cs="Arial"/>
                <w:sz w:val="20"/>
                <w:szCs w:val="22"/>
                <w:lang w:eastAsia="en-US"/>
              </w:rPr>
            </w:pPr>
            <w:r w:rsidRPr="0010279F">
              <w:rPr>
                <w:rFonts w:ascii="Arial Narrow" w:eastAsia="Calibri" w:hAnsi="Arial Narrow" w:cs="Arial"/>
                <w:sz w:val="20"/>
                <w:szCs w:val="22"/>
                <w:lang w:eastAsia="en-US"/>
              </w:rPr>
              <w:t>BEACON</w:t>
            </w:r>
          </w:p>
        </w:tc>
        <w:tc>
          <w:tcPr>
            <w:tcW w:w="1622" w:type="pct"/>
            <w:hideMark/>
          </w:tcPr>
          <w:p w14:paraId="196099AB" w14:textId="77777777" w:rsidR="0010279F" w:rsidRPr="0010279F" w:rsidRDefault="0010279F" w:rsidP="0010279F">
            <w:pPr>
              <w:spacing w:before="40" w:after="40" w:line="256" w:lineRule="auto"/>
              <w:rPr>
                <w:rFonts w:ascii="Arial Narrow" w:eastAsia="Calibri" w:hAnsi="Arial Narrow" w:cs="Arial"/>
                <w:sz w:val="20"/>
                <w:szCs w:val="22"/>
                <w:lang w:eastAsia="en-US"/>
              </w:rPr>
            </w:pPr>
            <w:r w:rsidRPr="0010279F">
              <w:rPr>
                <w:rFonts w:ascii="Arial Narrow" w:eastAsia="Calibri" w:hAnsi="Arial Narrow" w:cs="Arial"/>
                <w:sz w:val="20"/>
                <w:szCs w:val="22"/>
                <w:lang w:eastAsia="en-US"/>
              </w:rPr>
              <w:t>BEACON</w:t>
            </w:r>
          </w:p>
        </w:tc>
      </w:tr>
      <w:tr w:rsidR="0010279F" w:rsidRPr="0010279F" w14:paraId="69A566C3" w14:textId="77777777" w:rsidTr="0054469D">
        <w:tc>
          <w:tcPr>
            <w:tcW w:w="1884" w:type="pct"/>
            <w:hideMark/>
          </w:tcPr>
          <w:p w14:paraId="116216E4" w14:textId="77777777" w:rsidR="0010279F" w:rsidRPr="0010279F" w:rsidRDefault="0010279F" w:rsidP="0010279F">
            <w:pPr>
              <w:spacing w:before="40" w:after="40" w:line="256" w:lineRule="auto"/>
              <w:rPr>
                <w:rFonts w:ascii="Arial Narrow" w:eastAsia="Calibri" w:hAnsi="Arial Narrow" w:cs="Arial"/>
                <w:sz w:val="20"/>
                <w:szCs w:val="22"/>
                <w:lang w:eastAsia="en-US"/>
              </w:rPr>
            </w:pPr>
            <w:r w:rsidRPr="0010279F">
              <w:rPr>
                <w:rFonts w:ascii="Arial Narrow" w:eastAsia="Calibri" w:hAnsi="Arial Narrow" w:cs="Arial"/>
                <w:sz w:val="20"/>
                <w:szCs w:val="22"/>
                <w:lang w:eastAsia="en-US"/>
              </w:rPr>
              <w:t>Biomarker test negative</w:t>
            </w:r>
          </w:p>
        </w:tc>
        <w:tc>
          <w:tcPr>
            <w:tcW w:w="1494" w:type="pct"/>
            <w:hideMark/>
          </w:tcPr>
          <w:p w14:paraId="7B14D51C" w14:textId="77777777" w:rsidR="0010279F" w:rsidRPr="0010279F" w:rsidRDefault="0010279F" w:rsidP="0010279F">
            <w:pPr>
              <w:spacing w:before="40" w:after="40" w:line="256" w:lineRule="auto"/>
              <w:rPr>
                <w:rFonts w:ascii="Arial Narrow" w:eastAsia="Calibri" w:hAnsi="Arial Narrow" w:cs="Arial"/>
                <w:sz w:val="20"/>
                <w:szCs w:val="22"/>
                <w:lang w:eastAsia="en-US"/>
              </w:rPr>
            </w:pPr>
            <w:r w:rsidRPr="0010279F">
              <w:rPr>
                <w:rFonts w:ascii="Arial Narrow" w:eastAsia="Calibri" w:hAnsi="Arial Narrow" w:cs="Arial"/>
                <w:sz w:val="20"/>
                <w:szCs w:val="22"/>
                <w:lang w:eastAsia="en-US"/>
              </w:rPr>
              <w:t>No evidence presented</w:t>
            </w:r>
          </w:p>
        </w:tc>
        <w:tc>
          <w:tcPr>
            <w:tcW w:w="1622" w:type="pct"/>
            <w:hideMark/>
          </w:tcPr>
          <w:p w14:paraId="69407A6C" w14:textId="77777777" w:rsidR="0010279F" w:rsidRPr="0010279F" w:rsidRDefault="0010279F" w:rsidP="0010279F">
            <w:pPr>
              <w:spacing w:before="40" w:after="40" w:line="256" w:lineRule="auto"/>
              <w:rPr>
                <w:rFonts w:ascii="Arial Narrow" w:eastAsia="Calibri" w:hAnsi="Arial Narrow" w:cs="Arial"/>
                <w:sz w:val="20"/>
                <w:szCs w:val="22"/>
                <w:lang w:eastAsia="en-US"/>
              </w:rPr>
            </w:pPr>
            <w:r w:rsidRPr="0010279F">
              <w:rPr>
                <w:rFonts w:ascii="Arial Narrow" w:eastAsia="Calibri" w:hAnsi="Arial Narrow" w:cs="Arial"/>
                <w:sz w:val="20"/>
                <w:szCs w:val="22"/>
                <w:lang w:eastAsia="en-US"/>
              </w:rPr>
              <w:t>No evidence provided</w:t>
            </w:r>
          </w:p>
        </w:tc>
      </w:tr>
    </w:tbl>
    <w:p w14:paraId="09642567" w14:textId="77777777" w:rsidR="0010279F" w:rsidRPr="0010279F" w:rsidRDefault="0010279F" w:rsidP="00A00C03">
      <w:pPr>
        <w:spacing w:after="240"/>
        <w:rPr>
          <w:rFonts w:ascii="Arial Narrow" w:hAnsi="Arial Narrow" w:cs="Arial"/>
          <w:snapToGrid w:val="0"/>
          <w:sz w:val="18"/>
          <w:lang w:eastAsia="en-US"/>
        </w:rPr>
      </w:pPr>
      <w:r w:rsidRPr="0010279F">
        <w:rPr>
          <w:rFonts w:ascii="Arial Narrow" w:hAnsi="Arial Narrow" w:cs="Arial"/>
          <w:snapToGrid w:val="0"/>
          <w:sz w:val="18"/>
          <w:lang w:eastAsia="en-US"/>
        </w:rPr>
        <w:t>Source: constructed during the evaluation.</w:t>
      </w:r>
    </w:p>
    <w:p w14:paraId="0CB8BA9B" w14:textId="743FB1B6" w:rsidR="0010279F" w:rsidRPr="0010279F" w:rsidRDefault="0010279F" w:rsidP="0010279F">
      <w:pPr>
        <w:spacing w:after="240"/>
        <w:rPr>
          <w:rFonts w:eastAsia="Calibri" w:cs="Arial"/>
          <w:szCs w:val="22"/>
          <w:lang w:eastAsia="en-US"/>
        </w:rPr>
      </w:pPr>
      <w:r w:rsidRPr="0010279F">
        <w:rPr>
          <w:rFonts w:eastAsia="Calibri" w:cs="Arial"/>
          <w:szCs w:val="22"/>
          <w:lang w:eastAsia="en-US"/>
        </w:rPr>
        <w:t xml:space="preserve">The patient populations varied across the linked evidence, including advanced or mCRC versus more specific populations such as non-resectable mCRC. Patient characteristics such as </w:t>
      </w:r>
      <w:r w:rsidRPr="0010279F">
        <w:rPr>
          <w:rFonts w:eastAsia="Calibri" w:cs="Arial"/>
          <w:i/>
          <w:iCs/>
          <w:szCs w:val="22"/>
          <w:lang w:eastAsia="en-US"/>
        </w:rPr>
        <w:t xml:space="preserve">BRAF </w:t>
      </w:r>
      <w:r w:rsidR="00965823" w:rsidRPr="00965823">
        <w:rPr>
          <w:rFonts w:eastAsia="Calibri" w:cs="Arial"/>
          <w:iCs/>
          <w:szCs w:val="22"/>
          <w:lang w:eastAsia="en-US"/>
        </w:rPr>
        <w:t>V600E</w:t>
      </w:r>
      <w:r w:rsidRPr="0010279F">
        <w:rPr>
          <w:rFonts w:eastAsia="Calibri" w:cs="Arial"/>
          <w:szCs w:val="22"/>
          <w:lang w:eastAsia="en-US"/>
        </w:rPr>
        <w:t xml:space="preserve"> status varied across studies</w:t>
      </w:r>
      <w:r w:rsidR="00F43371">
        <w:rPr>
          <w:rFonts w:eastAsia="Calibri" w:cs="Arial"/>
          <w:szCs w:val="22"/>
          <w:lang w:eastAsia="en-US"/>
        </w:rPr>
        <w:t>. Studies did not always report the</w:t>
      </w:r>
      <w:r w:rsidRPr="0010279F">
        <w:rPr>
          <w:rFonts w:eastAsia="Calibri" w:cs="Arial"/>
          <w:szCs w:val="22"/>
          <w:lang w:eastAsia="en-US"/>
        </w:rPr>
        <w:t xml:space="preserve"> </w:t>
      </w:r>
      <w:r w:rsidRPr="0010279F">
        <w:rPr>
          <w:rFonts w:eastAsia="Calibri" w:cs="Arial"/>
          <w:i/>
          <w:iCs/>
          <w:szCs w:val="22"/>
          <w:lang w:eastAsia="en-US"/>
        </w:rPr>
        <w:t>BRAF</w:t>
      </w:r>
      <w:r w:rsidRPr="0010279F">
        <w:rPr>
          <w:rFonts w:eastAsia="Calibri" w:cs="Arial"/>
          <w:szCs w:val="22"/>
          <w:lang w:eastAsia="en-US"/>
        </w:rPr>
        <w:t xml:space="preserve"> pathogenic variant no</w:t>
      </w:r>
      <w:r w:rsidR="00F43371">
        <w:rPr>
          <w:rFonts w:eastAsia="Calibri" w:cs="Arial"/>
          <w:szCs w:val="22"/>
          <w:lang w:eastAsia="en-US"/>
        </w:rPr>
        <w:t>r</w:t>
      </w:r>
      <w:r w:rsidRPr="0010279F">
        <w:rPr>
          <w:rFonts w:eastAsia="Calibri" w:cs="Arial"/>
          <w:szCs w:val="22"/>
          <w:lang w:eastAsia="en-US"/>
        </w:rPr>
        <w:t xml:space="preserve"> </w:t>
      </w:r>
      <w:r w:rsidR="00F43371">
        <w:rPr>
          <w:rFonts w:eastAsia="Calibri" w:cs="Arial"/>
          <w:szCs w:val="22"/>
          <w:lang w:eastAsia="en-US"/>
        </w:rPr>
        <w:t xml:space="preserve">the </w:t>
      </w:r>
      <w:r w:rsidRPr="0010279F">
        <w:rPr>
          <w:rFonts w:eastAsia="Calibri" w:cs="Arial"/>
          <w:i/>
          <w:iCs/>
          <w:szCs w:val="22"/>
          <w:lang w:eastAsia="en-US"/>
        </w:rPr>
        <w:t>BRAF</w:t>
      </w:r>
      <w:r w:rsidRPr="0010279F">
        <w:rPr>
          <w:rFonts w:eastAsia="Calibri" w:cs="Arial"/>
          <w:szCs w:val="22"/>
          <w:lang w:eastAsia="en-US"/>
        </w:rPr>
        <w:t xml:space="preserve"> pathogenic variant status. </w:t>
      </w:r>
      <w:r w:rsidRPr="0010279F">
        <w:rPr>
          <w:rFonts w:eastAsia="Calibri" w:cs="Arial"/>
          <w:i/>
          <w:iCs/>
          <w:szCs w:val="22"/>
          <w:lang w:eastAsia="en-US"/>
        </w:rPr>
        <w:t xml:space="preserve">BRAF </w:t>
      </w:r>
      <w:r w:rsidR="00965823" w:rsidRPr="00965823">
        <w:rPr>
          <w:rFonts w:eastAsia="Calibri" w:cs="Arial"/>
          <w:iCs/>
          <w:szCs w:val="22"/>
          <w:lang w:eastAsia="en-US"/>
        </w:rPr>
        <w:t>V600E</w:t>
      </w:r>
      <w:r w:rsidRPr="0010279F">
        <w:rPr>
          <w:rFonts w:eastAsia="Calibri" w:cs="Arial"/>
          <w:szCs w:val="22"/>
          <w:lang w:eastAsia="en-US"/>
        </w:rPr>
        <w:t xml:space="preserve"> testing methodology and treatment</w:t>
      </w:r>
      <w:r w:rsidR="00747874">
        <w:rPr>
          <w:rFonts w:eastAsia="Calibri" w:cs="Arial"/>
          <w:szCs w:val="22"/>
          <w:lang w:eastAsia="en-US"/>
        </w:rPr>
        <w:t>s</w:t>
      </w:r>
      <w:r w:rsidRPr="0010279F">
        <w:rPr>
          <w:rFonts w:eastAsia="Calibri" w:cs="Arial"/>
          <w:szCs w:val="22"/>
          <w:lang w:eastAsia="en-US"/>
        </w:rPr>
        <w:t xml:space="preserve"> varied across the linked evidence. </w:t>
      </w:r>
      <w:r w:rsidRPr="0010279F">
        <w:rPr>
          <w:rFonts w:eastAsia="Calibri" w:cs="Arial"/>
          <w:i/>
          <w:iCs/>
          <w:szCs w:val="22"/>
          <w:lang w:eastAsia="en-US"/>
        </w:rPr>
        <w:t xml:space="preserve">BRAF </w:t>
      </w:r>
      <w:r w:rsidR="00965823" w:rsidRPr="00965823">
        <w:rPr>
          <w:rFonts w:eastAsia="Calibri" w:cs="Arial"/>
          <w:iCs/>
          <w:szCs w:val="22"/>
          <w:lang w:eastAsia="en-US"/>
        </w:rPr>
        <w:t>V600E</w:t>
      </w:r>
      <w:r w:rsidRPr="0010279F">
        <w:rPr>
          <w:rFonts w:eastAsia="Calibri" w:cs="Arial"/>
          <w:szCs w:val="22"/>
          <w:lang w:eastAsia="en-US"/>
        </w:rPr>
        <w:t xml:space="preserve"> testing methodologies included pyrosequencing, NGS, RT-PCR, direct sequencing, Sanger sequencing and bidirectional sequencing. Treatment</w:t>
      </w:r>
      <w:r w:rsidR="00747874">
        <w:rPr>
          <w:rFonts w:eastAsia="Calibri" w:cs="Arial"/>
          <w:szCs w:val="22"/>
          <w:lang w:eastAsia="en-US"/>
        </w:rPr>
        <w:t>s</w:t>
      </w:r>
      <w:r w:rsidRPr="0010279F">
        <w:rPr>
          <w:rFonts w:eastAsia="Calibri" w:cs="Arial"/>
          <w:szCs w:val="22"/>
          <w:lang w:eastAsia="en-US"/>
        </w:rPr>
        <w:t xml:space="preserve"> included tumour resection, thoracic procedure, anti-EGFR treatment, bevacizumab treatment and systemic chemotherapy.</w:t>
      </w:r>
    </w:p>
    <w:p w14:paraId="25DB8BC6" w14:textId="21DBF5C9" w:rsidR="0010279F" w:rsidRPr="0010279F" w:rsidRDefault="0010279F" w:rsidP="0010279F">
      <w:pPr>
        <w:spacing w:after="240"/>
        <w:rPr>
          <w:rFonts w:eastAsia="Calibri" w:cs="Arial"/>
          <w:szCs w:val="22"/>
          <w:lang w:eastAsia="en-US"/>
        </w:rPr>
      </w:pPr>
      <w:r w:rsidRPr="0010279F">
        <w:rPr>
          <w:rFonts w:eastAsia="Calibri" w:cs="Arial"/>
          <w:iCs/>
          <w:szCs w:val="22"/>
          <w:lang w:eastAsia="en-US"/>
        </w:rPr>
        <w:t xml:space="preserve">The Commentary considered the overall risk of bias </w:t>
      </w:r>
      <w:r w:rsidR="00747874" w:rsidRPr="0010279F">
        <w:rPr>
          <w:rFonts w:eastAsia="Calibri" w:cs="Arial"/>
          <w:iCs/>
          <w:szCs w:val="22"/>
          <w:lang w:eastAsia="en-US"/>
        </w:rPr>
        <w:t xml:space="preserve">was moderate </w:t>
      </w:r>
      <w:r w:rsidRPr="0010279F">
        <w:rPr>
          <w:rFonts w:eastAsia="Calibri" w:cs="Arial"/>
          <w:iCs/>
          <w:szCs w:val="22"/>
          <w:lang w:eastAsia="en-US"/>
        </w:rPr>
        <w:t xml:space="preserve">for studies assessing the prognostic effect of a </w:t>
      </w:r>
      <w:r w:rsidRPr="0010279F">
        <w:rPr>
          <w:rFonts w:eastAsia="Calibri" w:cs="Arial"/>
          <w:i/>
          <w:iCs/>
          <w:szCs w:val="22"/>
          <w:lang w:eastAsia="en-US"/>
        </w:rPr>
        <w:t xml:space="preserve">BRAF </w:t>
      </w:r>
      <w:r w:rsidR="00965823" w:rsidRPr="00965823">
        <w:rPr>
          <w:rFonts w:eastAsia="Calibri" w:cs="Arial"/>
          <w:iCs/>
          <w:szCs w:val="22"/>
          <w:lang w:eastAsia="en-US"/>
        </w:rPr>
        <w:t>V600E</w:t>
      </w:r>
      <w:r w:rsidRPr="0010279F">
        <w:rPr>
          <w:rFonts w:eastAsia="Calibri" w:cs="Arial"/>
          <w:iCs/>
          <w:szCs w:val="22"/>
          <w:lang w:eastAsia="en-US"/>
        </w:rPr>
        <w:t xml:space="preserve"> variant and the accuracy</w:t>
      </w:r>
      <w:r w:rsidRPr="0010279F">
        <w:rPr>
          <w:rFonts w:eastAsia="Calibri" w:cs="Arial"/>
          <w:iCs/>
          <w:color w:val="0070C0"/>
          <w:szCs w:val="22"/>
          <w:lang w:eastAsia="en-US"/>
        </w:rPr>
        <w:t xml:space="preserve"> </w:t>
      </w:r>
      <w:r w:rsidRPr="0010279F">
        <w:rPr>
          <w:rFonts w:eastAsia="Calibri" w:cs="Arial"/>
          <w:iCs/>
          <w:szCs w:val="22"/>
          <w:lang w:eastAsia="en-US"/>
        </w:rPr>
        <w:t xml:space="preserve">and performance of </w:t>
      </w:r>
      <w:r w:rsidRPr="0010279F">
        <w:rPr>
          <w:rFonts w:eastAsia="Calibri" w:cs="Arial"/>
          <w:i/>
          <w:iCs/>
          <w:szCs w:val="22"/>
          <w:lang w:eastAsia="en-US"/>
        </w:rPr>
        <w:t xml:space="preserve">BRAF </w:t>
      </w:r>
      <w:r w:rsidR="00965823" w:rsidRPr="00965823">
        <w:rPr>
          <w:rFonts w:eastAsia="Calibri" w:cs="Arial"/>
          <w:iCs/>
          <w:szCs w:val="22"/>
          <w:lang w:eastAsia="en-US"/>
        </w:rPr>
        <w:t>V600E</w:t>
      </w:r>
      <w:r w:rsidRPr="0010279F">
        <w:rPr>
          <w:rFonts w:eastAsia="Calibri" w:cs="Arial"/>
          <w:iCs/>
          <w:szCs w:val="22"/>
          <w:lang w:eastAsia="en-US"/>
        </w:rPr>
        <w:t xml:space="preserve"> tests.</w:t>
      </w:r>
    </w:p>
    <w:p w14:paraId="728DFEFF" w14:textId="77777777" w:rsidR="0010279F" w:rsidRPr="0010279F" w:rsidRDefault="0010279F" w:rsidP="0010279F">
      <w:pPr>
        <w:rPr>
          <w:rFonts w:eastAsia="Calibri" w:cs="Arial"/>
          <w:i/>
          <w:szCs w:val="22"/>
          <w:lang w:eastAsia="en-US"/>
        </w:rPr>
      </w:pPr>
      <w:r w:rsidRPr="0010279F">
        <w:rPr>
          <w:rFonts w:eastAsia="Calibri" w:cs="Arial"/>
          <w:szCs w:val="22"/>
          <w:lang w:eastAsia="en-US"/>
        </w:rPr>
        <w:lastRenderedPageBreak/>
        <w:t>The key clinical evidence presented by the submission to support the comparative effectiveness and safety of encorafenib + cetuximab, compared to irinotecan/cetuximab or FOLFIRI/cetuximab, was from BEACON. The Commentary considered the overall risk of bias in BEACON was low, noting the following as potential sources of bias:</w:t>
      </w:r>
    </w:p>
    <w:p w14:paraId="4C7C7532" w14:textId="7BEC1ADE" w:rsidR="0010279F" w:rsidRPr="0010279F" w:rsidRDefault="0010279F" w:rsidP="00747874">
      <w:pPr>
        <w:numPr>
          <w:ilvl w:val="0"/>
          <w:numId w:val="29"/>
        </w:numPr>
        <w:spacing w:before="120" w:after="120"/>
        <w:contextualSpacing/>
        <w:rPr>
          <w:rFonts w:eastAsia="Calibri" w:cs="Arial"/>
          <w:szCs w:val="22"/>
          <w:lang w:eastAsia="en-US"/>
        </w:rPr>
      </w:pPr>
      <w:r w:rsidRPr="0010279F">
        <w:rPr>
          <w:rFonts w:eastAsia="Calibri" w:cs="Arial"/>
          <w:szCs w:val="22"/>
          <w:lang w:eastAsia="en-US"/>
        </w:rPr>
        <w:t>The Phase 3 Response Efficacy Set consisted of the first 331 patients randomised (n = 111 encorafenib + binimetinib + cetuximab arm; n = 113 encorafenib + cetuximab arm and n = 107 control arm) to ensure patients had sufficient follow-up of at least 9 months (p7 BEACON Addendum C</w:t>
      </w:r>
      <w:r w:rsidR="00747874">
        <w:rPr>
          <w:rFonts w:eastAsia="Calibri" w:cs="Arial"/>
          <w:szCs w:val="22"/>
          <w:lang w:eastAsia="en-US"/>
        </w:rPr>
        <w:t xml:space="preserve">linical </w:t>
      </w:r>
      <w:r w:rsidRPr="0010279F">
        <w:rPr>
          <w:rFonts w:eastAsia="Calibri" w:cs="Arial"/>
          <w:szCs w:val="22"/>
          <w:lang w:eastAsia="en-US"/>
        </w:rPr>
        <w:t>S</w:t>
      </w:r>
      <w:r w:rsidR="00747874">
        <w:rPr>
          <w:rFonts w:eastAsia="Calibri" w:cs="Arial"/>
          <w:szCs w:val="22"/>
          <w:lang w:eastAsia="en-US"/>
        </w:rPr>
        <w:t xml:space="preserve">tudy </w:t>
      </w:r>
      <w:r w:rsidRPr="0010279F">
        <w:rPr>
          <w:rFonts w:eastAsia="Calibri" w:cs="Arial"/>
          <w:szCs w:val="22"/>
          <w:lang w:eastAsia="en-US"/>
        </w:rPr>
        <w:t>R</w:t>
      </w:r>
      <w:r w:rsidR="00747874">
        <w:rPr>
          <w:rFonts w:eastAsia="Calibri" w:cs="Arial"/>
          <w:szCs w:val="22"/>
          <w:lang w:eastAsia="en-US"/>
        </w:rPr>
        <w:t>eport</w:t>
      </w:r>
      <w:r w:rsidRPr="0010279F">
        <w:rPr>
          <w:rFonts w:eastAsia="Calibri" w:cs="Arial"/>
          <w:szCs w:val="22"/>
          <w:lang w:eastAsia="en-US"/>
        </w:rPr>
        <w:t xml:space="preserve"> 15 Aug 2019) and not from the full analysis set (FAS) (N = 665). The results for objective tumour response rates at the primary analysis data cut off (11 February 2019) could therefore be potentially subject to attrition bias as they do not consider the overall response rate in the whole trial population. Response analysis at the first Addendum (data cut off 15 August 2019) was based on the FAS.</w:t>
      </w:r>
    </w:p>
    <w:p w14:paraId="5DA8E30B" w14:textId="299C5831" w:rsidR="0010279F" w:rsidRPr="00272931" w:rsidRDefault="0010279F" w:rsidP="00747874">
      <w:pPr>
        <w:numPr>
          <w:ilvl w:val="0"/>
          <w:numId w:val="29"/>
        </w:numPr>
        <w:spacing w:before="120" w:after="120"/>
        <w:contextualSpacing/>
        <w:rPr>
          <w:rFonts w:eastAsia="Calibri" w:cs="Arial"/>
          <w:szCs w:val="22"/>
          <w:lang w:eastAsia="en-US"/>
        </w:rPr>
      </w:pPr>
      <w:r w:rsidRPr="0010279F">
        <w:rPr>
          <w:rFonts w:eastAsia="Calibri" w:cs="Arial"/>
          <w:szCs w:val="22"/>
          <w:lang w:eastAsia="en-US"/>
        </w:rPr>
        <w:t xml:space="preserve">Due to the open-label nature of the trial, assessment of subjective outcomes such as </w:t>
      </w:r>
      <w:r w:rsidR="00747874">
        <w:rPr>
          <w:rFonts w:eastAsia="Calibri" w:cs="Arial"/>
          <w:szCs w:val="22"/>
          <w:lang w:eastAsia="en-US"/>
        </w:rPr>
        <w:t>quality of life (</w:t>
      </w:r>
      <w:r w:rsidRPr="0010279F">
        <w:rPr>
          <w:rFonts w:eastAsia="Calibri" w:cs="Arial"/>
          <w:szCs w:val="22"/>
          <w:lang w:eastAsia="en-US"/>
        </w:rPr>
        <w:t>QoL</w:t>
      </w:r>
      <w:r w:rsidR="00747874">
        <w:rPr>
          <w:rFonts w:eastAsia="Calibri" w:cs="Arial"/>
          <w:szCs w:val="22"/>
          <w:lang w:eastAsia="en-US"/>
        </w:rPr>
        <w:t>)</w:t>
      </w:r>
      <w:r w:rsidRPr="0010279F">
        <w:rPr>
          <w:rFonts w:eastAsia="Calibri" w:cs="Arial"/>
          <w:szCs w:val="22"/>
          <w:lang w:eastAsia="en-US"/>
        </w:rPr>
        <w:t xml:space="preserve"> and some </w:t>
      </w:r>
      <w:r w:rsidR="00747874">
        <w:rPr>
          <w:rFonts w:eastAsia="Calibri" w:cs="Arial"/>
          <w:szCs w:val="22"/>
          <w:lang w:eastAsia="en-US"/>
        </w:rPr>
        <w:t>treatment-related adverse events (</w:t>
      </w:r>
      <w:r w:rsidRPr="0010279F">
        <w:rPr>
          <w:rFonts w:eastAsia="Calibri" w:cs="Arial"/>
          <w:szCs w:val="22"/>
          <w:lang w:eastAsia="en-US"/>
        </w:rPr>
        <w:t>TRAEs</w:t>
      </w:r>
      <w:r w:rsidR="00747874">
        <w:rPr>
          <w:rFonts w:eastAsia="Calibri" w:cs="Arial"/>
          <w:szCs w:val="22"/>
          <w:lang w:eastAsia="en-US"/>
        </w:rPr>
        <w:t>)</w:t>
      </w:r>
      <w:r w:rsidRPr="0010279F">
        <w:rPr>
          <w:rFonts w:eastAsia="Calibri" w:cs="Arial"/>
          <w:szCs w:val="22"/>
          <w:lang w:eastAsia="en-US"/>
        </w:rPr>
        <w:t xml:space="preserve"> may be biased. Investigator and patient treatment decisions may have been influenced as they were aware of the therapy to which they were assigned. </w:t>
      </w:r>
      <w:r w:rsidRPr="005069F9">
        <w:rPr>
          <w:rFonts w:eastAsia="Calibri" w:cs="Arial"/>
          <w:szCs w:val="22"/>
          <w:lang w:eastAsia="en-US"/>
        </w:rPr>
        <w:t xml:space="preserve">This potential for bias may have resulted in differences in study discontinuation rates </w:t>
      </w:r>
      <w:r w:rsidRPr="00272931">
        <w:rPr>
          <w:rFonts w:eastAsia="Calibri" w:cs="Arial"/>
          <w:szCs w:val="22"/>
          <w:lang w:eastAsia="en-US"/>
        </w:rPr>
        <w:t>which were higher in the control arm (59.3%)</w:t>
      </w:r>
      <w:bookmarkStart w:id="4" w:name="_Ref76067225"/>
      <w:r w:rsidR="008A62C0" w:rsidRPr="00272931">
        <w:rPr>
          <w:rStyle w:val="FootnoteReference"/>
          <w:rFonts w:eastAsia="Calibri"/>
          <w:szCs w:val="22"/>
          <w:lang w:eastAsia="en-US"/>
        </w:rPr>
        <w:footnoteReference w:id="7"/>
      </w:r>
      <w:bookmarkEnd w:id="4"/>
      <w:r w:rsidRPr="00272931">
        <w:rPr>
          <w:rFonts w:eastAsia="Calibri" w:cs="Arial"/>
          <w:szCs w:val="22"/>
          <w:lang w:eastAsia="en-US"/>
        </w:rPr>
        <w:t xml:space="preserve"> than the triplet arm (41.5%)</w:t>
      </w:r>
      <w:r w:rsidR="008A62C0" w:rsidRPr="00272931">
        <w:rPr>
          <w:rFonts w:eastAsia="Calibri" w:cs="Arial"/>
          <w:szCs w:val="22"/>
          <w:vertAlign w:val="superscript"/>
          <w:lang w:eastAsia="en-US"/>
        </w:rPr>
        <w:fldChar w:fldCharType="begin"/>
      </w:r>
      <w:r w:rsidR="008A62C0" w:rsidRPr="00272931">
        <w:rPr>
          <w:rFonts w:eastAsia="Calibri" w:cs="Arial"/>
          <w:szCs w:val="22"/>
          <w:vertAlign w:val="superscript"/>
          <w:lang w:eastAsia="en-US"/>
        </w:rPr>
        <w:instrText xml:space="preserve"> NOTEREF _Ref76067225 \h  \* MERGEFORMAT </w:instrText>
      </w:r>
      <w:r w:rsidR="008A62C0" w:rsidRPr="00272931">
        <w:rPr>
          <w:rFonts w:eastAsia="Calibri" w:cs="Arial"/>
          <w:szCs w:val="22"/>
          <w:vertAlign w:val="superscript"/>
          <w:lang w:eastAsia="en-US"/>
        </w:rPr>
      </w:r>
      <w:r w:rsidR="008A62C0" w:rsidRPr="00272931">
        <w:rPr>
          <w:rFonts w:eastAsia="Calibri" w:cs="Arial"/>
          <w:szCs w:val="22"/>
          <w:vertAlign w:val="superscript"/>
          <w:lang w:eastAsia="en-US"/>
        </w:rPr>
        <w:fldChar w:fldCharType="separate"/>
      </w:r>
      <w:r w:rsidR="00153C7B">
        <w:rPr>
          <w:rFonts w:eastAsia="Calibri" w:cs="Arial"/>
          <w:szCs w:val="22"/>
          <w:vertAlign w:val="superscript"/>
          <w:lang w:eastAsia="en-US"/>
        </w:rPr>
        <w:t>7</w:t>
      </w:r>
      <w:r w:rsidR="008A62C0" w:rsidRPr="00272931">
        <w:rPr>
          <w:rFonts w:eastAsia="Calibri" w:cs="Arial"/>
          <w:szCs w:val="22"/>
          <w:vertAlign w:val="superscript"/>
          <w:lang w:eastAsia="en-US"/>
        </w:rPr>
        <w:fldChar w:fldCharType="end"/>
      </w:r>
      <w:r w:rsidRPr="00272931">
        <w:rPr>
          <w:rFonts w:eastAsia="Calibri" w:cs="Arial"/>
          <w:szCs w:val="22"/>
          <w:lang w:eastAsia="en-US"/>
        </w:rPr>
        <w:t xml:space="preserve"> and doublet arm (44.5%)</w:t>
      </w:r>
      <w:r w:rsidR="008A62C0" w:rsidRPr="00272931">
        <w:rPr>
          <w:rFonts w:eastAsia="Calibri" w:cs="Arial"/>
          <w:szCs w:val="22"/>
          <w:vertAlign w:val="superscript"/>
          <w:lang w:eastAsia="en-US"/>
        </w:rPr>
        <w:fldChar w:fldCharType="begin"/>
      </w:r>
      <w:r w:rsidR="008A62C0" w:rsidRPr="00272931">
        <w:rPr>
          <w:rFonts w:eastAsia="Calibri" w:cs="Arial"/>
          <w:szCs w:val="22"/>
          <w:vertAlign w:val="superscript"/>
          <w:lang w:eastAsia="en-US"/>
        </w:rPr>
        <w:instrText xml:space="preserve"> NOTEREF _Ref76067225 \h  \* MERGEFORMAT </w:instrText>
      </w:r>
      <w:r w:rsidR="008A62C0" w:rsidRPr="00272931">
        <w:rPr>
          <w:rFonts w:eastAsia="Calibri" w:cs="Arial"/>
          <w:szCs w:val="22"/>
          <w:vertAlign w:val="superscript"/>
          <w:lang w:eastAsia="en-US"/>
        </w:rPr>
      </w:r>
      <w:r w:rsidR="008A62C0" w:rsidRPr="00272931">
        <w:rPr>
          <w:rFonts w:eastAsia="Calibri" w:cs="Arial"/>
          <w:szCs w:val="22"/>
          <w:vertAlign w:val="superscript"/>
          <w:lang w:eastAsia="en-US"/>
        </w:rPr>
        <w:fldChar w:fldCharType="separate"/>
      </w:r>
      <w:r w:rsidR="00153C7B">
        <w:rPr>
          <w:rFonts w:eastAsia="Calibri" w:cs="Arial"/>
          <w:szCs w:val="22"/>
          <w:vertAlign w:val="superscript"/>
          <w:lang w:eastAsia="en-US"/>
        </w:rPr>
        <w:t>7</w:t>
      </w:r>
      <w:r w:rsidR="008A62C0" w:rsidRPr="00272931">
        <w:rPr>
          <w:rFonts w:eastAsia="Calibri" w:cs="Arial"/>
          <w:szCs w:val="22"/>
          <w:vertAlign w:val="superscript"/>
          <w:lang w:eastAsia="en-US"/>
        </w:rPr>
        <w:fldChar w:fldCharType="end"/>
      </w:r>
      <w:r w:rsidRPr="00272931">
        <w:rPr>
          <w:rFonts w:eastAsia="Calibri" w:cs="Arial"/>
          <w:szCs w:val="22"/>
          <w:lang w:eastAsia="en-US"/>
        </w:rPr>
        <w:t>.</w:t>
      </w:r>
    </w:p>
    <w:p w14:paraId="331AFBB5" w14:textId="7F1B69A7" w:rsidR="0010279F" w:rsidRPr="0010279F" w:rsidRDefault="0010279F" w:rsidP="00747874">
      <w:pPr>
        <w:numPr>
          <w:ilvl w:val="0"/>
          <w:numId w:val="29"/>
        </w:numPr>
        <w:spacing w:before="120" w:after="240"/>
        <w:ind w:left="714" w:hanging="357"/>
        <w:rPr>
          <w:rFonts w:eastAsia="Calibri" w:cs="Arial"/>
          <w:szCs w:val="22"/>
          <w:lang w:eastAsia="en-US"/>
        </w:rPr>
      </w:pPr>
      <w:r w:rsidRPr="00272931">
        <w:rPr>
          <w:rFonts w:eastAsia="Calibri" w:cs="Arial"/>
          <w:szCs w:val="22"/>
          <w:lang w:eastAsia="en-US"/>
        </w:rPr>
        <w:t>The control arm consisted of investigator’s choice of either cetuximab + irinotecan</w:t>
      </w:r>
      <w:r w:rsidRPr="0010279F">
        <w:rPr>
          <w:rFonts w:eastAsia="Calibri" w:cs="Arial"/>
          <w:szCs w:val="22"/>
          <w:lang w:eastAsia="en-US"/>
        </w:rPr>
        <w:t xml:space="preserve"> or cetuximab + FOLFIRI. As the dose of irinotecan in both regimens was the same (i.e. the difference between the regimens was the addition of 5FU + FA), investigator’s choice of one regimen over the other may have biased clinical outcomes, as well as </w:t>
      </w:r>
      <w:r w:rsidR="00747874">
        <w:rPr>
          <w:rFonts w:eastAsia="Calibri" w:cs="Arial"/>
          <w:szCs w:val="22"/>
          <w:lang w:eastAsia="en-US"/>
        </w:rPr>
        <w:t>adverse events</w:t>
      </w:r>
      <w:r w:rsidRPr="0010279F">
        <w:rPr>
          <w:rFonts w:eastAsia="Calibri" w:cs="Arial"/>
          <w:szCs w:val="22"/>
          <w:lang w:eastAsia="en-US"/>
        </w:rPr>
        <w:t>.</w:t>
      </w:r>
    </w:p>
    <w:p w14:paraId="35C73BCB" w14:textId="77777777" w:rsidR="0010279F" w:rsidRPr="0010279F" w:rsidRDefault="0010279F" w:rsidP="0010279F">
      <w:pPr>
        <w:spacing w:after="240"/>
        <w:rPr>
          <w:rFonts w:eastAsia="Calibri" w:cs="Arial"/>
          <w:szCs w:val="22"/>
          <w:u w:val="single"/>
          <w:lang w:eastAsia="en-US"/>
        </w:rPr>
      </w:pPr>
      <w:r w:rsidRPr="0010279F">
        <w:rPr>
          <w:rFonts w:eastAsia="Calibri" w:cs="Arial"/>
          <w:szCs w:val="22"/>
          <w:u w:val="single"/>
          <w:lang w:eastAsia="en-US"/>
        </w:rPr>
        <w:t>Comparative safety of the proposed test</w:t>
      </w:r>
    </w:p>
    <w:p w14:paraId="374D9AF6" w14:textId="3DACF1DA" w:rsidR="0010279F" w:rsidRPr="0010279F" w:rsidRDefault="0010279F" w:rsidP="0010279F">
      <w:pPr>
        <w:spacing w:after="240"/>
        <w:rPr>
          <w:rFonts w:eastAsia="Calibri" w:cs="Arial"/>
          <w:szCs w:val="22"/>
          <w:lang w:eastAsia="en-US"/>
        </w:rPr>
      </w:pPr>
      <w:r w:rsidRPr="0010279F">
        <w:rPr>
          <w:rFonts w:eastAsia="Calibri" w:cs="Arial"/>
          <w:szCs w:val="22"/>
          <w:lang w:eastAsia="en-US"/>
        </w:rPr>
        <w:t xml:space="preserve">The Commentary noted that the submission did not provide </w:t>
      </w:r>
      <w:r w:rsidR="00747874">
        <w:rPr>
          <w:rFonts w:eastAsia="Calibri" w:cs="Arial"/>
          <w:szCs w:val="22"/>
          <w:lang w:eastAsia="en-US"/>
        </w:rPr>
        <w:t xml:space="preserve">direct </w:t>
      </w:r>
      <w:r w:rsidRPr="0010279F">
        <w:rPr>
          <w:rFonts w:eastAsia="Calibri" w:cs="Arial"/>
          <w:szCs w:val="22"/>
          <w:lang w:eastAsia="en-US"/>
        </w:rPr>
        <w:t>evidence o</w:t>
      </w:r>
      <w:r w:rsidR="00747874">
        <w:rPr>
          <w:rFonts w:eastAsia="Calibri" w:cs="Arial"/>
          <w:szCs w:val="22"/>
          <w:lang w:eastAsia="en-US"/>
        </w:rPr>
        <w:t>f</w:t>
      </w:r>
      <w:r w:rsidRPr="0010279F">
        <w:rPr>
          <w:rFonts w:eastAsia="Calibri" w:cs="Arial"/>
          <w:szCs w:val="22"/>
          <w:lang w:eastAsia="en-US"/>
        </w:rPr>
        <w:t xml:space="preserve"> the clinical sensitivity/specificity and clinical positive/negative values of </w:t>
      </w:r>
      <w:r w:rsidR="00747874" w:rsidRPr="0010279F">
        <w:rPr>
          <w:rFonts w:eastAsia="Calibri" w:cs="Arial"/>
          <w:szCs w:val="22"/>
          <w:lang w:eastAsia="en-US"/>
        </w:rPr>
        <w:t xml:space="preserve">other testing methodologies </w:t>
      </w:r>
      <w:r w:rsidR="00747874">
        <w:rPr>
          <w:rFonts w:eastAsia="Calibri" w:cs="Arial"/>
          <w:szCs w:val="22"/>
          <w:lang w:eastAsia="en-US"/>
        </w:rPr>
        <w:t xml:space="preserve">against </w:t>
      </w:r>
      <w:r w:rsidRPr="0010279F">
        <w:rPr>
          <w:rFonts w:eastAsia="Calibri" w:cs="Arial"/>
          <w:szCs w:val="22"/>
          <w:lang w:eastAsia="en-US"/>
        </w:rPr>
        <w:t xml:space="preserve">the evidentiary standard for the </w:t>
      </w:r>
      <w:r w:rsidRPr="0010279F">
        <w:rPr>
          <w:rFonts w:eastAsia="Calibri" w:cs="Arial"/>
          <w:i/>
          <w:szCs w:val="22"/>
          <w:lang w:eastAsia="en-US"/>
        </w:rPr>
        <w:t xml:space="preserve">BRAF </w:t>
      </w:r>
      <w:r w:rsidR="00965823" w:rsidRPr="00965823">
        <w:rPr>
          <w:rFonts w:eastAsia="Calibri" w:cs="Arial"/>
          <w:szCs w:val="22"/>
          <w:lang w:eastAsia="en-US"/>
        </w:rPr>
        <w:t>V600E</w:t>
      </w:r>
      <w:r w:rsidRPr="0010279F">
        <w:rPr>
          <w:rFonts w:eastAsia="Calibri" w:cs="Arial"/>
          <w:szCs w:val="22"/>
          <w:lang w:eastAsia="en-US"/>
        </w:rPr>
        <w:t xml:space="preserve"> variant. Thus, </w:t>
      </w:r>
      <w:r w:rsidR="00747874">
        <w:rPr>
          <w:rFonts w:eastAsia="Calibri" w:cs="Arial"/>
          <w:szCs w:val="22"/>
          <w:lang w:eastAsia="en-US"/>
        </w:rPr>
        <w:t xml:space="preserve">it did not directly inform </w:t>
      </w:r>
      <w:r w:rsidRPr="0010279F">
        <w:rPr>
          <w:rFonts w:eastAsia="Calibri" w:cs="Arial"/>
          <w:szCs w:val="22"/>
          <w:lang w:eastAsia="en-US"/>
        </w:rPr>
        <w:t xml:space="preserve">the potential harm from treating a false-negative patient and the benefit forgone of not treating a false-negative patient. A sensitivity </w:t>
      </w:r>
      <w:r w:rsidR="00247552" w:rsidRPr="0010279F">
        <w:rPr>
          <w:rFonts w:eastAsia="Calibri" w:cs="Arial"/>
          <w:szCs w:val="22"/>
          <w:lang w:eastAsia="en-US"/>
        </w:rPr>
        <w:t>analys</w:t>
      </w:r>
      <w:r w:rsidR="00247552">
        <w:rPr>
          <w:rFonts w:eastAsia="Calibri" w:cs="Arial"/>
          <w:szCs w:val="22"/>
          <w:lang w:eastAsia="en-US"/>
        </w:rPr>
        <w:t>i</w:t>
      </w:r>
      <w:r w:rsidR="00247552" w:rsidRPr="0010279F">
        <w:rPr>
          <w:rFonts w:eastAsia="Calibri" w:cs="Arial"/>
          <w:szCs w:val="22"/>
          <w:lang w:eastAsia="en-US"/>
        </w:rPr>
        <w:t xml:space="preserve">s </w:t>
      </w:r>
      <w:r w:rsidRPr="0010279F">
        <w:rPr>
          <w:rFonts w:eastAsia="Calibri" w:cs="Arial"/>
          <w:szCs w:val="22"/>
          <w:lang w:eastAsia="en-US"/>
        </w:rPr>
        <w:t xml:space="preserve">conducted by the evaluation included an estimation of test accuracy in clinical practice compared to the evidentiary standard in the economic model. </w:t>
      </w:r>
      <w:r w:rsidRPr="000A5164">
        <w:rPr>
          <w:rFonts w:eastAsia="Calibri" w:cs="Arial"/>
          <w:szCs w:val="22"/>
          <w:lang w:eastAsia="en-US"/>
        </w:rPr>
        <w:t xml:space="preserve">This </w:t>
      </w:r>
      <w:r w:rsidR="00747874" w:rsidRPr="000A5164">
        <w:rPr>
          <w:rFonts w:eastAsia="Calibri" w:cs="Arial"/>
          <w:szCs w:val="22"/>
          <w:lang w:eastAsia="en-US"/>
        </w:rPr>
        <w:t xml:space="preserve">increased </w:t>
      </w:r>
      <w:r w:rsidRPr="000A5164">
        <w:rPr>
          <w:rFonts w:eastAsia="Calibri" w:cs="Arial"/>
          <w:szCs w:val="22"/>
          <w:lang w:eastAsia="en-US"/>
        </w:rPr>
        <w:t>the ICER</w:t>
      </w:r>
      <w:r w:rsidR="00747874" w:rsidRPr="000A5164">
        <w:rPr>
          <w:rFonts w:eastAsia="Calibri" w:cs="Arial"/>
          <w:szCs w:val="22"/>
          <w:lang w:eastAsia="en-US"/>
        </w:rPr>
        <w:t xml:space="preserve"> by 5.3%</w:t>
      </w:r>
      <w:r w:rsidRPr="000A5164">
        <w:rPr>
          <w:rFonts w:eastAsia="Calibri" w:cs="Arial"/>
          <w:szCs w:val="22"/>
          <w:lang w:eastAsia="en-US"/>
        </w:rPr>
        <w:t>.</w:t>
      </w:r>
    </w:p>
    <w:p w14:paraId="373E9C65" w14:textId="77777777" w:rsidR="0010279F" w:rsidRPr="0010279F" w:rsidRDefault="0010279F" w:rsidP="0010279F">
      <w:pPr>
        <w:spacing w:after="240"/>
        <w:rPr>
          <w:rFonts w:eastAsia="Calibri" w:cs="Arial"/>
          <w:szCs w:val="22"/>
          <w:u w:val="single"/>
          <w:lang w:eastAsia="en-US"/>
        </w:rPr>
      </w:pPr>
      <w:r w:rsidRPr="0010279F">
        <w:rPr>
          <w:rFonts w:eastAsia="Calibri" w:cs="Arial"/>
          <w:szCs w:val="22"/>
          <w:u w:val="single"/>
          <w:lang w:eastAsia="en-US"/>
        </w:rPr>
        <w:t>Comparative safety of the proposed medicine</w:t>
      </w:r>
    </w:p>
    <w:p w14:paraId="78029E0A" w14:textId="0221E1CF" w:rsidR="0010279F" w:rsidRPr="0010279F" w:rsidRDefault="0010279F" w:rsidP="0010279F">
      <w:pPr>
        <w:spacing w:after="240"/>
        <w:rPr>
          <w:rFonts w:eastAsia="Calibri" w:cs="Arial"/>
          <w:szCs w:val="22"/>
          <w:lang w:eastAsia="en-US"/>
        </w:rPr>
      </w:pPr>
      <w:r w:rsidRPr="0010279F">
        <w:rPr>
          <w:rFonts w:eastAsia="Calibri" w:cs="Arial"/>
          <w:szCs w:val="22"/>
          <w:lang w:eastAsia="en-US"/>
        </w:rPr>
        <w:t xml:space="preserve">A similar proportion of patients on encorafenib + cetuximab compared with control arm in BEACON experienced adverse events (AEs; 98.1% vs 98.4%, respectively), but fewer Grade ≥3 AEs (57.4% vs 64.2%). Fewer patients on encorafenib + cetuximab experienced treatment related </w:t>
      </w:r>
      <w:r w:rsidR="00747874">
        <w:rPr>
          <w:rFonts w:eastAsia="Calibri" w:cs="Arial"/>
          <w:szCs w:val="22"/>
          <w:lang w:eastAsia="en-US"/>
        </w:rPr>
        <w:t>adverse effects</w:t>
      </w:r>
      <w:r w:rsidRPr="0010279F">
        <w:rPr>
          <w:rFonts w:eastAsia="Calibri" w:cs="Arial"/>
          <w:szCs w:val="22"/>
          <w:lang w:eastAsia="en-US"/>
        </w:rPr>
        <w:t xml:space="preserve"> (TRAEs) and even fewer Grade ≥3 TRAEs. The difference in Grade ≥3 TRAEs was statistically significant. The incidence of serious AEs (SAEs) and Grade ≥3 SAEs was similar between the encorafenib + cetuximab and control arms. However, treatment related SAEs and Grade ≥3 SAEs were lower in the encorafenib + cetuximab arm compared to the control arm.</w:t>
      </w:r>
    </w:p>
    <w:p w14:paraId="1775CD30" w14:textId="1CE7C7F5" w:rsidR="0010279F" w:rsidRPr="0010279F" w:rsidRDefault="0010279F" w:rsidP="0010279F">
      <w:pPr>
        <w:spacing w:after="240"/>
        <w:rPr>
          <w:rFonts w:eastAsia="Calibri" w:cs="Arial"/>
          <w:i/>
          <w:szCs w:val="22"/>
          <w:lang w:eastAsia="en-US"/>
        </w:rPr>
      </w:pPr>
      <w:r w:rsidRPr="00CF2D89">
        <w:rPr>
          <w:rFonts w:eastAsia="Calibri" w:cs="Arial"/>
          <w:szCs w:val="22"/>
          <w:lang w:eastAsia="en-US"/>
        </w:rPr>
        <w:t xml:space="preserve">The time to onset of the first Grade ≥3 AE </w:t>
      </w:r>
      <w:r w:rsidRPr="00954BCF">
        <w:rPr>
          <w:rFonts w:eastAsia="Calibri" w:cs="Arial"/>
          <w:szCs w:val="22"/>
          <w:lang w:eastAsia="en-US"/>
        </w:rPr>
        <w:t xml:space="preserve">was </w:t>
      </w:r>
      <w:r w:rsidRPr="006C73CE">
        <w:rPr>
          <w:rFonts w:eastAsia="Calibri" w:cs="Arial"/>
          <w:szCs w:val="22"/>
          <w:lang w:eastAsia="en-US"/>
        </w:rPr>
        <w:t>4.73</w:t>
      </w:r>
      <w:r w:rsidRPr="00954BCF">
        <w:rPr>
          <w:rFonts w:eastAsia="Calibri" w:cs="Arial"/>
          <w:szCs w:val="22"/>
          <w:lang w:eastAsia="en-US"/>
        </w:rPr>
        <w:t xml:space="preserve"> months (95% CI: </w:t>
      </w:r>
      <w:r w:rsidRPr="006C73CE">
        <w:rPr>
          <w:rFonts w:eastAsia="Calibri" w:cs="Arial"/>
          <w:szCs w:val="22"/>
          <w:lang w:eastAsia="en-US"/>
        </w:rPr>
        <w:t>3.94, 6.44</w:t>
      </w:r>
      <w:r w:rsidRPr="00954BCF">
        <w:rPr>
          <w:rFonts w:eastAsia="Calibri" w:cs="Arial"/>
          <w:szCs w:val="22"/>
          <w:lang w:eastAsia="en-US"/>
        </w:rPr>
        <w:t xml:space="preserve">) in the encorafenib + cetuximab arm and </w:t>
      </w:r>
      <w:r w:rsidRPr="006C73CE">
        <w:rPr>
          <w:rFonts w:eastAsia="Calibri" w:cs="Arial"/>
          <w:szCs w:val="22"/>
          <w:lang w:eastAsia="en-US"/>
        </w:rPr>
        <w:t>1.41</w:t>
      </w:r>
      <w:r w:rsidRPr="00954BCF">
        <w:rPr>
          <w:rFonts w:eastAsia="Calibri" w:cs="Arial"/>
          <w:szCs w:val="22"/>
          <w:lang w:eastAsia="en-US"/>
        </w:rPr>
        <w:t xml:space="preserve"> months (95% CI: </w:t>
      </w:r>
      <w:r w:rsidRPr="006C73CE">
        <w:rPr>
          <w:rFonts w:eastAsia="Calibri" w:cs="Arial"/>
          <w:szCs w:val="22"/>
          <w:lang w:eastAsia="en-US"/>
        </w:rPr>
        <w:t>1.08, 2.07</w:t>
      </w:r>
      <w:r w:rsidRPr="00954BCF">
        <w:rPr>
          <w:rFonts w:eastAsia="Calibri" w:cs="Arial"/>
          <w:szCs w:val="22"/>
          <w:lang w:eastAsia="en-US"/>
        </w:rPr>
        <w:t>)</w:t>
      </w:r>
      <w:r w:rsidRPr="00CF2D89">
        <w:rPr>
          <w:rFonts w:eastAsia="Calibri" w:cs="Arial"/>
          <w:szCs w:val="22"/>
          <w:lang w:eastAsia="en-US"/>
        </w:rPr>
        <w:t xml:space="preserve"> in the control arm.</w:t>
      </w:r>
      <w:r w:rsidRPr="0010279F">
        <w:rPr>
          <w:rFonts w:eastAsia="Calibri" w:cs="Arial"/>
          <w:szCs w:val="22"/>
          <w:lang w:eastAsia="en-US"/>
        </w:rPr>
        <w:t xml:space="preserve"> The main AEs of all Grades and Grade ≥3 that were statistically significantly different are </w:t>
      </w:r>
      <w:r w:rsidRPr="0010279F">
        <w:rPr>
          <w:rFonts w:eastAsia="Calibri" w:cs="Arial"/>
          <w:szCs w:val="22"/>
          <w:lang w:eastAsia="en-US"/>
        </w:rPr>
        <w:lastRenderedPageBreak/>
        <w:t xml:space="preserve">presented in </w:t>
      </w:r>
      <w:r w:rsidR="00CC7E57">
        <w:rPr>
          <w:rFonts w:eastAsia="Calibri"/>
          <w:szCs w:val="22"/>
          <w:lang w:eastAsia="en-US"/>
        </w:rPr>
        <w:t>Table 5</w:t>
      </w:r>
      <w:r w:rsidRPr="0010279F">
        <w:rPr>
          <w:rFonts w:eastAsia="Calibri"/>
          <w:szCs w:val="22"/>
          <w:lang w:eastAsia="en-US"/>
        </w:rPr>
        <w:t>.</w:t>
      </w:r>
      <w:r w:rsidRPr="0010279F">
        <w:rPr>
          <w:rFonts w:eastAsia="Calibri" w:cs="Arial"/>
          <w:szCs w:val="22"/>
          <w:lang w:eastAsia="en-US"/>
        </w:rPr>
        <w:t xml:space="preserve"> The Commentary noted that no individual Grade ≥3 AEs occurred in statistically significantly more patients in the encorafenib + cetuximab arm compared to the control arm.</w:t>
      </w:r>
    </w:p>
    <w:p w14:paraId="1D4D5F1D" w14:textId="26926494" w:rsidR="0010279F" w:rsidRPr="0010279F" w:rsidRDefault="0010279F" w:rsidP="0010279F">
      <w:pPr>
        <w:spacing w:after="240"/>
        <w:rPr>
          <w:rFonts w:eastAsia="Calibri" w:cs="Arial"/>
          <w:i/>
          <w:iCs/>
          <w:szCs w:val="22"/>
          <w:lang w:eastAsia="en-US"/>
        </w:rPr>
      </w:pPr>
      <w:r w:rsidRPr="0010279F">
        <w:rPr>
          <w:rFonts w:eastAsia="Calibri" w:cs="Arial"/>
          <w:szCs w:val="22"/>
          <w:lang w:eastAsia="en-US"/>
        </w:rPr>
        <w:t>Eight patients in both arms experienced AEs resulting in on treatment deaths. In the encorafenib + cetuximab arm the causes of death included intestinal obstruction (2 patients) and aspiration (2 patients), large intestine perforation, cardio-respiratory arrest, gastrointestinal haemorrhage, and sepsis. In the control arm</w:t>
      </w:r>
      <w:r w:rsidR="00902E0A">
        <w:rPr>
          <w:rFonts w:eastAsia="Calibri" w:cs="Arial"/>
          <w:szCs w:val="22"/>
          <w:lang w:eastAsia="en-US"/>
        </w:rPr>
        <w:t>,</w:t>
      </w:r>
      <w:r w:rsidRPr="0010279F">
        <w:rPr>
          <w:rFonts w:eastAsia="Calibri" w:cs="Arial"/>
          <w:szCs w:val="22"/>
          <w:lang w:eastAsia="en-US"/>
        </w:rPr>
        <w:t xml:space="preserve"> the causes of death included anaphylactic reaction, cardo-respiratory arrest, cerebral ischemia, lung infection, peritonitis, pneumocystic jirovecii pneumonia, respiratory failure and subileus. </w:t>
      </w:r>
      <w:r w:rsidRPr="0010279F">
        <w:rPr>
          <w:rFonts w:eastAsia="Calibri" w:cs="Arial"/>
          <w:iCs/>
          <w:szCs w:val="22"/>
          <w:lang w:eastAsia="en-US"/>
        </w:rPr>
        <w:t xml:space="preserve">The Commentary considered that the difference between Grade </w:t>
      </w:r>
      <w:r w:rsidRPr="0010279F">
        <w:rPr>
          <w:rFonts w:eastAsia="Calibri" w:cs="Arial"/>
          <w:bCs/>
          <w:iCs/>
          <w:szCs w:val="22"/>
          <w:lang w:eastAsia="en-US"/>
        </w:rPr>
        <w:t>≥3 diarrhoea and neutropenia between the two treatment arms was clinically relevant.</w:t>
      </w:r>
    </w:p>
    <w:p w14:paraId="3C46A99C" w14:textId="721C1276" w:rsidR="0010279F" w:rsidRPr="0010279F" w:rsidRDefault="0010279F" w:rsidP="0010279F">
      <w:pPr>
        <w:keepNext/>
        <w:tabs>
          <w:tab w:val="left" w:pos="1418"/>
        </w:tabs>
        <w:contextualSpacing/>
        <w:rPr>
          <w:rFonts w:ascii="Arial Narrow" w:hAnsi="Arial Narrow" w:cs="Arial"/>
          <w:b/>
          <w:iCs/>
          <w:sz w:val="20"/>
          <w:lang w:eastAsia="en-US"/>
        </w:rPr>
      </w:pPr>
      <w:bookmarkStart w:id="5" w:name="_Ref64018498"/>
      <w:r w:rsidRPr="0010279F">
        <w:rPr>
          <w:rFonts w:ascii="Arial Narrow" w:hAnsi="Arial Narrow" w:cs="Arial"/>
          <w:b/>
          <w:iCs/>
          <w:sz w:val="20"/>
          <w:lang w:eastAsia="en-US"/>
        </w:rPr>
        <w:t>Table</w:t>
      </w:r>
      <w:bookmarkEnd w:id="5"/>
      <w:r w:rsidR="009835BB">
        <w:rPr>
          <w:rFonts w:ascii="Arial Narrow" w:hAnsi="Arial Narrow" w:cs="Arial"/>
          <w:b/>
          <w:iCs/>
          <w:sz w:val="20"/>
          <w:lang w:eastAsia="en-US"/>
        </w:rPr>
        <w:t xml:space="preserve"> 5</w:t>
      </w:r>
      <w:r w:rsidRPr="0010279F">
        <w:rPr>
          <w:rFonts w:ascii="Arial Narrow" w:hAnsi="Arial Narrow" w:cs="Arial"/>
          <w:b/>
          <w:iCs/>
          <w:sz w:val="20"/>
          <w:lang w:eastAsia="en-US"/>
        </w:rPr>
        <w:tab/>
        <w:t>Summary of AEs occurring in ≥10% of patients or Grade ≥3 AEs (≥5% in any treatment arm) of BEACON that were statistically significant (Safety Population)</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69"/>
        <w:gridCol w:w="850"/>
        <w:gridCol w:w="746"/>
        <w:gridCol w:w="826"/>
        <w:gridCol w:w="784"/>
        <w:gridCol w:w="1134"/>
        <w:gridCol w:w="1147"/>
        <w:gridCol w:w="1119"/>
        <w:gridCol w:w="1145"/>
      </w:tblGrid>
      <w:tr w:rsidR="0010279F" w:rsidRPr="0010279F" w14:paraId="4393BEE9" w14:textId="77777777" w:rsidTr="00AF5486">
        <w:trPr>
          <w:trHeight w:val="292"/>
          <w:tblHeader/>
        </w:trPr>
        <w:tc>
          <w:tcPr>
            <w:tcW w:w="1269" w:type="dxa"/>
            <w:shd w:val="clear" w:color="auto" w:fill="auto"/>
            <w:vAlign w:val="center"/>
          </w:tcPr>
          <w:p w14:paraId="7DE5A9D9" w14:textId="77777777" w:rsidR="0010279F" w:rsidRPr="0010279F" w:rsidRDefault="0010279F" w:rsidP="0010279F">
            <w:pPr>
              <w:jc w:val="center"/>
              <w:rPr>
                <w:rFonts w:ascii="Arial Narrow" w:eastAsia="Calibri" w:hAnsi="Arial Narrow" w:cs="Arial"/>
                <w:b/>
                <w:sz w:val="20"/>
                <w:szCs w:val="22"/>
                <w:lang w:eastAsia="en-US"/>
              </w:rPr>
            </w:pPr>
            <w:r w:rsidRPr="0010279F">
              <w:rPr>
                <w:rFonts w:ascii="Arial Narrow" w:eastAsia="Calibri" w:hAnsi="Arial Narrow" w:cs="Arial"/>
                <w:b/>
                <w:sz w:val="20"/>
                <w:szCs w:val="22"/>
                <w:lang w:eastAsia="en-US"/>
              </w:rPr>
              <w:t>n (%)</w:t>
            </w:r>
          </w:p>
        </w:tc>
        <w:tc>
          <w:tcPr>
            <w:tcW w:w="1596" w:type="dxa"/>
            <w:gridSpan w:val="2"/>
            <w:shd w:val="clear" w:color="auto" w:fill="auto"/>
            <w:vAlign w:val="center"/>
          </w:tcPr>
          <w:p w14:paraId="6EB1E46A" w14:textId="77777777" w:rsidR="0010279F" w:rsidRPr="0010279F" w:rsidRDefault="0010279F" w:rsidP="0010279F">
            <w:pPr>
              <w:tabs>
                <w:tab w:val="decimal" w:pos="396"/>
              </w:tabs>
              <w:ind w:right="-67" w:hanging="77"/>
              <w:jc w:val="center"/>
              <w:rPr>
                <w:rFonts w:ascii="Arial Narrow" w:eastAsia="Calibri" w:hAnsi="Arial Narrow" w:cs="Arial"/>
                <w:b/>
                <w:sz w:val="20"/>
                <w:szCs w:val="22"/>
                <w:lang w:eastAsia="en-US"/>
              </w:rPr>
            </w:pPr>
            <w:r w:rsidRPr="0010279F">
              <w:rPr>
                <w:rFonts w:ascii="Arial Narrow" w:eastAsia="Calibri" w:hAnsi="Arial Narrow" w:cs="Arial"/>
                <w:b/>
                <w:sz w:val="20"/>
                <w:szCs w:val="22"/>
                <w:lang w:eastAsia="en-US"/>
              </w:rPr>
              <w:t xml:space="preserve">ENCO + CEUTX </w:t>
            </w:r>
          </w:p>
          <w:p w14:paraId="399496A4" w14:textId="77777777" w:rsidR="0010279F" w:rsidRPr="0010279F" w:rsidRDefault="0010279F" w:rsidP="0010279F">
            <w:pPr>
              <w:tabs>
                <w:tab w:val="decimal" w:pos="396"/>
              </w:tabs>
              <w:ind w:right="-67" w:hanging="77"/>
              <w:jc w:val="center"/>
              <w:rPr>
                <w:rFonts w:ascii="Arial Narrow" w:eastAsia="Calibri" w:hAnsi="Arial Narrow" w:cs="Arial"/>
                <w:b/>
                <w:sz w:val="20"/>
                <w:szCs w:val="22"/>
                <w:lang w:eastAsia="en-US"/>
              </w:rPr>
            </w:pPr>
            <w:r w:rsidRPr="0010279F">
              <w:rPr>
                <w:rFonts w:ascii="Arial Narrow" w:eastAsia="Calibri" w:hAnsi="Arial Narrow" w:cs="Arial"/>
                <w:b/>
                <w:sz w:val="20"/>
                <w:szCs w:val="22"/>
                <w:lang w:eastAsia="en-US"/>
              </w:rPr>
              <w:t>(N = 216)</w:t>
            </w:r>
          </w:p>
        </w:tc>
        <w:tc>
          <w:tcPr>
            <w:tcW w:w="1610" w:type="dxa"/>
            <w:gridSpan w:val="2"/>
            <w:shd w:val="clear" w:color="auto" w:fill="auto"/>
            <w:vAlign w:val="center"/>
          </w:tcPr>
          <w:p w14:paraId="1463ED38" w14:textId="77777777" w:rsidR="0010279F" w:rsidRPr="0010279F" w:rsidRDefault="0010279F" w:rsidP="0010279F">
            <w:pPr>
              <w:tabs>
                <w:tab w:val="decimal" w:pos="396"/>
              </w:tabs>
              <w:jc w:val="center"/>
              <w:rPr>
                <w:rFonts w:ascii="Arial Narrow" w:hAnsi="Arial Narrow"/>
                <w:b/>
                <w:sz w:val="20"/>
                <w:szCs w:val="22"/>
                <w:vertAlign w:val="superscript"/>
                <w:lang w:eastAsia="en-US"/>
              </w:rPr>
            </w:pPr>
            <w:r w:rsidRPr="0010279F">
              <w:rPr>
                <w:rFonts w:ascii="Arial Narrow" w:hAnsi="Arial Narrow"/>
                <w:b/>
                <w:sz w:val="20"/>
                <w:szCs w:val="22"/>
                <w:lang w:eastAsia="en-US"/>
              </w:rPr>
              <w:t xml:space="preserve">CONTROL </w:t>
            </w:r>
            <w:r w:rsidRPr="0010279F">
              <w:rPr>
                <w:rFonts w:ascii="Arial Narrow" w:hAnsi="Arial Narrow"/>
                <w:b/>
                <w:sz w:val="20"/>
                <w:szCs w:val="22"/>
                <w:vertAlign w:val="superscript"/>
                <w:lang w:eastAsia="en-US"/>
              </w:rPr>
              <w:t xml:space="preserve">a </w:t>
            </w:r>
          </w:p>
          <w:p w14:paraId="58903670" w14:textId="77777777" w:rsidR="0010279F" w:rsidRPr="0010279F" w:rsidRDefault="0010279F" w:rsidP="0010279F">
            <w:pPr>
              <w:tabs>
                <w:tab w:val="decimal" w:pos="396"/>
              </w:tabs>
              <w:jc w:val="center"/>
              <w:rPr>
                <w:rFonts w:ascii="Arial Narrow" w:hAnsi="Arial Narrow"/>
                <w:b/>
                <w:sz w:val="20"/>
                <w:szCs w:val="22"/>
                <w:vertAlign w:val="superscript"/>
                <w:lang w:eastAsia="en-US"/>
              </w:rPr>
            </w:pPr>
            <w:r w:rsidRPr="0010279F">
              <w:rPr>
                <w:rFonts w:ascii="Arial Narrow" w:hAnsi="Arial Narrow"/>
                <w:b/>
                <w:sz w:val="20"/>
                <w:szCs w:val="22"/>
                <w:lang w:eastAsia="en-US"/>
              </w:rPr>
              <w:t>(N = 193)</w:t>
            </w:r>
          </w:p>
        </w:tc>
        <w:tc>
          <w:tcPr>
            <w:tcW w:w="2281" w:type="dxa"/>
            <w:gridSpan w:val="2"/>
            <w:shd w:val="clear" w:color="auto" w:fill="auto"/>
            <w:vAlign w:val="center"/>
          </w:tcPr>
          <w:p w14:paraId="2F855043" w14:textId="77777777" w:rsidR="0010279F" w:rsidRPr="0010279F" w:rsidRDefault="0010279F" w:rsidP="0010279F">
            <w:pPr>
              <w:jc w:val="center"/>
              <w:rPr>
                <w:rFonts w:ascii="Arial Narrow" w:eastAsia="Calibri" w:hAnsi="Arial Narrow" w:cs="Arial"/>
                <w:b/>
                <w:sz w:val="20"/>
                <w:lang w:eastAsia="en-US"/>
              </w:rPr>
            </w:pPr>
            <w:r w:rsidRPr="0010279F">
              <w:rPr>
                <w:rFonts w:ascii="Arial Narrow" w:eastAsia="Calibri" w:hAnsi="Arial Narrow" w:cs="Arial"/>
                <w:b/>
                <w:sz w:val="20"/>
                <w:lang w:eastAsia="en-US"/>
              </w:rPr>
              <w:t>All Grades</w:t>
            </w:r>
          </w:p>
        </w:tc>
        <w:tc>
          <w:tcPr>
            <w:tcW w:w="2264" w:type="dxa"/>
            <w:gridSpan w:val="2"/>
            <w:shd w:val="clear" w:color="auto" w:fill="auto"/>
            <w:vAlign w:val="center"/>
          </w:tcPr>
          <w:p w14:paraId="2864F18F" w14:textId="77777777" w:rsidR="0010279F" w:rsidRPr="0010279F" w:rsidRDefault="0010279F" w:rsidP="0010279F">
            <w:pPr>
              <w:jc w:val="center"/>
              <w:rPr>
                <w:rFonts w:ascii="Arial Narrow" w:eastAsia="Calibri" w:hAnsi="Arial Narrow" w:cs="Arial"/>
                <w:b/>
                <w:sz w:val="20"/>
                <w:lang w:eastAsia="en-US"/>
              </w:rPr>
            </w:pPr>
            <w:r w:rsidRPr="0010279F">
              <w:rPr>
                <w:rFonts w:ascii="Arial Narrow" w:eastAsia="Calibri" w:hAnsi="Arial Narrow" w:cs="Arial"/>
                <w:b/>
                <w:sz w:val="20"/>
                <w:lang w:eastAsia="en-US"/>
              </w:rPr>
              <w:t>Grade ≥ 3</w:t>
            </w:r>
          </w:p>
        </w:tc>
      </w:tr>
      <w:tr w:rsidR="0010279F" w:rsidRPr="0010279F" w14:paraId="6E9FC9E4" w14:textId="77777777" w:rsidTr="00AF5486">
        <w:trPr>
          <w:tblHeader/>
        </w:trPr>
        <w:tc>
          <w:tcPr>
            <w:tcW w:w="1269" w:type="dxa"/>
            <w:shd w:val="clear" w:color="auto" w:fill="auto"/>
            <w:vAlign w:val="center"/>
          </w:tcPr>
          <w:p w14:paraId="160FC0D2" w14:textId="77777777" w:rsidR="0010279F" w:rsidRPr="0010279F" w:rsidRDefault="0010279F" w:rsidP="0010279F">
            <w:pPr>
              <w:jc w:val="center"/>
              <w:rPr>
                <w:rFonts w:ascii="Arial Narrow" w:eastAsia="Calibri" w:hAnsi="Arial Narrow" w:cs="Arial"/>
                <w:b/>
                <w:sz w:val="20"/>
                <w:szCs w:val="22"/>
                <w:lang w:eastAsia="en-US"/>
              </w:rPr>
            </w:pPr>
          </w:p>
        </w:tc>
        <w:tc>
          <w:tcPr>
            <w:tcW w:w="850" w:type="dxa"/>
            <w:shd w:val="clear" w:color="auto" w:fill="auto"/>
            <w:vAlign w:val="center"/>
          </w:tcPr>
          <w:p w14:paraId="7564F966" w14:textId="77777777" w:rsidR="0010279F" w:rsidRPr="0010279F" w:rsidRDefault="0010279F" w:rsidP="0010279F">
            <w:pPr>
              <w:tabs>
                <w:tab w:val="decimal" w:pos="396"/>
              </w:tabs>
              <w:ind w:right="-67" w:hanging="77"/>
              <w:jc w:val="center"/>
              <w:rPr>
                <w:rFonts w:ascii="Arial Narrow" w:eastAsia="Calibri" w:hAnsi="Arial Narrow" w:cs="Arial"/>
                <w:b/>
                <w:sz w:val="20"/>
                <w:szCs w:val="22"/>
                <w:lang w:eastAsia="en-US"/>
              </w:rPr>
            </w:pPr>
            <w:r w:rsidRPr="0010279F">
              <w:rPr>
                <w:rFonts w:ascii="Arial Narrow" w:eastAsia="Calibri" w:hAnsi="Arial Narrow" w:cs="Arial"/>
                <w:b/>
                <w:sz w:val="20"/>
                <w:szCs w:val="22"/>
                <w:lang w:eastAsia="en-US"/>
              </w:rPr>
              <w:t>All Grades</w:t>
            </w:r>
          </w:p>
        </w:tc>
        <w:tc>
          <w:tcPr>
            <w:tcW w:w="746" w:type="dxa"/>
            <w:shd w:val="clear" w:color="auto" w:fill="auto"/>
            <w:vAlign w:val="center"/>
          </w:tcPr>
          <w:p w14:paraId="3DC0B857" w14:textId="77777777" w:rsidR="0010279F" w:rsidRPr="0010279F" w:rsidRDefault="0010279F" w:rsidP="0010279F">
            <w:pPr>
              <w:tabs>
                <w:tab w:val="decimal" w:pos="396"/>
              </w:tabs>
              <w:ind w:right="-67" w:hanging="77"/>
              <w:jc w:val="center"/>
              <w:rPr>
                <w:rFonts w:ascii="Arial Narrow" w:eastAsia="Calibri" w:hAnsi="Arial Narrow" w:cs="Arial"/>
                <w:b/>
                <w:sz w:val="20"/>
                <w:szCs w:val="22"/>
                <w:lang w:eastAsia="en-US"/>
              </w:rPr>
            </w:pPr>
            <w:r w:rsidRPr="0010279F">
              <w:rPr>
                <w:rFonts w:ascii="Arial Narrow" w:eastAsia="Calibri" w:hAnsi="Arial Narrow" w:cs="Arial"/>
                <w:b/>
                <w:sz w:val="20"/>
                <w:szCs w:val="22"/>
                <w:lang w:eastAsia="en-US"/>
              </w:rPr>
              <w:t>Grade ≥3</w:t>
            </w:r>
          </w:p>
        </w:tc>
        <w:tc>
          <w:tcPr>
            <w:tcW w:w="826" w:type="dxa"/>
            <w:shd w:val="clear" w:color="auto" w:fill="auto"/>
            <w:vAlign w:val="center"/>
          </w:tcPr>
          <w:p w14:paraId="256CA5DE" w14:textId="77777777" w:rsidR="0010279F" w:rsidRPr="0010279F" w:rsidRDefault="0010279F" w:rsidP="0010279F">
            <w:pPr>
              <w:tabs>
                <w:tab w:val="decimal" w:pos="396"/>
              </w:tabs>
              <w:ind w:right="-67" w:hanging="77"/>
              <w:jc w:val="center"/>
              <w:rPr>
                <w:rFonts w:ascii="Arial Narrow" w:eastAsia="Calibri" w:hAnsi="Arial Narrow" w:cs="Arial"/>
                <w:b/>
                <w:sz w:val="20"/>
                <w:szCs w:val="22"/>
                <w:lang w:eastAsia="en-US"/>
              </w:rPr>
            </w:pPr>
            <w:r w:rsidRPr="0010279F">
              <w:rPr>
                <w:rFonts w:ascii="Arial Narrow" w:eastAsia="Calibri" w:hAnsi="Arial Narrow" w:cs="Arial"/>
                <w:b/>
                <w:sz w:val="20"/>
                <w:szCs w:val="22"/>
                <w:lang w:eastAsia="en-US"/>
              </w:rPr>
              <w:t>All Grades</w:t>
            </w:r>
          </w:p>
        </w:tc>
        <w:tc>
          <w:tcPr>
            <w:tcW w:w="784" w:type="dxa"/>
            <w:shd w:val="clear" w:color="auto" w:fill="auto"/>
            <w:vAlign w:val="center"/>
          </w:tcPr>
          <w:p w14:paraId="5423FB55" w14:textId="77777777" w:rsidR="0010279F" w:rsidRPr="0010279F" w:rsidRDefault="0010279F" w:rsidP="0010279F">
            <w:pPr>
              <w:tabs>
                <w:tab w:val="decimal" w:pos="396"/>
              </w:tabs>
              <w:ind w:right="-67" w:hanging="77"/>
              <w:jc w:val="center"/>
              <w:rPr>
                <w:rFonts w:ascii="Arial Narrow" w:eastAsia="Calibri" w:hAnsi="Arial Narrow" w:cs="Arial"/>
                <w:b/>
                <w:sz w:val="20"/>
                <w:szCs w:val="22"/>
                <w:lang w:eastAsia="en-US"/>
              </w:rPr>
            </w:pPr>
            <w:r w:rsidRPr="0010279F">
              <w:rPr>
                <w:rFonts w:ascii="Arial Narrow" w:eastAsia="Calibri" w:hAnsi="Arial Narrow" w:cs="Arial"/>
                <w:b/>
                <w:sz w:val="20"/>
                <w:szCs w:val="22"/>
                <w:lang w:eastAsia="en-US"/>
              </w:rPr>
              <w:t>Grade ≥3</w:t>
            </w:r>
          </w:p>
        </w:tc>
        <w:tc>
          <w:tcPr>
            <w:tcW w:w="1134" w:type="dxa"/>
            <w:shd w:val="clear" w:color="auto" w:fill="auto"/>
            <w:vAlign w:val="center"/>
          </w:tcPr>
          <w:p w14:paraId="036DC2E0" w14:textId="77777777" w:rsidR="0010279F" w:rsidRPr="0010279F" w:rsidRDefault="0010279F" w:rsidP="0010279F">
            <w:pPr>
              <w:ind w:right="-38"/>
              <w:jc w:val="center"/>
              <w:rPr>
                <w:rFonts w:ascii="Arial Narrow" w:eastAsia="Calibri" w:hAnsi="Arial Narrow" w:cs="Arial"/>
                <w:b/>
                <w:sz w:val="20"/>
                <w:szCs w:val="22"/>
                <w:lang w:eastAsia="en-US"/>
              </w:rPr>
            </w:pPr>
            <w:r w:rsidRPr="0010279F">
              <w:rPr>
                <w:rFonts w:ascii="Arial Narrow" w:eastAsia="Calibri" w:hAnsi="Arial Narrow" w:cs="Arial"/>
                <w:b/>
                <w:sz w:val="20"/>
                <w:szCs w:val="22"/>
                <w:lang w:eastAsia="en-US"/>
              </w:rPr>
              <w:t xml:space="preserve">RR (95% CI) </w:t>
            </w:r>
            <w:r w:rsidRPr="0010279F">
              <w:rPr>
                <w:rFonts w:ascii="Arial Narrow" w:eastAsia="Calibri" w:hAnsi="Arial Narrow" w:cs="Arial"/>
                <w:b/>
                <w:sz w:val="20"/>
                <w:szCs w:val="22"/>
                <w:vertAlign w:val="superscript"/>
                <w:lang w:eastAsia="en-US"/>
              </w:rPr>
              <w:t>b</w:t>
            </w:r>
          </w:p>
        </w:tc>
        <w:tc>
          <w:tcPr>
            <w:tcW w:w="1147" w:type="dxa"/>
            <w:shd w:val="clear" w:color="auto" w:fill="auto"/>
            <w:vAlign w:val="center"/>
          </w:tcPr>
          <w:p w14:paraId="24D9BA6F" w14:textId="77777777" w:rsidR="0010279F" w:rsidRPr="0010279F" w:rsidRDefault="0010279F" w:rsidP="0010279F">
            <w:pPr>
              <w:jc w:val="center"/>
              <w:rPr>
                <w:rFonts w:ascii="Arial Narrow" w:eastAsia="Calibri" w:hAnsi="Arial Narrow" w:cs="Arial"/>
                <w:b/>
                <w:sz w:val="20"/>
                <w:szCs w:val="22"/>
                <w:lang w:eastAsia="en-US"/>
              </w:rPr>
            </w:pPr>
            <w:r w:rsidRPr="0010279F">
              <w:rPr>
                <w:rFonts w:ascii="Arial Narrow" w:eastAsia="Calibri" w:hAnsi="Arial Narrow" w:cs="Arial"/>
                <w:b/>
                <w:sz w:val="20"/>
                <w:szCs w:val="22"/>
                <w:lang w:eastAsia="en-US"/>
              </w:rPr>
              <w:t xml:space="preserve">RD (95%CI) </w:t>
            </w:r>
            <w:r w:rsidRPr="0010279F">
              <w:rPr>
                <w:rFonts w:ascii="Arial Narrow" w:eastAsia="Calibri" w:hAnsi="Arial Narrow" w:cs="Arial"/>
                <w:b/>
                <w:sz w:val="20"/>
                <w:szCs w:val="22"/>
                <w:vertAlign w:val="superscript"/>
                <w:lang w:eastAsia="en-US"/>
              </w:rPr>
              <w:t>b</w:t>
            </w:r>
          </w:p>
        </w:tc>
        <w:tc>
          <w:tcPr>
            <w:tcW w:w="1119" w:type="dxa"/>
            <w:shd w:val="clear" w:color="auto" w:fill="auto"/>
            <w:vAlign w:val="center"/>
          </w:tcPr>
          <w:p w14:paraId="4FD1EA7F" w14:textId="77777777" w:rsidR="0010279F" w:rsidRPr="0010279F" w:rsidRDefault="0010279F" w:rsidP="0010279F">
            <w:pPr>
              <w:ind w:right="-25"/>
              <w:jc w:val="center"/>
              <w:rPr>
                <w:rFonts w:ascii="Arial Narrow" w:eastAsia="Calibri" w:hAnsi="Arial Narrow" w:cs="Arial"/>
                <w:b/>
                <w:sz w:val="20"/>
                <w:szCs w:val="22"/>
                <w:lang w:eastAsia="en-US"/>
              </w:rPr>
            </w:pPr>
            <w:r w:rsidRPr="0010279F">
              <w:rPr>
                <w:rFonts w:ascii="Arial Narrow" w:eastAsia="Calibri" w:hAnsi="Arial Narrow" w:cs="Arial"/>
                <w:b/>
                <w:sz w:val="20"/>
                <w:szCs w:val="22"/>
                <w:lang w:eastAsia="en-US"/>
              </w:rPr>
              <w:t xml:space="preserve">RR (95% CI) </w:t>
            </w:r>
            <w:r w:rsidRPr="0010279F">
              <w:rPr>
                <w:rFonts w:ascii="Arial Narrow" w:eastAsia="Calibri" w:hAnsi="Arial Narrow" w:cs="Arial"/>
                <w:b/>
                <w:sz w:val="20"/>
                <w:szCs w:val="22"/>
                <w:vertAlign w:val="superscript"/>
                <w:lang w:eastAsia="en-US"/>
              </w:rPr>
              <w:t>b</w:t>
            </w:r>
          </w:p>
        </w:tc>
        <w:tc>
          <w:tcPr>
            <w:tcW w:w="1145" w:type="dxa"/>
            <w:shd w:val="clear" w:color="auto" w:fill="auto"/>
            <w:vAlign w:val="center"/>
          </w:tcPr>
          <w:p w14:paraId="431DF07D" w14:textId="77777777" w:rsidR="0010279F" w:rsidRPr="0010279F" w:rsidRDefault="0010279F" w:rsidP="0010279F">
            <w:pPr>
              <w:jc w:val="center"/>
              <w:rPr>
                <w:rFonts w:ascii="Arial Narrow" w:eastAsia="Calibri" w:hAnsi="Arial Narrow" w:cs="Arial"/>
                <w:b/>
                <w:sz w:val="20"/>
                <w:szCs w:val="22"/>
                <w:lang w:eastAsia="en-US"/>
              </w:rPr>
            </w:pPr>
            <w:r w:rsidRPr="0010279F">
              <w:rPr>
                <w:rFonts w:ascii="Arial Narrow" w:eastAsia="Calibri" w:hAnsi="Arial Narrow" w:cs="Arial"/>
                <w:b/>
                <w:sz w:val="20"/>
                <w:szCs w:val="22"/>
                <w:lang w:eastAsia="en-US"/>
              </w:rPr>
              <w:t xml:space="preserve">RD (95%CI) </w:t>
            </w:r>
            <w:r w:rsidRPr="0010279F">
              <w:rPr>
                <w:rFonts w:ascii="Arial Narrow" w:eastAsia="Calibri" w:hAnsi="Arial Narrow" w:cs="Arial"/>
                <w:b/>
                <w:sz w:val="20"/>
                <w:szCs w:val="22"/>
                <w:vertAlign w:val="superscript"/>
                <w:lang w:eastAsia="en-US"/>
              </w:rPr>
              <w:t>b</w:t>
            </w:r>
          </w:p>
        </w:tc>
      </w:tr>
      <w:tr w:rsidR="0010279F" w:rsidRPr="0010279F" w14:paraId="7F9E568B" w14:textId="77777777" w:rsidTr="00AF5486">
        <w:tc>
          <w:tcPr>
            <w:tcW w:w="1269" w:type="dxa"/>
            <w:shd w:val="clear" w:color="auto" w:fill="auto"/>
            <w:vAlign w:val="center"/>
          </w:tcPr>
          <w:p w14:paraId="031131E8" w14:textId="77777777" w:rsidR="0010279F" w:rsidRPr="0010279F" w:rsidRDefault="0010279F" w:rsidP="0010279F">
            <w:pPr>
              <w:autoSpaceDE w:val="0"/>
              <w:autoSpaceDN w:val="0"/>
              <w:adjustRightInd w:val="0"/>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Any AE</w:t>
            </w:r>
          </w:p>
        </w:tc>
        <w:tc>
          <w:tcPr>
            <w:tcW w:w="850" w:type="dxa"/>
            <w:shd w:val="clear" w:color="auto" w:fill="auto"/>
            <w:vAlign w:val="center"/>
          </w:tcPr>
          <w:p w14:paraId="45B45158"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212 (98.1)</w:t>
            </w:r>
          </w:p>
        </w:tc>
        <w:tc>
          <w:tcPr>
            <w:tcW w:w="746" w:type="dxa"/>
            <w:shd w:val="clear" w:color="auto" w:fill="auto"/>
            <w:vAlign w:val="center"/>
          </w:tcPr>
          <w:p w14:paraId="31A1826D"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124 (57.4)</w:t>
            </w:r>
          </w:p>
        </w:tc>
        <w:tc>
          <w:tcPr>
            <w:tcW w:w="826" w:type="dxa"/>
            <w:shd w:val="clear" w:color="auto" w:fill="auto"/>
            <w:vAlign w:val="center"/>
          </w:tcPr>
          <w:p w14:paraId="1C1557D5"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190 (98.4)</w:t>
            </w:r>
          </w:p>
        </w:tc>
        <w:tc>
          <w:tcPr>
            <w:tcW w:w="784" w:type="dxa"/>
            <w:shd w:val="clear" w:color="auto" w:fill="auto"/>
            <w:vAlign w:val="center"/>
          </w:tcPr>
          <w:p w14:paraId="79D73DBF"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124 (64.2)</w:t>
            </w:r>
          </w:p>
        </w:tc>
        <w:tc>
          <w:tcPr>
            <w:tcW w:w="1134" w:type="dxa"/>
            <w:shd w:val="clear" w:color="auto" w:fill="auto"/>
            <w:vAlign w:val="center"/>
          </w:tcPr>
          <w:p w14:paraId="5168D181" w14:textId="77777777" w:rsidR="0010279F" w:rsidRPr="0010279F" w:rsidRDefault="0010279F" w:rsidP="0010279F">
            <w:pPr>
              <w:ind w:right="-45" w:firstLine="1"/>
              <w:jc w:val="center"/>
              <w:rPr>
                <w:rFonts w:ascii="Arial Narrow" w:eastAsia="Calibri" w:hAnsi="Arial Narrow" w:cs="Arial"/>
                <w:color w:val="000000"/>
                <w:sz w:val="20"/>
                <w:lang w:eastAsia="en-US"/>
              </w:rPr>
            </w:pPr>
            <w:r w:rsidRPr="0010279F">
              <w:rPr>
                <w:rFonts w:ascii="Arial Narrow" w:eastAsia="Calibri" w:hAnsi="Arial Narrow" w:cs="Arial"/>
                <w:color w:val="000000"/>
                <w:sz w:val="20"/>
                <w:lang w:eastAsia="en-US"/>
              </w:rPr>
              <w:t>1.00</w:t>
            </w:r>
          </w:p>
          <w:p w14:paraId="3D3A2B4A" w14:textId="77777777" w:rsidR="0010279F" w:rsidRPr="0010279F" w:rsidRDefault="0010279F" w:rsidP="0010279F">
            <w:pPr>
              <w:ind w:right="-45" w:firstLine="1"/>
              <w:jc w:val="center"/>
              <w:rPr>
                <w:rFonts w:ascii="Arial Narrow" w:eastAsia="Calibri" w:hAnsi="Arial Narrow" w:cs="Arial"/>
                <w:color w:val="000000"/>
                <w:sz w:val="20"/>
                <w:lang w:eastAsia="en-US"/>
              </w:rPr>
            </w:pPr>
            <w:r w:rsidRPr="0010279F">
              <w:rPr>
                <w:rFonts w:ascii="Arial Narrow" w:eastAsia="Calibri" w:hAnsi="Arial Narrow" w:cs="Arial"/>
                <w:color w:val="000000"/>
                <w:sz w:val="20"/>
                <w:lang w:eastAsia="en-US"/>
              </w:rPr>
              <w:t>(0.97, 1.02)</w:t>
            </w:r>
          </w:p>
        </w:tc>
        <w:tc>
          <w:tcPr>
            <w:tcW w:w="1147" w:type="dxa"/>
            <w:shd w:val="clear" w:color="auto" w:fill="auto"/>
            <w:vAlign w:val="center"/>
          </w:tcPr>
          <w:p w14:paraId="7B9B7F29" w14:textId="77777777" w:rsidR="0010279F" w:rsidRPr="0010279F" w:rsidRDefault="0010279F" w:rsidP="0010279F">
            <w:pPr>
              <w:ind w:right="-45" w:firstLine="1"/>
              <w:jc w:val="center"/>
              <w:rPr>
                <w:rFonts w:ascii="Arial Narrow" w:eastAsia="Calibri" w:hAnsi="Arial Narrow" w:cs="Arial"/>
                <w:color w:val="000000"/>
                <w:sz w:val="20"/>
                <w:lang w:eastAsia="en-US"/>
              </w:rPr>
            </w:pPr>
            <w:r w:rsidRPr="0010279F">
              <w:rPr>
                <w:rFonts w:ascii="Arial Narrow" w:eastAsia="Calibri" w:hAnsi="Arial Narrow" w:cs="Arial"/>
                <w:color w:val="000000"/>
                <w:sz w:val="20"/>
                <w:lang w:eastAsia="en-US"/>
              </w:rPr>
              <w:t>0.00</w:t>
            </w:r>
          </w:p>
          <w:p w14:paraId="176A3A76" w14:textId="77777777" w:rsidR="0010279F" w:rsidRPr="0010279F" w:rsidRDefault="0010279F" w:rsidP="0010279F">
            <w:pPr>
              <w:ind w:right="-45" w:firstLine="1"/>
              <w:jc w:val="center"/>
              <w:rPr>
                <w:rFonts w:ascii="Arial Narrow" w:eastAsia="Calibri" w:hAnsi="Arial Narrow" w:cs="Arial"/>
                <w:color w:val="000000"/>
                <w:sz w:val="20"/>
                <w:lang w:eastAsia="en-US"/>
              </w:rPr>
            </w:pPr>
            <w:r w:rsidRPr="0010279F">
              <w:rPr>
                <w:rFonts w:ascii="Arial Narrow" w:eastAsia="Calibri" w:hAnsi="Arial Narrow" w:cs="Arial"/>
                <w:color w:val="000000"/>
                <w:sz w:val="20"/>
                <w:lang w:eastAsia="en-US"/>
              </w:rPr>
              <w:t>(-0.03, 0.02)</w:t>
            </w:r>
          </w:p>
        </w:tc>
        <w:tc>
          <w:tcPr>
            <w:tcW w:w="1119" w:type="dxa"/>
            <w:shd w:val="clear" w:color="auto" w:fill="auto"/>
            <w:vAlign w:val="center"/>
          </w:tcPr>
          <w:p w14:paraId="6151905D" w14:textId="77777777" w:rsidR="0010279F" w:rsidRPr="0010279F" w:rsidRDefault="0010279F" w:rsidP="0010279F">
            <w:pPr>
              <w:ind w:right="-45" w:firstLine="1"/>
              <w:jc w:val="center"/>
              <w:rPr>
                <w:rFonts w:ascii="Arial Narrow" w:eastAsia="Calibri" w:hAnsi="Arial Narrow" w:cs="Arial"/>
                <w:color w:val="000000"/>
                <w:sz w:val="20"/>
                <w:lang w:eastAsia="en-US"/>
              </w:rPr>
            </w:pPr>
            <w:r w:rsidRPr="0010279F">
              <w:rPr>
                <w:rFonts w:ascii="Arial Narrow" w:eastAsia="Calibri" w:hAnsi="Arial Narrow" w:cs="Arial"/>
                <w:color w:val="000000"/>
                <w:sz w:val="20"/>
                <w:lang w:eastAsia="en-US"/>
              </w:rPr>
              <w:t>0.89</w:t>
            </w:r>
          </w:p>
          <w:p w14:paraId="111C3547" w14:textId="77777777" w:rsidR="0010279F" w:rsidRPr="0010279F" w:rsidRDefault="0010279F" w:rsidP="0010279F">
            <w:pPr>
              <w:ind w:right="-45" w:firstLine="1"/>
              <w:jc w:val="center"/>
              <w:rPr>
                <w:rFonts w:ascii="Arial Narrow" w:eastAsia="Calibri" w:hAnsi="Arial Narrow" w:cs="Arial"/>
                <w:color w:val="000000"/>
                <w:sz w:val="20"/>
                <w:lang w:eastAsia="en-US"/>
              </w:rPr>
            </w:pPr>
            <w:r w:rsidRPr="0010279F">
              <w:rPr>
                <w:rFonts w:ascii="Arial Narrow" w:eastAsia="Calibri" w:hAnsi="Arial Narrow" w:cs="Arial"/>
                <w:color w:val="000000"/>
                <w:sz w:val="20"/>
                <w:lang w:eastAsia="en-US"/>
              </w:rPr>
              <w:t>(0.76, 1.04)</w:t>
            </w:r>
          </w:p>
        </w:tc>
        <w:tc>
          <w:tcPr>
            <w:tcW w:w="1145" w:type="dxa"/>
            <w:shd w:val="clear" w:color="auto" w:fill="auto"/>
            <w:vAlign w:val="center"/>
          </w:tcPr>
          <w:p w14:paraId="02349114" w14:textId="77777777" w:rsidR="0010279F" w:rsidRPr="0010279F" w:rsidRDefault="0010279F" w:rsidP="0010279F">
            <w:pPr>
              <w:ind w:right="-45" w:firstLine="1"/>
              <w:jc w:val="center"/>
              <w:rPr>
                <w:rFonts w:ascii="Arial Narrow" w:eastAsia="Calibri" w:hAnsi="Arial Narrow" w:cs="Arial"/>
                <w:color w:val="000000"/>
                <w:sz w:val="20"/>
                <w:lang w:eastAsia="en-US"/>
              </w:rPr>
            </w:pPr>
            <w:r w:rsidRPr="0010279F">
              <w:rPr>
                <w:rFonts w:ascii="Arial Narrow" w:eastAsia="Calibri" w:hAnsi="Arial Narrow" w:cs="Arial"/>
                <w:color w:val="000000"/>
                <w:sz w:val="20"/>
                <w:lang w:eastAsia="en-US"/>
              </w:rPr>
              <w:t>-0.07</w:t>
            </w:r>
          </w:p>
          <w:p w14:paraId="35AE6D28" w14:textId="77777777" w:rsidR="0010279F" w:rsidRPr="0010279F" w:rsidRDefault="0010279F" w:rsidP="0010279F">
            <w:pPr>
              <w:ind w:right="-45" w:firstLine="1"/>
              <w:jc w:val="center"/>
              <w:rPr>
                <w:rFonts w:ascii="Arial Narrow" w:eastAsia="Calibri" w:hAnsi="Arial Narrow" w:cs="Arial"/>
                <w:color w:val="000000"/>
                <w:sz w:val="20"/>
                <w:lang w:eastAsia="en-US"/>
              </w:rPr>
            </w:pPr>
            <w:r w:rsidRPr="0010279F">
              <w:rPr>
                <w:rFonts w:ascii="Arial Narrow" w:eastAsia="Calibri" w:hAnsi="Arial Narrow" w:cs="Arial"/>
                <w:color w:val="000000"/>
                <w:sz w:val="20"/>
                <w:lang w:eastAsia="en-US"/>
              </w:rPr>
              <w:t>(-0.16, 0.03)</w:t>
            </w:r>
          </w:p>
        </w:tc>
      </w:tr>
      <w:tr w:rsidR="0010279F" w:rsidRPr="0010279F" w14:paraId="628B8D65" w14:textId="77777777" w:rsidTr="00AF5486">
        <w:tc>
          <w:tcPr>
            <w:tcW w:w="1269" w:type="dxa"/>
            <w:shd w:val="clear" w:color="auto" w:fill="auto"/>
            <w:vAlign w:val="center"/>
          </w:tcPr>
          <w:p w14:paraId="786B207B" w14:textId="77777777" w:rsidR="0010279F" w:rsidRPr="0010279F" w:rsidRDefault="0010279F" w:rsidP="0010279F">
            <w:pPr>
              <w:autoSpaceDE w:val="0"/>
              <w:autoSpaceDN w:val="0"/>
              <w:adjustRightInd w:val="0"/>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Diarrhoea</w:t>
            </w:r>
          </w:p>
        </w:tc>
        <w:tc>
          <w:tcPr>
            <w:tcW w:w="850" w:type="dxa"/>
            <w:shd w:val="clear" w:color="auto" w:fill="auto"/>
            <w:vAlign w:val="center"/>
          </w:tcPr>
          <w:p w14:paraId="40CA16FA"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83 (38.4)</w:t>
            </w:r>
          </w:p>
        </w:tc>
        <w:tc>
          <w:tcPr>
            <w:tcW w:w="746" w:type="dxa"/>
            <w:shd w:val="clear" w:color="auto" w:fill="auto"/>
            <w:vAlign w:val="center"/>
          </w:tcPr>
          <w:p w14:paraId="23E05E3F"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6 (2.8)</w:t>
            </w:r>
          </w:p>
        </w:tc>
        <w:tc>
          <w:tcPr>
            <w:tcW w:w="826" w:type="dxa"/>
            <w:shd w:val="clear" w:color="auto" w:fill="auto"/>
            <w:vAlign w:val="center"/>
          </w:tcPr>
          <w:p w14:paraId="718C602A"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94 (48.7)</w:t>
            </w:r>
          </w:p>
        </w:tc>
        <w:tc>
          <w:tcPr>
            <w:tcW w:w="784" w:type="dxa"/>
            <w:shd w:val="clear" w:color="auto" w:fill="auto"/>
            <w:vAlign w:val="center"/>
          </w:tcPr>
          <w:p w14:paraId="31521DD3"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20 (10.4)</w:t>
            </w:r>
          </w:p>
        </w:tc>
        <w:tc>
          <w:tcPr>
            <w:tcW w:w="1134" w:type="dxa"/>
            <w:shd w:val="clear" w:color="auto" w:fill="auto"/>
            <w:vAlign w:val="center"/>
          </w:tcPr>
          <w:p w14:paraId="364EF727"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0.79</w:t>
            </w:r>
          </w:p>
          <w:p w14:paraId="0E6C624C"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(0.63, 0.99)</w:t>
            </w:r>
          </w:p>
        </w:tc>
        <w:tc>
          <w:tcPr>
            <w:tcW w:w="1147" w:type="dxa"/>
            <w:shd w:val="clear" w:color="auto" w:fill="auto"/>
            <w:vAlign w:val="center"/>
          </w:tcPr>
          <w:p w14:paraId="6F03A9E4"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-0.10</w:t>
            </w:r>
          </w:p>
          <w:p w14:paraId="7A997713"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(-0.20, -0.01)</w:t>
            </w:r>
          </w:p>
        </w:tc>
        <w:tc>
          <w:tcPr>
            <w:tcW w:w="1119" w:type="dxa"/>
            <w:shd w:val="clear" w:color="auto" w:fill="auto"/>
            <w:vAlign w:val="center"/>
          </w:tcPr>
          <w:p w14:paraId="6C7A1FCB"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0.27</w:t>
            </w:r>
          </w:p>
          <w:p w14:paraId="24228D62"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(0.11, 0.65)</w:t>
            </w:r>
          </w:p>
        </w:tc>
        <w:tc>
          <w:tcPr>
            <w:tcW w:w="1145" w:type="dxa"/>
            <w:shd w:val="clear" w:color="auto" w:fill="auto"/>
            <w:vAlign w:val="center"/>
          </w:tcPr>
          <w:p w14:paraId="5C96ABF6"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-0.08</w:t>
            </w:r>
          </w:p>
          <w:p w14:paraId="1B4FE186"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(-0.12, -0.03)</w:t>
            </w:r>
          </w:p>
        </w:tc>
      </w:tr>
      <w:tr w:rsidR="0010279F" w:rsidRPr="0010279F" w14:paraId="4B2239FF" w14:textId="77777777" w:rsidTr="00AF5486">
        <w:tc>
          <w:tcPr>
            <w:tcW w:w="1269" w:type="dxa"/>
            <w:shd w:val="clear" w:color="auto" w:fill="auto"/>
            <w:vAlign w:val="center"/>
          </w:tcPr>
          <w:p w14:paraId="1EBC52FB" w14:textId="77777777" w:rsidR="0010279F" w:rsidRPr="0010279F" w:rsidRDefault="0010279F" w:rsidP="0010279F">
            <w:pPr>
              <w:autoSpaceDE w:val="0"/>
              <w:autoSpaceDN w:val="0"/>
              <w:adjustRightInd w:val="0"/>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Dermatitis acneiform</w:t>
            </w:r>
          </w:p>
        </w:tc>
        <w:tc>
          <w:tcPr>
            <w:tcW w:w="850" w:type="dxa"/>
            <w:shd w:val="clear" w:color="auto" w:fill="auto"/>
            <w:vAlign w:val="center"/>
          </w:tcPr>
          <w:p w14:paraId="39C82141"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65 (30.1)</w:t>
            </w:r>
          </w:p>
        </w:tc>
        <w:tc>
          <w:tcPr>
            <w:tcW w:w="746" w:type="dxa"/>
            <w:shd w:val="clear" w:color="auto" w:fill="auto"/>
            <w:vAlign w:val="center"/>
          </w:tcPr>
          <w:p w14:paraId="4DB08BAF"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1 (0.5)</w:t>
            </w:r>
          </w:p>
        </w:tc>
        <w:tc>
          <w:tcPr>
            <w:tcW w:w="826" w:type="dxa"/>
            <w:shd w:val="clear" w:color="auto" w:fill="auto"/>
            <w:vAlign w:val="center"/>
          </w:tcPr>
          <w:p w14:paraId="08EBA6F3"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77 (39.9)</w:t>
            </w:r>
          </w:p>
        </w:tc>
        <w:tc>
          <w:tcPr>
            <w:tcW w:w="784" w:type="dxa"/>
            <w:shd w:val="clear" w:color="auto" w:fill="auto"/>
            <w:vAlign w:val="center"/>
          </w:tcPr>
          <w:p w14:paraId="53705ABE"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5 (2.6)</w:t>
            </w:r>
          </w:p>
        </w:tc>
        <w:tc>
          <w:tcPr>
            <w:tcW w:w="1134" w:type="dxa"/>
            <w:shd w:val="clear" w:color="auto" w:fill="auto"/>
            <w:vAlign w:val="center"/>
          </w:tcPr>
          <w:p w14:paraId="18561A25"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0.75</w:t>
            </w:r>
          </w:p>
          <w:p w14:paraId="3A35BF3B"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(0.58, 0.99)</w:t>
            </w:r>
          </w:p>
        </w:tc>
        <w:tc>
          <w:tcPr>
            <w:tcW w:w="1147" w:type="dxa"/>
            <w:shd w:val="clear" w:color="auto" w:fill="auto"/>
            <w:vAlign w:val="center"/>
          </w:tcPr>
          <w:p w14:paraId="3AF60058"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-0.10</w:t>
            </w:r>
          </w:p>
          <w:p w14:paraId="0A77F581"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(-0.19, -0.01)</w:t>
            </w:r>
          </w:p>
        </w:tc>
        <w:tc>
          <w:tcPr>
            <w:tcW w:w="1119" w:type="dxa"/>
            <w:shd w:val="clear" w:color="auto" w:fill="auto"/>
            <w:vAlign w:val="center"/>
          </w:tcPr>
          <w:p w14:paraId="37121EEB" w14:textId="77777777" w:rsidR="0010279F" w:rsidRPr="0010279F" w:rsidRDefault="0010279F" w:rsidP="0010279F">
            <w:pPr>
              <w:ind w:right="-45" w:firstLine="1"/>
              <w:jc w:val="center"/>
              <w:rPr>
                <w:rFonts w:ascii="Arial Narrow" w:eastAsia="Calibri" w:hAnsi="Arial Narrow" w:cs="Arial"/>
                <w:color w:val="000000"/>
                <w:sz w:val="20"/>
                <w:lang w:eastAsia="en-US"/>
              </w:rPr>
            </w:pPr>
            <w:r w:rsidRPr="0010279F">
              <w:rPr>
                <w:rFonts w:ascii="Arial Narrow" w:eastAsia="Calibri" w:hAnsi="Arial Narrow" w:cs="Arial"/>
                <w:color w:val="000000"/>
                <w:sz w:val="20"/>
                <w:lang w:eastAsia="en-US"/>
              </w:rPr>
              <w:t>0.18</w:t>
            </w:r>
          </w:p>
          <w:p w14:paraId="4D38FB08" w14:textId="77777777" w:rsidR="0010279F" w:rsidRPr="0010279F" w:rsidRDefault="0010279F" w:rsidP="0010279F">
            <w:pPr>
              <w:ind w:right="-45" w:firstLine="1"/>
              <w:jc w:val="center"/>
              <w:rPr>
                <w:rFonts w:ascii="Arial Narrow" w:eastAsia="Calibri" w:hAnsi="Arial Narrow" w:cs="Arial"/>
                <w:color w:val="000000"/>
                <w:sz w:val="20"/>
                <w:lang w:eastAsia="en-US"/>
              </w:rPr>
            </w:pPr>
            <w:r w:rsidRPr="0010279F">
              <w:rPr>
                <w:rFonts w:ascii="Arial Narrow" w:eastAsia="Calibri" w:hAnsi="Arial Narrow" w:cs="Arial"/>
                <w:color w:val="000000"/>
                <w:sz w:val="20"/>
                <w:lang w:eastAsia="en-US"/>
              </w:rPr>
              <w:t>(0.02, 1.52)</w:t>
            </w:r>
          </w:p>
        </w:tc>
        <w:tc>
          <w:tcPr>
            <w:tcW w:w="1145" w:type="dxa"/>
            <w:shd w:val="clear" w:color="auto" w:fill="auto"/>
            <w:vAlign w:val="center"/>
          </w:tcPr>
          <w:p w14:paraId="1E033DB2" w14:textId="77777777" w:rsidR="0010279F" w:rsidRPr="0010279F" w:rsidRDefault="0010279F" w:rsidP="0010279F">
            <w:pPr>
              <w:ind w:right="-45" w:firstLine="1"/>
              <w:jc w:val="center"/>
              <w:rPr>
                <w:rFonts w:ascii="Arial Narrow" w:eastAsia="Calibri" w:hAnsi="Arial Narrow" w:cs="Arial"/>
                <w:color w:val="000000"/>
                <w:sz w:val="20"/>
                <w:lang w:eastAsia="en-US"/>
              </w:rPr>
            </w:pPr>
            <w:r w:rsidRPr="0010279F">
              <w:rPr>
                <w:rFonts w:ascii="Arial Narrow" w:eastAsia="Calibri" w:hAnsi="Arial Narrow" w:cs="Arial"/>
                <w:color w:val="000000"/>
                <w:sz w:val="20"/>
                <w:lang w:eastAsia="en-US"/>
              </w:rPr>
              <w:t>-0.02</w:t>
            </w:r>
          </w:p>
          <w:p w14:paraId="7D629CB1" w14:textId="77777777" w:rsidR="0010279F" w:rsidRPr="0010279F" w:rsidRDefault="0010279F" w:rsidP="0010279F">
            <w:pPr>
              <w:ind w:right="-45" w:firstLine="1"/>
              <w:jc w:val="center"/>
              <w:rPr>
                <w:rFonts w:ascii="Arial Narrow" w:eastAsia="Calibri" w:hAnsi="Arial Narrow" w:cs="Arial"/>
                <w:color w:val="000000"/>
                <w:sz w:val="20"/>
                <w:lang w:eastAsia="en-US"/>
              </w:rPr>
            </w:pPr>
            <w:r w:rsidRPr="0010279F">
              <w:rPr>
                <w:rFonts w:ascii="Arial Narrow" w:eastAsia="Calibri" w:hAnsi="Arial Narrow" w:cs="Arial"/>
                <w:color w:val="000000"/>
                <w:sz w:val="20"/>
                <w:lang w:eastAsia="en-US"/>
              </w:rPr>
              <w:t>(-0.05, 0.00)</w:t>
            </w:r>
          </w:p>
        </w:tc>
      </w:tr>
      <w:tr w:rsidR="0010279F" w:rsidRPr="0010279F" w14:paraId="76AE5D34" w14:textId="77777777" w:rsidTr="00AF5486">
        <w:tc>
          <w:tcPr>
            <w:tcW w:w="1269" w:type="dxa"/>
            <w:shd w:val="clear" w:color="auto" w:fill="auto"/>
            <w:vAlign w:val="center"/>
          </w:tcPr>
          <w:p w14:paraId="7B17C3AD" w14:textId="77777777" w:rsidR="0010279F" w:rsidRPr="0010279F" w:rsidRDefault="0010279F" w:rsidP="0010279F">
            <w:pPr>
              <w:autoSpaceDE w:val="0"/>
              <w:autoSpaceDN w:val="0"/>
              <w:adjustRightInd w:val="0"/>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Arthralgia</w:t>
            </w:r>
          </w:p>
        </w:tc>
        <w:tc>
          <w:tcPr>
            <w:tcW w:w="850" w:type="dxa"/>
            <w:shd w:val="clear" w:color="auto" w:fill="auto"/>
            <w:vAlign w:val="center"/>
          </w:tcPr>
          <w:p w14:paraId="59BAAE18"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49 (22.7)</w:t>
            </w:r>
          </w:p>
        </w:tc>
        <w:tc>
          <w:tcPr>
            <w:tcW w:w="746" w:type="dxa"/>
            <w:shd w:val="clear" w:color="auto" w:fill="auto"/>
            <w:vAlign w:val="center"/>
          </w:tcPr>
          <w:p w14:paraId="69B5BE6F"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3 (1.4)</w:t>
            </w:r>
          </w:p>
        </w:tc>
        <w:tc>
          <w:tcPr>
            <w:tcW w:w="826" w:type="dxa"/>
            <w:shd w:val="clear" w:color="auto" w:fill="auto"/>
            <w:vAlign w:val="center"/>
          </w:tcPr>
          <w:p w14:paraId="7C57A1DB"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3 (1.6)</w:t>
            </w:r>
          </w:p>
        </w:tc>
        <w:tc>
          <w:tcPr>
            <w:tcW w:w="784" w:type="dxa"/>
            <w:shd w:val="clear" w:color="auto" w:fill="auto"/>
            <w:vAlign w:val="center"/>
          </w:tcPr>
          <w:p w14:paraId="48E94039"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0 (0)</w:t>
            </w:r>
          </w:p>
        </w:tc>
        <w:tc>
          <w:tcPr>
            <w:tcW w:w="1134" w:type="dxa"/>
            <w:shd w:val="clear" w:color="auto" w:fill="auto"/>
            <w:vAlign w:val="center"/>
          </w:tcPr>
          <w:p w14:paraId="3751B9AD"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14.59</w:t>
            </w:r>
          </w:p>
          <w:p w14:paraId="554CFC0F" w14:textId="77777777" w:rsidR="0010279F" w:rsidRPr="0010279F" w:rsidRDefault="0010279F" w:rsidP="0010279F">
            <w:pPr>
              <w:ind w:right="-45" w:firstLine="1"/>
              <w:jc w:val="center"/>
              <w:rPr>
                <w:rFonts w:ascii="Arial Narrow" w:eastAsia="Calibri" w:hAnsi="Arial Narrow" w:cs="Arial"/>
                <w:color w:val="000000"/>
                <w:sz w:val="20"/>
                <w:lang w:eastAsia="en-US"/>
              </w:rPr>
            </w:pPr>
            <w:r w:rsidRPr="0010279F">
              <w:rPr>
                <w:rFonts w:ascii="Arial Narrow" w:eastAsia="Calibri" w:hAnsi="Arial Narrow" w:cs="Arial"/>
                <w:b/>
                <w:color w:val="000000"/>
                <w:sz w:val="20"/>
                <w:lang w:eastAsia="en-US"/>
              </w:rPr>
              <w:t>(4.62, 46.07)</w:t>
            </w:r>
          </w:p>
        </w:tc>
        <w:tc>
          <w:tcPr>
            <w:tcW w:w="1147" w:type="dxa"/>
            <w:shd w:val="clear" w:color="auto" w:fill="auto"/>
            <w:vAlign w:val="center"/>
          </w:tcPr>
          <w:p w14:paraId="056EBFF7"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0.21</w:t>
            </w:r>
          </w:p>
          <w:p w14:paraId="04C72B85"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(0.15, 0.27)</w:t>
            </w:r>
          </w:p>
        </w:tc>
        <w:tc>
          <w:tcPr>
            <w:tcW w:w="1119" w:type="dxa"/>
            <w:shd w:val="clear" w:color="auto" w:fill="auto"/>
            <w:vAlign w:val="center"/>
          </w:tcPr>
          <w:p w14:paraId="67DD370D" w14:textId="77777777" w:rsidR="0010279F" w:rsidRPr="0010279F" w:rsidRDefault="0010279F" w:rsidP="0010279F">
            <w:pPr>
              <w:ind w:right="-45" w:firstLine="1"/>
              <w:jc w:val="center"/>
              <w:rPr>
                <w:rFonts w:ascii="Arial Narrow" w:eastAsia="Calibri" w:hAnsi="Arial Narrow" w:cs="Arial"/>
                <w:color w:val="000000"/>
                <w:sz w:val="20"/>
                <w:lang w:eastAsia="en-US"/>
              </w:rPr>
            </w:pPr>
            <w:r w:rsidRPr="0010279F">
              <w:rPr>
                <w:rFonts w:ascii="Arial Narrow" w:eastAsia="Calibri" w:hAnsi="Arial Narrow" w:cs="Arial"/>
                <w:color w:val="000000"/>
                <w:sz w:val="20"/>
                <w:lang w:eastAsia="en-US"/>
              </w:rPr>
              <w:t>NE</w:t>
            </w:r>
          </w:p>
        </w:tc>
        <w:tc>
          <w:tcPr>
            <w:tcW w:w="1145" w:type="dxa"/>
            <w:shd w:val="clear" w:color="auto" w:fill="auto"/>
            <w:vAlign w:val="center"/>
          </w:tcPr>
          <w:p w14:paraId="2C95CE3B" w14:textId="77777777" w:rsidR="0010279F" w:rsidRPr="0010279F" w:rsidRDefault="0010279F" w:rsidP="0010279F">
            <w:pPr>
              <w:ind w:right="-45" w:firstLine="1"/>
              <w:jc w:val="center"/>
              <w:rPr>
                <w:rFonts w:ascii="Arial Narrow" w:eastAsia="Calibri" w:hAnsi="Arial Narrow" w:cs="Arial"/>
                <w:color w:val="000000"/>
                <w:sz w:val="20"/>
                <w:lang w:eastAsia="en-US"/>
              </w:rPr>
            </w:pPr>
            <w:r w:rsidRPr="0010279F">
              <w:rPr>
                <w:rFonts w:ascii="Arial Narrow" w:eastAsia="Calibri" w:hAnsi="Arial Narrow" w:cs="Arial"/>
                <w:color w:val="000000"/>
                <w:sz w:val="20"/>
                <w:lang w:eastAsia="en-US"/>
              </w:rPr>
              <w:t>0.01</w:t>
            </w:r>
          </w:p>
          <w:p w14:paraId="0A15857A" w14:textId="77777777" w:rsidR="0010279F" w:rsidRPr="0010279F" w:rsidRDefault="0010279F" w:rsidP="0010279F">
            <w:pPr>
              <w:ind w:right="-45" w:firstLine="1"/>
              <w:jc w:val="center"/>
              <w:rPr>
                <w:rFonts w:ascii="Arial Narrow" w:eastAsia="Calibri" w:hAnsi="Arial Narrow" w:cs="Arial"/>
                <w:color w:val="000000"/>
                <w:sz w:val="20"/>
                <w:lang w:eastAsia="en-US"/>
              </w:rPr>
            </w:pPr>
            <w:r w:rsidRPr="0010279F">
              <w:rPr>
                <w:rFonts w:ascii="Arial Narrow" w:eastAsia="Calibri" w:hAnsi="Arial Narrow" w:cs="Arial"/>
                <w:color w:val="000000"/>
                <w:sz w:val="20"/>
                <w:lang w:eastAsia="en-US"/>
              </w:rPr>
              <w:t>(0.00, 0.03)</w:t>
            </w:r>
          </w:p>
        </w:tc>
      </w:tr>
      <w:tr w:rsidR="0010279F" w:rsidRPr="0010279F" w14:paraId="1EFDEC95" w14:textId="77777777" w:rsidTr="00AF5486">
        <w:tc>
          <w:tcPr>
            <w:tcW w:w="1269" w:type="dxa"/>
            <w:shd w:val="clear" w:color="auto" w:fill="auto"/>
            <w:vAlign w:val="center"/>
          </w:tcPr>
          <w:p w14:paraId="1A3A8376" w14:textId="77777777" w:rsidR="0010279F" w:rsidRPr="0010279F" w:rsidRDefault="0010279F" w:rsidP="0010279F">
            <w:pPr>
              <w:autoSpaceDE w:val="0"/>
              <w:autoSpaceDN w:val="0"/>
              <w:adjustRightInd w:val="0"/>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Headache</w:t>
            </w:r>
          </w:p>
        </w:tc>
        <w:tc>
          <w:tcPr>
            <w:tcW w:w="850" w:type="dxa"/>
            <w:shd w:val="clear" w:color="auto" w:fill="auto"/>
            <w:vAlign w:val="center"/>
          </w:tcPr>
          <w:p w14:paraId="51D20B2D"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43 (19.9)</w:t>
            </w:r>
          </w:p>
        </w:tc>
        <w:tc>
          <w:tcPr>
            <w:tcW w:w="746" w:type="dxa"/>
            <w:shd w:val="clear" w:color="auto" w:fill="auto"/>
            <w:vAlign w:val="center"/>
          </w:tcPr>
          <w:p w14:paraId="020397DD"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0 (0)</w:t>
            </w:r>
          </w:p>
        </w:tc>
        <w:tc>
          <w:tcPr>
            <w:tcW w:w="826" w:type="dxa"/>
            <w:shd w:val="clear" w:color="auto" w:fill="auto"/>
            <w:vAlign w:val="center"/>
          </w:tcPr>
          <w:p w14:paraId="5EE5BCF2"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5 (2.6)</w:t>
            </w:r>
          </w:p>
        </w:tc>
        <w:tc>
          <w:tcPr>
            <w:tcW w:w="784" w:type="dxa"/>
            <w:shd w:val="clear" w:color="auto" w:fill="auto"/>
            <w:vAlign w:val="center"/>
          </w:tcPr>
          <w:p w14:paraId="2E8E6A95"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0 (0)</w:t>
            </w:r>
          </w:p>
        </w:tc>
        <w:tc>
          <w:tcPr>
            <w:tcW w:w="1134" w:type="dxa"/>
            <w:shd w:val="clear" w:color="auto" w:fill="auto"/>
            <w:vAlign w:val="center"/>
          </w:tcPr>
          <w:p w14:paraId="289B985E"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7.68</w:t>
            </w:r>
          </w:p>
          <w:p w14:paraId="74311780" w14:textId="77777777" w:rsidR="0010279F" w:rsidRPr="0010279F" w:rsidRDefault="0010279F" w:rsidP="0010279F">
            <w:pPr>
              <w:ind w:right="-45" w:firstLine="1"/>
              <w:jc w:val="center"/>
              <w:rPr>
                <w:rFonts w:ascii="Arial Narrow" w:eastAsia="Calibri" w:hAnsi="Arial Narrow" w:cs="Arial"/>
                <w:color w:val="000000"/>
                <w:sz w:val="20"/>
                <w:lang w:eastAsia="en-US"/>
              </w:rPr>
            </w:pPr>
            <w:r w:rsidRPr="0010279F">
              <w:rPr>
                <w:rFonts w:ascii="Arial Narrow" w:eastAsia="Calibri" w:hAnsi="Arial Narrow" w:cs="Arial"/>
                <w:b/>
                <w:color w:val="000000"/>
                <w:sz w:val="20"/>
                <w:lang w:eastAsia="en-US"/>
              </w:rPr>
              <w:t>(3.11, 19.00)</w:t>
            </w:r>
          </w:p>
        </w:tc>
        <w:tc>
          <w:tcPr>
            <w:tcW w:w="1147" w:type="dxa"/>
            <w:shd w:val="clear" w:color="auto" w:fill="auto"/>
            <w:vAlign w:val="center"/>
          </w:tcPr>
          <w:p w14:paraId="1A5F8309"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0.17</w:t>
            </w:r>
          </w:p>
          <w:p w14:paraId="5D32BBB9"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(0.12, 0.23)</w:t>
            </w:r>
          </w:p>
        </w:tc>
        <w:tc>
          <w:tcPr>
            <w:tcW w:w="1119" w:type="dxa"/>
            <w:shd w:val="clear" w:color="auto" w:fill="auto"/>
            <w:vAlign w:val="center"/>
          </w:tcPr>
          <w:p w14:paraId="7E587EAC" w14:textId="77777777" w:rsidR="0010279F" w:rsidRPr="0010279F" w:rsidRDefault="0010279F" w:rsidP="0010279F">
            <w:pPr>
              <w:ind w:right="-45" w:firstLine="1"/>
              <w:jc w:val="center"/>
              <w:rPr>
                <w:rFonts w:ascii="Arial Narrow" w:eastAsia="Calibri" w:hAnsi="Arial Narrow" w:cs="Arial"/>
                <w:color w:val="000000"/>
                <w:sz w:val="20"/>
                <w:lang w:eastAsia="en-US"/>
              </w:rPr>
            </w:pPr>
            <w:r w:rsidRPr="0010279F">
              <w:rPr>
                <w:rFonts w:ascii="Arial Narrow" w:eastAsia="Calibri" w:hAnsi="Arial Narrow" w:cs="Arial"/>
                <w:color w:val="000000"/>
                <w:sz w:val="20"/>
                <w:lang w:eastAsia="en-US"/>
              </w:rPr>
              <w:t>NE</w:t>
            </w:r>
          </w:p>
        </w:tc>
        <w:tc>
          <w:tcPr>
            <w:tcW w:w="1145" w:type="dxa"/>
            <w:shd w:val="clear" w:color="auto" w:fill="auto"/>
            <w:vAlign w:val="center"/>
          </w:tcPr>
          <w:p w14:paraId="24007DDA" w14:textId="77777777" w:rsidR="0010279F" w:rsidRPr="0010279F" w:rsidRDefault="0010279F" w:rsidP="0010279F">
            <w:pPr>
              <w:ind w:right="-45" w:firstLine="1"/>
              <w:jc w:val="center"/>
              <w:rPr>
                <w:rFonts w:ascii="Arial Narrow" w:eastAsia="Calibri" w:hAnsi="Arial Narrow" w:cs="Arial"/>
                <w:color w:val="000000"/>
                <w:sz w:val="20"/>
                <w:lang w:eastAsia="en-US"/>
              </w:rPr>
            </w:pPr>
            <w:r w:rsidRPr="0010279F">
              <w:rPr>
                <w:rFonts w:ascii="Arial Narrow" w:eastAsia="Calibri" w:hAnsi="Arial Narrow" w:cs="Arial"/>
                <w:color w:val="000000"/>
                <w:sz w:val="20"/>
                <w:lang w:eastAsia="en-US"/>
              </w:rPr>
              <w:t>0.00</w:t>
            </w:r>
          </w:p>
          <w:p w14:paraId="41E8E74A" w14:textId="77777777" w:rsidR="0010279F" w:rsidRPr="0010279F" w:rsidRDefault="0010279F" w:rsidP="0010279F">
            <w:pPr>
              <w:ind w:right="-45" w:firstLine="1"/>
              <w:jc w:val="center"/>
              <w:rPr>
                <w:rFonts w:ascii="Arial Narrow" w:eastAsia="Calibri" w:hAnsi="Arial Narrow" w:cs="Arial"/>
                <w:color w:val="000000"/>
                <w:sz w:val="20"/>
                <w:lang w:eastAsia="en-US"/>
              </w:rPr>
            </w:pPr>
            <w:r w:rsidRPr="0010279F">
              <w:rPr>
                <w:rFonts w:ascii="Arial Narrow" w:eastAsia="Calibri" w:hAnsi="Arial Narrow" w:cs="Arial"/>
                <w:color w:val="000000"/>
                <w:sz w:val="20"/>
                <w:lang w:eastAsia="en-US"/>
              </w:rPr>
              <w:t>(0.00, 0.00)</w:t>
            </w:r>
          </w:p>
        </w:tc>
      </w:tr>
      <w:tr w:rsidR="0010279F" w:rsidRPr="0010279F" w14:paraId="2F0E8E83" w14:textId="77777777" w:rsidTr="00AF5486">
        <w:tc>
          <w:tcPr>
            <w:tcW w:w="1269" w:type="dxa"/>
            <w:shd w:val="clear" w:color="auto" w:fill="auto"/>
            <w:vAlign w:val="center"/>
          </w:tcPr>
          <w:p w14:paraId="0E69DCC9" w14:textId="77777777" w:rsidR="0010279F" w:rsidRPr="0010279F" w:rsidRDefault="0010279F" w:rsidP="0010279F">
            <w:pPr>
              <w:autoSpaceDE w:val="0"/>
              <w:autoSpaceDN w:val="0"/>
              <w:adjustRightInd w:val="0"/>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Myalgia</w:t>
            </w:r>
          </w:p>
        </w:tc>
        <w:tc>
          <w:tcPr>
            <w:tcW w:w="850" w:type="dxa"/>
            <w:shd w:val="clear" w:color="auto" w:fill="auto"/>
            <w:vAlign w:val="center"/>
          </w:tcPr>
          <w:p w14:paraId="0E47B788"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33 (15.3)</w:t>
            </w:r>
          </w:p>
        </w:tc>
        <w:tc>
          <w:tcPr>
            <w:tcW w:w="746" w:type="dxa"/>
            <w:shd w:val="clear" w:color="auto" w:fill="auto"/>
            <w:vAlign w:val="center"/>
          </w:tcPr>
          <w:p w14:paraId="70588BD5"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1 (0.5)</w:t>
            </w:r>
          </w:p>
        </w:tc>
        <w:tc>
          <w:tcPr>
            <w:tcW w:w="826" w:type="dxa"/>
            <w:shd w:val="clear" w:color="auto" w:fill="auto"/>
            <w:vAlign w:val="center"/>
          </w:tcPr>
          <w:p w14:paraId="0FF969C3"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4 (2.1)</w:t>
            </w:r>
          </w:p>
        </w:tc>
        <w:tc>
          <w:tcPr>
            <w:tcW w:w="784" w:type="dxa"/>
            <w:shd w:val="clear" w:color="auto" w:fill="auto"/>
            <w:vAlign w:val="center"/>
          </w:tcPr>
          <w:p w14:paraId="6E5B0939"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0 (0)</w:t>
            </w:r>
          </w:p>
        </w:tc>
        <w:tc>
          <w:tcPr>
            <w:tcW w:w="1134" w:type="dxa"/>
            <w:shd w:val="clear" w:color="auto" w:fill="auto"/>
            <w:vAlign w:val="center"/>
          </w:tcPr>
          <w:p w14:paraId="357DB011"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7.37</w:t>
            </w:r>
          </w:p>
          <w:p w14:paraId="31D8466E"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(2.66, 20.43)</w:t>
            </w:r>
          </w:p>
        </w:tc>
        <w:tc>
          <w:tcPr>
            <w:tcW w:w="1147" w:type="dxa"/>
            <w:shd w:val="clear" w:color="auto" w:fill="auto"/>
            <w:vAlign w:val="center"/>
          </w:tcPr>
          <w:p w14:paraId="5112C406"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0.13</w:t>
            </w:r>
          </w:p>
          <w:p w14:paraId="57F700C1"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(0.08, 0.18)</w:t>
            </w:r>
          </w:p>
        </w:tc>
        <w:tc>
          <w:tcPr>
            <w:tcW w:w="1119" w:type="dxa"/>
            <w:shd w:val="clear" w:color="auto" w:fill="auto"/>
            <w:vAlign w:val="center"/>
          </w:tcPr>
          <w:p w14:paraId="39E4DF81" w14:textId="77777777" w:rsidR="0010279F" w:rsidRPr="0010279F" w:rsidRDefault="0010279F" w:rsidP="0010279F">
            <w:pPr>
              <w:ind w:right="-45" w:firstLine="1"/>
              <w:jc w:val="center"/>
              <w:rPr>
                <w:rFonts w:ascii="Arial Narrow" w:eastAsia="Calibri" w:hAnsi="Arial Narrow" w:cs="Arial"/>
                <w:color w:val="000000"/>
                <w:sz w:val="20"/>
                <w:lang w:eastAsia="en-US"/>
              </w:rPr>
            </w:pPr>
            <w:r w:rsidRPr="0010279F">
              <w:rPr>
                <w:rFonts w:ascii="Arial Narrow" w:eastAsia="Calibri" w:hAnsi="Arial Narrow" w:cs="Arial"/>
                <w:color w:val="000000"/>
                <w:sz w:val="20"/>
                <w:lang w:eastAsia="en-US"/>
              </w:rPr>
              <w:t>NE</w:t>
            </w:r>
          </w:p>
        </w:tc>
        <w:tc>
          <w:tcPr>
            <w:tcW w:w="1145" w:type="dxa"/>
            <w:shd w:val="clear" w:color="auto" w:fill="auto"/>
            <w:vAlign w:val="center"/>
          </w:tcPr>
          <w:p w14:paraId="1C5F2737" w14:textId="77777777" w:rsidR="0010279F" w:rsidRPr="0010279F" w:rsidRDefault="0010279F" w:rsidP="0010279F">
            <w:pPr>
              <w:ind w:right="-45" w:firstLine="1"/>
              <w:jc w:val="center"/>
              <w:rPr>
                <w:rFonts w:ascii="Arial Narrow" w:eastAsia="Calibri" w:hAnsi="Arial Narrow" w:cs="Arial"/>
                <w:color w:val="000000"/>
                <w:sz w:val="20"/>
                <w:lang w:eastAsia="en-US"/>
              </w:rPr>
            </w:pPr>
            <w:r w:rsidRPr="0010279F">
              <w:rPr>
                <w:rFonts w:ascii="Arial Narrow" w:eastAsia="Calibri" w:hAnsi="Arial Narrow" w:cs="Arial"/>
                <w:color w:val="000000"/>
                <w:sz w:val="20"/>
                <w:lang w:eastAsia="en-US"/>
              </w:rPr>
              <w:t>0.00</w:t>
            </w:r>
          </w:p>
          <w:p w14:paraId="09702A2C" w14:textId="77777777" w:rsidR="0010279F" w:rsidRPr="0010279F" w:rsidRDefault="0010279F" w:rsidP="0010279F">
            <w:pPr>
              <w:ind w:right="-45" w:firstLine="1"/>
              <w:jc w:val="center"/>
              <w:rPr>
                <w:rFonts w:ascii="Arial Narrow" w:eastAsia="Calibri" w:hAnsi="Arial Narrow" w:cs="Arial"/>
                <w:color w:val="000000"/>
                <w:sz w:val="20"/>
                <w:lang w:eastAsia="en-US"/>
              </w:rPr>
            </w:pPr>
            <w:r w:rsidRPr="0010279F">
              <w:rPr>
                <w:rFonts w:ascii="Arial Narrow" w:eastAsia="Calibri" w:hAnsi="Arial Narrow" w:cs="Arial"/>
                <w:color w:val="000000"/>
                <w:sz w:val="20"/>
                <w:lang w:eastAsia="en-US"/>
              </w:rPr>
              <w:t>(0.00, 0.01)</w:t>
            </w:r>
          </w:p>
        </w:tc>
      </w:tr>
      <w:tr w:rsidR="0010279F" w:rsidRPr="0010279F" w14:paraId="0E758E03" w14:textId="77777777" w:rsidTr="00AF5486">
        <w:tc>
          <w:tcPr>
            <w:tcW w:w="1269" w:type="dxa"/>
            <w:shd w:val="clear" w:color="auto" w:fill="auto"/>
            <w:vAlign w:val="center"/>
          </w:tcPr>
          <w:p w14:paraId="5C7DF7BA" w14:textId="77777777" w:rsidR="0010279F" w:rsidRPr="0010279F" w:rsidRDefault="0010279F" w:rsidP="0010279F">
            <w:pPr>
              <w:autoSpaceDE w:val="0"/>
              <w:autoSpaceDN w:val="0"/>
              <w:adjustRightInd w:val="0"/>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Musculoskeletal pain</w:t>
            </w:r>
          </w:p>
        </w:tc>
        <w:tc>
          <w:tcPr>
            <w:tcW w:w="850" w:type="dxa"/>
            <w:shd w:val="clear" w:color="auto" w:fill="auto"/>
            <w:vAlign w:val="center"/>
          </w:tcPr>
          <w:p w14:paraId="679586FD"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29 (13.4)</w:t>
            </w:r>
          </w:p>
        </w:tc>
        <w:tc>
          <w:tcPr>
            <w:tcW w:w="746" w:type="dxa"/>
            <w:shd w:val="clear" w:color="auto" w:fill="auto"/>
            <w:vAlign w:val="center"/>
          </w:tcPr>
          <w:p w14:paraId="6E6891BE"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0 (0)</w:t>
            </w:r>
          </w:p>
        </w:tc>
        <w:tc>
          <w:tcPr>
            <w:tcW w:w="826" w:type="dxa"/>
            <w:shd w:val="clear" w:color="auto" w:fill="auto"/>
            <w:vAlign w:val="center"/>
          </w:tcPr>
          <w:p w14:paraId="3CAC0D33"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5 (2.6)</w:t>
            </w:r>
          </w:p>
        </w:tc>
        <w:tc>
          <w:tcPr>
            <w:tcW w:w="784" w:type="dxa"/>
            <w:shd w:val="clear" w:color="auto" w:fill="auto"/>
            <w:vAlign w:val="center"/>
          </w:tcPr>
          <w:p w14:paraId="2F833C03"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0 (0)</w:t>
            </w:r>
          </w:p>
        </w:tc>
        <w:tc>
          <w:tcPr>
            <w:tcW w:w="1134" w:type="dxa"/>
            <w:shd w:val="clear" w:color="auto" w:fill="auto"/>
            <w:vAlign w:val="center"/>
          </w:tcPr>
          <w:p w14:paraId="58A21ACD"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5.18</w:t>
            </w:r>
          </w:p>
          <w:p w14:paraId="5DEB10E6"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(2.05, 13.12)</w:t>
            </w:r>
          </w:p>
        </w:tc>
        <w:tc>
          <w:tcPr>
            <w:tcW w:w="1147" w:type="dxa"/>
            <w:shd w:val="clear" w:color="auto" w:fill="auto"/>
            <w:vAlign w:val="center"/>
          </w:tcPr>
          <w:p w14:paraId="1DF42D03"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0.11</w:t>
            </w:r>
          </w:p>
          <w:p w14:paraId="3B6F7D51"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(0.06, 0.16)</w:t>
            </w:r>
          </w:p>
        </w:tc>
        <w:tc>
          <w:tcPr>
            <w:tcW w:w="1119" w:type="dxa"/>
            <w:shd w:val="clear" w:color="auto" w:fill="auto"/>
            <w:vAlign w:val="center"/>
          </w:tcPr>
          <w:p w14:paraId="3F27733A" w14:textId="77777777" w:rsidR="0010279F" w:rsidRPr="0010279F" w:rsidRDefault="0010279F" w:rsidP="0010279F">
            <w:pPr>
              <w:ind w:right="-45" w:firstLine="1"/>
              <w:jc w:val="center"/>
              <w:rPr>
                <w:rFonts w:ascii="Arial Narrow" w:eastAsia="Calibri" w:hAnsi="Arial Narrow" w:cs="Arial"/>
                <w:color w:val="000000"/>
                <w:sz w:val="20"/>
                <w:lang w:eastAsia="en-US"/>
              </w:rPr>
            </w:pPr>
            <w:r w:rsidRPr="0010279F">
              <w:rPr>
                <w:rFonts w:ascii="Arial Narrow" w:eastAsia="Calibri" w:hAnsi="Arial Narrow" w:cs="Arial"/>
                <w:color w:val="000000"/>
                <w:sz w:val="20"/>
                <w:lang w:eastAsia="en-US"/>
              </w:rPr>
              <w:t>NE</w:t>
            </w:r>
          </w:p>
        </w:tc>
        <w:tc>
          <w:tcPr>
            <w:tcW w:w="1145" w:type="dxa"/>
            <w:shd w:val="clear" w:color="auto" w:fill="auto"/>
            <w:vAlign w:val="center"/>
          </w:tcPr>
          <w:p w14:paraId="677C5A00" w14:textId="77777777" w:rsidR="0010279F" w:rsidRPr="0010279F" w:rsidRDefault="0010279F" w:rsidP="0010279F">
            <w:pPr>
              <w:ind w:right="-45" w:firstLine="1"/>
              <w:jc w:val="center"/>
              <w:rPr>
                <w:rFonts w:ascii="Arial Narrow" w:eastAsia="Calibri" w:hAnsi="Arial Narrow" w:cs="Arial"/>
                <w:color w:val="000000"/>
                <w:sz w:val="20"/>
                <w:lang w:eastAsia="en-US"/>
              </w:rPr>
            </w:pPr>
            <w:r w:rsidRPr="0010279F">
              <w:rPr>
                <w:rFonts w:ascii="Arial Narrow" w:eastAsia="Calibri" w:hAnsi="Arial Narrow" w:cs="Arial"/>
                <w:color w:val="000000"/>
                <w:sz w:val="20"/>
                <w:lang w:eastAsia="en-US"/>
              </w:rPr>
              <w:t>0.00</w:t>
            </w:r>
          </w:p>
          <w:p w14:paraId="28959B5A" w14:textId="77777777" w:rsidR="0010279F" w:rsidRPr="0010279F" w:rsidRDefault="0010279F" w:rsidP="0010279F">
            <w:pPr>
              <w:ind w:right="-45" w:firstLine="1"/>
              <w:jc w:val="center"/>
              <w:rPr>
                <w:rFonts w:ascii="Arial Narrow" w:eastAsia="Calibri" w:hAnsi="Arial Narrow" w:cs="Arial"/>
                <w:color w:val="000000"/>
                <w:sz w:val="20"/>
                <w:lang w:eastAsia="en-US"/>
              </w:rPr>
            </w:pPr>
            <w:r w:rsidRPr="0010279F">
              <w:rPr>
                <w:rFonts w:ascii="Arial Narrow" w:eastAsia="Calibri" w:hAnsi="Arial Narrow" w:cs="Arial"/>
                <w:color w:val="000000"/>
                <w:sz w:val="20"/>
                <w:lang w:eastAsia="en-US"/>
              </w:rPr>
              <w:t>(0.00, 0.00)</w:t>
            </w:r>
          </w:p>
        </w:tc>
      </w:tr>
      <w:tr w:rsidR="0010279F" w:rsidRPr="0010279F" w14:paraId="060A349F" w14:textId="77777777" w:rsidTr="00AF5486">
        <w:tc>
          <w:tcPr>
            <w:tcW w:w="1269" w:type="dxa"/>
            <w:shd w:val="clear" w:color="auto" w:fill="auto"/>
            <w:vAlign w:val="center"/>
          </w:tcPr>
          <w:p w14:paraId="4ED5B30D" w14:textId="77777777" w:rsidR="0010279F" w:rsidRPr="0010279F" w:rsidRDefault="0010279F" w:rsidP="0010279F">
            <w:pPr>
              <w:autoSpaceDE w:val="0"/>
              <w:autoSpaceDN w:val="0"/>
              <w:adjustRightInd w:val="0"/>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Pain in extremity</w:t>
            </w:r>
          </w:p>
        </w:tc>
        <w:tc>
          <w:tcPr>
            <w:tcW w:w="850" w:type="dxa"/>
            <w:shd w:val="clear" w:color="auto" w:fill="auto"/>
            <w:vAlign w:val="center"/>
          </w:tcPr>
          <w:p w14:paraId="7742C8C5"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25 (11.6)</w:t>
            </w:r>
          </w:p>
        </w:tc>
        <w:tc>
          <w:tcPr>
            <w:tcW w:w="746" w:type="dxa"/>
            <w:shd w:val="clear" w:color="auto" w:fill="auto"/>
            <w:vAlign w:val="center"/>
          </w:tcPr>
          <w:p w14:paraId="581D1F9B"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0 (0)</w:t>
            </w:r>
          </w:p>
        </w:tc>
        <w:tc>
          <w:tcPr>
            <w:tcW w:w="826" w:type="dxa"/>
            <w:shd w:val="clear" w:color="auto" w:fill="auto"/>
            <w:vAlign w:val="center"/>
          </w:tcPr>
          <w:p w14:paraId="705268D4"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2 (1.0)</w:t>
            </w:r>
          </w:p>
        </w:tc>
        <w:tc>
          <w:tcPr>
            <w:tcW w:w="784" w:type="dxa"/>
            <w:shd w:val="clear" w:color="auto" w:fill="auto"/>
            <w:vAlign w:val="center"/>
          </w:tcPr>
          <w:p w14:paraId="248C7FF5"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0 (0)</w:t>
            </w:r>
          </w:p>
        </w:tc>
        <w:tc>
          <w:tcPr>
            <w:tcW w:w="1134" w:type="dxa"/>
            <w:shd w:val="clear" w:color="auto" w:fill="auto"/>
            <w:vAlign w:val="center"/>
          </w:tcPr>
          <w:p w14:paraId="3D15A60E"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11.17</w:t>
            </w:r>
          </w:p>
          <w:p w14:paraId="02904EF1"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(2.68, 46.54)</w:t>
            </w:r>
          </w:p>
        </w:tc>
        <w:tc>
          <w:tcPr>
            <w:tcW w:w="1147" w:type="dxa"/>
            <w:shd w:val="clear" w:color="auto" w:fill="auto"/>
            <w:vAlign w:val="center"/>
          </w:tcPr>
          <w:p w14:paraId="75311D95"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0.11</w:t>
            </w:r>
          </w:p>
          <w:p w14:paraId="7848D982"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(0.06, 0.15)</w:t>
            </w:r>
          </w:p>
        </w:tc>
        <w:tc>
          <w:tcPr>
            <w:tcW w:w="1119" w:type="dxa"/>
            <w:shd w:val="clear" w:color="auto" w:fill="auto"/>
            <w:vAlign w:val="center"/>
          </w:tcPr>
          <w:p w14:paraId="1DCD553A" w14:textId="77777777" w:rsidR="0010279F" w:rsidRPr="0010279F" w:rsidRDefault="0010279F" w:rsidP="0010279F">
            <w:pPr>
              <w:ind w:right="-45" w:firstLine="1"/>
              <w:jc w:val="center"/>
              <w:rPr>
                <w:rFonts w:ascii="Arial Narrow" w:eastAsia="Calibri" w:hAnsi="Arial Narrow" w:cs="Arial"/>
                <w:color w:val="000000"/>
                <w:sz w:val="20"/>
                <w:lang w:eastAsia="en-US"/>
              </w:rPr>
            </w:pPr>
            <w:r w:rsidRPr="0010279F">
              <w:rPr>
                <w:rFonts w:ascii="Arial Narrow" w:eastAsia="Calibri" w:hAnsi="Arial Narrow" w:cs="Arial"/>
                <w:color w:val="000000"/>
                <w:sz w:val="20"/>
                <w:lang w:eastAsia="en-US"/>
              </w:rPr>
              <w:t>NE</w:t>
            </w:r>
          </w:p>
        </w:tc>
        <w:tc>
          <w:tcPr>
            <w:tcW w:w="1145" w:type="dxa"/>
            <w:shd w:val="clear" w:color="auto" w:fill="auto"/>
            <w:vAlign w:val="center"/>
          </w:tcPr>
          <w:p w14:paraId="694B556E" w14:textId="77777777" w:rsidR="0010279F" w:rsidRPr="0010279F" w:rsidRDefault="0010279F" w:rsidP="0010279F">
            <w:pPr>
              <w:ind w:right="-45" w:firstLine="1"/>
              <w:jc w:val="center"/>
              <w:rPr>
                <w:rFonts w:ascii="Arial Narrow" w:eastAsia="Calibri" w:hAnsi="Arial Narrow" w:cs="Arial"/>
                <w:color w:val="000000"/>
                <w:sz w:val="20"/>
                <w:lang w:eastAsia="en-US"/>
              </w:rPr>
            </w:pPr>
            <w:r w:rsidRPr="0010279F">
              <w:rPr>
                <w:rFonts w:ascii="Arial Narrow" w:eastAsia="Calibri" w:hAnsi="Arial Narrow" w:cs="Arial"/>
                <w:color w:val="000000"/>
                <w:sz w:val="20"/>
                <w:lang w:eastAsia="en-US"/>
              </w:rPr>
              <w:t>0.00</w:t>
            </w:r>
          </w:p>
          <w:p w14:paraId="0A19421E" w14:textId="77777777" w:rsidR="0010279F" w:rsidRPr="0010279F" w:rsidRDefault="0010279F" w:rsidP="0010279F">
            <w:pPr>
              <w:ind w:right="-45" w:firstLine="1"/>
              <w:jc w:val="center"/>
              <w:rPr>
                <w:rFonts w:ascii="Arial Narrow" w:eastAsia="Calibri" w:hAnsi="Arial Narrow" w:cs="Arial"/>
                <w:color w:val="000000"/>
                <w:sz w:val="20"/>
                <w:lang w:eastAsia="en-US"/>
              </w:rPr>
            </w:pPr>
            <w:r w:rsidRPr="0010279F">
              <w:rPr>
                <w:rFonts w:ascii="Arial Narrow" w:eastAsia="Calibri" w:hAnsi="Arial Narrow" w:cs="Arial"/>
                <w:color w:val="000000"/>
                <w:sz w:val="20"/>
                <w:lang w:eastAsia="en-US"/>
              </w:rPr>
              <w:t>(0.00, 0.00)</w:t>
            </w:r>
          </w:p>
        </w:tc>
      </w:tr>
      <w:tr w:rsidR="0010279F" w:rsidRPr="0010279F" w14:paraId="698BAB7D" w14:textId="77777777" w:rsidTr="00AF5486">
        <w:tc>
          <w:tcPr>
            <w:tcW w:w="1269" w:type="dxa"/>
            <w:shd w:val="clear" w:color="auto" w:fill="auto"/>
            <w:vAlign w:val="center"/>
          </w:tcPr>
          <w:p w14:paraId="50916252" w14:textId="77777777" w:rsidR="0010279F" w:rsidRPr="0010279F" w:rsidRDefault="0010279F" w:rsidP="0010279F">
            <w:pPr>
              <w:autoSpaceDE w:val="0"/>
              <w:autoSpaceDN w:val="0"/>
              <w:adjustRightInd w:val="0"/>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Pruritus</w:t>
            </w:r>
          </w:p>
        </w:tc>
        <w:tc>
          <w:tcPr>
            <w:tcW w:w="850" w:type="dxa"/>
            <w:shd w:val="clear" w:color="auto" w:fill="auto"/>
            <w:vAlign w:val="center"/>
          </w:tcPr>
          <w:p w14:paraId="7475C438"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24 (11.1)</w:t>
            </w:r>
          </w:p>
        </w:tc>
        <w:tc>
          <w:tcPr>
            <w:tcW w:w="746" w:type="dxa"/>
            <w:shd w:val="clear" w:color="auto" w:fill="auto"/>
            <w:vAlign w:val="center"/>
          </w:tcPr>
          <w:p w14:paraId="64F58FC7"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0 (0)</w:t>
            </w:r>
          </w:p>
        </w:tc>
        <w:tc>
          <w:tcPr>
            <w:tcW w:w="826" w:type="dxa"/>
            <w:shd w:val="clear" w:color="auto" w:fill="auto"/>
            <w:vAlign w:val="center"/>
          </w:tcPr>
          <w:p w14:paraId="3B99B3D0"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10 (5.2)</w:t>
            </w:r>
          </w:p>
        </w:tc>
        <w:tc>
          <w:tcPr>
            <w:tcW w:w="784" w:type="dxa"/>
            <w:shd w:val="clear" w:color="auto" w:fill="auto"/>
            <w:vAlign w:val="center"/>
          </w:tcPr>
          <w:p w14:paraId="12940955"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0 (0)</w:t>
            </w:r>
          </w:p>
        </w:tc>
        <w:tc>
          <w:tcPr>
            <w:tcW w:w="1134" w:type="dxa"/>
            <w:shd w:val="clear" w:color="auto" w:fill="auto"/>
            <w:vAlign w:val="center"/>
          </w:tcPr>
          <w:p w14:paraId="5436C264"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2.14</w:t>
            </w:r>
          </w:p>
          <w:p w14:paraId="53CC5F3A"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(1.05, 4.37)</w:t>
            </w:r>
          </w:p>
        </w:tc>
        <w:tc>
          <w:tcPr>
            <w:tcW w:w="1147" w:type="dxa"/>
            <w:shd w:val="clear" w:color="auto" w:fill="auto"/>
            <w:vAlign w:val="center"/>
          </w:tcPr>
          <w:p w14:paraId="626E194C"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0.06</w:t>
            </w:r>
          </w:p>
          <w:p w14:paraId="34CD61A9"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(0.01, 0.11)</w:t>
            </w:r>
          </w:p>
        </w:tc>
        <w:tc>
          <w:tcPr>
            <w:tcW w:w="1119" w:type="dxa"/>
            <w:shd w:val="clear" w:color="auto" w:fill="auto"/>
            <w:vAlign w:val="center"/>
          </w:tcPr>
          <w:p w14:paraId="46285D32" w14:textId="77777777" w:rsidR="0010279F" w:rsidRPr="0010279F" w:rsidRDefault="0010279F" w:rsidP="0010279F">
            <w:pPr>
              <w:ind w:right="-45" w:firstLine="1"/>
              <w:jc w:val="center"/>
              <w:rPr>
                <w:rFonts w:ascii="Arial Narrow" w:eastAsia="Calibri" w:hAnsi="Arial Narrow" w:cs="Arial"/>
                <w:color w:val="000000"/>
                <w:sz w:val="20"/>
                <w:lang w:eastAsia="en-US"/>
              </w:rPr>
            </w:pPr>
            <w:r w:rsidRPr="0010279F">
              <w:rPr>
                <w:rFonts w:ascii="Arial Narrow" w:eastAsia="Calibri" w:hAnsi="Arial Narrow" w:cs="Arial"/>
                <w:color w:val="000000"/>
                <w:sz w:val="20"/>
                <w:lang w:eastAsia="en-US"/>
              </w:rPr>
              <w:t>NE</w:t>
            </w:r>
          </w:p>
        </w:tc>
        <w:tc>
          <w:tcPr>
            <w:tcW w:w="1145" w:type="dxa"/>
            <w:shd w:val="clear" w:color="auto" w:fill="auto"/>
            <w:vAlign w:val="center"/>
          </w:tcPr>
          <w:p w14:paraId="158C27F9" w14:textId="77777777" w:rsidR="0010279F" w:rsidRPr="0010279F" w:rsidRDefault="0010279F" w:rsidP="0010279F">
            <w:pPr>
              <w:ind w:right="-45" w:firstLine="1"/>
              <w:jc w:val="center"/>
              <w:rPr>
                <w:rFonts w:ascii="Arial Narrow" w:eastAsia="Calibri" w:hAnsi="Arial Narrow" w:cs="Arial"/>
                <w:color w:val="000000"/>
                <w:sz w:val="20"/>
                <w:lang w:eastAsia="en-US"/>
              </w:rPr>
            </w:pPr>
            <w:r w:rsidRPr="0010279F">
              <w:rPr>
                <w:rFonts w:ascii="Arial Narrow" w:eastAsia="Calibri" w:hAnsi="Arial Narrow" w:cs="Arial"/>
                <w:color w:val="000000"/>
                <w:sz w:val="20"/>
                <w:lang w:eastAsia="en-US"/>
              </w:rPr>
              <w:t>0.00</w:t>
            </w:r>
          </w:p>
          <w:p w14:paraId="3CE64902" w14:textId="77777777" w:rsidR="0010279F" w:rsidRPr="0010279F" w:rsidRDefault="0010279F" w:rsidP="0010279F">
            <w:pPr>
              <w:ind w:right="-45" w:firstLine="1"/>
              <w:jc w:val="center"/>
              <w:rPr>
                <w:rFonts w:ascii="Arial Narrow" w:eastAsia="Calibri" w:hAnsi="Arial Narrow" w:cs="Arial"/>
                <w:color w:val="000000"/>
                <w:sz w:val="20"/>
                <w:lang w:eastAsia="en-US"/>
              </w:rPr>
            </w:pPr>
            <w:r w:rsidRPr="0010279F">
              <w:rPr>
                <w:rFonts w:ascii="Arial Narrow" w:eastAsia="Calibri" w:hAnsi="Arial Narrow" w:cs="Arial"/>
                <w:color w:val="000000"/>
                <w:sz w:val="20"/>
                <w:lang w:eastAsia="en-US"/>
              </w:rPr>
              <w:t>(0.00, 0.00)</w:t>
            </w:r>
          </w:p>
        </w:tc>
      </w:tr>
      <w:tr w:rsidR="0010279F" w:rsidRPr="0010279F" w14:paraId="4179A9D3" w14:textId="77777777" w:rsidTr="00AF5486">
        <w:tc>
          <w:tcPr>
            <w:tcW w:w="1269" w:type="dxa"/>
            <w:shd w:val="clear" w:color="auto" w:fill="auto"/>
            <w:vAlign w:val="center"/>
          </w:tcPr>
          <w:p w14:paraId="2E3ECB7A" w14:textId="77777777" w:rsidR="0010279F" w:rsidRPr="0010279F" w:rsidRDefault="0010279F" w:rsidP="0010279F">
            <w:pPr>
              <w:autoSpaceDE w:val="0"/>
              <w:autoSpaceDN w:val="0"/>
              <w:adjustRightInd w:val="0"/>
              <w:rPr>
                <w:rFonts w:ascii="Arial Narrow" w:eastAsia="Batang" w:hAnsi="Arial Narrow" w:cs="Calibri"/>
                <w:i/>
                <w:sz w:val="20"/>
                <w:vertAlign w:val="superscript"/>
                <w:lang w:eastAsia="en-US"/>
              </w:rPr>
            </w:pPr>
            <w:r w:rsidRPr="0010279F">
              <w:rPr>
                <w:rFonts w:ascii="Arial Narrow" w:eastAsia="Batang" w:hAnsi="Arial Narrow" w:cs="Calibri"/>
                <w:i/>
                <w:sz w:val="20"/>
                <w:lang w:eastAsia="en-US"/>
              </w:rPr>
              <w:t xml:space="preserve">Stomatitis </w:t>
            </w:r>
            <w:r w:rsidRPr="0010279F">
              <w:rPr>
                <w:rFonts w:ascii="Arial Narrow" w:eastAsia="Batang" w:hAnsi="Arial Narrow" w:cs="Calibri"/>
                <w:i/>
                <w:sz w:val="20"/>
                <w:vertAlign w:val="superscript"/>
                <w:lang w:eastAsia="en-US"/>
              </w:rPr>
              <w:t>c</w:t>
            </w:r>
          </w:p>
        </w:tc>
        <w:tc>
          <w:tcPr>
            <w:tcW w:w="850" w:type="dxa"/>
            <w:shd w:val="clear" w:color="auto" w:fill="auto"/>
            <w:vAlign w:val="center"/>
          </w:tcPr>
          <w:p w14:paraId="3A10E4D5" w14:textId="77777777" w:rsidR="0010279F" w:rsidRPr="0010279F" w:rsidRDefault="0010279F" w:rsidP="0010279F">
            <w:pPr>
              <w:autoSpaceDE w:val="0"/>
              <w:autoSpaceDN w:val="0"/>
              <w:adjustRightInd w:val="0"/>
              <w:jc w:val="center"/>
              <w:rPr>
                <w:rFonts w:ascii="Arial Narrow" w:eastAsia="Batang" w:hAnsi="Arial Narrow" w:cs="Calibri"/>
                <w:i/>
                <w:sz w:val="20"/>
                <w:lang w:eastAsia="en-US"/>
              </w:rPr>
            </w:pPr>
            <w:r w:rsidRPr="0010279F">
              <w:rPr>
                <w:rFonts w:ascii="Arial Narrow" w:eastAsia="Batang" w:hAnsi="Arial Narrow" w:cs="Calibri"/>
                <w:i/>
                <w:sz w:val="20"/>
                <w:lang w:eastAsia="en-US"/>
              </w:rPr>
              <w:t>13 (6.0)</w:t>
            </w:r>
          </w:p>
        </w:tc>
        <w:tc>
          <w:tcPr>
            <w:tcW w:w="746" w:type="dxa"/>
            <w:shd w:val="clear" w:color="auto" w:fill="auto"/>
            <w:vAlign w:val="center"/>
          </w:tcPr>
          <w:p w14:paraId="35278D3B" w14:textId="77777777" w:rsidR="0010279F" w:rsidRPr="0010279F" w:rsidRDefault="0010279F" w:rsidP="0010279F">
            <w:pPr>
              <w:autoSpaceDE w:val="0"/>
              <w:autoSpaceDN w:val="0"/>
              <w:adjustRightInd w:val="0"/>
              <w:jc w:val="center"/>
              <w:rPr>
                <w:rFonts w:ascii="Arial Narrow" w:eastAsia="Batang" w:hAnsi="Arial Narrow" w:cs="Calibri"/>
                <w:i/>
                <w:sz w:val="20"/>
                <w:lang w:eastAsia="en-US"/>
              </w:rPr>
            </w:pPr>
            <w:r w:rsidRPr="0010279F">
              <w:rPr>
                <w:rFonts w:ascii="Arial Narrow" w:eastAsia="Batang" w:hAnsi="Arial Narrow" w:cs="Calibri"/>
                <w:i/>
                <w:sz w:val="20"/>
                <w:lang w:eastAsia="en-US"/>
              </w:rPr>
              <w:t>0 (0)</w:t>
            </w:r>
          </w:p>
        </w:tc>
        <w:tc>
          <w:tcPr>
            <w:tcW w:w="826" w:type="dxa"/>
            <w:shd w:val="clear" w:color="auto" w:fill="auto"/>
            <w:vAlign w:val="center"/>
          </w:tcPr>
          <w:p w14:paraId="4961DFB5" w14:textId="77777777" w:rsidR="0010279F" w:rsidRPr="0010279F" w:rsidRDefault="0010279F" w:rsidP="0010279F">
            <w:pPr>
              <w:autoSpaceDE w:val="0"/>
              <w:autoSpaceDN w:val="0"/>
              <w:adjustRightInd w:val="0"/>
              <w:jc w:val="center"/>
              <w:rPr>
                <w:rFonts w:ascii="Arial Narrow" w:eastAsia="Batang" w:hAnsi="Arial Narrow" w:cs="Calibri"/>
                <w:i/>
                <w:sz w:val="20"/>
                <w:lang w:eastAsia="en-US"/>
              </w:rPr>
            </w:pPr>
            <w:r w:rsidRPr="0010279F">
              <w:rPr>
                <w:rFonts w:ascii="Arial Narrow" w:eastAsia="Batang" w:hAnsi="Arial Narrow" w:cs="Calibri"/>
                <w:i/>
                <w:sz w:val="20"/>
                <w:lang w:eastAsia="en-US"/>
              </w:rPr>
              <w:t>45 (23.3)</w:t>
            </w:r>
          </w:p>
        </w:tc>
        <w:tc>
          <w:tcPr>
            <w:tcW w:w="784" w:type="dxa"/>
            <w:shd w:val="clear" w:color="auto" w:fill="auto"/>
            <w:vAlign w:val="center"/>
          </w:tcPr>
          <w:p w14:paraId="4AD00356" w14:textId="77777777" w:rsidR="0010279F" w:rsidRPr="0010279F" w:rsidRDefault="0010279F" w:rsidP="0010279F">
            <w:pPr>
              <w:autoSpaceDE w:val="0"/>
              <w:autoSpaceDN w:val="0"/>
              <w:adjustRightInd w:val="0"/>
              <w:jc w:val="center"/>
              <w:rPr>
                <w:rFonts w:ascii="Arial Narrow" w:eastAsia="Batang" w:hAnsi="Arial Narrow" w:cs="Calibri"/>
                <w:i/>
                <w:sz w:val="20"/>
                <w:lang w:eastAsia="en-US"/>
              </w:rPr>
            </w:pPr>
            <w:r w:rsidRPr="0010279F">
              <w:rPr>
                <w:rFonts w:ascii="Arial Narrow" w:eastAsia="Batang" w:hAnsi="Arial Narrow" w:cs="Calibri"/>
                <w:i/>
                <w:sz w:val="20"/>
                <w:lang w:eastAsia="en-US"/>
              </w:rPr>
              <w:t>4 (2.1)</w:t>
            </w:r>
          </w:p>
        </w:tc>
        <w:tc>
          <w:tcPr>
            <w:tcW w:w="1134" w:type="dxa"/>
            <w:shd w:val="clear" w:color="auto" w:fill="auto"/>
            <w:vAlign w:val="center"/>
          </w:tcPr>
          <w:p w14:paraId="291CD941"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0.26</w:t>
            </w:r>
          </w:p>
          <w:p w14:paraId="52C75260"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(0.14, 0.46)</w:t>
            </w:r>
          </w:p>
        </w:tc>
        <w:tc>
          <w:tcPr>
            <w:tcW w:w="1147" w:type="dxa"/>
            <w:shd w:val="clear" w:color="auto" w:fill="auto"/>
            <w:vAlign w:val="center"/>
          </w:tcPr>
          <w:p w14:paraId="43B01CD1"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-0.17</w:t>
            </w:r>
          </w:p>
          <w:p w14:paraId="564E6600"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(-0.24, -0.11)</w:t>
            </w:r>
          </w:p>
        </w:tc>
        <w:tc>
          <w:tcPr>
            <w:tcW w:w="1119" w:type="dxa"/>
            <w:shd w:val="clear" w:color="auto" w:fill="auto"/>
            <w:vAlign w:val="center"/>
          </w:tcPr>
          <w:p w14:paraId="18ABF34E" w14:textId="77777777" w:rsidR="0010279F" w:rsidRPr="0010279F" w:rsidRDefault="0010279F" w:rsidP="0010279F">
            <w:pPr>
              <w:ind w:right="-45" w:firstLine="1"/>
              <w:jc w:val="center"/>
              <w:rPr>
                <w:rFonts w:ascii="Arial Narrow" w:eastAsia="Calibri" w:hAnsi="Arial Narrow" w:cs="Arial"/>
                <w:color w:val="000000"/>
                <w:sz w:val="20"/>
                <w:lang w:eastAsia="en-US"/>
              </w:rPr>
            </w:pPr>
            <w:r w:rsidRPr="0010279F">
              <w:rPr>
                <w:rFonts w:ascii="Arial Narrow" w:eastAsia="Calibri" w:hAnsi="Arial Narrow" w:cs="Arial"/>
                <w:color w:val="000000"/>
                <w:sz w:val="20"/>
                <w:lang w:eastAsia="en-US"/>
              </w:rPr>
              <w:t>NE</w:t>
            </w:r>
          </w:p>
        </w:tc>
        <w:tc>
          <w:tcPr>
            <w:tcW w:w="1145" w:type="dxa"/>
            <w:shd w:val="clear" w:color="auto" w:fill="auto"/>
            <w:vAlign w:val="center"/>
          </w:tcPr>
          <w:p w14:paraId="17A1C0FE" w14:textId="77777777" w:rsidR="0010279F" w:rsidRPr="0010279F" w:rsidRDefault="0010279F" w:rsidP="0010279F">
            <w:pPr>
              <w:ind w:right="-45" w:firstLine="1"/>
              <w:jc w:val="center"/>
              <w:rPr>
                <w:rFonts w:ascii="Arial Narrow" w:eastAsia="Calibri" w:hAnsi="Arial Narrow" w:cs="Arial"/>
                <w:color w:val="000000"/>
                <w:sz w:val="20"/>
                <w:lang w:eastAsia="en-US"/>
              </w:rPr>
            </w:pPr>
            <w:r w:rsidRPr="0010279F">
              <w:rPr>
                <w:rFonts w:ascii="Arial Narrow" w:eastAsia="Calibri" w:hAnsi="Arial Narrow" w:cs="Arial"/>
                <w:color w:val="000000"/>
                <w:sz w:val="20"/>
                <w:lang w:eastAsia="en-US"/>
              </w:rPr>
              <w:t>-0.02</w:t>
            </w:r>
          </w:p>
          <w:p w14:paraId="337598F4" w14:textId="77777777" w:rsidR="0010279F" w:rsidRPr="0010279F" w:rsidRDefault="0010279F" w:rsidP="0010279F">
            <w:pPr>
              <w:ind w:right="-45" w:firstLine="1"/>
              <w:jc w:val="center"/>
              <w:rPr>
                <w:rFonts w:ascii="Arial Narrow" w:eastAsia="Calibri" w:hAnsi="Arial Narrow" w:cs="Arial"/>
                <w:color w:val="000000"/>
                <w:sz w:val="20"/>
                <w:lang w:eastAsia="en-US"/>
              </w:rPr>
            </w:pPr>
            <w:r w:rsidRPr="0010279F">
              <w:rPr>
                <w:rFonts w:ascii="Arial Narrow" w:eastAsia="Calibri" w:hAnsi="Arial Narrow" w:cs="Arial"/>
                <w:color w:val="000000"/>
                <w:sz w:val="20"/>
                <w:lang w:eastAsia="en-US"/>
              </w:rPr>
              <w:t>(-0.04, 0.00)</w:t>
            </w:r>
          </w:p>
        </w:tc>
      </w:tr>
      <w:tr w:rsidR="0010279F" w:rsidRPr="0010279F" w14:paraId="3CCDC1A2" w14:textId="77777777" w:rsidTr="00AF5486">
        <w:tc>
          <w:tcPr>
            <w:tcW w:w="1269" w:type="dxa"/>
            <w:shd w:val="clear" w:color="auto" w:fill="auto"/>
            <w:vAlign w:val="center"/>
          </w:tcPr>
          <w:p w14:paraId="7374CDAE" w14:textId="77777777" w:rsidR="0010279F" w:rsidRPr="0010279F" w:rsidRDefault="0010279F" w:rsidP="0010279F">
            <w:pPr>
              <w:autoSpaceDE w:val="0"/>
              <w:autoSpaceDN w:val="0"/>
              <w:adjustRightInd w:val="0"/>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Hypokalaemia</w:t>
            </w:r>
          </w:p>
        </w:tc>
        <w:tc>
          <w:tcPr>
            <w:tcW w:w="850" w:type="dxa"/>
            <w:shd w:val="clear" w:color="auto" w:fill="auto"/>
            <w:vAlign w:val="center"/>
          </w:tcPr>
          <w:p w14:paraId="630377BB"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13 (6.0)</w:t>
            </w:r>
          </w:p>
        </w:tc>
        <w:tc>
          <w:tcPr>
            <w:tcW w:w="746" w:type="dxa"/>
            <w:shd w:val="clear" w:color="auto" w:fill="auto"/>
            <w:vAlign w:val="center"/>
          </w:tcPr>
          <w:p w14:paraId="171533F4"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2 (0.9)</w:t>
            </w:r>
          </w:p>
        </w:tc>
        <w:tc>
          <w:tcPr>
            <w:tcW w:w="826" w:type="dxa"/>
            <w:shd w:val="clear" w:color="auto" w:fill="auto"/>
            <w:vAlign w:val="center"/>
          </w:tcPr>
          <w:p w14:paraId="2376C426"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27 (14.0)</w:t>
            </w:r>
          </w:p>
        </w:tc>
        <w:tc>
          <w:tcPr>
            <w:tcW w:w="784" w:type="dxa"/>
            <w:shd w:val="clear" w:color="auto" w:fill="auto"/>
            <w:vAlign w:val="center"/>
          </w:tcPr>
          <w:p w14:paraId="1E4FBB9A"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6 (3.1)</w:t>
            </w:r>
          </w:p>
        </w:tc>
        <w:tc>
          <w:tcPr>
            <w:tcW w:w="1134" w:type="dxa"/>
            <w:shd w:val="clear" w:color="auto" w:fill="auto"/>
            <w:vAlign w:val="center"/>
          </w:tcPr>
          <w:p w14:paraId="73DCB598"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0.43</w:t>
            </w:r>
          </w:p>
          <w:p w14:paraId="752F8053"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(0.23, 0.81)</w:t>
            </w:r>
          </w:p>
        </w:tc>
        <w:tc>
          <w:tcPr>
            <w:tcW w:w="1147" w:type="dxa"/>
            <w:shd w:val="clear" w:color="auto" w:fill="auto"/>
            <w:vAlign w:val="center"/>
          </w:tcPr>
          <w:p w14:paraId="3A5AF6F3"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-0.08</w:t>
            </w:r>
          </w:p>
          <w:p w14:paraId="4EC0996D"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(-0.14, -0.02)</w:t>
            </w:r>
          </w:p>
        </w:tc>
        <w:tc>
          <w:tcPr>
            <w:tcW w:w="1119" w:type="dxa"/>
            <w:shd w:val="clear" w:color="auto" w:fill="auto"/>
            <w:vAlign w:val="center"/>
          </w:tcPr>
          <w:p w14:paraId="4DCAB992" w14:textId="77777777" w:rsidR="0010279F" w:rsidRPr="0010279F" w:rsidRDefault="0010279F" w:rsidP="0010279F">
            <w:pPr>
              <w:ind w:right="-45" w:firstLine="1"/>
              <w:jc w:val="center"/>
              <w:rPr>
                <w:rFonts w:ascii="Arial Narrow" w:eastAsia="Calibri" w:hAnsi="Arial Narrow" w:cs="Arial"/>
                <w:color w:val="000000"/>
                <w:sz w:val="20"/>
                <w:lang w:eastAsia="en-US"/>
              </w:rPr>
            </w:pPr>
            <w:r w:rsidRPr="0010279F">
              <w:rPr>
                <w:rFonts w:ascii="Arial Narrow" w:eastAsia="Calibri" w:hAnsi="Arial Narrow" w:cs="Arial"/>
                <w:color w:val="000000"/>
                <w:sz w:val="20"/>
                <w:lang w:eastAsia="en-US"/>
              </w:rPr>
              <w:t>0.30</w:t>
            </w:r>
          </w:p>
          <w:p w14:paraId="753E011C" w14:textId="77777777" w:rsidR="0010279F" w:rsidRPr="0010279F" w:rsidRDefault="0010279F" w:rsidP="0010279F">
            <w:pPr>
              <w:ind w:right="-45" w:firstLine="1"/>
              <w:jc w:val="center"/>
              <w:rPr>
                <w:rFonts w:ascii="Arial Narrow" w:eastAsia="Calibri" w:hAnsi="Arial Narrow" w:cs="Arial"/>
                <w:color w:val="000000"/>
                <w:sz w:val="20"/>
                <w:lang w:eastAsia="en-US"/>
              </w:rPr>
            </w:pPr>
            <w:r w:rsidRPr="0010279F">
              <w:rPr>
                <w:rFonts w:ascii="Arial Narrow" w:eastAsia="Calibri" w:hAnsi="Arial Narrow" w:cs="Arial"/>
                <w:color w:val="000000"/>
                <w:sz w:val="20"/>
                <w:lang w:eastAsia="en-US"/>
              </w:rPr>
              <w:t>(0.06, 1.46)</w:t>
            </w:r>
          </w:p>
        </w:tc>
        <w:tc>
          <w:tcPr>
            <w:tcW w:w="1145" w:type="dxa"/>
            <w:shd w:val="clear" w:color="auto" w:fill="auto"/>
            <w:vAlign w:val="center"/>
          </w:tcPr>
          <w:p w14:paraId="66BD7EAA" w14:textId="77777777" w:rsidR="0010279F" w:rsidRPr="0010279F" w:rsidRDefault="0010279F" w:rsidP="0010279F">
            <w:pPr>
              <w:ind w:right="-45" w:firstLine="1"/>
              <w:jc w:val="center"/>
              <w:rPr>
                <w:rFonts w:ascii="Arial Narrow" w:eastAsia="Calibri" w:hAnsi="Arial Narrow" w:cs="Arial"/>
                <w:color w:val="000000"/>
                <w:sz w:val="20"/>
                <w:lang w:eastAsia="en-US"/>
              </w:rPr>
            </w:pPr>
            <w:r w:rsidRPr="0010279F">
              <w:rPr>
                <w:rFonts w:ascii="Arial Narrow" w:eastAsia="Calibri" w:hAnsi="Arial Narrow" w:cs="Arial"/>
                <w:color w:val="000000"/>
                <w:sz w:val="20"/>
                <w:lang w:eastAsia="en-US"/>
              </w:rPr>
              <w:t>-0.02</w:t>
            </w:r>
          </w:p>
          <w:p w14:paraId="0EB12464" w14:textId="77777777" w:rsidR="0010279F" w:rsidRPr="0010279F" w:rsidRDefault="0010279F" w:rsidP="0010279F">
            <w:pPr>
              <w:ind w:right="-45" w:firstLine="1"/>
              <w:jc w:val="center"/>
              <w:rPr>
                <w:rFonts w:ascii="Arial Narrow" w:eastAsia="Calibri" w:hAnsi="Arial Narrow" w:cs="Arial"/>
                <w:color w:val="000000"/>
                <w:sz w:val="20"/>
                <w:lang w:eastAsia="en-US"/>
              </w:rPr>
            </w:pPr>
            <w:r w:rsidRPr="0010279F">
              <w:rPr>
                <w:rFonts w:ascii="Arial Narrow" w:eastAsia="Calibri" w:hAnsi="Arial Narrow" w:cs="Arial"/>
                <w:color w:val="000000"/>
                <w:sz w:val="20"/>
                <w:lang w:eastAsia="en-US"/>
              </w:rPr>
              <w:t>(-0.05, 0.01)</w:t>
            </w:r>
          </w:p>
        </w:tc>
      </w:tr>
      <w:tr w:rsidR="0010279F" w:rsidRPr="0010279F" w14:paraId="018C4F41" w14:textId="77777777" w:rsidTr="00AF5486">
        <w:tc>
          <w:tcPr>
            <w:tcW w:w="1269" w:type="dxa"/>
            <w:shd w:val="clear" w:color="auto" w:fill="auto"/>
            <w:vAlign w:val="center"/>
          </w:tcPr>
          <w:p w14:paraId="3C8A2B42" w14:textId="77777777" w:rsidR="0010279F" w:rsidRPr="0010279F" w:rsidRDefault="0010279F" w:rsidP="0010279F">
            <w:pPr>
              <w:autoSpaceDE w:val="0"/>
              <w:autoSpaceDN w:val="0"/>
              <w:adjustRightInd w:val="0"/>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Alopecia</w:t>
            </w:r>
          </w:p>
        </w:tc>
        <w:tc>
          <w:tcPr>
            <w:tcW w:w="850" w:type="dxa"/>
            <w:shd w:val="clear" w:color="auto" w:fill="auto"/>
            <w:vAlign w:val="center"/>
          </w:tcPr>
          <w:p w14:paraId="1BAA60CA"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9 (4.2)</w:t>
            </w:r>
          </w:p>
        </w:tc>
        <w:tc>
          <w:tcPr>
            <w:tcW w:w="746" w:type="dxa"/>
            <w:shd w:val="clear" w:color="auto" w:fill="auto"/>
            <w:vAlign w:val="center"/>
          </w:tcPr>
          <w:p w14:paraId="724FE8BE"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0 (0)</w:t>
            </w:r>
          </w:p>
        </w:tc>
        <w:tc>
          <w:tcPr>
            <w:tcW w:w="826" w:type="dxa"/>
            <w:shd w:val="clear" w:color="auto" w:fill="auto"/>
            <w:vAlign w:val="center"/>
          </w:tcPr>
          <w:p w14:paraId="7EA0A62C"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21 (10.9)</w:t>
            </w:r>
          </w:p>
        </w:tc>
        <w:tc>
          <w:tcPr>
            <w:tcW w:w="784" w:type="dxa"/>
            <w:shd w:val="clear" w:color="auto" w:fill="auto"/>
            <w:vAlign w:val="center"/>
          </w:tcPr>
          <w:p w14:paraId="7413EE93"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0 (0)</w:t>
            </w:r>
          </w:p>
        </w:tc>
        <w:tc>
          <w:tcPr>
            <w:tcW w:w="1134" w:type="dxa"/>
            <w:shd w:val="clear" w:color="auto" w:fill="auto"/>
            <w:vAlign w:val="center"/>
          </w:tcPr>
          <w:p w14:paraId="3BB482B3"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0.38</w:t>
            </w:r>
          </w:p>
          <w:p w14:paraId="1706EC44"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(0.18, 0.82)</w:t>
            </w:r>
          </w:p>
        </w:tc>
        <w:tc>
          <w:tcPr>
            <w:tcW w:w="1147" w:type="dxa"/>
            <w:shd w:val="clear" w:color="auto" w:fill="auto"/>
            <w:vAlign w:val="center"/>
          </w:tcPr>
          <w:p w14:paraId="7FA29B01"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-0.07</w:t>
            </w:r>
          </w:p>
          <w:p w14:paraId="1C217F4F"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(-0.12, -0.02)</w:t>
            </w:r>
          </w:p>
        </w:tc>
        <w:tc>
          <w:tcPr>
            <w:tcW w:w="1119" w:type="dxa"/>
            <w:shd w:val="clear" w:color="auto" w:fill="auto"/>
            <w:vAlign w:val="center"/>
          </w:tcPr>
          <w:p w14:paraId="4C1DBC9C" w14:textId="77777777" w:rsidR="0010279F" w:rsidRPr="0010279F" w:rsidRDefault="0010279F" w:rsidP="0010279F">
            <w:pPr>
              <w:ind w:right="-45" w:firstLine="1"/>
              <w:jc w:val="center"/>
              <w:rPr>
                <w:rFonts w:ascii="Arial Narrow" w:eastAsia="Calibri" w:hAnsi="Arial Narrow" w:cs="Arial"/>
                <w:color w:val="000000"/>
                <w:sz w:val="20"/>
                <w:lang w:eastAsia="en-US"/>
              </w:rPr>
            </w:pPr>
            <w:r w:rsidRPr="0010279F">
              <w:rPr>
                <w:rFonts w:ascii="Arial Narrow" w:eastAsia="Calibri" w:hAnsi="Arial Narrow" w:cs="Arial"/>
                <w:color w:val="000000"/>
                <w:sz w:val="20"/>
                <w:lang w:eastAsia="en-US"/>
              </w:rPr>
              <w:t>NE</w:t>
            </w:r>
          </w:p>
        </w:tc>
        <w:tc>
          <w:tcPr>
            <w:tcW w:w="1145" w:type="dxa"/>
            <w:shd w:val="clear" w:color="auto" w:fill="auto"/>
            <w:vAlign w:val="center"/>
          </w:tcPr>
          <w:p w14:paraId="2BD98E61" w14:textId="77777777" w:rsidR="0010279F" w:rsidRPr="0010279F" w:rsidRDefault="0010279F" w:rsidP="0010279F">
            <w:pPr>
              <w:ind w:right="-45" w:firstLine="1"/>
              <w:jc w:val="center"/>
              <w:rPr>
                <w:rFonts w:ascii="Arial Narrow" w:eastAsia="Calibri" w:hAnsi="Arial Narrow" w:cs="Arial"/>
                <w:color w:val="000000"/>
                <w:sz w:val="20"/>
                <w:lang w:eastAsia="en-US"/>
              </w:rPr>
            </w:pPr>
            <w:r w:rsidRPr="0010279F">
              <w:rPr>
                <w:rFonts w:ascii="Arial Narrow" w:eastAsia="Calibri" w:hAnsi="Arial Narrow" w:cs="Arial"/>
                <w:color w:val="000000"/>
                <w:sz w:val="20"/>
                <w:lang w:eastAsia="en-US"/>
              </w:rPr>
              <w:t>0.00</w:t>
            </w:r>
          </w:p>
          <w:p w14:paraId="5437F3AE" w14:textId="77777777" w:rsidR="0010279F" w:rsidRPr="0010279F" w:rsidRDefault="0010279F" w:rsidP="0010279F">
            <w:pPr>
              <w:ind w:right="-45" w:firstLine="1"/>
              <w:jc w:val="center"/>
              <w:rPr>
                <w:rFonts w:ascii="Arial Narrow" w:eastAsia="Calibri" w:hAnsi="Arial Narrow" w:cs="Arial"/>
                <w:color w:val="000000"/>
                <w:sz w:val="20"/>
                <w:lang w:eastAsia="en-US"/>
              </w:rPr>
            </w:pPr>
            <w:r w:rsidRPr="0010279F">
              <w:rPr>
                <w:rFonts w:ascii="Arial Narrow" w:eastAsia="Calibri" w:hAnsi="Arial Narrow" w:cs="Arial"/>
                <w:color w:val="000000"/>
                <w:sz w:val="20"/>
                <w:lang w:eastAsia="en-US"/>
              </w:rPr>
              <w:t>(0.00, 0.00)</w:t>
            </w:r>
          </w:p>
        </w:tc>
      </w:tr>
      <w:tr w:rsidR="0010279F" w:rsidRPr="0010279F" w14:paraId="6F5A337C" w14:textId="77777777" w:rsidTr="00AF5486">
        <w:tc>
          <w:tcPr>
            <w:tcW w:w="1269" w:type="dxa"/>
            <w:shd w:val="clear" w:color="auto" w:fill="auto"/>
            <w:vAlign w:val="center"/>
          </w:tcPr>
          <w:p w14:paraId="7EC91972" w14:textId="77777777" w:rsidR="0010279F" w:rsidRPr="0010279F" w:rsidRDefault="0010279F" w:rsidP="0010279F">
            <w:pPr>
              <w:autoSpaceDE w:val="0"/>
              <w:autoSpaceDN w:val="0"/>
              <w:adjustRightInd w:val="0"/>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Neutropenia</w:t>
            </w:r>
          </w:p>
        </w:tc>
        <w:tc>
          <w:tcPr>
            <w:tcW w:w="850" w:type="dxa"/>
            <w:shd w:val="clear" w:color="auto" w:fill="auto"/>
            <w:vAlign w:val="center"/>
          </w:tcPr>
          <w:p w14:paraId="03E22A66"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3 (1.4)</w:t>
            </w:r>
          </w:p>
        </w:tc>
        <w:tc>
          <w:tcPr>
            <w:tcW w:w="746" w:type="dxa"/>
            <w:shd w:val="clear" w:color="auto" w:fill="auto"/>
            <w:vAlign w:val="center"/>
          </w:tcPr>
          <w:p w14:paraId="16812D00"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2 (0.9)</w:t>
            </w:r>
          </w:p>
        </w:tc>
        <w:tc>
          <w:tcPr>
            <w:tcW w:w="826" w:type="dxa"/>
            <w:shd w:val="clear" w:color="auto" w:fill="auto"/>
            <w:vAlign w:val="center"/>
          </w:tcPr>
          <w:p w14:paraId="74A81756"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36 (18.7)</w:t>
            </w:r>
          </w:p>
        </w:tc>
        <w:tc>
          <w:tcPr>
            <w:tcW w:w="784" w:type="dxa"/>
            <w:shd w:val="clear" w:color="auto" w:fill="auto"/>
            <w:vAlign w:val="center"/>
          </w:tcPr>
          <w:p w14:paraId="6F94433D"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20 (10.4)</w:t>
            </w:r>
          </w:p>
        </w:tc>
        <w:tc>
          <w:tcPr>
            <w:tcW w:w="1134" w:type="dxa"/>
            <w:shd w:val="clear" w:color="auto" w:fill="auto"/>
            <w:vAlign w:val="center"/>
          </w:tcPr>
          <w:p w14:paraId="25E464E3"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0.07</w:t>
            </w:r>
          </w:p>
          <w:p w14:paraId="45FF1754"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(0.02, 0.24)</w:t>
            </w:r>
          </w:p>
        </w:tc>
        <w:tc>
          <w:tcPr>
            <w:tcW w:w="1147" w:type="dxa"/>
            <w:shd w:val="clear" w:color="auto" w:fill="auto"/>
            <w:vAlign w:val="center"/>
          </w:tcPr>
          <w:p w14:paraId="662EDA90"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-0.17</w:t>
            </w:r>
          </w:p>
          <w:p w14:paraId="2E83B97B"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(-0.23, -0.12)</w:t>
            </w:r>
          </w:p>
        </w:tc>
        <w:tc>
          <w:tcPr>
            <w:tcW w:w="1119" w:type="dxa"/>
            <w:shd w:val="clear" w:color="auto" w:fill="auto"/>
            <w:vAlign w:val="center"/>
          </w:tcPr>
          <w:p w14:paraId="0E6F5E22"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0.09</w:t>
            </w:r>
          </w:p>
          <w:p w14:paraId="617AE58A"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(0.02, 0.38)</w:t>
            </w:r>
          </w:p>
        </w:tc>
        <w:tc>
          <w:tcPr>
            <w:tcW w:w="1145" w:type="dxa"/>
            <w:shd w:val="clear" w:color="auto" w:fill="auto"/>
            <w:vAlign w:val="center"/>
          </w:tcPr>
          <w:p w14:paraId="42C4B8E6"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-0.09</w:t>
            </w:r>
          </w:p>
          <w:p w14:paraId="0FF61A43"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(-0.14, -0.05)</w:t>
            </w:r>
          </w:p>
        </w:tc>
      </w:tr>
      <w:tr w:rsidR="0010279F" w:rsidRPr="0010279F" w14:paraId="7EC85328" w14:textId="77777777" w:rsidTr="00AF5486">
        <w:tc>
          <w:tcPr>
            <w:tcW w:w="1269" w:type="dxa"/>
            <w:shd w:val="clear" w:color="auto" w:fill="auto"/>
            <w:vAlign w:val="center"/>
          </w:tcPr>
          <w:p w14:paraId="72761042" w14:textId="77777777" w:rsidR="0010279F" w:rsidRPr="0010279F" w:rsidRDefault="0010279F" w:rsidP="0010279F">
            <w:pPr>
              <w:autoSpaceDE w:val="0"/>
              <w:autoSpaceDN w:val="0"/>
              <w:adjustRightInd w:val="0"/>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Neutrophil count decreased</w:t>
            </w:r>
          </w:p>
        </w:tc>
        <w:tc>
          <w:tcPr>
            <w:tcW w:w="850" w:type="dxa"/>
            <w:shd w:val="clear" w:color="auto" w:fill="auto"/>
            <w:vAlign w:val="center"/>
          </w:tcPr>
          <w:p w14:paraId="365AA9B1"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1 (0.5)</w:t>
            </w:r>
          </w:p>
        </w:tc>
        <w:tc>
          <w:tcPr>
            <w:tcW w:w="746" w:type="dxa"/>
            <w:shd w:val="clear" w:color="auto" w:fill="auto"/>
            <w:vAlign w:val="center"/>
          </w:tcPr>
          <w:p w14:paraId="4F2CAC90"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1 (0.5)</w:t>
            </w:r>
          </w:p>
        </w:tc>
        <w:tc>
          <w:tcPr>
            <w:tcW w:w="826" w:type="dxa"/>
            <w:shd w:val="clear" w:color="auto" w:fill="auto"/>
            <w:vAlign w:val="center"/>
          </w:tcPr>
          <w:p w14:paraId="7FE4F22A"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21 (10.9)</w:t>
            </w:r>
          </w:p>
        </w:tc>
        <w:tc>
          <w:tcPr>
            <w:tcW w:w="784" w:type="dxa"/>
            <w:shd w:val="clear" w:color="auto" w:fill="auto"/>
            <w:vAlign w:val="center"/>
          </w:tcPr>
          <w:p w14:paraId="0D2B3E01" w14:textId="77777777" w:rsidR="0010279F" w:rsidRPr="0010279F" w:rsidRDefault="0010279F" w:rsidP="0010279F">
            <w:pPr>
              <w:autoSpaceDE w:val="0"/>
              <w:autoSpaceDN w:val="0"/>
              <w:adjustRightInd w:val="0"/>
              <w:jc w:val="center"/>
              <w:rPr>
                <w:rFonts w:ascii="Arial Narrow" w:eastAsia="Batang" w:hAnsi="Arial Narrow" w:cs="Calibri"/>
                <w:color w:val="000000"/>
                <w:sz w:val="20"/>
                <w:lang w:eastAsia="en-US"/>
              </w:rPr>
            </w:pPr>
            <w:r w:rsidRPr="0010279F">
              <w:rPr>
                <w:rFonts w:ascii="Arial Narrow" w:eastAsia="Batang" w:hAnsi="Arial Narrow" w:cs="Calibri"/>
                <w:color w:val="000000"/>
                <w:sz w:val="20"/>
                <w:lang w:eastAsia="en-US"/>
              </w:rPr>
              <w:t>16 (8.3)</w:t>
            </w:r>
          </w:p>
        </w:tc>
        <w:tc>
          <w:tcPr>
            <w:tcW w:w="1134" w:type="dxa"/>
            <w:shd w:val="clear" w:color="auto" w:fill="auto"/>
            <w:vAlign w:val="center"/>
          </w:tcPr>
          <w:p w14:paraId="4EF672DF"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0.04</w:t>
            </w:r>
          </w:p>
          <w:p w14:paraId="5FA1ABED"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(0.01, 0.31)</w:t>
            </w:r>
          </w:p>
        </w:tc>
        <w:tc>
          <w:tcPr>
            <w:tcW w:w="1147" w:type="dxa"/>
            <w:shd w:val="clear" w:color="auto" w:fill="auto"/>
            <w:vAlign w:val="center"/>
          </w:tcPr>
          <w:p w14:paraId="584D97E9"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-0.10</w:t>
            </w:r>
          </w:p>
          <w:p w14:paraId="33C9A64E"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(-0.15, -0.06)</w:t>
            </w:r>
          </w:p>
        </w:tc>
        <w:tc>
          <w:tcPr>
            <w:tcW w:w="1119" w:type="dxa"/>
            <w:shd w:val="clear" w:color="auto" w:fill="auto"/>
            <w:vAlign w:val="center"/>
          </w:tcPr>
          <w:p w14:paraId="59FDBDF3"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0.06</w:t>
            </w:r>
          </w:p>
          <w:p w14:paraId="766CF548"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(0.01, 0.42)</w:t>
            </w:r>
          </w:p>
        </w:tc>
        <w:tc>
          <w:tcPr>
            <w:tcW w:w="1145" w:type="dxa"/>
            <w:shd w:val="clear" w:color="auto" w:fill="auto"/>
            <w:vAlign w:val="center"/>
          </w:tcPr>
          <w:p w14:paraId="4D0ABB79"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-0.08</w:t>
            </w:r>
          </w:p>
          <w:p w14:paraId="2FC6F596" w14:textId="77777777" w:rsidR="0010279F" w:rsidRPr="0010279F" w:rsidRDefault="0010279F" w:rsidP="0010279F">
            <w:pPr>
              <w:ind w:right="-45" w:firstLine="1"/>
              <w:jc w:val="center"/>
              <w:rPr>
                <w:rFonts w:ascii="Arial Narrow" w:eastAsia="Calibri" w:hAnsi="Arial Narrow" w:cs="Arial"/>
                <w:b/>
                <w:color w:val="000000"/>
                <w:sz w:val="20"/>
                <w:lang w:eastAsia="en-US"/>
              </w:rPr>
            </w:pPr>
            <w:r w:rsidRPr="0010279F">
              <w:rPr>
                <w:rFonts w:ascii="Arial Narrow" w:eastAsia="Calibri" w:hAnsi="Arial Narrow" w:cs="Arial"/>
                <w:b/>
                <w:color w:val="000000"/>
                <w:sz w:val="20"/>
                <w:lang w:eastAsia="en-US"/>
              </w:rPr>
              <w:t>(-0.12, -0.04)</w:t>
            </w:r>
          </w:p>
        </w:tc>
      </w:tr>
    </w:tbl>
    <w:p w14:paraId="662B134D" w14:textId="77777777" w:rsidR="0010279F" w:rsidRPr="0010279F" w:rsidRDefault="0010279F" w:rsidP="0010279F">
      <w:pPr>
        <w:rPr>
          <w:rFonts w:ascii="Arial Narrow" w:eastAsia="Calibri" w:hAnsi="Arial Narrow" w:cs="Arial"/>
          <w:sz w:val="18"/>
          <w:szCs w:val="18"/>
          <w:lang w:eastAsia="en-US"/>
        </w:rPr>
      </w:pPr>
      <w:r w:rsidRPr="0010279F">
        <w:rPr>
          <w:rFonts w:ascii="Arial Narrow" w:eastAsia="Calibri" w:hAnsi="Arial Narrow" w:cs="Arial"/>
          <w:sz w:val="18"/>
          <w:szCs w:val="18"/>
          <w:lang w:eastAsia="en-US"/>
        </w:rPr>
        <w:t xml:space="preserve">Notes: </w:t>
      </w:r>
      <w:r w:rsidRPr="0010279F">
        <w:rPr>
          <w:rFonts w:ascii="Arial Narrow" w:eastAsia="Calibri" w:hAnsi="Arial Narrow" w:cs="Arial"/>
          <w:b/>
          <w:sz w:val="18"/>
          <w:szCs w:val="18"/>
          <w:lang w:eastAsia="en-US"/>
        </w:rPr>
        <w:t xml:space="preserve">Bold </w:t>
      </w:r>
      <w:r w:rsidRPr="0010279F">
        <w:rPr>
          <w:rFonts w:ascii="Arial Narrow" w:eastAsia="Calibri" w:hAnsi="Arial Narrow" w:cs="Arial"/>
          <w:sz w:val="18"/>
          <w:szCs w:val="18"/>
          <w:lang w:eastAsia="en-US"/>
        </w:rPr>
        <w:t>text indicates a statistically significant difference.</w:t>
      </w:r>
    </w:p>
    <w:p w14:paraId="1D904EDC" w14:textId="77777777" w:rsidR="0010279F" w:rsidRPr="0010279F" w:rsidRDefault="0010279F" w:rsidP="0010279F">
      <w:pPr>
        <w:rPr>
          <w:rFonts w:ascii="Arial Narrow" w:eastAsia="Calibri" w:hAnsi="Arial Narrow" w:cs="Arial"/>
          <w:sz w:val="18"/>
          <w:szCs w:val="18"/>
          <w:lang w:eastAsia="en-US"/>
        </w:rPr>
      </w:pPr>
      <w:r w:rsidRPr="0010279F">
        <w:rPr>
          <w:rFonts w:ascii="Arial Narrow" w:eastAsia="Calibri" w:hAnsi="Arial Narrow" w:cs="Arial"/>
          <w:sz w:val="18"/>
          <w:szCs w:val="18"/>
          <w:vertAlign w:val="superscript"/>
          <w:lang w:eastAsia="en-US"/>
        </w:rPr>
        <w:t>a</w:t>
      </w:r>
      <w:r w:rsidRPr="0010279F">
        <w:rPr>
          <w:rFonts w:ascii="Arial Narrow" w:eastAsia="Calibri" w:hAnsi="Arial Narrow" w:cs="Arial"/>
          <w:sz w:val="18"/>
          <w:szCs w:val="18"/>
          <w:lang w:eastAsia="en-US"/>
        </w:rPr>
        <w:t xml:space="preserve"> Control arm = investigator’s choice of irinotecan + cetuximab or FOLFIRI + cetuximab</w:t>
      </w:r>
    </w:p>
    <w:p w14:paraId="442E1840" w14:textId="77777777" w:rsidR="0010279F" w:rsidRPr="0010279F" w:rsidRDefault="0010279F" w:rsidP="0010279F">
      <w:pPr>
        <w:rPr>
          <w:rFonts w:ascii="Arial Narrow" w:eastAsia="Calibri" w:hAnsi="Arial Narrow" w:cs="Arial"/>
          <w:sz w:val="18"/>
          <w:szCs w:val="18"/>
          <w:lang w:eastAsia="en-US"/>
        </w:rPr>
      </w:pPr>
      <w:r w:rsidRPr="0010279F">
        <w:rPr>
          <w:rFonts w:ascii="Arial Narrow" w:eastAsia="Calibri" w:hAnsi="Arial Narrow" w:cs="Arial"/>
          <w:sz w:val="18"/>
          <w:szCs w:val="18"/>
          <w:vertAlign w:val="superscript"/>
          <w:lang w:eastAsia="en-US"/>
        </w:rPr>
        <w:t xml:space="preserve">b </w:t>
      </w:r>
      <w:r w:rsidRPr="0010279F">
        <w:rPr>
          <w:rFonts w:ascii="Arial Narrow" w:eastAsia="Calibri" w:hAnsi="Arial Narrow" w:cs="Arial"/>
          <w:sz w:val="18"/>
          <w:szCs w:val="18"/>
          <w:lang w:eastAsia="en-US"/>
        </w:rPr>
        <w:t>RD and RR was calculated during the evaluation</w:t>
      </w:r>
    </w:p>
    <w:p w14:paraId="37653048" w14:textId="77777777" w:rsidR="0010279F" w:rsidRPr="0010279F" w:rsidRDefault="0010279F" w:rsidP="0010279F">
      <w:pPr>
        <w:rPr>
          <w:rFonts w:ascii="Arial Narrow" w:eastAsia="Calibri" w:hAnsi="Arial Narrow" w:cs="Arial"/>
          <w:sz w:val="18"/>
          <w:szCs w:val="18"/>
          <w:lang w:eastAsia="en-US"/>
        </w:rPr>
      </w:pPr>
      <w:r w:rsidRPr="0010279F">
        <w:rPr>
          <w:rFonts w:ascii="Arial Narrow" w:eastAsia="Calibri" w:hAnsi="Arial Narrow" w:cs="Arial"/>
          <w:sz w:val="18"/>
          <w:szCs w:val="18"/>
          <w:vertAlign w:val="superscript"/>
          <w:lang w:eastAsia="en-US"/>
        </w:rPr>
        <w:t xml:space="preserve">c </w:t>
      </w:r>
      <w:r w:rsidRPr="0010279F">
        <w:rPr>
          <w:rFonts w:ascii="Arial Narrow" w:eastAsia="Calibri" w:hAnsi="Arial Narrow" w:cs="Arial"/>
          <w:sz w:val="18"/>
          <w:szCs w:val="18"/>
          <w:lang w:eastAsia="en-US"/>
        </w:rPr>
        <w:t>added during evaluation</w:t>
      </w:r>
    </w:p>
    <w:p w14:paraId="3FFA1C9D" w14:textId="77777777" w:rsidR="0010279F" w:rsidRPr="0010279F" w:rsidRDefault="0010279F" w:rsidP="0010279F">
      <w:pPr>
        <w:rPr>
          <w:rFonts w:ascii="Arial Narrow" w:eastAsia="Calibri" w:hAnsi="Arial Narrow" w:cs="Arial"/>
          <w:sz w:val="18"/>
          <w:szCs w:val="18"/>
          <w:lang w:eastAsia="en-US"/>
        </w:rPr>
      </w:pPr>
      <w:r w:rsidRPr="0010279F">
        <w:rPr>
          <w:rFonts w:ascii="Arial Narrow" w:eastAsia="Calibri" w:hAnsi="Arial Narrow" w:cs="Arial"/>
          <w:sz w:val="18"/>
          <w:szCs w:val="18"/>
          <w:lang w:eastAsia="en-US"/>
        </w:rPr>
        <w:t>Abbreviations: AE = adverse event; CI = confidence interval; CETUX = cetuximab; ENCO = encorafenib; n = number of participants reporting data; N = total participants in group; NE = not estimable; RD = risk difference; RR = relative risk</w:t>
      </w:r>
    </w:p>
    <w:p w14:paraId="7928806F" w14:textId="3FAC6738" w:rsidR="00DB5833" w:rsidRPr="0010279F" w:rsidRDefault="0010279F" w:rsidP="0010279F">
      <w:pPr>
        <w:rPr>
          <w:rFonts w:ascii="Arial Narrow" w:eastAsia="Calibri" w:hAnsi="Arial Narrow" w:cs="Arial"/>
          <w:sz w:val="18"/>
          <w:szCs w:val="18"/>
          <w:lang w:eastAsia="en-US"/>
        </w:rPr>
      </w:pPr>
      <w:r w:rsidRPr="0010279F">
        <w:rPr>
          <w:rFonts w:ascii="Arial Narrow" w:eastAsia="Calibri" w:hAnsi="Arial Narrow" w:cs="Arial"/>
          <w:sz w:val="18"/>
          <w:szCs w:val="18"/>
          <w:lang w:eastAsia="en-US"/>
        </w:rPr>
        <w:t>Source: Table 2-94, pp195 of the submission</w:t>
      </w:r>
    </w:p>
    <w:p w14:paraId="21D41484" w14:textId="77777777" w:rsidR="00BC1364" w:rsidRPr="00F715D1" w:rsidRDefault="00BC1364" w:rsidP="00F715D1">
      <w:pPr>
        <w:pStyle w:val="Heading1"/>
      </w:pPr>
      <w:r w:rsidRPr="00F715D1">
        <w:t>Comparative effectiveness</w:t>
      </w:r>
    </w:p>
    <w:p w14:paraId="1AD1CA52" w14:textId="77777777" w:rsidR="0010279F" w:rsidRPr="00D3153A" w:rsidRDefault="0010279F" w:rsidP="0010279F">
      <w:pPr>
        <w:keepNext/>
        <w:keepLines/>
        <w:spacing w:before="200" w:after="120"/>
        <w:outlineLvl w:val="1"/>
        <w:rPr>
          <w:i/>
          <w:szCs w:val="26"/>
        </w:rPr>
      </w:pPr>
      <w:r w:rsidRPr="00D3153A">
        <w:rPr>
          <w:i/>
          <w:szCs w:val="26"/>
        </w:rPr>
        <w:t>Predictive evidence</w:t>
      </w:r>
    </w:p>
    <w:p w14:paraId="7D4B7DE8" w14:textId="1EC70E1A" w:rsidR="0010279F" w:rsidRPr="00D3153A" w:rsidRDefault="0010279F" w:rsidP="0010279F">
      <w:pPr>
        <w:spacing w:after="240"/>
        <w:rPr>
          <w:rFonts w:eastAsia="Calibri" w:cs="Arial"/>
        </w:rPr>
      </w:pPr>
      <w:r w:rsidRPr="00D3153A">
        <w:rPr>
          <w:rFonts w:eastAsia="Calibri" w:cs="Arial"/>
        </w:rPr>
        <w:t>The submission did not present evidence o</w:t>
      </w:r>
      <w:r w:rsidR="00902E0A">
        <w:rPr>
          <w:rFonts w:eastAsia="Calibri" w:cs="Arial"/>
        </w:rPr>
        <w:t>f</w:t>
      </w:r>
      <w:r w:rsidRPr="00D3153A">
        <w:rPr>
          <w:rFonts w:eastAsia="Calibri" w:cs="Arial"/>
        </w:rPr>
        <w:t xml:space="preserve"> the treatment effect of encorafenib + cetuximab for patients who were </w:t>
      </w:r>
      <w:r w:rsidRPr="00D3153A">
        <w:rPr>
          <w:rFonts w:eastAsia="Calibri" w:cs="Arial"/>
          <w:i/>
        </w:rPr>
        <w:t xml:space="preserve">BRAF </w:t>
      </w:r>
      <w:r w:rsidR="00965823" w:rsidRPr="00965823">
        <w:rPr>
          <w:rFonts w:eastAsia="Calibri" w:cs="Arial"/>
        </w:rPr>
        <w:t>V600E</w:t>
      </w:r>
      <w:r w:rsidRPr="00D3153A">
        <w:rPr>
          <w:rFonts w:eastAsia="Calibri" w:cs="Arial"/>
        </w:rPr>
        <w:t xml:space="preserve"> positive versus patients who were not </w:t>
      </w:r>
      <w:r w:rsidRPr="00D3153A">
        <w:rPr>
          <w:rFonts w:eastAsia="Calibri" w:cs="Arial"/>
          <w:i/>
        </w:rPr>
        <w:t xml:space="preserve">BRAF </w:t>
      </w:r>
      <w:r w:rsidR="00965823" w:rsidRPr="00965823">
        <w:rPr>
          <w:rFonts w:eastAsia="Calibri" w:cs="Arial"/>
        </w:rPr>
        <w:t>V600E</w:t>
      </w:r>
      <w:r w:rsidRPr="00D3153A">
        <w:rPr>
          <w:rFonts w:eastAsia="Calibri" w:cs="Arial"/>
        </w:rPr>
        <w:t xml:space="preserve"> </w:t>
      </w:r>
      <w:r w:rsidRPr="00D3153A">
        <w:rPr>
          <w:rFonts w:eastAsia="Calibri" w:cs="Arial"/>
        </w:rPr>
        <w:lastRenderedPageBreak/>
        <w:t xml:space="preserve">positive. Thus, the Commentary considered that an estimate of the variation in treatment effect of encorafenib due to </w:t>
      </w:r>
      <w:r w:rsidRPr="00D3153A">
        <w:rPr>
          <w:rFonts w:eastAsia="Calibri" w:cs="Arial"/>
          <w:i/>
        </w:rPr>
        <w:t xml:space="preserve">BRAF </w:t>
      </w:r>
      <w:r w:rsidR="00965823" w:rsidRPr="00965823">
        <w:rPr>
          <w:rFonts w:eastAsia="Calibri" w:cs="Arial"/>
        </w:rPr>
        <w:t>V600E</w:t>
      </w:r>
      <w:r w:rsidRPr="00D3153A">
        <w:rPr>
          <w:rFonts w:eastAsia="Calibri" w:cs="Arial"/>
        </w:rPr>
        <w:t xml:space="preserve"> testing could not be established from the evidence presented by the submission and so acceptance of the predictive value of the test </w:t>
      </w:r>
      <w:r w:rsidR="00902E0A">
        <w:rPr>
          <w:rFonts w:eastAsia="Calibri" w:cs="Arial"/>
        </w:rPr>
        <w:t xml:space="preserve">would </w:t>
      </w:r>
      <w:r w:rsidRPr="00D3153A">
        <w:rPr>
          <w:rFonts w:eastAsia="Calibri" w:cs="Arial"/>
        </w:rPr>
        <w:t>rel</w:t>
      </w:r>
      <w:r w:rsidR="00902E0A">
        <w:rPr>
          <w:rFonts w:eastAsia="Calibri" w:cs="Arial"/>
        </w:rPr>
        <w:t>y</w:t>
      </w:r>
      <w:r w:rsidRPr="00D3153A">
        <w:rPr>
          <w:rFonts w:eastAsia="Calibri" w:cs="Arial"/>
        </w:rPr>
        <w:t xml:space="preserve"> on a biological plausibility argument</w:t>
      </w:r>
      <w:r w:rsidRPr="000C436A">
        <w:rPr>
          <w:rFonts w:eastAsia="Calibri" w:cs="Arial"/>
        </w:rPr>
        <w:t xml:space="preserve"> supported by some preclinical data</w:t>
      </w:r>
      <w:r w:rsidRPr="00D3153A">
        <w:rPr>
          <w:rFonts w:eastAsia="Calibri" w:cs="Arial"/>
        </w:rPr>
        <w:t>.</w:t>
      </w:r>
      <w:r w:rsidR="009B2F8E">
        <w:rPr>
          <w:rFonts w:eastAsia="Calibri" w:cs="Arial"/>
        </w:rPr>
        <w:t xml:space="preserve"> The pre</w:t>
      </w:r>
      <w:r w:rsidR="009B2F8E">
        <w:rPr>
          <w:rFonts w:eastAsia="Calibri" w:cs="Arial"/>
        </w:rPr>
        <w:noBreakHyphen/>
        <w:t xml:space="preserve">MSAC response considered that the treatment effect of </w:t>
      </w:r>
      <w:r w:rsidR="009B2F8E" w:rsidRPr="00D3153A">
        <w:rPr>
          <w:rFonts w:eastAsia="Calibri" w:cs="Arial"/>
        </w:rPr>
        <w:t>encorafenib + cetuximab</w:t>
      </w:r>
      <w:r w:rsidR="009B2F8E">
        <w:rPr>
          <w:rFonts w:eastAsia="Calibri" w:cs="Arial"/>
        </w:rPr>
        <w:t xml:space="preserve"> </w:t>
      </w:r>
      <w:r w:rsidR="00902E0A">
        <w:rPr>
          <w:rFonts w:eastAsia="Calibri" w:cs="Arial"/>
        </w:rPr>
        <w:t xml:space="preserve">in </w:t>
      </w:r>
      <w:r w:rsidR="00902E0A" w:rsidRPr="00D3153A">
        <w:rPr>
          <w:rFonts w:eastAsia="Calibri" w:cs="Arial"/>
        </w:rPr>
        <w:t xml:space="preserve">patients who </w:t>
      </w:r>
      <w:r w:rsidR="00902E0A">
        <w:rPr>
          <w:rFonts w:eastAsia="Calibri" w:cs="Arial"/>
        </w:rPr>
        <w:t>a</w:t>
      </w:r>
      <w:r w:rsidR="00902E0A" w:rsidRPr="00D3153A">
        <w:rPr>
          <w:rFonts w:eastAsia="Calibri" w:cs="Arial"/>
        </w:rPr>
        <w:t xml:space="preserve">re </w:t>
      </w:r>
      <w:r w:rsidR="00902E0A" w:rsidRPr="00D3153A">
        <w:rPr>
          <w:rFonts w:eastAsia="Calibri" w:cs="Arial"/>
          <w:i/>
        </w:rPr>
        <w:t xml:space="preserve">BRAF </w:t>
      </w:r>
      <w:r w:rsidR="00902E0A" w:rsidRPr="00965823">
        <w:rPr>
          <w:rFonts w:eastAsia="Calibri" w:cs="Arial"/>
        </w:rPr>
        <w:t>V600E</w:t>
      </w:r>
      <w:r w:rsidR="00902E0A" w:rsidRPr="00D3153A">
        <w:rPr>
          <w:rFonts w:eastAsia="Calibri" w:cs="Arial"/>
        </w:rPr>
        <w:t xml:space="preserve"> </w:t>
      </w:r>
      <w:r w:rsidR="00902E0A">
        <w:rPr>
          <w:rFonts w:eastAsia="Calibri" w:cs="Arial"/>
        </w:rPr>
        <w:t>nega</w:t>
      </w:r>
      <w:r w:rsidR="00902E0A" w:rsidRPr="00D3153A">
        <w:rPr>
          <w:rFonts w:eastAsia="Calibri" w:cs="Arial"/>
        </w:rPr>
        <w:t>tive</w:t>
      </w:r>
      <w:r w:rsidR="00902E0A">
        <w:rPr>
          <w:rFonts w:eastAsia="Calibri" w:cs="Arial"/>
        </w:rPr>
        <w:t xml:space="preserve"> </w:t>
      </w:r>
      <w:r w:rsidR="009B2F8E">
        <w:rPr>
          <w:rFonts w:eastAsia="Calibri" w:cs="Arial"/>
        </w:rPr>
        <w:t>was redundant as</w:t>
      </w:r>
      <w:r w:rsidR="009B2F8E" w:rsidRPr="009B2F8E">
        <w:rPr>
          <w:rFonts w:eastAsia="Calibri" w:cs="Arial"/>
        </w:rPr>
        <w:t xml:space="preserve"> the drug combination was developed specifically to address the unmet need in the </w:t>
      </w:r>
      <w:r w:rsidR="009B2F8E" w:rsidRPr="00A00C03">
        <w:rPr>
          <w:rFonts w:eastAsia="Calibri" w:cs="Arial"/>
          <w:i/>
        </w:rPr>
        <w:t xml:space="preserve">BRAF </w:t>
      </w:r>
      <w:r w:rsidR="009B2F8E" w:rsidRPr="009B2F8E">
        <w:rPr>
          <w:rFonts w:eastAsia="Calibri" w:cs="Arial"/>
        </w:rPr>
        <w:t>V600E variant population</w:t>
      </w:r>
      <w:r w:rsidR="009B2F8E">
        <w:rPr>
          <w:rFonts w:eastAsia="Calibri" w:cs="Arial"/>
        </w:rPr>
        <w:t>.</w:t>
      </w:r>
    </w:p>
    <w:p w14:paraId="43E9F818" w14:textId="77777777" w:rsidR="00EA1DA0" w:rsidRPr="00D3153A" w:rsidRDefault="00EA1DA0" w:rsidP="00EA1DA0">
      <w:pPr>
        <w:keepNext/>
        <w:keepLines/>
        <w:spacing w:before="200" w:after="120"/>
        <w:outlineLvl w:val="1"/>
        <w:rPr>
          <w:i/>
          <w:szCs w:val="26"/>
        </w:rPr>
      </w:pPr>
      <w:r w:rsidRPr="00D3153A">
        <w:rPr>
          <w:i/>
          <w:szCs w:val="26"/>
        </w:rPr>
        <w:t>Pr</w:t>
      </w:r>
      <w:r>
        <w:rPr>
          <w:i/>
          <w:szCs w:val="26"/>
        </w:rPr>
        <w:t>ognostic</w:t>
      </w:r>
      <w:r w:rsidRPr="00D3153A">
        <w:rPr>
          <w:i/>
          <w:szCs w:val="26"/>
        </w:rPr>
        <w:t xml:space="preserve"> evidence</w:t>
      </w:r>
    </w:p>
    <w:p w14:paraId="01DF9BF2" w14:textId="77777777" w:rsidR="00EA1DA0" w:rsidRPr="00D3153A" w:rsidRDefault="00EA1DA0" w:rsidP="00EA1DA0">
      <w:pPr>
        <w:spacing w:after="240"/>
        <w:rPr>
          <w:rFonts w:eastAsia="Calibri" w:cs="Arial"/>
          <w:i/>
        </w:rPr>
      </w:pPr>
      <w:r w:rsidRPr="00D3153A">
        <w:rPr>
          <w:rFonts w:eastAsia="Calibri" w:cs="Arial"/>
        </w:rPr>
        <w:t xml:space="preserve">The submission identified 20 studies for qualitative analysis, comprising 2 systematic reviews and 18 individual studies (1 prospective cohort and 17 retrospective cohort studies) providing evidence of the prognostic value of the </w:t>
      </w:r>
      <w:r w:rsidRPr="00D3153A">
        <w:rPr>
          <w:rFonts w:eastAsia="Calibri" w:cs="Arial"/>
          <w:i/>
        </w:rPr>
        <w:t xml:space="preserve">BRAF </w:t>
      </w:r>
      <w:r w:rsidRPr="00965823">
        <w:rPr>
          <w:rFonts w:eastAsia="Calibri" w:cs="Arial"/>
        </w:rPr>
        <w:t>V600E</w:t>
      </w:r>
      <w:r w:rsidRPr="00D3153A">
        <w:rPr>
          <w:rFonts w:eastAsia="Calibri" w:cs="Arial"/>
        </w:rPr>
        <w:t xml:space="preserve"> variant. The submission relied on the </w:t>
      </w:r>
      <w:r>
        <w:rPr>
          <w:rFonts w:eastAsia="Calibri" w:cs="Arial"/>
        </w:rPr>
        <w:t xml:space="preserve">results </w:t>
      </w:r>
      <w:r w:rsidRPr="00D3153A">
        <w:rPr>
          <w:rFonts w:eastAsia="Calibri" w:cs="Arial"/>
        </w:rPr>
        <w:t xml:space="preserve">from </w:t>
      </w:r>
      <w:r>
        <w:rPr>
          <w:rFonts w:eastAsia="Calibri" w:cs="Arial"/>
        </w:rPr>
        <w:t xml:space="preserve">the </w:t>
      </w:r>
      <w:r w:rsidRPr="00D3153A">
        <w:rPr>
          <w:rFonts w:eastAsia="Calibri" w:cs="Arial"/>
        </w:rPr>
        <w:t xml:space="preserve">18 individual studies, where potential confounders were investigated in a multivariate analyses, or a combination of univariate and multivariate analyses, to support the claim that the </w:t>
      </w:r>
      <w:r w:rsidRPr="00D3153A">
        <w:rPr>
          <w:rFonts w:eastAsia="Calibri" w:cs="Arial"/>
          <w:i/>
          <w:iCs/>
        </w:rPr>
        <w:t xml:space="preserve">BRAF </w:t>
      </w:r>
      <w:r w:rsidRPr="00965823">
        <w:rPr>
          <w:rFonts w:eastAsia="Calibri" w:cs="Arial"/>
          <w:iCs/>
        </w:rPr>
        <w:t>V600E</w:t>
      </w:r>
      <w:r w:rsidRPr="00D3153A">
        <w:rPr>
          <w:rFonts w:eastAsia="Calibri" w:cs="Arial"/>
          <w:i/>
        </w:rPr>
        <w:t xml:space="preserve"> </w:t>
      </w:r>
      <w:r w:rsidRPr="00D3153A">
        <w:rPr>
          <w:rFonts w:eastAsia="Calibri" w:cs="Arial"/>
        </w:rPr>
        <w:t xml:space="preserve">variant in mCRC is independently associated with a poorer prognosis than mCRC without the </w:t>
      </w:r>
      <w:r w:rsidRPr="00D3153A">
        <w:rPr>
          <w:rFonts w:eastAsia="Calibri" w:cs="Arial"/>
          <w:i/>
          <w:iCs/>
        </w:rPr>
        <w:t xml:space="preserve">BRAF </w:t>
      </w:r>
      <w:r w:rsidRPr="00965823">
        <w:rPr>
          <w:rFonts w:eastAsia="Calibri" w:cs="Arial"/>
          <w:iCs/>
        </w:rPr>
        <w:t>V600E</w:t>
      </w:r>
      <w:r w:rsidRPr="00D3153A">
        <w:rPr>
          <w:rFonts w:eastAsia="Calibri" w:cs="Arial"/>
        </w:rPr>
        <w:t xml:space="preserve"> variant. The submission nominated the prospective study as the primary evidence due to its higher level of evidence and the remaining retrospective studies as supportive evidence. The two identified meta-analyses were not used to establish a clinical claim because they did not limit their analysis to studies that adjusted for potential confounding. The Commentary considered that this was reasonable.</w:t>
      </w:r>
    </w:p>
    <w:p w14:paraId="7A6E439D" w14:textId="429BD4AA" w:rsidR="00EA1DA0" w:rsidRPr="00D3153A" w:rsidRDefault="00EA1DA0" w:rsidP="00EA1DA0">
      <w:pPr>
        <w:spacing w:after="240"/>
        <w:rPr>
          <w:rFonts w:eastAsia="Calibri" w:cs="Arial"/>
        </w:rPr>
      </w:pPr>
      <w:r w:rsidRPr="00D3153A">
        <w:rPr>
          <w:rFonts w:eastAsia="Calibri" w:cs="Arial"/>
          <w:iCs/>
        </w:rPr>
        <w:t>The Commentary considered that the evidence provided by the submission from the 18 studies demonstrated a</w:t>
      </w:r>
      <w:r>
        <w:rPr>
          <w:rFonts w:eastAsia="Calibri" w:cs="Arial"/>
          <w:iCs/>
        </w:rPr>
        <w:t xml:space="preserve"> prog</w:t>
      </w:r>
      <w:r w:rsidRPr="00D3153A">
        <w:rPr>
          <w:rFonts w:eastAsia="Calibri" w:cs="Arial"/>
          <w:iCs/>
        </w:rPr>
        <w:t>n</w:t>
      </w:r>
      <w:r>
        <w:rPr>
          <w:rFonts w:eastAsia="Calibri" w:cs="Arial"/>
          <w:iCs/>
        </w:rPr>
        <w:t>ostic</w:t>
      </w:r>
      <w:r w:rsidRPr="00D3153A">
        <w:rPr>
          <w:rFonts w:eastAsia="Calibri" w:cs="Arial"/>
          <w:iCs/>
        </w:rPr>
        <w:t xml:space="preserve"> association between the </w:t>
      </w:r>
      <w:r w:rsidRPr="00D3153A">
        <w:rPr>
          <w:rFonts w:eastAsia="Calibri" w:cs="Arial"/>
          <w:i/>
          <w:iCs/>
        </w:rPr>
        <w:t xml:space="preserve">BRAF </w:t>
      </w:r>
      <w:r w:rsidRPr="00965823">
        <w:rPr>
          <w:rFonts w:eastAsia="Calibri" w:cs="Arial"/>
          <w:iCs/>
        </w:rPr>
        <w:t>V600E</w:t>
      </w:r>
      <w:r w:rsidRPr="00D3153A">
        <w:rPr>
          <w:rFonts w:eastAsia="Calibri" w:cs="Arial"/>
          <w:iCs/>
        </w:rPr>
        <w:t xml:space="preserve"> variant and an increased risk of mortality and progression, noting the differences in study design, patient population, </w:t>
      </w:r>
      <w:r w:rsidRPr="00D3153A">
        <w:rPr>
          <w:rFonts w:eastAsia="Calibri" w:cs="Arial"/>
          <w:i/>
          <w:iCs/>
        </w:rPr>
        <w:t xml:space="preserve">BRAF </w:t>
      </w:r>
      <w:r w:rsidRPr="00965823">
        <w:rPr>
          <w:rFonts w:eastAsia="Calibri" w:cs="Arial"/>
          <w:iCs/>
        </w:rPr>
        <w:t>V600E</w:t>
      </w:r>
      <w:r w:rsidRPr="00D3153A">
        <w:rPr>
          <w:rFonts w:eastAsia="Calibri" w:cs="Arial"/>
          <w:iCs/>
        </w:rPr>
        <w:t xml:space="preserve"> testing methods and assessment of potential confounders.</w:t>
      </w:r>
      <w:r>
        <w:rPr>
          <w:rFonts w:eastAsia="Calibri" w:cs="Arial"/>
          <w:iCs/>
        </w:rPr>
        <w:t xml:space="preserve"> In</w:t>
      </w:r>
      <w:r w:rsidRPr="00D3153A">
        <w:rPr>
          <w:rFonts w:eastAsia="Calibri" w:cs="Arial"/>
          <w:iCs/>
        </w:rPr>
        <w:t xml:space="preserve"> the prospective study</w:t>
      </w:r>
      <w:r w:rsidR="00247552">
        <w:rPr>
          <w:rFonts w:eastAsia="Calibri" w:cs="Arial"/>
          <w:iCs/>
        </w:rPr>
        <w:t>,</w:t>
      </w:r>
      <w:r w:rsidRPr="00D3153A">
        <w:rPr>
          <w:rFonts w:eastAsia="Calibri" w:cs="Arial"/>
          <w:iCs/>
        </w:rPr>
        <w:t xml:space="preserve"> </w:t>
      </w:r>
      <w:r>
        <w:rPr>
          <w:rFonts w:eastAsia="Calibri" w:cs="Arial"/>
          <w:iCs/>
        </w:rPr>
        <w:t>t</w:t>
      </w:r>
      <w:r w:rsidRPr="00D3153A">
        <w:rPr>
          <w:rFonts w:eastAsia="Calibri" w:cs="Arial"/>
          <w:iCs/>
        </w:rPr>
        <w:t xml:space="preserve">he </w:t>
      </w:r>
      <w:r w:rsidRPr="00D3153A">
        <w:rPr>
          <w:rFonts w:eastAsia="Calibri" w:cs="Arial"/>
          <w:i/>
          <w:iCs/>
        </w:rPr>
        <w:t xml:space="preserve">BRAF </w:t>
      </w:r>
      <w:r w:rsidRPr="00965823">
        <w:rPr>
          <w:rFonts w:eastAsia="Calibri" w:cs="Arial"/>
          <w:iCs/>
        </w:rPr>
        <w:t>V600E</w:t>
      </w:r>
      <w:r w:rsidRPr="00D3153A">
        <w:rPr>
          <w:rFonts w:eastAsia="Calibri" w:cs="Arial"/>
          <w:iCs/>
        </w:rPr>
        <w:t xml:space="preserve"> variant was a strong independent negative predictor of overall (cancer-specific) survival in patients with mCRC, HR = 4.24 (95% CI: 1.77, 10.2), p=0.001. </w:t>
      </w:r>
      <w:r>
        <w:rPr>
          <w:rFonts w:eastAsia="Calibri" w:cs="Arial"/>
          <w:iCs/>
        </w:rPr>
        <w:t>In</w:t>
      </w:r>
      <w:r w:rsidRPr="00D3153A">
        <w:rPr>
          <w:rFonts w:eastAsia="Calibri" w:cs="Arial"/>
          <w:iCs/>
        </w:rPr>
        <w:t xml:space="preserve"> the retrospective studies, the </w:t>
      </w:r>
      <w:r w:rsidRPr="00D3153A">
        <w:rPr>
          <w:rFonts w:eastAsia="Calibri" w:cs="Arial"/>
          <w:i/>
          <w:iCs/>
        </w:rPr>
        <w:t xml:space="preserve">BRAF </w:t>
      </w:r>
      <w:r w:rsidRPr="00965823">
        <w:rPr>
          <w:rFonts w:eastAsia="Calibri" w:cs="Arial"/>
          <w:iCs/>
        </w:rPr>
        <w:t>V600E</w:t>
      </w:r>
      <w:r w:rsidRPr="00D3153A">
        <w:rPr>
          <w:rFonts w:eastAsia="Calibri" w:cs="Arial"/>
          <w:iCs/>
        </w:rPr>
        <w:t xml:space="preserve"> variant was a strong independent negative predictor of non-cancer-specific overall survival, HRs ranged from 1.62 to 200 where analysis was limited to assessment of the prognostic value of </w:t>
      </w:r>
      <w:r w:rsidRPr="00D3153A">
        <w:rPr>
          <w:rFonts w:eastAsia="Calibri" w:cs="Arial"/>
          <w:i/>
          <w:iCs/>
        </w:rPr>
        <w:t xml:space="preserve">BRAF </w:t>
      </w:r>
      <w:r w:rsidRPr="00965823">
        <w:rPr>
          <w:rFonts w:eastAsia="Calibri" w:cs="Arial"/>
          <w:iCs/>
        </w:rPr>
        <w:t>V600E</w:t>
      </w:r>
      <w:r w:rsidRPr="00D3153A">
        <w:rPr>
          <w:rFonts w:eastAsia="Calibri" w:cs="Arial"/>
          <w:i/>
          <w:iCs/>
        </w:rPr>
        <w:t xml:space="preserve"> </w:t>
      </w:r>
      <w:r w:rsidRPr="00D3153A">
        <w:rPr>
          <w:rFonts w:eastAsia="Calibri" w:cs="Arial"/>
          <w:iCs/>
        </w:rPr>
        <w:t>status.</w:t>
      </w:r>
    </w:p>
    <w:p w14:paraId="542A307B" w14:textId="77777777" w:rsidR="0010279F" w:rsidRPr="00D3153A" w:rsidRDefault="0010279F" w:rsidP="0010279F">
      <w:pPr>
        <w:keepNext/>
        <w:keepLines/>
        <w:spacing w:before="200" w:after="120"/>
        <w:outlineLvl w:val="1"/>
        <w:rPr>
          <w:i/>
          <w:szCs w:val="26"/>
        </w:rPr>
      </w:pPr>
      <w:r w:rsidRPr="00D3153A">
        <w:rPr>
          <w:i/>
          <w:szCs w:val="26"/>
        </w:rPr>
        <w:t>Comparative analytical performance</w:t>
      </w:r>
    </w:p>
    <w:p w14:paraId="7192BA9E" w14:textId="248B74AC" w:rsidR="0010279F" w:rsidRPr="00D3153A" w:rsidRDefault="0010279F" w:rsidP="0010279F">
      <w:pPr>
        <w:spacing w:after="240"/>
        <w:rPr>
          <w:rFonts w:eastAsia="Calibri" w:cs="Arial"/>
        </w:rPr>
      </w:pPr>
      <w:r w:rsidRPr="00D3153A">
        <w:rPr>
          <w:rFonts w:eastAsia="Calibri" w:cs="Arial"/>
        </w:rPr>
        <w:t xml:space="preserve">No reference standard was presented for the detection of the </w:t>
      </w:r>
      <w:r w:rsidRPr="00D3153A">
        <w:rPr>
          <w:rFonts w:eastAsia="Calibri" w:cs="Arial"/>
          <w:i/>
        </w:rPr>
        <w:t xml:space="preserve">BRAF </w:t>
      </w:r>
      <w:r w:rsidR="00965823" w:rsidRPr="00965823">
        <w:rPr>
          <w:rFonts w:eastAsia="Calibri" w:cs="Arial"/>
        </w:rPr>
        <w:t>V600E</w:t>
      </w:r>
      <w:r w:rsidRPr="00D3153A">
        <w:rPr>
          <w:rFonts w:eastAsia="Calibri" w:cs="Arial"/>
        </w:rPr>
        <w:t xml:space="preserve"> </w:t>
      </w:r>
      <w:r w:rsidRPr="00D3153A">
        <w:rPr>
          <w:rFonts w:eastAsia="Calibri" w:cs="Arial"/>
          <w:iCs/>
        </w:rPr>
        <w:t>variant</w:t>
      </w:r>
      <w:r w:rsidRPr="00D3153A">
        <w:rPr>
          <w:rFonts w:eastAsia="Calibri" w:cs="Arial"/>
        </w:rPr>
        <w:t xml:space="preserve"> in either the submission or the ratified PICO confirmation. The Commentary considered that this was reasonable. </w:t>
      </w:r>
      <w:r w:rsidRPr="00D3153A">
        <w:rPr>
          <w:rFonts w:eastAsia="Calibri" w:cs="Arial"/>
          <w:iCs/>
        </w:rPr>
        <w:t xml:space="preserve">However, the Commentary highlighted that no justification was provided by the submission to support the claim of the lack of a reference standard for </w:t>
      </w:r>
      <w:r w:rsidRPr="00D3153A">
        <w:rPr>
          <w:rFonts w:eastAsia="Calibri" w:cs="Arial"/>
          <w:i/>
          <w:iCs/>
        </w:rPr>
        <w:t xml:space="preserve">BRAF </w:t>
      </w:r>
      <w:r w:rsidR="00965823" w:rsidRPr="00965823">
        <w:rPr>
          <w:rFonts w:eastAsia="Calibri" w:cs="Arial"/>
          <w:iCs/>
        </w:rPr>
        <w:t>V600E</w:t>
      </w:r>
      <w:r w:rsidRPr="00D3153A">
        <w:rPr>
          <w:rFonts w:eastAsia="Calibri" w:cs="Arial"/>
          <w:iCs/>
        </w:rPr>
        <w:t xml:space="preserve"> testing.</w:t>
      </w:r>
    </w:p>
    <w:p w14:paraId="250E3ABB" w14:textId="394CEE78" w:rsidR="0010279F" w:rsidRPr="00B22A16" w:rsidRDefault="0010279F" w:rsidP="00902E0A">
      <w:pPr>
        <w:spacing w:after="240"/>
        <w:rPr>
          <w:rFonts w:eastAsia="Calibri"/>
          <w:i/>
          <w:iCs/>
        </w:rPr>
      </w:pPr>
      <w:r w:rsidRPr="00D3153A">
        <w:rPr>
          <w:rFonts w:eastAsia="Calibri"/>
        </w:rPr>
        <w:t xml:space="preserve">The RT-PCR-CDx test was nominated by the submission as the evidentiary standard. The Commentary noted that </w:t>
      </w:r>
      <w:r w:rsidRPr="00D3153A">
        <w:rPr>
          <w:rFonts w:eastAsia="Calibri"/>
          <w:iCs/>
          <w:color w:val="000000"/>
        </w:rPr>
        <w:t>although the definition of the evidentiary standard can only be met by the RT-PCR-CTA, used in BEACON, t</w:t>
      </w:r>
      <w:r w:rsidRPr="00D3153A">
        <w:rPr>
          <w:rFonts w:eastAsia="Calibri"/>
          <w:color w:val="000000"/>
        </w:rPr>
        <w:t xml:space="preserve">he </w:t>
      </w:r>
      <w:r w:rsidRPr="00D3153A">
        <w:rPr>
          <w:rFonts w:eastAsia="Calibri"/>
        </w:rPr>
        <w:t xml:space="preserve">submission justified its choice by </w:t>
      </w:r>
      <w:r w:rsidRPr="00D3153A">
        <w:rPr>
          <w:rFonts w:eastAsia="Calibri"/>
          <w:iCs/>
        </w:rPr>
        <w:t>conducting a bridging study to confirm the concordance between RT-PCR-CDx and RT-PCR-CTA</w:t>
      </w:r>
      <w:r w:rsidR="0006594D">
        <w:rPr>
          <w:rFonts w:eastAsia="Calibri"/>
          <w:iCs/>
          <w:szCs w:val="22"/>
          <w:lang w:eastAsia="en-US"/>
        </w:rPr>
        <w:t xml:space="preserve"> in 1449 patients of 1677 screened for inclusion in the BEACON trial</w:t>
      </w:r>
      <w:r w:rsidRPr="00D3153A">
        <w:rPr>
          <w:rFonts w:eastAsia="Calibri"/>
          <w:iCs/>
        </w:rPr>
        <w:t>.</w:t>
      </w:r>
    </w:p>
    <w:p w14:paraId="2DEFF12D" w14:textId="5357C4E9" w:rsidR="0010279F" w:rsidRPr="00D3153A" w:rsidRDefault="0010279F" w:rsidP="0010279F">
      <w:pPr>
        <w:spacing w:after="240"/>
        <w:rPr>
          <w:rFonts w:eastAsia="Calibri" w:cs="Arial"/>
        </w:rPr>
      </w:pPr>
      <w:r w:rsidRPr="00D3153A">
        <w:rPr>
          <w:rFonts w:eastAsia="Calibri" w:cs="Arial"/>
        </w:rPr>
        <w:t xml:space="preserve">In BEACON, two methods for identifying the </w:t>
      </w:r>
      <w:r w:rsidRPr="00D3153A">
        <w:rPr>
          <w:rFonts w:eastAsia="Calibri" w:cs="Arial"/>
          <w:i/>
          <w:iCs/>
        </w:rPr>
        <w:t xml:space="preserve">BRAF </w:t>
      </w:r>
      <w:r w:rsidR="00965823" w:rsidRPr="00965823">
        <w:rPr>
          <w:rFonts w:eastAsia="Calibri" w:cs="Arial"/>
          <w:iCs/>
        </w:rPr>
        <w:t>V600E</w:t>
      </w:r>
      <w:r w:rsidRPr="00D3153A">
        <w:rPr>
          <w:rFonts w:eastAsia="Calibri" w:cs="Arial"/>
          <w:i/>
        </w:rPr>
        <w:t xml:space="preserve"> </w:t>
      </w:r>
      <w:r w:rsidRPr="00D3153A">
        <w:rPr>
          <w:rFonts w:eastAsia="Calibri" w:cs="Arial"/>
          <w:iCs/>
        </w:rPr>
        <w:t>variant</w:t>
      </w:r>
      <w:r w:rsidRPr="00D3153A">
        <w:rPr>
          <w:rFonts w:eastAsia="Calibri" w:cs="Arial"/>
        </w:rPr>
        <w:t xml:space="preserve"> were allowed: (i) local testing via next-generation sequencing (NGS) - or PCR-based methods (LDT), or (ii) in the absence of local testing, central testing via pyrosequencing using RT-PCR-CTA. All patients enrolled via LDT were to have their </w:t>
      </w:r>
      <w:r w:rsidRPr="00D3153A">
        <w:rPr>
          <w:rFonts w:eastAsia="Calibri" w:cs="Arial"/>
          <w:i/>
          <w:iCs/>
        </w:rPr>
        <w:t xml:space="preserve">BRAF </w:t>
      </w:r>
      <w:r w:rsidR="00965823" w:rsidRPr="00965823">
        <w:rPr>
          <w:rFonts w:eastAsia="Calibri" w:cs="Arial"/>
          <w:iCs/>
        </w:rPr>
        <w:t>V600E</w:t>
      </w:r>
      <w:r w:rsidRPr="00D3153A">
        <w:rPr>
          <w:rFonts w:eastAsia="Calibri" w:cs="Arial"/>
        </w:rPr>
        <w:t xml:space="preserve"> status confirmed via RT-PCR-CTA within 30 days; however, patients who were LDT positive/RT-PCR-CTA negative were allowed to remain in the study at the discretion of the investigator.</w:t>
      </w:r>
    </w:p>
    <w:p w14:paraId="75F58457" w14:textId="77777777" w:rsidR="0006594D" w:rsidRDefault="0010279F" w:rsidP="0010279F">
      <w:pPr>
        <w:spacing w:after="240"/>
        <w:rPr>
          <w:rFonts w:eastAsia="Calibri" w:cs="Arial"/>
        </w:rPr>
      </w:pPr>
      <w:r w:rsidRPr="00D3153A">
        <w:rPr>
          <w:rFonts w:eastAsia="Calibri" w:cs="Arial"/>
        </w:rPr>
        <w:lastRenderedPageBreak/>
        <w:t xml:space="preserve">The bridging study using the BEACON population was conducted to assess concordance between the RT-PCR-CTA and the RT-PCR-CDx. </w:t>
      </w:r>
      <w:r w:rsidR="0006594D">
        <w:rPr>
          <w:rFonts w:eastAsia="Calibri" w:cs="Arial"/>
        </w:rPr>
        <w:t xml:space="preserve">It </w:t>
      </w:r>
      <w:r w:rsidRPr="00D3153A">
        <w:rPr>
          <w:rFonts w:eastAsia="Calibri" w:cs="Arial"/>
        </w:rPr>
        <w:t xml:space="preserve">demonstrated high concordance between RT-PCR-CDx and CTA, OPA = 99.9% (95% CI: 99.2%, 100%); </w:t>
      </w:r>
      <w:r w:rsidRPr="00D3153A">
        <w:rPr>
          <w:rFonts w:eastAsia="Calibri"/>
        </w:rPr>
        <w:t>PPA = 99.6% (95% CI: 97.9%, 100%) and 100% (95% CI: 98.6%, 100%); NPA = 100% (95% CI: 99.1%, 100%) and 99.8% (95% CI: 98.7%, 100%) when RT-PCR-CDx and RT-PCR-CTA were used as reference methods respectively</w:t>
      </w:r>
      <w:r w:rsidR="0006594D">
        <w:rPr>
          <w:rFonts w:eastAsia="Calibri" w:cs="Arial"/>
        </w:rPr>
        <w:t>.</w:t>
      </w:r>
    </w:p>
    <w:p w14:paraId="69040BA2" w14:textId="018D59D8" w:rsidR="0010279F" w:rsidRPr="00D3153A" w:rsidRDefault="0006594D" w:rsidP="0010279F">
      <w:pPr>
        <w:spacing w:after="240"/>
        <w:rPr>
          <w:rFonts w:eastAsia="Calibri" w:cs="Arial"/>
        </w:rPr>
      </w:pPr>
      <w:r w:rsidRPr="00D3153A">
        <w:rPr>
          <w:rFonts w:eastAsia="Calibri" w:cs="Arial"/>
        </w:rPr>
        <w:t xml:space="preserve">The submission </w:t>
      </w:r>
      <w:r>
        <w:rPr>
          <w:rFonts w:eastAsia="Calibri" w:cs="Arial"/>
        </w:rPr>
        <w:t xml:space="preserve">also </w:t>
      </w:r>
      <w:r w:rsidRPr="00D3153A">
        <w:rPr>
          <w:rFonts w:eastAsia="Calibri" w:cs="Arial"/>
        </w:rPr>
        <w:t xml:space="preserve">presented comparative OS results </w:t>
      </w:r>
      <w:r>
        <w:rPr>
          <w:rFonts w:eastAsia="Calibri" w:cs="Arial"/>
        </w:rPr>
        <w:t>across</w:t>
      </w:r>
      <w:r w:rsidRPr="00D3153A">
        <w:rPr>
          <w:rFonts w:eastAsia="Calibri" w:cs="Arial"/>
        </w:rPr>
        <w:t xml:space="preserve"> the BEACON population</w:t>
      </w:r>
      <w:r>
        <w:rPr>
          <w:rFonts w:eastAsia="Calibri" w:cs="Arial"/>
        </w:rPr>
        <w:t xml:space="preserve"> according to these two </w:t>
      </w:r>
      <w:r w:rsidRPr="00D3153A">
        <w:rPr>
          <w:rFonts w:eastAsia="Calibri" w:cs="Arial"/>
        </w:rPr>
        <w:t xml:space="preserve">testing methodologies. </w:t>
      </w:r>
      <w:r w:rsidR="0010279F" w:rsidRPr="00CF2D89">
        <w:rPr>
          <w:rFonts w:eastAsia="Calibri" w:cs="Arial"/>
        </w:rPr>
        <w:t xml:space="preserve">When RT-PCR-CTA was used to confirm </w:t>
      </w:r>
      <w:r w:rsidR="0010279F" w:rsidRPr="00CF2D89">
        <w:rPr>
          <w:rFonts w:eastAsia="Calibri" w:cs="Arial"/>
          <w:i/>
          <w:iCs/>
        </w:rPr>
        <w:t xml:space="preserve">BRAF </w:t>
      </w:r>
      <w:r w:rsidR="00965823" w:rsidRPr="00CF2D89">
        <w:rPr>
          <w:rFonts w:eastAsia="Calibri" w:cs="Arial"/>
          <w:iCs/>
        </w:rPr>
        <w:t>V600E</w:t>
      </w:r>
      <w:r w:rsidR="0010279F" w:rsidRPr="00CF2D89">
        <w:rPr>
          <w:rFonts w:eastAsia="Calibri" w:cs="Arial"/>
        </w:rPr>
        <w:t xml:space="preserve"> status, the OS for encorafenib + cetuximab compared to control was HR = </w:t>
      </w:r>
      <w:r w:rsidR="0010279F" w:rsidRPr="00272931">
        <w:rPr>
          <w:rFonts w:eastAsia="Calibri" w:cs="Arial"/>
        </w:rPr>
        <w:t>0.59</w:t>
      </w:r>
      <w:r w:rsidR="0010279F" w:rsidRPr="00CF2D89">
        <w:rPr>
          <w:rFonts w:eastAsia="Calibri" w:cs="Arial"/>
        </w:rPr>
        <w:t xml:space="preserve"> (95% CI </w:t>
      </w:r>
      <w:r w:rsidR="0010279F" w:rsidRPr="00272931">
        <w:rPr>
          <w:rFonts w:eastAsia="Calibri" w:cs="Arial"/>
        </w:rPr>
        <w:t>0.45, 0.79</w:t>
      </w:r>
      <w:r w:rsidR="0010279F" w:rsidRPr="00CF2D89">
        <w:rPr>
          <w:rFonts w:eastAsia="Calibri" w:cs="Arial"/>
        </w:rPr>
        <w:t xml:space="preserve">) whilst when RT-PCR-CDx was used the HR = </w:t>
      </w:r>
      <w:r w:rsidR="0010279F" w:rsidRPr="00272931">
        <w:rPr>
          <w:rFonts w:eastAsia="Calibri" w:cs="Arial"/>
        </w:rPr>
        <w:t>0.55</w:t>
      </w:r>
      <w:r w:rsidR="0010279F" w:rsidRPr="00CF2D89">
        <w:rPr>
          <w:rFonts w:eastAsia="Calibri" w:cs="Arial"/>
        </w:rPr>
        <w:t xml:space="preserve"> (95% CI </w:t>
      </w:r>
      <w:r w:rsidR="0010279F" w:rsidRPr="00272931">
        <w:rPr>
          <w:rFonts w:eastAsia="Calibri" w:cs="Arial"/>
        </w:rPr>
        <w:t>0.41, 0.74</w:t>
      </w:r>
      <w:r w:rsidR="0010279F" w:rsidRPr="00CF2D89">
        <w:rPr>
          <w:rFonts w:eastAsia="Calibri" w:cs="Arial"/>
        </w:rPr>
        <w:t>). Based on these results, the submission claimed that, regardless of the testing methodology used, encorafenib based therapy resulted in superior efficacy in terms of OS compared with control, and that the RT-PCR-CDx test can be used as an evidentiary standard for the submission.</w:t>
      </w:r>
      <w:r w:rsidR="0010279F" w:rsidRPr="00D3153A">
        <w:rPr>
          <w:rFonts w:eastAsia="Calibri" w:cs="Arial"/>
        </w:rPr>
        <w:t xml:space="preserve"> </w:t>
      </w:r>
      <w:r w:rsidR="0010279F" w:rsidRPr="00D3153A">
        <w:rPr>
          <w:rFonts w:eastAsia="Calibri"/>
          <w:iCs/>
        </w:rPr>
        <w:t>The Commentary concluded that the submission has provided sufficient evidence to confirm that using the RT-PCR-CDx would classify very few patients differently than RT-PCR-CTA.</w:t>
      </w:r>
      <w:r w:rsidR="00DB7F0E" w:rsidRPr="00DB7F0E">
        <w:rPr>
          <w:rFonts w:eastAsia="Calibri"/>
          <w:iCs/>
        </w:rPr>
        <w:t xml:space="preserve"> </w:t>
      </w:r>
      <w:r w:rsidR="00DB7F0E">
        <w:rPr>
          <w:rFonts w:eastAsia="Calibri"/>
          <w:iCs/>
        </w:rPr>
        <w:t xml:space="preserve">The pre-MSAC response reiterated that the bridging study supported the high level of concordance between the RT-PCR-CTA and RT-PCR-CDx test and that </w:t>
      </w:r>
      <w:r w:rsidR="00DB7F0E" w:rsidRPr="00DB7F0E">
        <w:rPr>
          <w:rFonts w:eastAsia="Calibri"/>
          <w:iCs/>
        </w:rPr>
        <w:t xml:space="preserve">any differential classification did not impact on the </w:t>
      </w:r>
      <w:r w:rsidR="00DB7F0E">
        <w:rPr>
          <w:rFonts w:eastAsia="Calibri"/>
          <w:iCs/>
        </w:rPr>
        <w:t>hazard ratio for overall survival.</w:t>
      </w:r>
    </w:p>
    <w:p w14:paraId="5B3F4035" w14:textId="4D5EF83E" w:rsidR="0010279F" w:rsidRPr="00D3153A" w:rsidRDefault="0010279F" w:rsidP="007C3B31">
      <w:pPr>
        <w:spacing w:after="240"/>
        <w:rPr>
          <w:rFonts w:eastAsia="Calibri"/>
          <w:i/>
          <w:iCs/>
        </w:rPr>
      </w:pPr>
      <w:r w:rsidRPr="00D3153A">
        <w:rPr>
          <w:rFonts w:eastAsia="Calibri"/>
        </w:rPr>
        <w:t xml:space="preserve">The submission claimed that, since there is no reference standard for </w:t>
      </w:r>
      <w:r w:rsidRPr="00D3153A">
        <w:rPr>
          <w:rFonts w:eastAsia="Calibri"/>
          <w:i/>
          <w:iCs/>
        </w:rPr>
        <w:t xml:space="preserve">BRAF </w:t>
      </w:r>
      <w:r w:rsidR="00965823" w:rsidRPr="00965823">
        <w:rPr>
          <w:rFonts w:eastAsia="Calibri"/>
          <w:iCs/>
        </w:rPr>
        <w:t>V600E</w:t>
      </w:r>
      <w:r w:rsidRPr="00D3153A">
        <w:rPr>
          <w:rFonts w:eastAsia="Calibri"/>
          <w:iCs/>
        </w:rPr>
        <w:t xml:space="preserve"> </w:t>
      </w:r>
      <w:r w:rsidRPr="00D3153A">
        <w:rPr>
          <w:rFonts w:eastAsia="Calibri"/>
        </w:rPr>
        <w:t xml:space="preserve">testing, a variety of testing methods can be used in practice to confirm </w:t>
      </w:r>
      <w:r w:rsidRPr="00D3153A">
        <w:rPr>
          <w:rFonts w:eastAsia="Calibri"/>
          <w:i/>
          <w:iCs/>
        </w:rPr>
        <w:t xml:space="preserve">BRAF </w:t>
      </w:r>
      <w:r w:rsidR="00965823" w:rsidRPr="00965823">
        <w:rPr>
          <w:rFonts w:eastAsia="Calibri"/>
          <w:iCs/>
        </w:rPr>
        <w:t>V600E</w:t>
      </w:r>
      <w:r w:rsidRPr="00D3153A">
        <w:rPr>
          <w:rFonts w:eastAsia="Calibri"/>
        </w:rPr>
        <w:t xml:space="preserve"> status of mCRC patients.</w:t>
      </w:r>
      <w:r w:rsidRPr="00D3153A">
        <w:rPr>
          <w:rFonts w:ascii="Calibri" w:eastAsia="Calibri" w:hAnsi="Calibri" w:cs="Arial"/>
        </w:rPr>
        <w:t xml:space="preserve"> </w:t>
      </w:r>
      <w:r w:rsidRPr="00D3153A">
        <w:rPr>
          <w:rFonts w:eastAsia="Calibri"/>
        </w:rPr>
        <w:t xml:space="preserve">A desktop research study conducted by the submission showed that </w:t>
      </w:r>
      <w:r w:rsidRPr="00D3153A">
        <w:rPr>
          <w:rFonts w:eastAsia="Calibri"/>
          <w:i/>
        </w:rPr>
        <w:t>BRAF</w:t>
      </w:r>
      <w:r w:rsidRPr="00D3153A">
        <w:rPr>
          <w:rFonts w:eastAsia="Calibri"/>
        </w:rPr>
        <w:t xml:space="preserve"> testing currently conducted in Australia for patients with mCRC is mostly part of a somatic gene panel approach. This was confirmed by a survey of Australian pathologists who stated that the most commonly used methodology is NGS and </w:t>
      </w:r>
      <w:r w:rsidR="00262E8F">
        <w:rPr>
          <w:rFonts w:eastAsia="Calibri"/>
        </w:rPr>
        <w:t>mass spectroscopy (</w:t>
      </w:r>
      <w:r w:rsidRPr="00D3153A">
        <w:rPr>
          <w:rFonts w:eastAsia="Calibri"/>
        </w:rPr>
        <w:t>MS</w:t>
      </w:r>
      <w:r w:rsidR="00262E8F">
        <w:rPr>
          <w:rFonts w:eastAsia="Calibri"/>
        </w:rPr>
        <w:t>)</w:t>
      </w:r>
      <w:r w:rsidRPr="00D3153A">
        <w:rPr>
          <w:rFonts w:eastAsia="Calibri"/>
        </w:rPr>
        <w:t>.</w:t>
      </w:r>
    </w:p>
    <w:p w14:paraId="14140D38" w14:textId="5C4738CC" w:rsidR="0054469D" w:rsidRPr="0054469D" w:rsidRDefault="0010279F">
      <w:pPr>
        <w:rPr>
          <w:rFonts w:eastAsia="Calibri"/>
          <w:iCs/>
        </w:rPr>
      </w:pPr>
      <w:r w:rsidRPr="00D3153A">
        <w:rPr>
          <w:rFonts w:eastAsia="Calibri"/>
        </w:rPr>
        <w:t xml:space="preserve">To support the claim that the identification of the </w:t>
      </w:r>
      <w:r w:rsidRPr="00D3153A">
        <w:rPr>
          <w:rFonts w:eastAsia="Calibri"/>
          <w:i/>
          <w:iCs/>
        </w:rPr>
        <w:t xml:space="preserve">BRAF </w:t>
      </w:r>
      <w:r w:rsidR="00965823" w:rsidRPr="00965823">
        <w:rPr>
          <w:rFonts w:eastAsia="Calibri"/>
          <w:iCs/>
        </w:rPr>
        <w:t>V600E</w:t>
      </w:r>
      <w:r w:rsidRPr="00D3153A">
        <w:rPr>
          <w:rFonts w:eastAsia="Calibri"/>
        </w:rPr>
        <w:t xml:space="preserve"> variant in mCRC can be reliably carried out using a variety of testing methods, the accuracy and performance of these tests was compared against the nominated evidentiary standard where possible, and against each other where it was not. A summary of the results of the assessment of concordance of </w:t>
      </w:r>
      <w:r w:rsidRPr="00D3153A">
        <w:rPr>
          <w:rFonts w:eastAsia="Calibri"/>
          <w:i/>
          <w:iCs/>
        </w:rPr>
        <w:t xml:space="preserve">BRAF </w:t>
      </w:r>
      <w:r w:rsidR="00965823" w:rsidRPr="00965823">
        <w:rPr>
          <w:rFonts w:eastAsia="Calibri"/>
          <w:iCs/>
        </w:rPr>
        <w:t>V600E</w:t>
      </w:r>
      <w:r w:rsidRPr="00D3153A">
        <w:rPr>
          <w:rFonts w:eastAsia="Calibri"/>
          <w:iCs/>
        </w:rPr>
        <w:t xml:space="preserve"> </w:t>
      </w:r>
      <w:r w:rsidRPr="00D3153A">
        <w:rPr>
          <w:rFonts w:eastAsia="Calibri"/>
        </w:rPr>
        <w:t xml:space="preserve">testing between various possible comparators and reference tests in the included concordance studies is </w:t>
      </w:r>
      <w:r w:rsidRPr="00A06C17">
        <w:rPr>
          <w:rFonts w:eastAsia="Calibri"/>
        </w:rPr>
        <w:t xml:space="preserve">presented in </w:t>
      </w:r>
      <w:r w:rsidR="009835BB">
        <w:rPr>
          <w:rFonts w:eastAsia="Calibri"/>
        </w:rPr>
        <w:t>Table 6</w:t>
      </w:r>
      <w:r w:rsidRPr="00A06C17">
        <w:rPr>
          <w:rFonts w:eastAsia="Calibri"/>
        </w:rPr>
        <w:t>.</w:t>
      </w:r>
      <w:r w:rsidRPr="00D3153A">
        <w:rPr>
          <w:rFonts w:eastAsia="Calibri"/>
        </w:rPr>
        <w:t xml:space="preserve"> </w:t>
      </w:r>
      <w:r w:rsidRPr="00D3153A">
        <w:rPr>
          <w:rFonts w:eastAsia="Calibri"/>
          <w:color w:val="000000"/>
        </w:rPr>
        <w:t>The measures of test</w:t>
      </w:r>
      <w:r w:rsidRPr="00D3153A">
        <w:rPr>
          <w:rFonts w:eastAsia="Calibri"/>
          <w:i/>
          <w:iCs/>
          <w:color w:val="000000"/>
        </w:rPr>
        <w:t xml:space="preserve"> </w:t>
      </w:r>
      <w:r w:rsidRPr="00D3153A">
        <w:rPr>
          <w:rFonts w:eastAsia="Calibri"/>
          <w:color w:val="000000"/>
        </w:rPr>
        <w:t xml:space="preserve">concordance calculated by the submission were OPA, PPA and NPA. </w:t>
      </w:r>
      <w:r w:rsidRPr="00D3153A">
        <w:rPr>
          <w:rFonts w:eastAsia="Calibri"/>
          <w:iCs/>
        </w:rPr>
        <w:t>While the Commentary considered the presentation of concordance data was reasonable, the extent of misallocation of patients to treatment and the corresponding potential harms due to false positives or false negatives remains uncertain.</w:t>
      </w:r>
      <w:bookmarkStart w:id="6" w:name="_Ref62638331"/>
      <w:r w:rsidR="0054469D">
        <w:br w:type="page"/>
      </w:r>
    </w:p>
    <w:p w14:paraId="2238A065" w14:textId="13D8ABE1" w:rsidR="0010279F" w:rsidRPr="00BD0E7A" w:rsidRDefault="0010279F" w:rsidP="0054469D">
      <w:pPr>
        <w:pStyle w:val="Caption"/>
      </w:pPr>
      <w:r w:rsidRPr="00BD0E7A">
        <w:lastRenderedPageBreak/>
        <w:t>Table</w:t>
      </w:r>
      <w:bookmarkEnd w:id="6"/>
      <w:r w:rsidR="009835BB">
        <w:t xml:space="preserve"> 6</w:t>
      </w:r>
      <w:r w:rsidRPr="00BD0E7A">
        <w:tab/>
      </w:r>
      <w:r w:rsidRPr="00BD0E7A">
        <w:rPr>
          <w:rFonts w:eastAsia="Calibri" w:cs="Calibri"/>
        </w:rPr>
        <w:t>Summary of concordance results</w:t>
      </w:r>
    </w:p>
    <w:tbl>
      <w:tblPr>
        <w:tblStyle w:val="TableGridbeth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ummary of concordance results"/>
      </w:tblPr>
      <w:tblGrid>
        <w:gridCol w:w="2547"/>
        <w:gridCol w:w="1134"/>
        <w:gridCol w:w="1134"/>
        <w:gridCol w:w="1134"/>
        <w:gridCol w:w="3067"/>
      </w:tblGrid>
      <w:tr w:rsidR="0010279F" w:rsidRPr="00D3153A" w14:paraId="57CDEF33" w14:textId="77777777" w:rsidTr="00AF5486">
        <w:trPr>
          <w:cnfStyle w:val="100000000000" w:firstRow="1" w:lastRow="0" w:firstColumn="0" w:lastColumn="0" w:oddVBand="0" w:evenVBand="0" w:oddHBand="0" w:evenHBand="0" w:firstRowFirstColumn="0" w:firstRowLastColumn="0" w:lastRowFirstColumn="0" w:lastRowLastColumn="0"/>
          <w:tblHeader/>
        </w:trPr>
        <w:tc>
          <w:tcPr>
            <w:tcW w:w="2547" w:type="dxa"/>
            <w:shd w:val="clear" w:color="auto" w:fill="auto"/>
          </w:tcPr>
          <w:p w14:paraId="716E1A0E" w14:textId="77777777" w:rsidR="0010279F" w:rsidRPr="00D3153A" w:rsidRDefault="0010279F" w:rsidP="00AF5486">
            <w:pPr>
              <w:spacing w:before="40" w:after="40" w:line="256" w:lineRule="auto"/>
              <w:rPr>
                <w:rFonts w:ascii="Arial Narrow" w:eastAsia="Calibri" w:hAnsi="Arial Narrow" w:cs="Arial"/>
                <w:sz w:val="20"/>
              </w:rPr>
            </w:pPr>
            <w:r w:rsidRPr="00D3153A">
              <w:rPr>
                <w:rFonts w:ascii="Arial Narrow" w:eastAsia="Calibri" w:hAnsi="Arial Narrow" w:cs="Arial"/>
                <w:sz w:val="20"/>
              </w:rPr>
              <w:t>Comparator test</w:t>
            </w:r>
          </w:p>
        </w:tc>
        <w:tc>
          <w:tcPr>
            <w:tcW w:w="1134" w:type="dxa"/>
            <w:shd w:val="clear" w:color="auto" w:fill="auto"/>
          </w:tcPr>
          <w:p w14:paraId="27EA8359" w14:textId="77777777" w:rsidR="0010279F" w:rsidRPr="00D3153A" w:rsidRDefault="0010279F" w:rsidP="00AF5486">
            <w:pPr>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OPA</w:t>
            </w:r>
          </w:p>
        </w:tc>
        <w:tc>
          <w:tcPr>
            <w:tcW w:w="1134" w:type="dxa"/>
            <w:shd w:val="clear" w:color="auto" w:fill="auto"/>
          </w:tcPr>
          <w:p w14:paraId="6ABDB556" w14:textId="77777777" w:rsidR="0010279F" w:rsidRPr="00D3153A" w:rsidRDefault="0010279F" w:rsidP="00AF5486">
            <w:pPr>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PPA</w:t>
            </w:r>
          </w:p>
        </w:tc>
        <w:tc>
          <w:tcPr>
            <w:tcW w:w="1134" w:type="dxa"/>
            <w:shd w:val="clear" w:color="auto" w:fill="auto"/>
          </w:tcPr>
          <w:p w14:paraId="0AE29370" w14:textId="77777777" w:rsidR="0010279F" w:rsidRPr="00D3153A" w:rsidRDefault="0010279F" w:rsidP="00AF5486">
            <w:pPr>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NPA</w:t>
            </w:r>
          </w:p>
        </w:tc>
        <w:tc>
          <w:tcPr>
            <w:tcW w:w="3067" w:type="dxa"/>
            <w:shd w:val="clear" w:color="auto" w:fill="auto"/>
          </w:tcPr>
          <w:p w14:paraId="313EF872" w14:textId="77777777" w:rsidR="0010279F" w:rsidRPr="00D3153A" w:rsidRDefault="0010279F" w:rsidP="00AF5486">
            <w:pPr>
              <w:spacing w:before="40" w:after="40" w:line="256" w:lineRule="auto"/>
              <w:rPr>
                <w:rFonts w:ascii="Arial Narrow" w:eastAsia="Calibri" w:hAnsi="Arial Narrow" w:cs="Arial"/>
                <w:sz w:val="20"/>
              </w:rPr>
            </w:pPr>
            <w:r w:rsidRPr="00D3153A">
              <w:rPr>
                <w:rFonts w:ascii="Arial Narrow" w:eastAsia="Calibri" w:hAnsi="Arial Narrow" w:cs="Arial"/>
                <w:sz w:val="20"/>
              </w:rPr>
              <w:t>Source</w:t>
            </w:r>
          </w:p>
        </w:tc>
      </w:tr>
      <w:tr w:rsidR="0010279F" w:rsidRPr="00D3153A" w14:paraId="4A277501" w14:textId="77777777" w:rsidTr="00AF5486">
        <w:tc>
          <w:tcPr>
            <w:tcW w:w="9016" w:type="dxa"/>
            <w:gridSpan w:val="5"/>
          </w:tcPr>
          <w:p w14:paraId="125E63CD" w14:textId="77777777" w:rsidR="0010279F" w:rsidRPr="00D3153A" w:rsidRDefault="0010279F" w:rsidP="00AF5486">
            <w:pPr>
              <w:spacing w:before="40" w:after="40" w:line="256" w:lineRule="auto"/>
              <w:rPr>
                <w:rFonts w:ascii="Arial Narrow" w:eastAsia="Calibri" w:hAnsi="Arial Narrow" w:cs="Arial"/>
                <w:b/>
                <w:bCs/>
                <w:sz w:val="20"/>
              </w:rPr>
            </w:pPr>
            <w:r w:rsidRPr="00D3153A">
              <w:rPr>
                <w:rFonts w:ascii="Arial Narrow" w:eastAsia="Calibri" w:hAnsi="Arial Narrow" w:cs="Arial"/>
                <w:b/>
                <w:bCs/>
                <w:sz w:val="20"/>
              </w:rPr>
              <w:t>Tests compared to RT-PCR-CDx</w:t>
            </w:r>
          </w:p>
        </w:tc>
      </w:tr>
      <w:tr w:rsidR="0010279F" w:rsidRPr="00D3153A" w14:paraId="54D90733" w14:textId="77777777" w:rsidTr="00AF5486">
        <w:tc>
          <w:tcPr>
            <w:tcW w:w="2547" w:type="dxa"/>
          </w:tcPr>
          <w:p w14:paraId="66C096C8" w14:textId="77777777" w:rsidR="0010279F" w:rsidRPr="00D3153A" w:rsidRDefault="0010279F" w:rsidP="00AF5486">
            <w:pPr>
              <w:spacing w:before="40" w:after="40" w:line="256" w:lineRule="auto"/>
              <w:rPr>
                <w:rFonts w:ascii="Arial Narrow" w:eastAsia="Calibri" w:hAnsi="Arial Narrow" w:cs="Arial"/>
                <w:sz w:val="20"/>
              </w:rPr>
            </w:pPr>
            <w:r w:rsidRPr="00D3153A">
              <w:rPr>
                <w:rFonts w:ascii="Arial Narrow" w:eastAsia="Calibri" w:hAnsi="Arial Narrow" w:cs="Arial"/>
                <w:sz w:val="20"/>
              </w:rPr>
              <w:t>Sanger sequencing</w:t>
            </w:r>
          </w:p>
        </w:tc>
        <w:tc>
          <w:tcPr>
            <w:tcW w:w="1134" w:type="dxa"/>
          </w:tcPr>
          <w:p w14:paraId="05655452"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95.2%</w:t>
            </w:r>
          </w:p>
        </w:tc>
        <w:tc>
          <w:tcPr>
            <w:tcW w:w="1134" w:type="dxa"/>
          </w:tcPr>
          <w:p w14:paraId="1B608337"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90.6%</w:t>
            </w:r>
          </w:p>
        </w:tc>
        <w:tc>
          <w:tcPr>
            <w:tcW w:w="1134" w:type="dxa"/>
          </w:tcPr>
          <w:p w14:paraId="60969C03"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100%</w:t>
            </w:r>
          </w:p>
        </w:tc>
        <w:tc>
          <w:tcPr>
            <w:tcW w:w="3067" w:type="dxa"/>
          </w:tcPr>
          <w:p w14:paraId="0CEC006D" w14:textId="77777777" w:rsidR="0010279F" w:rsidRPr="00D3153A" w:rsidRDefault="0010279F" w:rsidP="00AF5486">
            <w:pPr>
              <w:spacing w:before="40" w:after="40" w:line="256" w:lineRule="auto"/>
              <w:rPr>
                <w:rFonts w:ascii="Arial Narrow" w:eastAsia="Calibri" w:hAnsi="Arial Narrow" w:cs="Arial"/>
                <w:sz w:val="20"/>
              </w:rPr>
            </w:pPr>
            <w:r w:rsidRPr="00D3153A">
              <w:rPr>
                <w:rFonts w:ascii="Arial Narrow" w:eastAsia="Calibri" w:hAnsi="Arial Narrow" w:cs="Arial"/>
                <w:sz w:val="20"/>
              </w:rPr>
              <w:t>FDA 2020</w:t>
            </w:r>
          </w:p>
        </w:tc>
      </w:tr>
      <w:tr w:rsidR="0010279F" w:rsidRPr="00D3153A" w14:paraId="223C973E" w14:textId="77777777" w:rsidTr="00AF5486">
        <w:tc>
          <w:tcPr>
            <w:tcW w:w="2547" w:type="dxa"/>
          </w:tcPr>
          <w:p w14:paraId="24F612CF" w14:textId="77777777" w:rsidR="0010279F" w:rsidRPr="00D3153A" w:rsidRDefault="0010279F" w:rsidP="00AF5486">
            <w:pPr>
              <w:spacing w:before="40" w:after="40" w:line="256" w:lineRule="auto"/>
              <w:rPr>
                <w:rFonts w:ascii="Arial Narrow" w:eastAsia="Calibri" w:hAnsi="Arial Narrow" w:cs="Arial"/>
                <w:sz w:val="20"/>
              </w:rPr>
            </w:pPr>
            <w:r w:rsidRPr="00D3153A">
              <w:rPr>
                <w:rFonts w:ascii="Arial Narrow" w:eastAsia="Calibri" w:hAnsi="Arial Narrow" w:cs="Arial"/>
                <w:sz w:val="20"/>
              </w:rPr>
              <w:t>Multiplex (</w:t>
            </w:r>
            <w:r w:rsidRPr="00D3153A">
              <w:rPr>
                <w:rFonts w:ascii="Arial Narrow" w:eastAsia="Calibri" w:hAnsi="Arial Narrow" w:cs="Arial"/>
                <w:i/>
                <w:iCs/>
                <w:sz w:val="20"/>
              </w:rPr>
              <w:t>RAS</w:t>
            </w:r>
            <w:r w:rsidRPr="00D3153A">
              <w:rPr>
                <w:rFonts w:ascii="Arial Narrow" w:eastAsia="Calibri" w:hAnsi="Arial Narrow" w:cs="Arial"/>
                <w:sz w:val="20"/>
              </w:rPr>
              <w:t>KET-B)</w:t>
            </w:r>
          </w:p>
        </w:tc>
        <w:tc>
          <w:tcPr>
            <w:tcW w:w="1134" w:type="dxa"/>
          </w:tcPr>
          <w:p w14:paraId="0F3C5C87"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99.7%</w:t>
            </w:r>
          </w:p>
        </w:tc>
        <w:tc>
          <w:tcPr>
            <w:tcW w:w="1134" w:type="dxa"/>
          </w:tcPr>
          <w:p w14:paraId="19B66BE8"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100%</w:t>
            </w:r>
          </w:p>
        </w:tc>
        <w:tc>
          <w:tcPr>
            <w:tcW w:w="1134" w:type="dxa"/>
          </w:tcPr>
          <w:p w14:paraId="065653FD"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99.6%</w:t>
            </w:r>
          </w:p>
        </w:tc>
        <w:tc>
          <w:tcPr>
            <w:tcW w:w="3067" w:type="dxa"/>
          </w:tcPr>
          <w:p w14:paraId="38E0C6EF" w14:textId="77777777" w:rsidR="0010279F" w:rsidRPr="00D3153A" w:rsidRDefault="0010279F" w:rsidP="00AF5486">
            <w:pPr>
              <w:spacing w:before="40" w:after="40" w:line="256" w:lineRule="auto"/>
              <w:rPr>
                <w:rFonts w:ascii="Arial Narrow" w:eastAsia="Calibri" w:hAnsi="Arial Narrow" w:cs="Arial"/>
                <w:sz w:val="20"/>
              </w:rPr>
            </w:pPr>
            <w:r w:rsidRPr="00D3153A">
              <w:rPr>
                <w:rFonts w:ascii="Arial Narrow" w:eastAsia="Calibri" w:hAnsi="Arial Narrow" w:cs="Arial"/>
                <w:sz w:val="20"/>
              </w:rPr>
              <w:t>Taniguchi 2018</w:t>
            </w:r>
          </w:p>
        </w:tc>
      </w:tr>
      <w:tr w:rsidR="0010279F" w:rsidRPr="00D3153A" w14:paraId="53D637CD" w14:textId="77777777" w:rsidTr="00AF5486">
        <w:tc>
          <w:tcPr>
            <w:tcW w:w="2547" w:type="dxa"/>
          </w:tcPr>
          <w:p w14:paraId="0982E5E4" w14:textId="77777777" w:rsidR="0010279F" w:rsidRPr="00D3153A" w:rsidRDefault="0010279F" w:rsidP="00AF5486">
            <w:pPr>
              <w:spacing w:before="40" w:after="40" w:line="256" w:lineRule="auto"/>
              <w:rPr>
                <w:rFonts w:ascii="Arial Narrow" w:eastAsia="Calibri" w:hAnsi="Arial Narrow" w:cs="Arial"/>
                <w:sz w:val="20"/>
              </w:rPr>
            </w:pPr>
            <w:r w:rsidRPr="00D3153A">
              <w:rPr>
                <w:rFonts w:ascii="Arial Narrow" w:eastAsia="Calibri" w:hAnsi="Arial Narrow" w:cs="Arial"/>
                <w:sz w:val="20"/>
              </w:rPr>
              <w:t>RT-PCR (cobas)</w:t>
            </w:r>
          </w:p>
        </w:tc>
        <w:tc>
          <w:tcPr>
            <w:tcW w:w="1134" w:type="dxa"/>
          </w:tcPr>
          <w:p w14:paraId="7DBA106D"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98.1%</w:t>
            </w:r>
          </w:p>
        </w:tc>
        <w:tc>
          <w:tcPr>
            <w:tcW w:w="1134" w:type="dxa"/>
          </w:tcPr>
          <w:p w14:paraId="66151311"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75.8%</w:t>
            </w:r>
          </w:p>
        </w:tc>
        <w:tc>
          <w:tcPr>
            <w:tcW w:w="1134" w:type="dxa"/>
          </w:tcPr>
          <w:p w14:paraId="51895B8D"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99.3%</w:t>
            </w:r>
          </w:p>
        </w:tc>
        <w:tc>
          <w:tcPr>
            <w:tcW w:w="3067" w:type="dxa"/>
          </w:tcPr>
          <w:p w14:paraId="1D8A0B0A" w14:textId="77777777" w:rsidR="0010279F" w:rsidRPr="00D3153A" w:rsidRDefault="0010279F" w:rsidP="00AF5486">
            <w:pPr>
              <w:spacing w:before="40" w:after="40" w:line="256" w:lineRule="auto"/>
              <w:rPr>
                <w:rFonts w:ascii="Arial Narrow" w:eastAsia="Calibri" w:hAnsi="Arial Narrow" w:cs="Arial"/>
                <w:sz w:val="20"/>
              </w:rPr>
            </w:pPr>
            <w:r w:rsidRPr="00D3153A">
              <w:rPr>
                <w:rFonts w:ascii="Arial Narrow" w:eastAsia="Calibri" w:hAnsi="Arial Narrow" w:cs="Arial"/>
                <w:sz w:val="20"/>
              </w:rPr>
              <w:t>Santos 2017</w:t>
            </w:r>
          </w:p>
        </w:tc>
      </w:tr>
      <w:tr w:rsidR="0010279F" w:rsidRPr="00D3153A" w14:paraId="77CC008C" w14:textId="77777777" w:rsidTr="00AF5486">
        <w:tc>
          <w:tcPr>
            <w:tcW w:w="9016" w:type="dxa"/>
            <w:gridSpan w:val="5"/>
          </w:tcPr>
          <w:p w14:paraId="5C27A403" w14:textId="77777777" w:rsidR="0010279F" w:rsidRPr="00D3153A" w:rsidRDefault="0010279F" w:rsidP="00AF5486">
            <w:pPr>
              <w:spacing w:before="40" w:after="40" w:line="256" w:lineRule="auto"/>
              <w:rPr>
                <w:rFonts w:ascii="Arial Narrow" w:eastAsia="Calibri" w:hAnsi="Arial Narrow" w:cs="Arial"/>
                <w:b/>
                <w:bCs/>
                <w:sz w:val="20"/>
              </w:rPr>
            </w:pPr>
            <w:r w:rsidRPr="00D3153A">
              <w:rPr>
                <w:rFonts w:ascii="Arial Narrow" w:eastAsia="Calibri" w:hAnsi="Arial Narrow" w:cs="Arial"/>
                <w:b/>
                <w:bCs/>
                <w:sz w:val="20"/>
              </w:rPr>
              <w:t>Tests compared to Sanger sequencing</w:t>
            </w:r>
          </w:p>
        </w:tc>
      </w:tr>
      <w:tr w:rsidR="0010279F" w:rsidRPr="00D3153A" w14:paraId="6D5B0089" w14:textId="77777777" w:rsidTr="00AF5486">
        <w:tc>
          <w:tcPr>
            <w:tcW w:w="2547" w:type="dxa"/>
          </w:tcPr>
          <w:p w14:paraId="683DE58E" w14:textId="77777777" w:rsidR="0010279F" w:rsidRPr="00D3153A" w:rsidRDefault="0010279F" w:rsidP="00AF5486">
            <w:pPr>
              <w:spacing w:before="40" w:after="40" w:line="256" w:lineRule="auto"/>
              <w:rPr>
                <w:rFonts w:ascii="Arial Narrow" w:eastAsia="Calibri" w:hAnsi="Arial Narrow" w:cs="Arial"/>
                <w:sz w:val="20"/>
              </w:rPr>
            </w:pPr>
            <w:r w:rsidRPr="00D3153A">
              <w:rPr>
                <w:rFonts w:ascii="Arial Narrow" w:eastAsia="Calibri" w:hAnsi="Arial Narrow" w:cs="Arial"/>
                <w:sz w:val="20"/>
              </w:rPr>
              <w:t>RT-PCR (AD)</w:t>
            </w:r>
          </w:p>
        </w:tc>
        <w:tc>
          <w:tcPr>
            <w:tcW w:w="1134" w:type="dxa"/>
          </w:tcPr>
          <w:p w14:paraId="299C6B9A"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99.2%</w:t>
            </w:r>
          </w:p>
        </w:tc>
        <w:tc>
          <w:tcPr>
            <w:tcW w:w="1134" w:type="dxa"/>
          </w:tcPr>
          <w:p w14:paraId="70D8C5D0"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94.1%</w:t>
            </w:r>
          </w:p>
        </w:tc>
        <w:tc>
          <w:tcPr>
            <w:tcW w:w="1134" w:type="dxa"/>
          </w:tcPr>
          <w:p w14:paraId="4729B8B8"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99.4%</w:t>
            </w:r>
          </w:p>
        </w:tc>
        <w:tc>
          <w:tcPr>
            <w:tcW w:w="3067" w:type="dxa"/>
          </w:tcPr>
          <w:p w14:paraId="26A043EF" w14:textId="77777777" w:rsidR="0010279F" w:rsidRPr="00D3153A" w:rsidRDefault="0010279F" w:rsidP="00AF5486">
            <w:pPr>
              <w:spacing w:before="40" w:after="40" w:line="256" w:lineRule="auto"/>
              <w:rPr>
                <w:rFonts w:ascii="Arial Narrow" w:eastAsia="Calibri" w:hAnsi="Arial Narrow" w:cs="Arial"/>
                <w:sz w:val="20"/>
              </w:rPr>
            </w:pPr>
            <w:r w:rsidRPr="00D3153A">
              <w:rPr>
                <w:rFonts w:ascii="Arial Narrow" w:eastAsia="Calibri" w:hAnsi="Arial Narrow" w:cs="Arial"/>
                <w:sz w:val="20"/>
              </w:rPr>
              <w:t>Roma 2016</w:t>
            </w:r>
          </w:p>
        </w:tc>
      </w:tr>
      <w:tr w:rsidR="0010279F" w:rsidRPr="00D3153A" w14:paraId="4D58BAAE" w14:textId="77777777" w:rsidTr="00AF5486">
        <w:tc>
          <w:tcPr>
            <w:tcW w:w="2547" w:type="dxa"/>
          </w:tcPr>
          <w:p w14:paraId="57308A5E" w14:textId="77777777" w:rsidR="0010279F" w:rsidRPr="00D3153A" w:rsidRDefault="0010279F" w:rsidP="00AF5486">
            <w:pPr>
              <w:spacing w:before="40" w:after="40" w:line="256" w:lineRule="auto"/>
              <w:rPr>
                <w:rFonts w:ascii="Arial Narrow" w:eastAsia="Calibri" w:hAnsi="Arial Narrow" w:cs="Arial"/>
                <w:sz w:val="20"/>
              </w:rPr>
            </w:pPr>
            <w:r w:rsidRPr="00D3153A">
              <w:rPr>
                <w:rFonts w:ascii="Arial Narrow" w:eastAsia="Calibri" w:hAnsi="Arial Narrow" w:cs="Arial"/>
                <w:sz w:val="20"/>
              </w:rPr>
              <w:t>RT-PCR (cobas)</w:t>
            </w:r>
          </w:p>
        </w:tc>
        <w:tc>
          <w:tcPr>
            <w:tcW w:w="1134" w:type="dxa"/>
          </w:tcPr>
          <w:p w14:paraId="7C392910"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99.1%</w:t>
            </w:r>
          </w:p>
        </w:tc>
        <w:tc>
          <w:tcPr>
            <w:tcW w:w="1134" w:type="dxa"/>
          </w:tcPr>
          <w:p w14:paraId="37E940C0"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100%</w:t>
            </w:r>
          </w:p>
        </w:tc>
        <w:tc>
          <w:tcPr>
            <w:tcW w:w="1134" w:type="dxa"/>
          </w:tcPr>
          <w:p w14:paraId="0A65DBFF"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98.9%</w:t>
            </w:r>
          </w:p>
        </w:tc>
        <w:tc>
          <w:tcPr>
            <w:tcW w:w="3067" w:type="dxa"/>
          </w:tcPr>
          <w:p w14:paraId="00B57BBD" w14:textId="77777777" w:rsidR="0010279F" w:rsidRPr="00D3153A" w:rsidRDefault="0010279F" w:rsidP="00AF5486">
            <w:pPr>
              <w:spacing w:before="40" w:after="40" w:line="256" w:lineRule="auto"/>
              <w:rPr>
                <w:rFonts w:ascii="Arial Narrow" w:eastAsia="Calibri" w:hAnsi="Arial Narrow" w:cs="Arial"/>
                <w:sz w:val="20"/>
              </w:rPr>
            </w:pPr>
            <w:r w:rsidRPr="00D3153A">
              <w:rPr>
                <w:rFonts w:ascii="Arial Narrow" w:eastAsia="Calibri" w:hAnsi="Arial Narrow" w:cs="Arial"/>
                <w:sz w:val="20"/>
              </w:rPr>
              <w:t>Lasota 2014</w:t>
            </w:r>
          </w:p>
        </w:tc>
      </w:tr>
      <w:tr w:rsidR="0010279F" w:rsidRPr="00D3153A" w14:paraId="55F86B8C" w14:textId="77777777" w:rsidTr="00AF5486">
        <w:tc>
          <w:tcPr>
            <w:tcW w:w="2547" w:type="dxa"/>
          </w:tcPr>
          <w:p w14:paraId="5FFE87D1" w14:textId="77777777" w:rsidR="0010279F" w:rsidRPr="00D3153A" w:rsidRDefault="0010279F" w:rsidP="00AF5486">
            <w:pPr>
              <w:spacing w:before="40" w:after="40" w:line="256" w:lineRule="auto"/>
              <w:rPr>
                <w:rFonts w:ascii="Arial Narrow" w:eastAsia="Calibri" w:hAnsi="Arial Narrow" w:cs="Arial"/>
                <w:sz w:val="20"/>
              </w:rPr>
            </w:pPr>
            <w:r w:rsidRPr="00D3153A">
              <w:rPr>
                <w:rFonts w:ascii="Arial Narrow" w:eastAsia="Calibri" w:hAnsi="Arial Narrow" w:cs="Arial"/>
                <w:sz w:val="20"/>
              </w:rPr>
              <w:t>RT-PCR (AS)</w:t>
            </w:r>
          </w:p>
        </w:tc>
        <w:tc>
          <w:tcPr>
            <w:tcW w:w="1134" w:type="dxa"/>
          </w:tcPr>
          <w:p w14:paraId="42AD43BA"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100%</w:t>
            </w:r>
          </w:p>
        </w:tc>
        <w:tc>
          <w:tcPr>
            <w:tcW w:w="1134" w:type="dxa"/>
          </w:tcPr>
          <w:p w14:paraId="0C0C1881"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100%</w:t>
            </w:r>
          </w:p>
        </w:tc>
        <w:tc>
          <w:tcPr>
            <w:tcW w:w="1134" w:type="dxa"/>
          </w:tcPr>
          <w:p w14:paraId="4714CFD9"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100%</w:t>
            </w:r>
          </w:p>
        </w:tc>
        <w:tc>
          <w:tcPr>
            <w:tcW w:w="3067" w:type="dxa"/>
          </w:tcPr>
          <w:p w14:paraId="0476A083" w14:textId="77777777" w:rsidR="0010279F" w:rsidRPr="00D3153A" w:rsidRDefault="0010279F" w:rsidP="00AF5486">
            <w:pPr>
              <w:spacing w:before="40" w:after="40" w:line="256" w:lineRule="auto"/>
              <w:rPr>
                <w:rFonts w:ascii="Arial Narrow" w:eastAsia="Calibri" w:hAnsi="Arial Narrow" w:cs="Arial"/>
                <w:sz w:val="20"/>
              </w:rPr>
            </w:pPr>
            <w:r w:rsidRPr="00D3153A">
              <w:rPr>
                <w:rFonts w:ascii="Arial Narrow" w:eastAsia="Calibri" w:hAnsi="Arial Narrow" w:cs="Arial"/>
                <w:sz w:val="20"/>
              </w:rPr>
              <w:t>Lasota 2014</w:t>
            </w:r>
          </w:p>
        </w:tc>
      </w:tr>
      <w:tr w:rsidR="0010279F" w:rsidRPr="00D3153A" w14:paraId="3EBDF34A" w14:textId="77777777" w:rsidTr="00AF5486">
        <w:tc>
          <w:tcPr>
            <w:tcW w:w="2547" w:type="dxa"/>
          </w:tcPr>
          <w:p w14:paraId="3642CF46" w14:textId="77777777" w:rsidR="0010279F" w:rsidRPr="00D3153A" w:rsidRDefault="0010279F" w:rsidP="00AF5486">
            <w:pPr>
              <w:spacing w:before="40" w:after="40" w:line="256" w:lineRule="auto"/>
              <w:rPr>
                <w:rFonts w:ascii="Arial Narrow" w:eastAsia="Calibri" w:hAnsi="Arial Narrow" w:cs="Arial"/>
                <w:sz w:val="20"/>
              </w:rPr>
            </w:pPr>
            <w:r w:rsidRPr="00D3153A">
              <w:rPr>
                <w:rFonts w:ascii="Arial Narrow" w:eastAsia="Calibri" w:hAnsi="Arial Narrow" w:cs="Arial"/>
                <w:sz w:val="20"/>
              </w:rPr>
              <w:t>qPCR</w:t>
            </w:r>
          </w:p>
        </w:tc>
        <w:tc>
          <w:tcPr>
            <w:tcW w:w="1134" w:type="dxa"/>
          </w:tcPr>
          <w:p w14:paraId="3C167C1C"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100%</w:t>
            </w:r>
          </w:p>
        </w:tc>
        <w:tc>
          <w:tcPr>
            <w:tcW w:w="1134" w:type="dxa"/>
          </w:tcPr>
          <w:p w14:paraId="45A4032E"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100%</w:t>
            </w:r>
          </w:p>
        </w:tc>
        <w:tc>
          <w:tcPr>
            <w:tcW w:w="1134" w:type="dxa"/>
          </w:tcPr>
          <w:p w14:paraId="401AE0B7"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100%</w:t>
            </w:r>
          </w:p>
        </w:tc>
        <w:tc>
          <w:tcPr>
            <w:tcW w:w="3067" w:type="dxa"/>
          </w:tcPr>
          <w:p w14:paraId="622BA0A0" w14:textId="77777777" w:rsidR="0010279F" w:rsidRPr="00D3153A" w:rsidRDefault="0010279F" w:rsidP="00AF5486">
            <w:pPr>
              <w:spacing w:before="40" w:after="40" w:line="256" w:lineRule="auto"/>
              <w:rPr>
                <w:rFonts w:ascii="Arial Narrow" w:eastAsia="Calibri" w:hAnsi="Arial Narrow" w:cs="Arial"/>
                <w:sz w:val="20"/>
              </w:rPr>
            </w:pPr>
            <w:r w:rsidRPr="00D3153A">
              <w:rPr>
                <w:rFonts w:ascii="Arial Narrow" w:eastAsia="Calibri" w:hAnsi="Arial Narrow" w:cs="Arial"/>
                <w:sz w:val="20"/>
              </w:rPr>
              <w:t>Lasota 2014</w:t>
            </w:r>
          </w:p>
        </w:tc>
      </w:tr>
      <w:tr w:rsidR="0010279F" w:rsidRPr="00D3153A" w14:paraId="6230D57A" w14:textId="77777777" w:rsidTr="00AF5486">
        <w:tc>
          <w:tcPr>
            <w:tcW w:w="2547" w:type="dxa"/>
          </w:tcPr>
          <w:p w14:paraId="182B3D92" w14:textId="77777777" w:rsidR="0010279F" w:rsidRPr="00D3153A" w:rsidRDefault="0010279F" w:rsidP="00AF5486">
            <w:pPr>
              <w:spacing w:before="40" w:after="40" w:line="256" w:lineRule="auto"/>
              <w:rPr>
                <w:rFonts w:ascii="Arial Narrow" w:eastAsia="Calibri" w:hAnsi="Arial Narrow" w:cs="Arial"/>
                <w:sz w:val="20"/>
              </w:rPr>
            </w:pPr>
            <w:r w:rsidRPr="00D3153A">
              <w:rPr>
                <w:rFonts w:ascii="Arial Narrow" w:eastAsia="Calibri" w:hAnsi="Arial Narrow" w:cs="Arial"/>
                <w:sz w:val="20"/>
              </w:rPr>
              <w:t>NGS (ion Torrent)</w:t>
            </w:r>
          </w:p>
        </w:tc>
        <w:tc>
          <w:tcPr>
            <w:tcW w:w="1134" w:type="dxa"/>
          </w:tcPr>
          <w:p w14:paraId="4DE5BBCA"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100%</w:t>
            </w:r>
          </w:p>
        </w:tc>
        <w:tc>
          <w:tcPr>
            <w:tcW w:w="1134" w:type="dxa"/>
          </w:tcPr>
          <w:p w14:paraId="0162259B"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100%</w:t>
            </w:r>
          </w:p>
        </w:tc>
        <w:tc>
          <w:tcPr>
            <w:tcW w:w="1134" w:type="dxa"/>
          </w:tcPr>
          <w:p w14:paraId="2D494A08"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100%</w:t>
            </w:r>
          </w:p>
        </w:tc>
        <w:tc>
          <w:tcPr>
            <w:tcW w:w="3067" w:type="dxa"/>
          </w:tcPr>
          <w:p w14:paraId="6FA9DA83" w14:textId="77777777" w:rsidR="0010279F" w:rsidRPr="00D3153A" w:rsidRDefault="0010279F" w:rsidP="00AF5486">
            <w:pPr>
              <w:spacing w:before="40" w:after="40" w:line="256" w:lineRule="auto"/>
              <w:rPr>
                <w:rFonts w:ascii="Arial Narrow" w:eastAsia="Calibri" w:hAnsi="Arial Narrow" w:cs="Arial"/>
                <w:sz w:val="20"/>
              </w:rPr>
            </w:pPr>
            <w:r w:rsidRPr="00D3153A">
              <w:rPr>
                <w:rFonts w:ascii="Arial Narrow" w:eastAsia="Calibri" w:hAnsi="Arial Narrow" w:cs="Arial"/>
                <w:sz w:val="20"/>
              </w:rPr>
              <w:t>Malapelle 2015</w:t>
            </w:r>
          </w:p>
        </w:tc>
      </w:tr>
      <w:tr w:rsidR="0010279F" w:rsidRPr="00D3153A" w14:paraId="30A9AC00" w14:textId="77777777" w:rsidTr="00AF5486">
        <w:tc>
          <w:tcPr>
            <w:tcW w:w="2547" w:type="dxa"/>
          </w:tcPr>
          <w:p w14:paraId="067A918D" w14:textId="77777777" w:rsidR="0010279F" w:rsidRPr="00D3153A" w:rsidRDefault="0010279F" w:rsidP="00AF5486">
            <w:pPr>
              <w:spacing w:before="40" w:after="40" w:line="256" w:lineRule="auto"/>
              <w:rPr>
                <w:rFonts w:ascii="Arial Narrow" w:eastAsia="Calibri" w:hAnsi="Arial Narrow" w:cs="Arial"/>
                <w:sz w:val="20"/>
              </w:rPr>
            </w:pPr>
            <w:r w:rsidRPr="00D3153A">
              <w:rPr>
                <w:rFonts w:ascii="Arial Narrow" w:eastAsia="Calibri" w:hAnsi="Arial Narrow" w:cs="Arial"/>
                <w:sz w:val="20"/>
              </w:rPr>
              <w:t>HRM (LightMix)</w:t>
            </w:r>
          </w:p>
        </w:tc>
        <w:tc>
          <w:tcPr>
            <w:tcW w:w="1134" w:type="dxa"/>
          </w:tcPr>
          <w:p w14:paraId="272E74BD"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99.0%</w:t>
            </w:r>
          </w:p>
        </w:tc>
        <w:tc>
          <w:tcPr>
            <w:tcW w:w="1134" w:type="dxa"/>
          </w:tcPr>
          <w:p w14:paraId="3C413813"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100%</w:t>
            </w:r>
          </w:p>
        </w:tc>
        <w:tc>
          <w:tcPr>
            <w:tcW w:w="1134" w:type="dxa"/>
          </w:tcPr>
          <w:p w14:paraId="2D10FA55"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98.9%</w:t>
            </w:r>
          </w:p>
        </w:tc>
        <w:tc>
          <w:tcPr>
            <w:tcW w:w="3067" w:type="dxa"/>
          </w:tcPr>
          <w:p w14:paraId="7F606904" w14:textId="77777777" w:rsidR="0010279F" w:rsidRPr="00D3153A" w:rsidRDefault="0010279F" w:rsidP="00AF5486">
            <w:pPr>
              <w:spacing w:before="40" w:after="40" w:line="256" w:lineRule="auto"/>
              <w:rPr>
                <w:rFonts w:ascii="Arial Narrow" w:eastAsia="Calibri" w:hAnsi="Arial Narrow" w:cs="Arial"/>
                <w:sz w:val="20"/>
              </w:rPr>
            </w:pPr>
            <w:r w:rsidRPr="00D3153A">
              <w:rPr>
                <w:rFonts w:ascii="Arial Narrow" w:eastAsia="Calibri" w:hAnsi="Arial Narrow" w:cs="Arial"/>
                <w:sz w:val="20"/>
              </w:rPr>
              <w:t>Løes 2015</w:t>
            </w:r>
          </w:p>
        </w:tc>
      </w:tr>
      <w:tr w:rsidR="0010279F" w:rsidRPr="00D3153A" w14:paraId="24CD666A" w14:textId="77777777" w:rsidTr="00AF5486">
        <w:tc>
          <w:tcPr>
            <w:tcW w:w="2547" w:type="dxa"/>
          </w:tcPr>
          <w:p w14:paraId="7838450D" w14:textId="77777777" w:rsidR="0010279F" w:rsidRPr="00D3153A" w:rsidRDefault="0010279F" w:rsidP="00AF5486">
            <w:pPr>
              <w:spacing w:before="40" w:after="40" w:line="256" w:lineRule="auto"/>
              <w:rPr>
                <w:rFonts w:ascii="Arial Narrow" w:eastAsia="Calibri" w:hAnsi="Arial Narrow" w:cs="Arial"/>
                <w:sz w:val="20"/>
              </w:rPr>
            </w:pPr>
            <w:r w:rsidRPr="00D3153A">
              <w:rPr>
                <w:rFonts w:ascii="Arial Narrow" w:eastAsia="Calibri" w:hAnsi="Arial Narrow" w:cs="Arial"/>
                <w:sz w:val="20"/>
              </w:rPr>
              <w:t>Mass spectrometry (MassArray)</w:t>
            </w:r>
          </w:p>
        </w:tc>
        <w:tc>
          <w:tcPr>
            <w:tcW w:w="1134" w:type="dxa"/>
          </w:tcPr>
          <w:p w14:paraId="21BE07C0"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100%</w:t>
            </w:r>
          </w:p>
        </w:tc>
        <w:tc>
          <w:tcPr>
            <w:tcW w:w="1134" w:type="dxa"/>
          </w:tcPr>
          <w:p w14:paraId="123C0654"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100%</w:t>
            </w:r>
          </w:p>
        </w:tc>
        <w:tc>
          <w:tcPr>
            <w:tcW w:w="1134" w:type="dxa"/>
          </w:tcPr>
          <w:p w14:paraId="23CB7320"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100%</w:t>
            </w:r>
          </w:p>
        </w:tc>
        <w:tc>
          <w:tcPr>
            <w:tcW w:w="3067" w:type="dxa"/>
          </w:tcPr>
          <w:p w14:paraId="4F0C455A" w14:textId="77777777" w:rsidR="0010279F" w:rsidRPr="00D3153A" w:rsidRDefault="0010279F" w:rsidP="00AF5486">
            <w:pPr>
              <w:spacing w:before="40" w:after="40" w:line="256" w:lineRule="auto"/>
              <w:rPr>
                <w:rFonts w:ascii="Arial Narrow" w:eastAsia="Calibri" w:hAnsi="Arial Narrow" w:cs="Arial"/>
                <w:sz w:val="20"/>
              </w:rPr>
            </w:pPr>
            <w:r w:rsidRPr="00D3153A">
              <w:rPr>
                <w:rFonts w:ascii="Arial Narrow" w:eastAsia="Calibri" w:hAnsi="Arial Narrow" w:cs="Arial"/>
                <w:sz w:val="20"/>
              </w:rPr>
              <w:t>Arcila 2011</w:t>
            </w:r>
          </w:p>
        </w:tc>
      </w:tr>
      <w:tr w:rsidR="0010279F" w:rsidRPr="00D3153A" w14:paraId="56A1C814" w14:textId="77777777" w:rsidTr="00AF5486">
        <w:tc>
          <w:tcPr>
            <w:tcW w:w="9016" w:type="dxa"/>
            <w:gridSpan w:val="5"/>
          </w:tcPr>
          <w:p w14:paraId="76DEA661" w14:textId="77777777" w:rsidR="0010279F" w:rsidRPr="00D3153A" w:rsidRDefault="0010279F" w:rsidP="00AF5486">
            <w:pPr>
              <w:spacing w:before="40" w:after="40" w:line="256" w:lineRule="auto"/>
              <w:rPr>
                <w:rFonts w:ascii="Arial Narrow" w:eastAsia="Calibri" w:hAnsi="Arial Narrow" w:cs="Arial"/>
                <w:b/>
                <w:bCs/>
                <w:sz w:val="20"/>
              </w:rPr>
            </w:pPr>
            <w:r w:rsidRPr="00D3153A">
              <w:rPr>
                <w:rFonts w:ascii="Arial Narrow" w:eastAsia="Calibri" w:hAnsi="Arial Narrow" w:cs="Arial"/>
                <w:b/>
                <w:bCs/>
                <w:sz w:val="20"/>
              </w:rPr>
              <w:t>Tests compared to dPCR</w:t>
            </w:r>
          </w:p>
        </w:tc>
      </w:tr>
      <w:tr w:rsidR="0010279F" w:rsidRPr="00D3153A" w14:paraId="09D6F253" w14:textId="77777777" w:rsidTr="00AF5486">
        <w:tc>
          <w:tcPr>
            <w:tcW w:w="2547" w:type="dxa"/>
          </w:tcPr>
          <w:p w14:paraId="17859663" w14:textId="77777777" w:rsidR="0010279F" w:rsidRPr="00D3153A" w:rsidRDefault="0010279F" w:rsidP="00AF5486">
            <w:pPr>
              <w:spacing w:before="40" w:after="40" w:line="256" w:lineRule="auto"/>
              <w:rPr>
                <w:rFonts w:ascii="Arial Narrow" w:eastAsia="Calibri" w:hAnsi="Arial Narrow" w:cs="Arial"/>
                <w:sz w:val="20"/>
              </w:rPr>
            </w:pPr>
            <w:r w:rsidRPr="00D3153A">
              <w:rPr>
                <w:rFonts w:ascii="Arial Narrow" w:eastAsia="Calibri" w:hAnsi="Arial Narrow" w:cs="Arial"/>
                <w:sz w:val="20"/>
              </w:rPr>
              <w:t>RT-PCR (cobas)</w:t>
            </w:r>
          </w:p>
        </w:tc>
        <w:tc>
          <w:tcPr>
            <w:tcW w:w="1134" w:type="dxa"/>
          </w:tcPr>
          <w:p w14:paraId="7AE715C0"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99.0%</w:t>
            </w:r>
          </w:p>
        </w:tc>
        <w:tc>
          <w:tcPr>
            <w:tcW w:w="1134" w:type="dxa"/>
          </w:tcPr>
          <w:p w14:paraId="0E3A5306"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83.3%</w:t>
            </w:r>
          </w:p>
        </w:tc>
        <w:tc>
          <w:tcPr>
            <w:tcW w:w="1134" w:type="dxa"/>
          </w:tcPr>
          <w:p w14:paraId="6E8FD2C9"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99.8%</w:t>
            </w:r>
          </w:p>
        </w:tc>
        <w:tc>
          <w:tcPr>
            <w:tcW w:w="3067" w:type="dxa"/>
          </w:tcPr>
          <w:p w14:paraId="1E965F69" w14:textId="77777777" w:rsidR="0010279F" w:rsidRPr="00D3153A" w:rsidRDefault="0010279F" w:rsidP="00AF5486">
            <w:pPr>
              <w:spacing w:before="40" w:after="40" w:line="256" w:lineRule="auto"/>
              <w:rPr>
                <w:rFonts w:ascii="Arial Narrow" w:eastAsia="Calibri" w:hAnsi="Arial Narrow" w:cs="Arial"/>
                <w:sz w:val="20"/>
              </w:rPr>
            </w:pPr>
            <w:r w:rsidRPr="00D3153A">
              <w:rPr>
                <w:rFonts w:ascii="Arial Narrow" w:eastAsia="Calibri" w:hAnsi="Arial Narrow" w:cs="Arial"/>
                <w:sz w:val="20"/>
              </w:rPr>
              <w:t>Santos 2017</w:t>
            </w:r>
          </w:p>
        </w:tc>
      </w:tr>
      <w:tr w:rsidR="0010279F" w:rsidRPr="00D3153A" w14:paraId="273FC727" w14:textId="77777777" w:rsidTr="00AF5486">
        <w:tc>
          <w:tcPr>
            <w:tcW w:w="9016" w:type="dxa"/>
            <w:gridSpan w:val="5"/>
          </w:tcPr>
          <w:p w14:paraId="161B0FF4" w14:textId="77777777" w:rsidR="0010279F" w:rsidRPr="00D3153A" w:rsidRDefault="0010279F" w:rsidP="00AF5486">
            <w:pPr>
              <w:spacing w:before="40" w:after="40" w:line="256" w:lineRule="auto"/>
              <w:rPr>
                <w:rFonts w:ascii="Arial Narrow" w:eastAsia="Calibri" w:hAnsi="Arial Narrow" w:cs="Arial"/>
                <w:b/>
                <w:bCs/>
                <w:sz w:val="20"/>
              </w:rPr>
            </w:pPr>
            <w:r w:rsidRPr="00D3153A">
              <w:rPr>
                <w:rFonts w:ascii="Arial Narrow" w:eastAsia="Calibri" w:hAnsi="Arial Narrow" w:cs="Arial"/>
                <w:b/>
                <w:bCs/>
                <w:sz w:val="20"/>
              </w:rPr>
              <w:t>Tests compared to qPCR</w:t>
            </w:r>
          </w:p>
        </w:tc>
      </w:tr>
      <w:tr w:rsidR="0010279F" w:rsidRPr="00D3153A" w14:paraId="33C5CB1A" w14:textId="77777777" w:rsidTr="00AF5486">
        <w:tc>
          <w:tcPr>
            <w:tcW w:w="2547" w:type="dxa"/>
          </w:tcPr>
          <w:p w14:paraId="54C7EFE5" w14:textId="77777777" w:rsidR="0010279F" w:rsidRPr="00D3153A" w:rsidRDefault="0010279F" w:rsidP="00AF5486">
            <w:pPr>
              <w:spacing w:before="40" w:after="40" w:line="256" w:lineRule="auto"/>
              <w:rPr>
                <w:rFonts w:ascii="Arial Narrow" w:eastAsia="Calibri" w:hAnsi="Arial Narrow" w:cs="Arial"/>
                <w:sz w:val="20"/>
              </w:rPr>
            </w:pPr>
            <w:r w:rsidRPr="00D3153A">
              <w:rPr>
                <w:rFonts w:ascii="Arial Narrow" w:eastAsia="Calibri" w:hAnsi="Arial Narrow" w:cs="Arial"/>
                <w:sz w:val="20"/>
              </w:rPr>
              <w:t>dPCR</w:t>
            </w:r>
          </w:p>
        </w:tc>
        <w:tc>
          <w:tcPr>
            <w:tcW w:w="1134" w:type="dxa"/>
          </w:tcPr>
          <w:p w14:paraId="154AFE09"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100%</w:t>
            </w:r>
          </w:p>
        </w:tc>
        <w:tc>
          <w:tcPr>
            <w:tcW w:w="1134" w:type="dxa"/>
          </w:tcPr>
          <w:p w14:paraId="79004A93"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100%</w:t>
            </w:r>
          </w:p>
        </w:tc>
        <w:tc>
          <w:tcPr>
            <w:tcW w:w="1134" w:type="dxa"/>
          </w:tcPr>
          <w:p w14:paraId="1B39E928"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100%</w:t>
            </w:r>
          </w:p>
        </w:tc>
        <w:tc>
          <w:tcPr>
            <w:tcW w:w="3067" w:type="dxa"/>
          </w:tcPr>
          <w:p w14:paraId="17B271D6" w14:textId="77777777" w:rsidR="0010279F" w:rsidRPr="00D3153A" w:rsidRDefault="0010279F" w:rsidP="00AF5486">
            <w:pPr>
              <w:spacing w:before="40" w:after="40" w:line="256" w:lineRule="auto"/>
              <w:rPr>
                <w:rFonts w:ascii="Arial Narrow" w:eastAsia="Calibri" w:hAnsi="Arial Narrow" w:cs="Arial"/>
                <w:sz w:val="20"/>
              </w:rPr>
            </w:pPr>
            <w:r w:rsidRPr="00D3153A">
              <w:rPr>
                <w:rFonts w:ascii="Arial Narrow" w:eastAsia="Calibri" w:hAnsi="Arial Narrow" w:cs="Arial"/>
                <w:sz w:val="20"/>
              </w:rPr>
              <w:t>Azuara 2016</w:t>
            </w:r>
          </w:p>
        </w:tc>
      </w:tr>
      <w:tr w:rsidR="0010279F" w:rsidRPr="00D3153A" w14:paraId="1F56C10B" w14:textId="77777777" w:rsidTr="00AF5486">
        <w:tc>
          <w:tcPr>
            <w:tcW w:w="2547" w:type="dxa"/>
          </w:tcPr>
          <w:p w14:paraId="460D6C4D" w14:textId="77777777" w:rsidR="0010279F" w:rsidRPr="00D3153A" w:rsidRDefault="0010279F" w:rsidP="00AF5486">
            <w:pPr>
              <w:spacing w:before="40" w:after="40" w:line="256" w:lineRule="auto"/>
              <w:rPr>
                <w:rFonts w:ascii="Arial Narrow" w:eastAsia="Calibri" w:hAnsi="Arial Narrow" w:cs="Arial"/>
                <w:sz w:val="20"/>
              </w:rPr>
            </w:pPr>
            <w:r w:rsidRPr="00D3153A">
              <w:rPr>
                <w:rFonts w:ascii="Arial Narrow" w:eastAsia="Calibri" w:hAnsi="Arial Narrow" w:cs="Arial"/>
                <w:sz w:val="20"/>
              </w:rPr>
              <w:t>NGS (Ion Torrent)</w:t>
            </w:r>
          </w:p>
        </w:tc>
        <w:tc>
          <w:tcPr>
            <w:tcW w:w="1134" w:type="dxa"/>
          </w:tcPr>
          <w:p w14:paraId="0C00A73C"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100%</w:t>
            </w:r>
          </w:p>
        </w:tc>
        <w:tc>
          <w:tcPr>
            <w:tcW w:w="1134" w:type="dxa"/>
          </w:tcPr>
          <w:p w14:paraId="101C536F"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100%</w:t>
            </w:r>
          </w:p>
        </w:tc>
        <w:tc>
          <w:tcPr>
            <w:tcW w:w="1134" w:type="dxa"/>
          </w:tcPr>
          <w:p w14:paraId="29B98A5D"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100%</w:t>
            </w:r>
          </w:p>
        </w:tc>
        <w:tc>
          <w:tcPr>
            <w:tcW w:w="3067" w:type="dxa"/>
          </w:tcPr>
          <w:p w14:paraId="4DFDDEBC" w14:textId="77777777" w:rsidR="0010279F" w:rsidRPr="00D3153A" w:rsidRDefault="0010279F" w:rsidP="00AF5486">
            <w:pPr>
              <w:spacing w:before="40" w:after="40" w:line="256" w:lineRule="auto"/>
              <w:rPr>
                <w:rFonts w:ascii="Arial Narrow" w:eastAsia="Calibri" w:hAnsi="Arial Narrow" w:cs="Arial"/>
                <w:sz w:val="20"/>
              </w:rPr>
            </w:pPr>
            <w:r w:rsidRPr="00D3153A">
              <w:rPr>
                <w:rFonts w:ascii="Arial Narrow" w:eastAsia="Calibri" w:hAnsi="Arial Narrow" w:cs="Arial"/>
                <w:sz w:val="20"/>
              </w:rPr>
              <w:t>D’Haene 2015</w:t>
            </w:r>
          </w:p>
        </w:tc>
      </w:tr>
      <w:tr w:rsidR="0010279F" w:rsidRPr="00D3153A" w14:paraId="39D1F2DA" w14:textId="77777777" w:rsidTr="00AF5486">
        <w:tc>
          <w:tcPr>
            <w:tcW w:w="9016" w:type="dxa"/>
            <w:gridSpan w:val="5"/>
          </w:tcPr>
          <w:p w14:paraId="5E38884E" w14:textId="77777777" w:rsidR="0010279F" w:rsidRPr="00D3153A" w:rsidRDefault="0010279F" w:rsidP="00AF5486">
            <w:pPr>
              <w:spacing w:before="40" w:after="40" w:line="256" w:lineRule="auto"/>
              <w:rPr>
                <w:rFonts w:ascii="Arial Narrow" w:eastAsia="Calibri" w:hAnsi="Arial Narrow" w:cs="Arial"/>
                <w:b/>
                <w:bCs/>
                <w:sz w:val="20"/>
              </w:rPr>
            </w:pPr>
            <w:r w:rsidRPr="00D3153A">
              <w:rPr>
                <w:rFonts w:ascii="Arial Narrow" w:eastAsia="Calibri" w:hAnsi="Arial Narrow" w:cs="Arial"/>
                <w:b/>
                <w:bCs/>
                <w:sz w:val="20"/>
              </w:rPr>
              <w:t>Tests compared to RT-PCR (cobas)</w:t>
            </w:r>
          </w:p>
        </w:tc>
      </w:tr>
      <w:tr w:rsidR="0010279F" w:rsidRPr="00D3153A" w14:paraId="67340007" w14:textId="77777777" w:rsidTr="00AF5486">
        <w:tc>
          <w:tcPr>
            <w:tcW w:w="2547" w:type="dxa"/>
          </w:tcPr>
          <w:p w14:paraId="465E58DB" w14:textId="77777777" w:rsidR="0010279F" w:rsidRPr="00D3153A" w:rsidRDefault="0010279F" w:rsidP="00AF5486">
            <w:pPr>
              <w:spacing w:before="40" w:after="40" w:line="256" w:lineRule="auto"/>
              <w:rPr>
                <w:rFonts w:ascii="Arial Narrow" w:eastAsia="Calibri" w:hAnsi="Arial Narrow" w:cs="Arial"/>
                <w:sz w:val="20"/>
              </w:rPr>
            </w:pPr>
            <w:r w:rsidRPr="00D3153A">
              <w:rPr>
                <w:rFonts w:ascii="Arial Narrow" w:eastAsia="Calibri" w:hAnsi="Arial Narrow" w:cs="Arial"/>
                <w:sz w:val="20"/>
              </w:rPr>
              <w:t>RT-PCR (Idylla)</w:t>
            </w:r>
          </w:p>
        </w:tc>
        <w:tc>
          <w:tcPr>
            <w:tcW w:w="1134" w:type="dxa"/>
          </w:tcPr>
          <w:p w14:paraId="2C83A439"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99.0%</w:t>
            </w:r>
          </w:p>
        </w:tc>
        <w:tc>
          <w:tcPr>
            <w:tcW w:w="1134" w:type="dxa"/>
          </w:tcPr>
          <w:p w14:paraId="513FF04E"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100%</w:t>
            </w:r>
          </w:p>
        </w:tc>
        <w:tc>
          <w:tcPr>
            <w:tcW w:w="1134" w:type="dxa"/>
          </w:tcPr>
          <w:p w14:paraId="1CF2B2C2"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98.6%</w:t>
            </w:r>
          </w:p>
        </w:tc>
        <w:tc>
          <w:tcPr>
            <w:tcW w:w="3067" w:type="dxa"/>
          </w:tcPr>
          <w:p w14:paraId="25C08ED3" w14:textId="77777777" w:rsidR="0010279F" w:rsidRPr="00D3153A" w:rsidRDefault="0010279F" w:rsidP="00AF5486">
            <w:pPr>
              <w:spacing w:before="40" w:after="40" w:line="256" w:lineRule="auto"/>
              <w:rPr>
                <w:rFonts w:ascii="Arial Narrow" w:eastAsia="Calibri" w:hAnsi="Arial Narrow" w:cs="Arial"/>
                <w:sz w:val="20"/>
              </w:rPr>
            </w:pPr>
            <w:r w:rsidRPr="00D3153A">
              <w:rPr>
                <w:rFonts w:ascii="Arial Narrow" w:eastAsia="Calibri" w:hAnsi="Arial Narrow" w:cs="Arial"/>
                <w:sz w:val="20"/>
              </w:rPr>
              <w:t>Colling 2016</w:t>
            </w:r>
          </w:p>
        </w:tc>
      </w:tr>
      <w:tr w:rsidR="0010279F" w:rsidRPr="00D3153A" w14:paraId="6F531EE7" w14:textId="77777777" w:rsidTr="00AF5486">
        <w:tc>
          <w:tcPr>
            <w:tcW w:w="9016" w:type="dxa"/>
            <w:gridSpan w:val="5"/>
          </w:tcPr>
          <w:p w14:paraId="50F20268" w14:textId="77777777" w:rsidR="0010279F" w:rsidRPr="00D3153A" w:rsidRDefault="0010279F" w:rsidP="00AF5486">
            <w:pPr>
              <w:spacing w:before="40" w:after="40" w:line="256" w:lineRule="auto"/>
              <w:rPr>
                <w:rFonts w:ascii="Arial Narrow" w:eastAsia="Calibri" w:hAnsi="Arial Narrow" w:cs="Arial"/>
                <w:b/>
                <w:bCs/>
                <w:sz w:val="20"/>
              </w:rPr>
            </w:pPr>
            <w:r w:rsidRPr="00D3153A">
              <w:rPr>
                <w:rFonts w:ascii="Arial Narrow" w:eastAsia="Calibri" w:hAnsi="Arial Narrow" w:cs="Arial"/>
                <w:b/>
                <w:bCs/>
                <w:sz w:val="20"/>
              </w:rPr>
              <w:t>Tests compared to traditional PCR</w:t>
            </w:r>
          </w:p>
        </w:tc>
      </w:tr>
      <w:tr w:rsidR="0010279F" w:rsidRPr="00D3153A" w14:paraId="3667CA0E" w14:textId="77777777" w:rsidTr="00AF5486">
        <w:tc>
          <w:tcPr>
            <w:tcW w:w="2547" w:type="dxa"/>
          </w:tcPr>
          <w:p w14:paraId="62D57CED" w14:textId="77777777" w:rsidR="0010279F" w:rsidRPr="00D3153A" w:rsidRDefault="0010279F" w:rsidP="00AF5486">
            <w:pPr>
              <w:spacing w:before="40" w:after="40" w:line="256" w:lineRule="auto"/>
              <w:rPr>
                <w:rFonts w:ascii="Arial Narrow" w:eastAsia="Calibri" w:hAnsi="Arial Narrow" w:cs="Arial"/>
                <w:sz w:val="20"/>
              </w:rPr>
            </w:pPr>
            <w:r w:rsidRPr="00D3153A">
              <w:rPr>
                <w:rFonts w:ascii="Arial Narrow" w:eastAsia="Calibri" w:hAnsi="Arial Narrow" w:cs="Arial"/>
                <w:sz w:val="20"/>
              </w:rPr>
              <w:t>WTB-PCR</w:t>
            </w:r>
          </w:p>
        </w:tc>
        <w:tc>
          <w:tcPr>
            <w:tcW w:w="1134" w:type="dxa"/>
          </w:tcPr>
          <w:p w14:paraId="3326776D"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94.0%</w:t>
            </w:r>
          </w:p>
        </w:tc>
        <w:tc>
          <w:tcPr>
            <w:tcW w:w="1134" w:type="dxa"/>
          </w:tcPr>
          <w:p w14:paraId="65C05694"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100%</w:t>
            </w:r>
          </w:p>
        </w:tc>
        <w:tc>
          <w:tcPr>
            <w:tcW w:w="1134" w:type="dxa"/>
          </w:tcPr>
          <w:p w14:paraId="1EC65EA2"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93.3%</w:t>
            </w:r>
          </w:p>
        </w:tc>
        <w:tc>
          <w:tcPr>
            <w:tcW w:w="3067" w:type="dxa"/>
          </w:tcPr>
          <w:p w14:paraId="3B2931C9" w14:textId="77777777" w:rsidR="0010279F" w:rsidRPr="00D3153A" w:rsidRDefault="0010279F" w:rsidP="00AF5486">
            <w:pPr>
              <w:spacing w:before="40" w:after="40" w:line="256" w:lineRule="auto"/>
              <w:rPr>
                <w:rFonts w:ascii="Arial Narrow" w:eastAsia="Calibri" w:hAnsi="Arial Narrow" w:cs="Arial"/>
                <w:sz w:val="20"/>
              </w:rPr>
            </w:pPr>
            <w:r w:rsidRPr="00D3153A">
              <w:rPr>
                <w:rFonts w:ascii="Arial Narrow" w:eastAsia="Calibri" w:hAnsi="Arial Narrow" w:cs="Arial"/>
                <w:sz w:val="20"/>
              </w:rPr>
              <w:t>Chen 2014</w:t>
            </w:r>
          </w:p>
        </w:tc>
      </w:tr>
      <w:tr w:rsidR="0010279F" w:rsidRPr="00D3153A" w14:paraId="34ED7C7D" w14:textId="77777777" w:rsidTr="00AF5486">
        <w:tc>
          <w:tcPr>
            <w:tcW w:w="9016" w:type="dxa"/>
            <w:gridSpan w:val="5"/>
          </w:tcPr>
          <w:p w14:paraId="46BF535A" w14:textId="77777777" w:rsidR="0010279F" w:rsidRPr="00D3153A" w:rsidRDefault="0010279F" w:rsidP="00AF5486">
            <w:pPr>
              <w:spacing w:before="40" w:after="40" w:line="256" w:lineRule="auto"/>
              <w:rPr>
                <w:rFonts w:ascii="Arial Narrow" w:eastAsia="Calibri" w:hAnsi="Arial Narrow" w:cs="Arial"/>
                <w:b/>
                <w:bCs/>
                <w:sz w:val="20"/>
              </w:rPr>
            </w:pPr>
            <w:r w:rsidRPr="00D3153A">
              <w:rPr>
                <w:rFonts w:ascii="Arial Narrow" w:eastAsia="Calibri" w:hAnsi="Arial Narrow" w:cs="Arial"/>
                <w:b/>
                <w:bCs/>
                <w:sz w:val="20"/>
              </w:rPr>
              <w:t>Tests compared to direct sequencing</w:t>
            </w:r>
          </w:p>
        </w:tc>
      </w:tr>
      <w:tr w:rsidR="0010279F" w:rsidRPr="00D3153A" w14:paraId="760E1876" w14:textId="77777777" w:rsidTr="00AF5486">
        <w:tc>
          <w:tcPr>
            <w:tcW w:w="2547" w:type="dxa"/>
          </w:tcPr>
          <w:p w14:paraId="15CD8441" w14:textId="77777777" w:rsidR="0010279F" w:rsidRPr="00D3153A" w:rsidRDefault="0010279F" w:rsidP="00AF5486">
            <w:pPr>
              <w:spacing w:before="40" w:after="40" w:line="256" w:lineRule="auto"/>
              <w:rPr>
                <w:rFonts w:ascii="Arial Narrow" w:eastAsia="Calibri" w:hAnsi="Arial Narrow" w:cs="Arial"/>
                <w:sz w:val="20"/>
              </w:rPr>
            </w:pPr>
            <w:r w:rsidRPr="00D3153A">
              <w:rPr>
                <w:rFonts w:ascii="Arial Narrow" w:eastAsia="Calibri" w:hAnsi="Arial Narrow" w:cs="Arial"/>
                <w:sz w:val="20"/>
              </w:rPr>
              <w:t>Multiplex (</w:t>
            </w:r>
            <w:r w:rsidRPr="00D3153A">
              <w:rPr>
                <w:rFonts w:ascii="Arial Narrow" w:eastAsia="Calibri" w:hAnsi="Arial Narrow" w:cs="Arial"/>
                <w:i/>
                <w:iCs/>
                <w:sz w:val="20"/>
              </w:rPr>
              <w:t>RAS</w:t>
            </w:r>
            <w:r w:rsidRPr="00D3153A">
              <w:rPr>
                <w:rFonts w:ascii="Arial Narrow" w:eastAsia="Calibri" w:hAnsi="Arial Narrow" w:cs="Arial"/>
                <w:sz w:val="20"/>
              </w:rPr>
              <w:t>KET-B)</w:t>
            </w:r>
          </w:p>
        </w:tc>
        <w:tc>
          <w:tcPr>
            <w:tcW w:w="1134" w:type="dxa"/>
          </w:tcPr>
          <w:p w14:paraId="085777FA"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100%</w:t>
            </w:r>
          </w:p>
        </w:tc>
        <w:tc>
          <w:tcPr>
            <w:tcW w:w="1134" w:type="dxa"/>
          </w:tcPr>
          <w:p w14:paraId="1EA25471"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100%</w:t>
            </w:r>
          </w:p>
        </w:tc>
        <w:tc>
          <w:tcPr>
            <w:tcW w:w="1134" w:type="dxa"/>
          </w:tcPr>
          <w:p w14:paraId="548E2361"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100%</w:t>
            </w:r>
          </w:p>
        </w:tc>
        <w:tc>
          <w:tcPr>
            <w:tcW w:w="3067" w:type="dxa"/>
          </w:tcPr>
          <w:p w14:paraId="6BF02025" w14:textId="77777777" w:rsidR="0010279F" w:rsidRPr="00D3153A" w:rsidRDefault="0010279F" w:rsidP="00AF5486">
            <w:pPr>
              <w:spacing w:before="40" w:after="40" w:line="256" w:lineRule="auto"/>
              <w:rPr>
                <w:rFonts w:ascii="Arial Narrow" w:eastAsia="Calibri" w:hAnsi="Arial Narrow" w:cs="Arial"/>
                <w:sz w:val="20"/>
              </w:rPr>
            </w:pPr>
            <w:r w:rsidRPr="00D3153A">
              <w:rPr>
                <w:rFonts w:ascii="Arial Narrow" w:eastAsia="Calibri" w:hAnsi="Arial Narrow" w:cs="Arial"/>
                <w:sz w:val="20"/>
              </w:rPr>
              <w:t>Taniguchi 2018</w:t>
            </w:r>
          </w:p>
        </w:tc>
      </w:tr>
      <w:tr w:rsidR="0010279F" w:rsidRPr="00D3153A" w14:paraId="763821DF" w14:textId="77777777" w:rsidTr="00AF5486">
        <w:tc>
          <w:tcPr>
            <w:tcW w:w="2547" w:type="dxa"/>
          </w:tcPr>
          <w:p w14:paraId="15CD4BCC" w14:textId="77777777" w:rsidR="0010279F" w:rsidRPr="00D3153A" w:rsidRDefault="0010279F" w:rsidP="00AF5486">
            <w:pPr>
              <w:spacing w:before="40" w:after="40" w:line="256" w:lineRule="auto"/>
              <w:rPr>
                <w:rFonts w:ascii="Arial Narrow" w:eastAsia="Calibri" w:hAnsi="Arial Narrow" w:cs="Arial"/>
                <w:sz w:val="20"/>
              </w:rPr>
            </w:pPr>
            <w:r w:rsidRPr="00D3153A">
              <w:rPr>
                <w:rFonts w:ascii="Arial Narrow" w:eastAsia="Calibri" w:hAnsi="Arial Narrow" w:cs="Arial"/>
                <w:sz w:val="20"/>
              </w:rPr>
              <w:t>HRM</w:t>
            </w:r>
          </w:p>
        </w:tc>
        <w:tc>
          <w:tcPr>
            <w:tcW w:w="1134" w:type="dxa"/>
          </w:tcPr>
          <w:p w14:paraId="7FE19E5B"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94.8%</w:t>
            </w:r>
          </w:p>
        </w:tc>
        <w:tc>
          <w:tcPr>
            <w:tcW w:w="1134" w:type="dxa"/>
          </w:tcPr>
          <w:p w14:paraId="0D8513AE"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87.5%</w:t>
            </w:r>
          </w:p>
        </w:tc>
        <w:tc>
          <w:tcPr>
            <w:tcW w:w="1134" w:type="dxa"/>
          </w:tcPr>
          <w:p w14:paraId="4550AF2F"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95.7%</w:t>
            </w:r>
          </w:p>
        </w:tc>
        <w:tc>
          <w:tcPr>
            <w:tcW w:w="3067" w:type="dxa"/>
          </w:tcPr>
          <w:p w14:paraId="435D8806" w14:textId="77777777" w:rsidR="0010279F" w:rsidRPr="00D3153A" w:rsidRDefault="0010279F" w:rsidP="00AF5486">
            <w:pPr>
              <w:spacing w:before="40" w:after="40" w:line="256" w:lineRule="auto"/>
              <w:rPr>
                <w:rFonts w:ascii="Arial Narrow" w:eastAsia="Calibri" w:hAnsi="Arial Narrow" w:cs="Arial"/>
                <w:sz w:val="20"/>
              </w:rPr>
            </w:pPr>
            <w:r w:rsidRPr="00D3153A">
              <w:rPr>
                <w:rFonts w:ascii="Arial Narrow" w:eastAsia="Calibri" w:hAnsi="Arial Narrow" w:cs="Arial"/>
                <w:sz w:val="20"/>
              </w:rPr>
              <w:t>Carbonell 2011</w:t>
            </w:r>
          </w:p>
        </w:tc>
      </w:tr>
      <w:tr w:rsidR="0010279F" w:rsidRPr="00D3153A" w14:paraId="3FA4BEC4" w14:textId="77777777" w:rsidTr="00AF5486">
        <w:tc>
          <w:tcPr>
            <w:tcW w:w="9016" w:type="dxa"/>
            <w:gridSpan w:val="5"/>
          </w:tcPr>
          <w:p w14:paraId="62786417" w14:textId="77777777" w:rsidR="0010279F" w:rsidRPr="00D3153A" w:rsidRDefault="0010279F" w:rsidP="00AF5486">
            <w:pPr>
              <w:spacing w:before="40" w:after="40" w:line="256" w:lineRule="auto"/>
              <w:rPr>
                <w:rFonts w:ascii="Arial Narrow" w:eastAsia="Calibri" w:hAnsi="Arial Narrow" w:cs="Arial"/>
                <w:b/>
                <w:bCs/>
                <w:sz w:val="20"/>
              </w:rPr>
            </w:pPr>
            <w:r w:rsidRPr="00D3153A">
              <w:rPr>
                <w:rFonts w:ascii="Arial Narrow" w:eastAsia="Calibri" w:hAnsi="Arial Narrow" w:cs="Arial"/>
                <w:b/>
                <w:bCs/>
                <w:sz w:val="20"/>
              </w:rPr>
              <w:t>Tests compared to TaqMan</w:t>
            </w:r>
          </w:p>
        </w:tc>
      </w:tr>
      <w:tr w:rsidR="0010279F" w:rsidRPr="00D3153A" w14:paraId="601B8C25" w14:textId="77777777" w:rsidTr="00AF5486">
        <w:tc>
          <w:tcPr>
            <w:tcW w:w="2547" w:type="dxa"/>
          </w:tcPr>
          <w:p w14:paraId="2E373B13" w14:textId="77777777" w:rsidR="0010279F" w:rsidRPr="00D3153A" w:rsidRDefault="0010279F" w:rsidP="00AF5486">
            <w:pPr>
              <w:spacing w:before="40" w:after="40" w:line="256" w:lineRule="auto"/>
              <w:rPr>
                <w:rFonts w:ascii="Arial Narrow" w:eastAsia="Calibri" w:hAnsi="Arial Narrow" w:cs="Arial"/>
                <w:sz w:val="20"/>
              </w:rPr>
            </w:pPr>
            <w:r w:rsidRPr="00D3153A">
              <w:rPr>
                <w:rFonts w:ascii="Arial Narrow" w:eastAsia="Calibri" w:hAnsi="Arial Narrow" w:cs="Arial"/>
                <w:sz w:val="20"/>
              </w:rPr>
              <w:t>HRM</w:t>
            </w:r>
          </w:p>
        </w:tc>
        <w:tc>
          <w:tcPr>
            <w:tcW w:w="1134" w:type="dxa"/>
          </w:tcPr>
          <w:p w14:paraId="17E20186"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95.9%</w:t>
            </w:r>
          </w:p>
        </w:tc>
        <w:tc>
          <w:tcPr>
            <w:tcW w:w="1134" w:type="dxa"/>
          </w:tcPr>
          <w:p w14:paraId="54613F4E"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84.2%</w:t>
            </w:r>
          </w:p>
        </w:tc>
        <w:tc>
          <w:tcPr>
            <w:tcW w:w="1134" w:type="dxa"/>
          </w:tcPr>
          <w:p w14:paraId="31C67412"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97.4%</w:t>
            </w:r>
          </w:p>
        </w:tc>
        <w:tc>
          <w:tcPr>
            <w:tcW w:w="3067" w:type="dxa"/>
          </w:tcPr>
          <w:p w14:paraId="255F9D20" w14:textId="77777777" w:rsidR="0010279F" w:rsidRPr="00D3153A" w:rsidRDefault="0010279F" w:rsidP="00AF5486">
            <w:pPr>
              <w:spacing w:before="40" w:after="40" w:line="256" w:lineRule="auto"/>
              <w:rPr>
                <w:rFonts w:ascii="Arial Narrow" w:eastAsia="Calibri" w:hAnsi="Arial Narrow" w:cs="Arial"/>
                <w:sz w:val="20"/>
              </w:rPr>
            </w:pPr>
            <w:r w:rsidRPr="00D3153A">
              <w:rPr>
                <w:rFonts w:ascii="Arial Narrow" w:eastAsia="Calibri" w:hAnsi="Arial Narrow" w:cs="Arial"/>
                <w:sz w:val="20"/>
              </w:rPr>
              <w:t>Carbonell 2011</w:t>
            </w:r>
          </w:p>
        </w:tc>
      </w:tr>
      <w:tr w:rsidR="0010279F" w:rsidRPr="00D3153A" w14:paraId="6F2DF162" w14:textId="77777777" w:rsidTr="00AF5486">
        <w:tc>
          <w:tcPr>
            <w:tcW w:w="9016" w:type="dxa"/>
            <w:gridSpan w:val="5"/>
          </w:tcPr>
          <w:p w14:paraId="1BDC5823" w14:textId="77777777" w:rsidR="0010279F" w:rsidRPr="00D3153A" w:rsidRDefault="0010279F" w:rsidP="00AF5486">
            <w:pPr>
              <w:spacing w:before="40" w:after="40" w:line="256" w:lineRule="auto"/>
              <w:rPr>
                <w:rFonts w:ascii="Arial Narrow" w:eastAsia="Calibri" w:hAnsi="Arial Narrow" w:cs="Arial"/>
                <w:b/>
                <w:bCs/>
                <w:sz w:val="20"/>
              </w:rPr>
            </w:pPr>
            <w:r w:rsidRPr="00D3153A">
              <w:rPr>
                <w:rFonts w:ascii="Arial Narrow" w:eastAsia="Calibri" w:hAnsi="Arial Narrow" w:cs="Arial"/>
                <w:b/>
                <w:bCs/>
                <w:sz w:val="20"/>
              </w:rPr>
              <w:t>Tests compared to NGS</w:t>
            </w:r>
          </w:p>
        </w:tc>
      </w:tr>
      <w:tr w:rsidR="0010279F" w:rsidRPr="00D3153A" w14:paraId="42185478" w14:textId="77777777" w:rsidTr="00AF5486">
        <w:tc>
          <w:tcPr>
            <w:tcW w:w="2547" w:type="dxa"/>
          </w:tcPr>
          <w:p w14:paraId="50921F0F" w14:textId="77777777" w:rsidR="0010279F" w:rsidRPr="00D3153A" w:rsidRDefault="0010279F" w:rsidP="00AF5486">
            <w:pPr>
              <w:spacing w:before="40" w:after="40" w:line="256" w:lineRule="auto"/>
              <w:rPr>
                <w:rFonts w:ascii="Arial Narrow" w:eastAsia="Calibri" w:hAnsi="Arial Narrow" w:cs="Arial"/>
                <w:sz w:val="20"/>
              </w:rPr>
            </w:pPr>
            <w:r w:rsidRPr="00D3153A">
              <w:rPr>
                <w:rFonts w:ascii="Arial Narrow" w:eastAsia="Calibri" w:hAnsi="Arial Narrow" w:cs="Arial"/>
                <w:sz w:val="20"/>
              </w:rPr>
              <w:t>RT-PCR (Idylla)</w:t>
            </w:r>
          </w:p>
        </w:tc>
        <w:tc>
          <w:tcPr>
            <w:tcW w:w="1134" w:type="dxa"/>
          </w:tcPr>
          <w:p w14:paraId="10BE5001"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100%</w:t>
            </w:r>
          </w:p>
        </w:tc>
        <w:tc>
          <w:tcPr>
            <w:tcW w:w="1134" w:type="dxa"/>
          </w:tcPr>
          <w:p w14:paraId="700FE9C3"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100%</w:t>
            </w:r>
          </w:p>
        </w:tc>
        <w:tc>
          <w:tcPr>
            <w:tcW w:w="1134" w:type="dxa"/>
          </w:tcPr>
          <w:p w14:paraId="2D87CEE8"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100%</w:t>
            </w:r>
          </w:p>
        </w:tc>
        <w:tc>
          <w:tcPr>
            <w:tcW w:w="3067" w:type="dxa"/>
          </w:tcPr>
          <w:p w14:paraId="4E1977DE" w14:textId="77777777" w:rsidR="0010279F" w:rsidRPr="00D3153A" w:rsidRDefault="0010279F" w:rsidP="00AF5486">
            <w:pPr>
              <w:spacing w:before="40" w:after="40" w:line="256" w:lineRule="auto"/>
              <w:rPr>
                <w:rFonts w:ascii="Arial Narrow" w:eastAsia="Calibri" w:hAnsi="Arial Narrow" w:cs="Arial"/>
                <w:sz w:val="20"/>
              </w:rPr>
            </w:pPr>
            <w:r w:rsidRPr="00D3153A">
              <w:rPr>
                <w:rFonts w:ascii="Arial Narrow" w:eastAsia="Calibri" w:hAnsi="Arial Narrow" w:cs="Arial"/>
                <w:sz w:val="20"/>
              </w:rPr>
              <w:t>Colling 2017</w:t>
            </w:r>
          </w:p>
        </w:tc>
      </w:tr>
      <w:tr w:rsidR="0010279F" w:rsidRPr="00D3153A" w14:paraId="0DD96259" w14:textId="77777777" w:rsidTr="00AF5486">
        <w:tc>
          <w:tcPr>
            <w:tcW w:w="9016" w:type="dxa"/>
            <w:gridSpan w:val="5"/>
          </w:tcPr>
          <w:p w14:paraId="3A6D4ABF" w14:textId="77777777" w:rsidR="0010279F" w:rsidRPr="00D3153A" w:rsidRDefault="0010279F" w:rsidP="00AF5486">
            <w:pPr>
              <w:spacing w:before="40" w:after="40" w:line="256" w:lineRule="auto"/>
              <w:rPr>
                <w:rFonts w:ascii="Arial Narrow" w:eastAsia="Calibri" w:hAnsi="Arial Narrow" w:cs="Arial"/>
                <w:b/>
                <w:bCs/>
                <w:sz w:val="20"/>
              </w:rPr>
            </w:pPr>
            <w:r w:rsidRPr="00D3153A">
              <w:rPr>
                <w:rFonts w:ascii="Arial Narrow" w:eastAsia="Calibri" w:hAnsi="Arial Narrow" w:cs="Arial"/>
                <w:b/>
                <w:bCs/>
                <w:sz w:val="20"/>
              </w:rPr>
              <w:t>Tests compared to mass spectrometry</w:t>
            </w:r>
          </w:p>
        </w:tc>
      </w:tr>
      <w:tr w:rsidR="0010279F" w:rsidRPr="00D3153A" w14:paraId="6A015F95" w14:textId="77777777" w:rsidTr="00AF5486">
        <w:tc>
          <w:tcPr>
            <w:tcW w:w="2547" w:type="dxa"/>
          </w:tcPr>
          <w:p w14:paraId="679EA574" w14:textId="77777777" w:rsidR="0010279F" w:rsidRPr="00D3153A" w:rsidRDefault="0010279F" w:rsidP="00AF5486">
            <w:pPr>
              <w:spacing w:before="40" w:after="40" w:line="256" w:lineRule="auto"/>
              <w:rPr>
                <w:rFonts w:ascii="Arial Narrow" w:eastAsia="Calibri" w:hAnsi="Arial Narrow" w:cs="Arial"/>
                <w:sz w:val="20"/>
              </w:rPr>
            </w:pPr>
            <w:r w:rsidRPr="00D3153A">
              <w:rPr>
                <w:rFonts w:ascii="Arial Narrow" w:eastAsia="Calibri" w:hAnsi="Arial Narrow" w:cs="Arial"/>
                <w:sz w:val="20"/>
              </w:rPr>
              <w:t>RT-PCR (Idylla)</w:t>
            </w:r>
          </w:p>
        </w:tc>
        <w:tc>
          <w:tcPr>
            <w:tcW w:w="1134" w:type="dxa"/>
          </w:tcPr>
          <w:p w14:paraId="4C3E4B07"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100%</w:t>
            </w:r>
          </w:p>
        </w:tc>
        <w:tc>
          <w:tcPr>
            <w:tcW w:w="1134" w:type="dxa"/>
          </w:tcPr>
          <w:p w14:paraId="0CD11700"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100%</w:t>
            </w:r>
          </w:p>
        </w:tc>
        <w:tc>
          <w:tcPr>
            <w:tcW w:w="1134" w:type="dxa"/>
          </w:tcPr>
          <w:p w14:paraId="4C6C0B1B"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100%</w:t>
            </w:r>
          </w:p>
        </w:tc>
        <w:tc>
          <w:tcPr>
            <w:tcW w:w="3067" w:type="dxa"/>
          </w:tcPr>
          <w:p w14:paraId="67F2D5CF" w14:textId="77777777" w:rsidR="0010279F" w:rsidRPr="00D3153A" w:rsidRDefault="0010279F" w:rsidP="00AF5486">
            <w:pPr>
              <w:spacing w:before="40" w:after="40" w:line="256" w:lineRule="auto"/>
              <w:rPr>
                <w:rFonts w:ascii="Arial Narrow" w:eastAsia="Calibri" w:hAnsi="Arial Narrow" w:cs="Arial"/>
                <w:sz w:val="20"/>
              </w:rPr>
            </w:pPr>
            <w:r w:rsidRPr="00D3153A">
              <w:rPr>
                <w:rFonts w:ascii="Arial Narrow" w:eastAsia="Calibri" w:hAnsi="Arial Narrow" w:cs="Arial"/>
                <w:sz w:val="20"/>
              </w:rPr>
              <w:t>Johnston 2018</w:t>
            </w:r>
          </w:p>
        </w:tc>
      </w:tr>
      <w:tr w:rsidR="0010279F" w:rsidRPr="00D3153A" w14:paraId="50595AB2" w14:textId="77777777" w:rsidTr="00AF5486">
        <w:tc>
          <w:tcPr>
            <w:tcW w:w="9016" w:type="dxa"/>
            <w:gridSpan w:val="5"/>
          </w:tcPr>
          <w:p w14:paraId="51BCBADC" w14:textId="77777777" w:rsidR="0010279F" w:rsidRPr="00D3153A" w:rsidRDefault="0010279F" w:rsidP="00AF5486">
            <w:pPr>
              <w:spacing w:before="40" w:after="40" w:line="256" w:lineRule="auto"/>
              <w:rPr>
                <w:rFonts w:ascii="Arial Narrow" w:eastAsia="Calibri" w:hAnsi="Arial Narrow" w:cs="Arial"/>
                <w:b/>
                <w:bCs/>
                <w:sz w:val="20"/>
              </w:rPr>
            </w:pPr>
            <w:r w:rsidRPr="00D3153A">
              <w:rPr>
                <w:rFonts w:ascii="Arial Narrow" w:eastAsia="Calibri" w:hAnsi="Arial Narrow" w:cs="Arial"/>
                <w:b/>
                <w:bCs/>
                <w:sz w:val="20"/>
              </w:rPr>
              <w:t>Tests compared to HRM-sequencing</w:t>
            </w:r>
          </w:p>
        </w:tc>
      </w:tr>
      <w:tr w:rsidR="0010279F" w:rsidRPr="00D3153A" w14:paraId="311C639A" w14:textId="77777777" w:rsidTr="00AF5486">
        <w:tc>
          <w:tcPr>
            <w:tcW w:w="2547" w:type="dxa"/>
          </w:tcPr>
          <w:p w14:paraId="0EF9312A" w14:textId="77777777" w:rsidR="0010279F" w:rsidRPr="00D3153A" w:rsidRDefault="0010279F" w:rsidP="00AF5486">
            <w:pPr>
              <w:spacing w:before="40" w:after="40" w:line="256" w:lineRule="auto"/>
              <w:rPr>
                <w:rFonts w:ascii="Arial Narrow" w:eastAsia="Calibri" w:hAnsi="Arial Narrow" w:cs="Arial"/>
                <w:sz w:val="20"/>
              </w:rPr>
            </w:pPr>
            <w:r w:rsidRPr="00D3153A">
              <w:rPr>
                <w:rFonts w:ascii="Arial Narrow" w:eastAsia="Calibri" w:hAnsi="Arial Narrow" w:cs="Arial"/>
                <w:sz w:val="20"/>
              </w:rPr>
              <w:t>Microarray</w:t>
            </w:r>
          </w:p>
        </w:tc>
        <w:tc>
          <w:tcPr>
            <w:tcW w:w="1134" w:type="dxa"/>
          </w:tcPr>
          <w:p w14:paraId="08DFCB36"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100%</w:t>
            </w:r>
          </w:p>
        </w:tc>
        <w:tc>
          <w:tcPr>
            <w:tcW w:w="1134" w:type="dxa"/>
          </w:tcPr>
          <w:p w14:paraId="0C839DE1"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100%</w:t>
            </w:r>
          </w:p>
        </w:tc>
        <w:tc>
          <w:tcPr>
            <w:tcW w:w="1134" w:type="dxa"/>
          </w:tcPr>
          <w:p w14:paraId="304C6A40" w14:textId="77777777" w:rsidR="0010279F" w:rsidRPr="00D3153A" w:rsidRDefault="0010279F" w:rsidP="00AF5486">
            <w:pPr>
              <w:tabs>
                <w:tab w:val="decimal" w:pos="396"/>
              </w:tabs>
              <w:spacing w:before="40" w:after="40" w:line="256" w:lineRule="auto"/>
              <w:jc w:val="center"/>
              <w:rPr>
                <w:rFonts w:ascii="Arial Narrow" w:eastAsia="Calibri" w:hAnsi="Arial Narrow" w:cs="Arial"/>
                <w:sz w:val="20"/>
              </w:rPr>
            </w:pPr>
            <w:r w:rsidRPr="00D3153A">
              <w:rPr>
                <w:rFonts w:ascii="Arial Narrow" w:eastAsia="Calibri" w:hAnsi="Arial Narrow" w:cs="Arial"/>
                <w:sz w:val="20"/>
              </w:rPr>
              <w:t>100%</w:t>
            </w:r>
          </w:p>
        </w:tc>
        <w:tc>
          <w:tcPr>
            <w:tcW w:w="3067" w:type="dxa"/>
          </w:tcPr>
          <w:p w14:paraId="7E94E4D9" w14:textId="77777777" w:rsidR="0010279F" w:rsidRPr="00D3153A" w:rsidRDefault="0010279F" w:rsidP="00AF5486">
            <w:pPr>
              <w:spacing w:before="40" w:after="40" w:line="256" w:lineRule="auto"/>
              <w:rPr>
                <w:rFonts w:ascii="Arial Narrow" w:eastAsia="Calibri" w:hAnsi="Arial Narrow" w:cs="Arial"/>
                <w:sz w:val="20"/>
              </w:rPr>
            </w:pPr>
            <w:r w:rsidRPr="00D3153A">
              <w:rPr>
                <w:rFonts w:ascii="Arial Narrow" w:eastAsia="Calibri" w:hAnsi="Arial Narrow" w:cs="Arial"/>
                <w:sz w:val="20"/>
              </w:rPr>
              <w:t>Galbiati 2013</w:t>
            </w:r>
          </w:p>
        </w:tc>
      </w:tr>
    </w:tbl>
    <w:p w14:paraId="2925CDB5" w14:textId="77777777" w:rsidR="0010279F" w:rsidRPr="00D3153A" w:rsidRDefault="0010279F" w:rsidP="0010279F">
      <w:pPr>
        <w:spacing w:after="240"/>
        <w:contextualSpacing/>
        <w:rPr>
          <w:rFonts w:ascii="Arial Narrow" w:hAnsi="Arial Narrow" w:cs="Arial"/>
          <w:snapToGrid w:val="0"/>
          <w:sz w:val="18"/>
        </w:rPr>
      </w:pPr>
      <w:r w:rsidRPr="00D3153A">
        <w:rPr>
          <w:rFonts w:ascii="Arial Narrow" w:hAnsi="Arial Narrow" w:cs="Arial"/>
          <w:snapToGrid w:val="0"/>
          <w:sz w:val="18"/>
        </w:rPr>
        <w:t>Abbreviations: AS-PCR = allele-specific polymerase chain reaction; CDx = companion diagnostic; CTA = computed tomography angiography; dPCR = digital polymerase chain reaction; HRM = high resolution melting; MA = microarray; MP = multiplex; MS = mass spectrometry; NGS = next-generation sequencing; NPA = negative percent agreement OPA = overall percent agreement; PCR = polymerase chain reaction; PPA = positive percent agreement; PS = pyrosequencing; qPCR = real-time polymerase chain reaction; RT-PCR = real-time polymerase chain reaction; SS = Sanger sequencing; WTB = wild-type blocking.</w:t>
      </w:r>
    </w:p>
    <w:p w14:paraId="2A516C86" w14:textId="2AE7886C" w:rsidR="0010279F" w:rsidRPr="00D3153A" w:rsidRDefault="0010279F" w:rsidP="0054469D">
      <w:pPr>
        <w:rPr>
          <w:rFonts w:ascii="Arial Narrow" w:hAnsi="Arial Narrow" w:cs="Arial"/>
          <w:snapToGrid w:val="0"/>
          <w:sz w:val="18"/>
        </w:rPr>
      </w:pPr>
      <w:r w:rsidRPr="00D3153A">
        <w:rPr>
          <w:rFonts w:ascii="Arial Narrow" w:hAnsi="Arial Narrow" w:cs="Arial"/>
          <w:snapToGrid w:val="0"/>
          <w:sz w:val="18"/>
        </w:rPr>
        <w:t>Source: Table</w:t>
      </w:r>
      <w:r w:rsidR="00247552">
        <w:rPr>
          <w:rFonts w:ascii="Arial Narrow" w:hAnsi="Arial Narrow" w:cs="Arial"/>
          <w:snapToGrid w:val="0"/>
          <w:sz w:val="18"/>
        </w:rPr>
        <w:t xml:space="preserve"> </w:t>
      </w:r>
      <w:r w:rsidRPr="00D3153A">
        <w:rPr>
          <w:rFonts w:ascii="Arial Narrow" w:hAnsi="Arial Narrow" w:cs="Arial"/>
          <w:snapToGrid w:val="0"/>
          <w:sz w:val="18"/>
        </w:rPr>
        <w:t>2-32, p117 of the submission.</w:t>
      </w:r>
    </w:p>
    <w:p w14:paraId="44823D13" w14:textId="7B308758" w:rsidR="0010279F" w:rsidRDefault="0010279F" w:rsidP="0054469D">
      <w:pPr>
        <w:spacing w:before="240"/>
        <w:rPr>
          <w:rFonts w:eastAsia="Calibri"/>
        </w:rPr>
      </w:pPr>
      <w:r w:rsidRPr="00D3153A">
        <w:rPr>
          <w:rFonts w:eastAsia="Calibri"/>
        </w:rPr>
        <w:t xml:space="preserve">Concordance between testing methods was high, with OPA ranging between 94% and 100%, PPA ranging from 76% to 100% and NPA ranging from 93% to 100%. </w:t>
      </w:r>
      <w:r w:rsidRPr="00D3153A">
        <w:rPr>
          <w:rFonts w:eastAsia="Calibri"/>
          <w:iCs/>
        </w:rPr>
        <w:t xml:space="preserve">The discordance between these tests ranged from 0% to 6% (based on OPA). </w:t>
      </w:r>
      <w:r w:rsidRPr="00D3153A">
        <w:rPr>
          <w:rFonts w:eastAsia="Calibri"/>
        </w:rPr>
        <w:t xml:space="preserve">The submission noted that of relevance to the Australian setting, the </w:t>
      </w:r>
      <w:r>
        <w:rPr>
          <w:rFonts w:eastAsia="Calibri"/>
        </w:rPr>
        <w:t>concordance between NGS and RT-</w:t>
      </w:r>
      <w:r w:rsidRPr="00D3153A">
        <w:rPr>
          <w:rFonts w:eastAsia="Calibri"/>
        </w:rPr>
        <w:t xml:space="preserve">PCR, qPCR and Sanger sequencing was 100%, and between MS and RT-PCR and Sanger sequencing was 100%, noting NGS and MS are the most commonly used in Australia. Discordance between </w:t>
      </w:r>
      <w:r w:rsidRPr="00D3153A">
        <w:rPr>
          <w:rFonts w:eastAsia="Calibri"/>
        </w:rPr>
        <w:lastRenderedPageBreak/>
        <w:t>RT-PCR-CDx and other testing methodologies ranged from 5% (based on OPA), when compared to Sanger Sequencing and 0.3% when compared with Multiplex.</w:t>
      </w:r>
    </w:p>
    <w:p w14:paraId="3809DFE7" w14:textId="5BA2290F" w:rsidR="0010279F" w:rsidRPr="007C3B31" w:rsidRDefault="0010279F" w:rsidP="0054469D">
      <w:pPr>
        <w:spacing w:before="240"/>
        <w:rPr>
          <w:rFonts w:eastAsia="Calibri"/>
          <w:iCs/>
        </w:rPr>
      </w:pPr>
      <w:r w:rsidRPr="00D3153A">
        <w:rPr>
          <w:rFonts w:eastAsia="Calibri"/>
        </w:rPr>
        <w:t xml:space="preserve">Based on the concordance results between different methods of testing for </w:t>
      </w:r>
      <w:r w:rsidRPr="00D3153A">
        <w:rPr>
          <w:rFonts w:eastAsia="Calibri"/>
          <w:i/>
          <w:iCs/>
        </w:rPr>
        <w:t xml:space="preserve">BRAF </w:t>
      </w:r>
      <w:r w:rsidR="00965823" w:rsidRPr="00965823">
        <w:rPr>
          <w:rFonts w:eastAsia="Calibri"/>
          <w:iCs/>
        </w:rPr>
        <w:t>V600E</w:t>
      </w:r>
      <w:r w:rsidRPr="00D3153A">
        <w:rPr>
          <w:rFonts w:eastAsia="Calibri"/>
        </w:rPr>
        <w:t xml:space="preserve">, the submission concluded that the </w:t>
      </w:r>
      <w:r w:rsidRPr="00D3153A">
        <w:rPr>
          <w:rFonts w:eastAsia="Calibri"/>
          <w:i/>
          <w:iCs/>
        </w:rPr>
        <w:t xml:space="preserve">BRAF </w:t>
      </w:r>
      <w:r w:rsidR="00965823" w:rsidRPr="00965823">
        <w:rPr>
          <w:rFonts w:eastAsia="Calibri"/>
          <w:iCs/>
        </w:rPr>
        <w:t>V600E</w:t>
      </w:r>
      <w:r w:rsidRPr="00D3153A">
        <w:rPr>
          <w:rFonts w:eastAsia="Calibri"/>
          <w:iCs/>
        </w:rPr>
        <w:t xml:space="preserve"> variant can</w:t>
      </w:r>
      <w:r w:rsidRPr="00D3153A">
        <w:rPr>
          <w:rFonts w:eastAsia="Calibri"/>
        </w:rPr>
        <w:t xml:space="preserve"> be reliably identified in mCRC using different testing methodologies, and that the methodologies currently being used in Australia are likely to identify the same patient group as that included in BEACON. The Commentary considered that </w:t>
      </w:r>
      <w:r w:rsidRPr="00D3153A">
        <w:rPr>
          <w:rFonts w:eastAsia="Calibri"/>
          <w:iCs/>
        </w:rPr>
        <w:t>this conclusion was reasonable and was supported by the evidence provided in the submission.</w:t>
      </w:r>
    </w:p>
    <w:p w14:paraId="3249EC94" w14:textId="122FA386" w:rsidR="0010279F" w:rsidRPr="00153C7B" w:rsidRDefault="0010279F" w:rsidP="0054469D">
      <w:pPr>
        <w:spacing w:before="240"/>
      </w:pPr>
      <w:r w:rsidRPr="00D3153A">
        <w:rPr>
          <w:rFonts w:eastAsia="Calibri"/>
          <w:iCs/>
        </w:rPr>
        <w:t xml:space="preserve">The Commentary noted that the economic model did not include the incremental cost for </w:t>
      </w:r>
      <w:r w:rsidRPr="00D3153A">
        <w:rPr>
          <w:rFonts w:eastAsia="Calibri"/>
          <w:i/>
          <w:iCs/>
        </w:rPr>
        <w:t xml:space="preserve">BRAF </w:t>
      </w:r>
      <w:r w:rsidR="00965823" w:rsidRPr="00965823">
        <w:rPr>
          <w:rFonts w:eastAsia="Calibri"/>
          <w:iCs/>
        </w:rPr>
        <w:t>V600E</w:t>
      </w:r>
      <w:r w:rsidRPr="00D3153A">
        <w:rPr>
          <w:rFonts w:eastAsia="Calibri"/>
          <w:iCs/>
        </w:rPr>
        <w:t xml:space="preserve"> testing or the implications of test accuracy. While discordance between the testing methodologies used in Australia and the test used in BEACON is likely to be low, inclusion of test accuracy in the economic model </w:t>
      </w:r>
      <w:r w:rsidRPr="00A06C17">
        <w:rPr>
          <w:rFonts w:eastAsia="Calibri"/>
          <w:iCs/>
        </w:rPr>
        <w:t>would have been informative. Based on the concordance results presented i</w:t>
      </w:r>
      <w:r w:rsidR="00153C7B">
        <w:rPr>
          <w:rFonts w:eastAsia="Calibri"/>
          <w:iCs/>
        </w:rPr>
        <w:t>n Table 6,</w:t>
      </w:r>
      <w:r w:rsidRPr="00D3153A">
        <w:rPr>
          <w:rFonts w:eastAsia="Calibri"/>
        </w:rPr>
        <w:t xml:space="preserve"> t</w:t>
      </w:r>
      <w:r w:rsidRPr="00D3153A">
        <w:rPr>
          <w:rFonts w:eastAsia="Calibri"/>
          <w:iCs/>
        </w:rPr>
        <w:t xml:space="preserve">he evaluation conducted a sensitivity analysis assuming a discordance of 5% between the test results obtained in practice and the primary clinical evidence. This had a </w:t>
      </w:r>
      <w:r w:rsidR="00262E8F">
        <w:rPr>
          <w:rFonts w:eastAsia="Calibri"/>
          <w:iCs/>
        </w:rPr>
        <w:t>small</w:t>
      </w:r>
      <w:r w:rsidRPr="00D3153A">
        <w:rPr>
          <w:rFonts w:eastAsia="Calibri"/>
          <w:iCs/>
        </w:rPr>
        <w:t xml:space="preserve"> impact (</w:t>
      </w:r>
      <w:r w:rsidRPr="00BE7A4B">
        <w:rPr>
          <w:rFonts w:eastAsia="Calibri"/>
          <w:iCs/>
        </w:rPr>
        <w:t>5.3% increase</w:t>
      </w:r>
      <w:r w:rsidRPr="00D3153A">
        <w:rPr>
          <w:rFonts w:eastAsia="Calibri"/>
          <w:iCs/>
        </w:rPr>
        <w:t>) on the results of the economic evaluation.</w:t>
      </w:r>
    </w:p>
    <w:p w14:paraId="5905C51A" w14:textId="77777777" w:rsidR="0010279F" w:rsidRPr="00D3153A" w:rsidRDefault="0010279F" w:rsidP="0010279F">
      <w:pPr>
        <w:keepNext/>
        <w:keepLines/>
        <w:spacing w:before="200" w:after="120"/>
        <w:outlineLvl w:val="1"/>
        <w:rPr>
          <w:i/>
          <w:szCs w:val="26"/>
        </w:rPr>
      </w:pPr>
      <w:r w:rsidRPr="00D3153A">
        <w:rPr>
          <w:i/>
          <w:szCs w:val="26"/>
        </w:rPr>
        <w:t>Prevalence</w:t>
      </w:r>
    </w:p>
    <w:p w14:paraId="4D676065" w14:textId="25EE6B15" w:rsidR="0010279F" w:rsidRPr="00D3153A" w:rsidRDefault="0010279F" w:rsidP="0010279F">
      <w:pPr>
        <w:rPr>
          <w:rFonts w:eastAsia="Calibri" w:cs="Arial"/>
        </w:rPr>
      </w:pPr>
      <w:r w:rsidRPr="00D3153A">
        <w:rPr>
          <w:rFonts w:eastAsia="Calibri" w:cs="Arial"/>
        </w:rPr>
        <w:t xml:space="preserve">The submission stated that approximately 10% of individuals with mCRC have the </w:t>
      </w:r>
      <w:r w:rsidRPr="00D3153A">
        <w:rPr>
          <w:rFonts w:eastAsia="Calibri" w:cs="Arial"/>
          <w:i/>
        </w:rPr>
        <w:t xml:space="preserve">BRAF </w:t>
      </w:r>
      <w:r w:rsidR="00965823" w:rsidRPr="00965823">
        <w:rPr>
          <w:rFonts w:eastAsia="Calibri" w:cs="Arial"/>
        </w:rPr>
        <w:t>V600E</w:t>
      </w:r>
      <w:r w:rsidRPr="00D3153A">
        <w:rPr>
          <w:rFonts w:eastAsia="Calibri" w:cs="Arial"/>
        </w:rPr>
        <w:t xml:space="preserve"> variant. Detailed estimates of the number of Australian patients with mCRC likely to have </w:t>
      </w:r>
      <w:r w:rsidRPr="00D3153A">
        <w:rPr>
          <w:rFonts w:eastAsia="Calibri" w:cs="Arial"/>
          <w:i/>
        </w:rPr>
        <w:t xml:space="preserve">BRAF </w:t>
      </w:r>
      <w:r w:rsidR="00965823" w:rsidRPr="00965823">
        <w:rPr>
          <w:rFonts w:eastAsia="Calibri" w:cs="Arial"/>
        </w:rPr>
        <w:t>V600E</w:t>
      </w:r>
      <w:r w:rsidRPr="00D3153A">
        <w:rPr>
          <w:rFonts w:eastAsia="Calibri" w:cs="Arial"/>
        </w:rPr>
        <w:t xml:space="preserve"> were based on data from the AIHW and the literature. </w:t>
      </w:r>
      <w:r w:rsidRPr="00D3153A">
        <w:rPr>
          <w:rFonts w:eastAsia="Calibri" w:cs="Arial"/>
          <w:iCs/>
        </w:rPr>
        <w:t xml:space="preserve">Overall, the Commentary considered the approach used by the submission to estimate patients likely to have a </w:t>
      </w:r>
      <w:r w:rsidRPr="00D3153A">
        <w:rPr>
          <w:rFonts w:eastAsia="Calibri" w:cs="Arial"/>
          <w:i/>
          <w:iCs/>
        </w:rPr>
        <w:t xml:space="preserve">BRAF </w:t>
      </w:r>
      <w:r w:rsidR="00965823" w:rsidRPr="00965823">
        <w:rPr>
          <w:rFonts w:eastAsia="Calibri" w:cs="Arial"/>
          <w:iCs/>
        </w:rPr>
        <w:t>V600E</w:t>
      </w:r>
      <w:r w:rsidRPr="00D3153A">
        <w:rPr>
          <w:rFonts w:eastAsia="Calibri" w:cs="Arial"/>
          <w:iCs/>
        </w:rPr>
        <w:t xml:space="preserve"> variant and be eligible for treatment with encorafenib + cetuximab </w:t>
      </w:r>
      <w:r w:rsidR="00262E8F">
        <w:rPr>
          <w:rFonts w:eastAsia="Calibri" w:cs="Arial"/>
          <w:iCs/>
        </w:rPr>
        <w:t>wa</w:t>
      </w:r>
      <w:r w:rsidRPr="00D3153A">
        <w:rPr>
          <w:rFonts w:eastAsia="Calibri" w:cs="Arial"/>
          <w:iCs/>
        </w:rPr>
        <w:t xml:space="preserve">s consistent with the TGA indication, the PBS listing, the clinical management algorithm and the </w:t>
      </w:r>
      <w:r>
        <w:rPr>
          <w:rFonts w:eastAsia="Calibri" w:cs="Arial"/>
          <w:iCs/>
        </w:rPr>
        <w:t xml:space="preserve">proposed </w:t>
      </w:r>
      <w:r w:rsidRPr="00D3153A">
        <w:rPr>
          <w:rFonts w:eastAsia="Calibri" w:cs="Arial"/>
          <w:iCs/>
        </w:rPr>
        <w:t>population.</w:t>
      </w:r>
    </w:p>
    <w:p w14:paraId="11E9D664" w14:textId="77777777" w:rsidR="0010279F" w:rsidRPr="00D3153A" w:rsidRDefault="0010279F" w:rsidP="0010279F">
      <w:pPr>
        <w:keepNext/>
        <w:keepLines/>
        <w:spacing w:before="200" w:after="120"/>
        <w:outlineLvl w:val="1"/>
        <w:rPr>
          <w:i/>
          <w:szCs w:val="26"/>
        </w:rPr>
      </w:pPr>
      <w:r w:rsidRPr="00D3153A">
        <w:rPr>
          <w:i/>
          <w:szCs w:val="26"/>
        </w:rPr>
        <w:t>Change in management in practice</w:t>
      </w:r>
    </w:p>
    <w:p w14:paraId="52D269AF" w14:textId="014E41FC" w:rsidR="0010279F" w:rsidRDefault="0010279F" w:rsidP="0010279F">
      <w:pPr>
        <w:rPr>
          <w:rFonts w:eastAsia="Calibri" w:cs="Arial"/>
        </w:rPr>
      </w:pPr>
      <w:r w:rsidRPr="00D3153A">
        <w:rPr>
          <w:rFonts w:eastAsia="Calibri" w:cs="Arial"/>
        </w:rPr>
        <w:t xml:space="preserve">The proposed change in management for the requested population for </w:t>
      </w:r>
      <w:r w:rsidRPr="00D3153A">
        <w:rPr>
          <w:rFonts w:eastAsia="Calibri" w:cs="Arial"/>
          <w:i/>
        </w:rPr>
        <w:t xml:space="preserve">BRAF </w:t>
      </w:r>
      <w:r w:rsidR="00965823" w:rsidRPr="00965823">
        <w:rPr>
          <w:rFonts w:eastAsia="Calibri" w:cs="Arial"/>
        </w:rPr>
        <w:t>V600E</w:t>
      </w:r>
      <w:r w:rsidRPr="00D3153A">
        <w:rPr>
          <w:rFonts w:eastAsia="Calibri" w:cs="Arial"/>
        </w:rPr>
        <w:t xml:space="preserve"> testing would be to initiate encorafenib for those patients who have a </w:t>
      </w:r>
      <w:r w:rsidRPr="00D3153A">
        <w:rPr>
          <w:rFonts w:eastAsia="Calibri" w:cs="Arial"/>
          <w:i/>
        </w:rPr>
        <w:t xml:space="preserve">BRAF </w:t>
      </w:r>
      <w:r w:rsidR="00965823" w:rsidRPr="00965823">
        <w:rPr>
          <w:rFonts w:eastAsia="Calibri" w:cs="Arial"/>
        </w:rPr>
        <w:t>V600E</w:t>
      </w:r>
      <w:r w:rsidRPr="00D3153A">
        <w:rPr>
          <w:rFonts w:eastAsia="Calibri" w:cs="Arial"/>
        </w:rPr>
        <w:t xml:space="preserve"> variant and who have received prior systemic therapy.</w:t>
      </w:r>
    </w:p>
    <w:p w14:paraId="79AF19A0" w14:textId="73990A2B" w:rsidR="0010279F" w:rsidRPr="00D3153A" w:rsidRDefault="0010279F" w:rsidP="0054469D">
      <w:pPr>
        <w:spacing w:before="240"/>
        <w:rPr>
          <w:rFonts w:eastAsia="Calibri" w:cs="Arial"/>
        </w:rPr>
      </w:pPr>
      <w:r w:rsidRPr="00D3153A">
        <w:rPr>
          <w:rFonts w:eastAsia="Calibri" w:cs="Arial"/>
        </w:rPr>
        <w:t xml:space="preserve">There is no change in clinical management for mCRC patients who do not test positive to </w:t>
      </w:r>
      <w:r w:rsidRPr="00D3153A">
        <w:rPr>
          <w:rFonts w:eastAsia="Calibri" w:cs="Arial"/>
          <w:i/>
        </w:rPr>
        <w:t xml:space="preserve">BRAF </w:t>
      </w:r>
      <w:r w:rsidR="00965823" w:rsidRPr="00965823">
        <w:rPr>
          <w:rFonts w:eastAsia="Calibri" w:cs="Arial"/>
        </w:rPr>
        <w:t>V600E</w:t>
      </w:r>
      <w:r w:rsidRPr="00D3153A">
        <w:rPr>
          <w:rFonts w:eastAsia="Calibri" w:cs="Arial"/>
        </w:rPr>
        <w:t xml:space="preserve"> as per the current and proposed </w:t>
      </w:r>
      <w:r w:rsidR="00262E8F">
        <w:rPr>
          <w:rFonts w:eastAsia="Calibri" w:cs="Arial"/>
        </w:rPr>
        <w:t>clinical management algorithms.</w:t>
      </w:r>
    </w:p>
    <w:p w14:paraId="4D77159F" w14:textId="77777777" w:rsidR="0010279F" w:rsidRPr="00D3153A" w:rsidRDefault="0010279F" w:rsidP="0010279F">
      <w:pPr>
        <w:keepNext/>
        <w:keepLines/>
        <w:spacing w:before="200" w:after="120"/>
        <w:outlineLvl w:val="1"/>
        <w:rPr>
          <w:i/>
          <w:szCs w:val="26"/>
        </w:rPr>
      </w:pPr>
      <w:r w:rsidRPr="00D3153A">
        <w:rPr>
          <w:i/>
          <w:szCs w:val="26"/>
        </w:rPr>
        <w:t>Claim of codependence</w:t>
      </w:r>
    </w:p>
    <w:p w14:paraId="6C855066" w14:textId="221D9ACC" w:rsidR="0010279F" w:rsidRDefault="0010279F" w:rsidP="0010279F">
      <w:pPr>
        <w:rPr>
          <w:rFonts w:eastAsia="Calibri" w:cs="Arial"/>
        </w:rPr>
      </w:pPr>
      <w:r w:rsidRPr="00D3153A">
        <w:rPr>
          <w:rFonts w:eastAsia="Calibri" w:cs="Arial"/>
        </w:rPr>
        <w:t xml:space="preserve">The submission stated that </w:t>
      </w:r>
      <w:r w:rsidRPr="00D3153A">
        <w:rPr>
          <w:rFonts w:eastAsia="Calibri" w:cs="Arial"/>
          <w:i/>
          <w:iCs/>
        </w:rPr>
        <w:t xml:space="preserve">BRAF </w:t>
      </w:r>
      <w:r w:rsidR="00965823" w:rsidRPr="00965823">
        <w:rPr>
          <w:rFonts w:eastAsia="Calibri" w:cs="Arial"/>
          <w:iCs/>
        </w:rPr>
        <w:t>V600E</w:t>
      </w:r>
      <w:r w:rsidRPr="007C3B31">
        <w:rPr>
          <w:rFonts w:eastAsia="Calibri" w:cs="Arial"/>
          <w:iCs/>
        </w:rPr>
        <w:t xml:space="preserve"> </w:t>
      </w:r>
      <w:r w:rsidR="007C3B31">
        <w:rPr>
          <w:rFonts w:eastAsia="Calibri" w:cs="Arial"/>
        </w:rPr>
        <w:t>positive</w:t>
      </w:r>
      <w:r w:rsidRPr="00D3153A">
        <w:rPr>
          <w:rFonts w:eastAsia="Calibri" w:cs="Arial"/>
        </w:rPr>
        <w:t xml:space="preserve"> mCRC is a distinct subtype of mCRC that has poor prognosis and has no targeted therapies currently available. To date, this patient group has been treated with the standard of care regimens used for patients with </w:t>
      </w:r>
      <w:r w:rsidRPr="00D3153A">
        <w:rPr>
          <w:rFonts w:eastAsia="Calibri" w:cs="Arial"/>
          <w:i/>
          <w:iCs/>
        </w:rPr>
        <w:t>RAS</w:t>
      </w:r>
      <w:r w:rsidRPr="00D3153A">
        <w:rPr>
          <w:rFonts w:eastAsia="Calibri" w:cs="Arial"/>
        </w:rPr>
        <w:t xml:space="preserve"> </w:t>
      </w:r>
      <w:r w:rsidR="00262E8F">
        <w:rPr>
          <w:rFonts w:eastAsia="Calibri" w:cs="Arial"/>
        </w:rPr>
        <w:t xml:space="preserve">wild-type </w:t>
      </w:r>
      <w:r w:rsidRPr="00D3153A">
        <w:rPr>
          <w:rFonts w:eastAsia="Calibri" w:cs="Arial"/>
        </w:rPr>
        <w:t xml:space="preserve">mCRC. In Australia, EGFR treatments such as cetuximab are used in the </w:t>
      </w:r>
      <w:r w:rsidRPr="00D3153A">
        <w:rPr>
          <w:rFonts w:eastAsia="Calibri" w:cs="Arial"/>
          <w:i/>
          <w:iCs/>
        </w:rPr>
        <w:t xml:space="preserve">BRAF </w:t>
      </w:r>
      <w:r w:rsidR="00965823" w:rsidRPr="00965823">
        <w:rPr>
          <w:rFonts w:eastAsia="Calibri" w:cs="Arial"/>
          <w:iCs/>
        </w:rPr>
        <w:t>V600E</w:t>
      </w:r>
      <w:r w:rsidRPr="00D3153A">
        <w:rPr>
          <w:rFonts w:eastAsia="Calibri" w:cs="Arial"/>
        </w:rPr>
        <w:t xml:space="preserve"> positive population, being indicated within </w:t>
      </w:r>
      <w:r w:rsidRPr="00D3153A">
        <w:rPr>
          <w:rFonts w:eastAsia="Calibri" w:cs="Arial"/>
          <w:i/>
          <w:iCs/>
        </w:rPr>
        <w:t>RAS</w:t>
      </w:r>
      <w:r w:rsidR="00262E8F" w:rsidRPr="00262E8F">
        <w:rPr>
          <w:rFonts w:eastAsia="Calibri" w:cs="Arial"/>
          <w:iCs/>
        </w:rPr>
        <w:t xml:space="preserve"> wild type</w:t>
      </w:r>
      <w:r w:rsidRPr="00D3153A">
        <w:rPr>
          <w:rFonts w:eastAsia="Calibri" w:cs="Arial"/>
          <w:i/>
          <w:iCs/>
        </w:rPr>
        <w:t>.</w:t>
      </w:r>
    </w:p>
    <w:p w14:paraId="7306E350" w14:textId="7301ABBB" w:rsidR="0010279F" w:rsidRPr="00D3153A" w:rsidRDefault="0010279F" w:rsidP="0054469D">
      <w:pPr>
        <w:spacing w:before="240"/>
        <w:rPr>
          <w:rFonts w:eastAsia="Calibri" w:cs="Arial"/>
        </w:rPr>
      </w:pPr>
      <w:r w:rsidRPr="00D3153A">
        <w:rPr>
          <w:rFonts w:eastAsia="Calibri" w:cs="Arial"/>
          <w:i/>
          <w:iCs/>
        </w:rPr>
        <w:t>RAS</w:t>
      </w:r>
      <w:r w:rsidRPr="00D3153A">
        <w:rPr>
          <w:rFonts w:eastAsia="Calibri" w:cs="Arial"/>
        </w:rPr>
        <w:t xml:space="preserve"> testing, currently undertaken via MBS item 73338, uses a somatic gene panel approach, which the submission claimed already routinely includes a </w:t>
      </w:r>
      <w:r w:rsidRPr="00D3153A">
        <w:rPr>
          <w:rFonts w:eastAsia="Calibri" w:cs="Arial"/>
          <w:i/>
          <w:iCs/>
        </w:rPr>
        <w:t xml:space="preserve">BRAF </w:t>
      </w:r>
      <w:r w:rsidR="00965823" w:rsidRPr="00965823">
        <w:rPr>
          <w:rFonts w:eastAsia="Calibri" w:cs="Arial"/>
          <w:iCs/>
        </w:rPr>
        <w:t>V600E</w:t>
      </w:r>
      <w:r w:rsidRPr="00D3153A">
        <w:rPr>
          <w:rFonts w:eastAsia="Calibri" w:cs="Arial"/>
          <w:i/>
          <w:iCs/>
        </w:rPr>
        <w:t xml:space="preserve"> </w:t>
      </w:r>
      <w:r w:rsidRPr="00D3153A">
        <w:rPr>
          <w:rFonts w:eastAsia="Calibri" w:cs="Arial"/>
        </w:rPr>
        <w:t>test. For the PBAC component, the submission requested the listing of encorafenib in combination with an existing PBS</w:t>
      </w:r>
      <w:r w:rsidR="00262E8F">
        <w:rPr>
          <w:rFonts w:eastAsia="Calibri" w:cs="Arial"/>
        </w:rPr>
        <w:t>-</w:t>
      </w:r>
      <w:r w:rsidRPr="00D3153A">
        <w:rPr>
          <w:rFonts w:eastAsia="Calibri" w:cs="Arial"/>
        </w:rPr>
        <w:t xml:space="preserve">listed EGFR inhibitor, such as cetuximab, for mCRC stage IV patients who have the </w:t>
      </w:r>
      <w:r w:rsidRPr="00D3153A">
        <w:rPr>
          <w:rFonts w:eastAsia="Calibri" w:cs="Arial"/>
          <w:i/>
          <w:iCs/>
        </w:rPr>
        <w:t xml:space="preserve">BRAF </w:t>
      </w:r>
      <w:r w:rsidR="00965823" w:rsidRPr="00965823">
        <w:rPr>
          <w:rFonts w:eastAsia="Calibri" w:cs="Arial"/>
          <w:iCs/>
        </w:rPr>
        <w:t>V600E</w:t>
      </w:r>
      <w:r w:rsidRPr="00D3153A">
        <w:rPr>
          <w:rFonts w:eastAsia="Calibri" w:cs="Arial"/>
        </w:rPr>
        <w:t xml:space="preserve"> variant and who have received prior systemic therapy for mCRC.</w:t>
      </w:r>
    </w:p>
    <w:p w14:paraId="67AA7536" w14:textId="1F9E6225" w:rsidR="0010279F" w:rsidRPr="00D3153A" w:rsidRDefault="0010279F" w:rsidP="0054469D">
      <w:pPr>
        <w:spacing w:before="240"/>
        <w:rPr>
          <w:rFonts w:eastAsia="Calibri" w:cs="Arial"/>
        </w:rPr>
      </w:pPr>
      <w:r w:rsidRPr="00D3153A">
        <w:rPr>
          <w:rFonts w:eastAsia="Calibri" w:cs="Arial"/>
        </w:rPr>
        <w:t xml:space="preserve">The proposed listings are intended to meet an unmet need for the specific treatment of </w:t>
      </w:r>
      <w:r w:rsidRPr="00D3153A">
        <w:rPr>
          <w:rFonts w:eastAsia="Calibri" w:cs="Arial"/>
          <w:i/>
          <w:iCs/>
        </w:rPr>
        <w:t xml:space="preserve">BRAF </w:t>
      </w:r>
      <w:r w:rsidR="00965823" w:rsidRPr="00965823">
        <w:rPr>
          <w:rFonts w:eastAsia="Calibri" w:cs="Arial"/>
          <w:iCs/>
        </w:rPr>
        <w:t>V600E</w:t>
      </w:r>
      <w:r w:rsidRPr="00D3153A">
        <w:rPr>
          <w:rFonts w:eastAsia="Calibri" w:cs="Arial"/>
        </w:rPr>
        <w:t xml:space="preserve"> </w:t>
      </w:r>
      <w:r w:rsidR="007C3B31">
        <w:rPr>
          <w:rFonts w:eastAsia="Calibri" w:cs="Arial"/>
        </w:rPr>
        <w:t>positive</w:t>
      </w:r>
      <w:r w:rsidRPr="00D3153A">
        <w:rPr>
          <w:rFonts w:eastAsia="Calibri" w:cs="Arial"/>
        </w:rPr>
        <w:t xml:space="preserve"> mCRC patients that improves their overall survival. The key factors presented in the submission for the rationale for the MBS and PBS listings were:</w:t>
      </w:r>
    </w:p>
    <w:p w14:paraId="115F777B" w14:textId="77777777" w:rsidR="0010279F" w:rsidRPr="00D3153A" w:rsidRDefault="0010279F" w:rsidP="0010279F">
      <w:pPr>
        <w:numPr>
          <w:ilvl w:val="0"/>
          <w:numId w:val="30"/>
        </w:numPr>
        <w:contextualSpacing/>
        <w:rPr>
          <w:rFonts w:eastAsia="Calibri" w:cs="Arial"/>
        </w:rPr>
      </w:pPr>
      <w:r w:rsidRPr="00D3153A">
        <w:rPr>
          <w:rFonts w:eastAsia="Calibri" w:cs="Arial"/>
        </w:rPr>
        <w:t>to guide the use of encorafenib doublet therapy (consisting of encorafenib and an EGFR inhibitor, such as cetuximab) as well as to provide important mCRC prognostic information</w:t>
      </w:r>
    </w:p>
    <w:p w14:paraId="16775B84" w14:textId="77777777" w:rsidR="0010279F" w:rsidRPr="00D3153A" w:rsidRDefault="0010279F" w:rsidP="0010279F">
      <w:pPr>
        <w:numPr>
          <w:ilvl w:val="0"/>
          <w:numId w:val="30"/>
        </w:numPr>
        <w:rPr>
          <w:rFonts w:eastAsia="Calibri" w:cs="Arial"/>
        </w:rPr>
      </w:pPr>
      <w:r w:rsidRPr="00D3153A">
        <w:rPr>
          <w:rFonts w:eastAsia="Calibri" w:cs="Arial"/>
        </w:rPr>
        <w:t>statistically and clinically significant improvements in overall survival (OS), overall response rate (ORR), progression-free survival (PFS), with manageable tolerability and sustained quality of life (QoL), compared to chemotherapy + cetuximab.</w:t>
      </w:r>
    </w:p>
    <w:p w14:paraId="6DDDDD78" w14:textId="63428A67" w:rsidR="0010279F" w:rsidRDefault="0010279F" w:rsidP="0054469D">
      <w:pPr>
        <w:spacing w:before="240"/>
        <w:rPr>
          <w:rFonts w:eastAsia="Calibri" w:cs="Arial"/>
        </w:rPr>
      </w:pPr>
      <w:r w:rsidRPr="00D3153A">
        <w:rPr>
          <w:rFonts w:eastAsia="Calibri" w:cs="Arial"/>
        </w:rPr>
        <w:t xml:space="preserve">The submission did not present evidence on the treatment effect of encorafenib + cetuximab for patients who were </w:t>
      </w:r>
      <w:r w:rsidRPr="00D3153A">
        <w:rPr>
          <w:rFonts w:eastAsia="Calibri" w:cs="Arial"/>
          <w:i/>
        </w:rPr>
        <w:t xml:space="preserve">BRAF </w:t>
      </w:r>
      <w:r w:rsidR="00965823" w:rsidRPr="00965823">
        <w:rPr>
          <w:rFonts w:eastAsia="Calibri" w:cs="Arial"/>
        </w:rPr>
        <w:t>V600E</w:t>
      </w:r>
      <w:r w:rsidRPr="00D3153A">
        <w:rPr>
          <w:rFonts w:eastAsia="Calibri" w:cs="Arial"/>
        </w:rPr>
        <w:t xml:space="preserve"> positive versus patients who were not </w:t>
      </w:r>
      <w:r w:rsidRPr="00D3153A">
        <w:rPr>
          <w:rFonts w:eastAsia="Calibri" w:cs="Arial"/>
          <w:i/>
        </w:rPr>
        <w:t xml:space="preserve">BRAF </w:t>
      </w:r>
      <w:r w:rsidR="00965823" w:rsidRPr="00965823">
        <w:rPr>
          <w:rFonts w:eastAsia="Calibri" w:cs="Arial"/>
        </w:rPr>
        <w:t>V600E</w:t>
      </w:r>
      <w:r w:rsidRPr="00D3153A">
        <w:rPr>
          <w:rFonts w:eastAsia="Calibri" w:cs="Arial"/>
        </w:rPr>
        <w:t xml:space="preserve"> positive. Thus, the Commentary noted an estimate of the variation in this treatment effect due to </w:t>
      </w:r>
      <w:r w:rsidRPr="00D3153A">
        <w:rPr>
          <w:rFonts w:eastAsia="Calibri" w:cs="Arial"/>
          <w:i/>
        </w:rPr>
        <w:t xml:space="preserve">BRAF </w:t>
      </w:r>
      <w:r w:rsidR="00965823" w:rsidRPr="00965823">
        <w:rPr>
          <w:rFonts w:eastAsia="Calibri" w:cs="Arial"/>
        </w:rPr>
        <w:t>V600E</w:t>
      </w:r>
      <w:r w:rsidRPr="00D3153A">
        <w:rPr>
          <w:rFonts w:eastAsia="Calibri" w:cs="Arial"/>
        </w:rPr>
        <w:t xml:space="preserve"> positivity could not be established from the evidence presented and so acceptance of the predictive value of the test </w:t>
      </w:r>
      <w:r w:rsidR="00262E8F">
        <w:rPr>
          <w:rFonts w:eastAsia="Calibri" w:cs="Arial"/>
        </w:rPr>
        <w:t>primarily</w:t>
      </w:r>
      <w:r w:rsidRPr="00D3153A">
        <w:rPr>
          <w:rFonts w:eastAsia="Calibri" w:cs="Arial"/>
        </w:rPr>
        <w:t xml:space="preserve"> relies on a biological plausibility argument.</w:t>
      </w:r>
    </w:p>
    <w:p w14:paraId="7E1339FF" w14:textId="309E7577" w:rsidR="00F37B9C" w:rsidRDefault="00C06B0B" w:rsidP="0054469D">
      <w:pPr>
        <w:tabs>
          <w:tab w:val="left" w:pos="720"/>
          <w:tab w:val="left" w:pos="1140"/>
        </w:tabs>
        <w:spacing w:before="240" w:after="120"/>
        <w:rPr>
          <w:b/>
          <w:szCs w:val="24"/>
        </w:rPr>
      </w:pPr>
      <w:r>
        <w:rPr>
          <w:b/>
          <w:szCs w:val="24"/>
        </w:rPr>
        <w:t>Clinical c</w:t>
      </w:r>
      <w:r w:rsidR="00F37B9C" w:rsidRPr="00F37B9C">
        <w:rPr>
          <w:b/>
          <w:szCs w:val="24"/>
        </w:rPr>
        <w:t>laim</w:t>
      </w:r>
    </w:p>
    <w:p w14:paraId="00B703E0" w14:textId="32DCEB87" w:rsidR="006B5706" w:rsidRPr="00BF02F5" w:rsidRDefault="006B5706" w:rsidP="00C06B0B">
      <w:pPr>
        <w:tabs>
          <w:tab w:val="left" w:pos="720"/>
          <w:tab w:val="left" w:pos="1140"/>
        </w:tabs>
        <w:spacing w:after="120"/>
        <w:rPr>
          <w:szCs w:val="24"/>
        </w:rPr>
      </w:pPr>
      <w:r>
        <w:rPr>
          <w:iCs/>
        </w:rPr>
        <w:lastRenderedPageBreak/>
        <w:t xml:space="preserve">The ADAR claimed that </w:t>
      </w:r>
      <w:r w:rsidRPr="00D52E93">
        <w:rPr>
          <w:i/>
          <w:iCs/>
        </w:rPr>
        <w:t>BRAF</w:t>
      </w:r>
      <w:r w:rsidRPr="007C3B31">
        <w:rPr>
          <w:iCs/>
        </w:rPr>
        <w:t xml:space="preserve"> </w:t>
      </w:r>
      <w:r w:rsidR="00965823" w:rsidRPr="00965823">
        <w:rPr>
          <w:iCs/>
        </w:rPr>
        <w:t>V600E</w:t>
      </w:r>
      <w:r>
        <w:t xml:space="preserve"> </w:t>
      </w:r>
      <w:r w:rsidRPr="006A5B9B">
        <w:t>variant testing methods likely to be used in Australia are concordant</w:t>
      </w:r>
      <w:r>
        <w:t>.</w:t>
      </w:r>
      <w:r w:rsidR="003D7919">
        <w:t xml:space="preserve"> The Commentary considered this reasonable </w:t>
      </w:r>
      <w:r w:rsidR="003D7919" w:rsidRPr="003D7919">
        <w:t>and was supported by the evidence provided in the submission.</w:t>
      </w:r>
    </w:p>
    <w:p w14:paraId="42A4D9DB" w14:textId="77777777" w:rsidR="00BC1364" w:rsidRPr="00F715D1" w:rsidRDefault="00BC1364" w:rsidP="00F715D1">
      <w:pPr>
        <w:pStyle w:val="Heading1"/>
      </w:pPr>
      <w:r w:rsidRPr="00F715D1">
        <w:t>Economic evaluation</w:t>
      </w:r>
    </w:p>
    <w:p w14:paraId="494687E4" w14:textId="77777777" w:rsidR="0030749E" w:rsidRPr="0096285A" w:rsidRDefault="0030749E" w:rsidP="0030749E">
      <w:pPr>
        <w:spacing w:after="240"/>
        <w:rPr>
          <w:rFonts w:eastAsia="Calibri" w:cs="Arial"/>
        </w:rPr>
      </w:pPr>
      <w:r w:rsidRPr="0096285A">
        <w:rPr>
          <w:rFonts w:eastAsia="Calibri" w:cs="Arial"/>
        </w:rPr>
        <w:t>The submission presented a cost-effectiveness analysis comparing encorafenib + cetuximab with FOLFIRI/Ir + cetuximab based on findings from BEACON. This was consistent with the submission’s claim of superiority for encorafenib + cetuximab in terms of effectiveness compared to FOLFIRI + cetuximab or irinotecan + cetuximab, with a manageable tolerability profile and superior in terms of safety compared to FOLFIRI + cetuximab or irinotecan + cetuximab.</w:t>
      </w:r>
    </w:p>
    <w:p w14:paraId="31D80DCC" w14:textId="0B8230F7" w:rsidR="0030749E" w:rsidRPr="0096285A" w:rsidRDefault="0030749E" w:rsidP="0030749E">
      <w:pPr>
        <w:spacing w:after="240"/>
        <w:rPr>
          <w:rFonts w:eastAsia="Calibri" w:cs="Arial"/>
        </w:rPr>
      </w:pPr>
      <w:r w:rsidRPr="0096285A">
        <w:rPr>
          <w:rFonts w:eastAsia="Calibri" w:cs="Arial"/>
        </w:rPr>
        <w:t>The analysis was structured as a partitioned survival model. Entry into the model was at the point of primary treatment and not at the point of testing.</w:t>
      </w:r>
      <w:r w:rsidRPr="0096285A">
        <w:rPr>
          <w:rFonts w:eastAsia="Calibri" w:cs="Arial"/>
          <w:i/>
        </w:rPr>
        <w:t xml:space="preserve"> </w:t>
      </w:r>
      <w:r w:rsidRPr="0096285A">
        <w:rPr>
          <w:rFonts w:eastAsia="Calibri" w:cs="Arial"/>
        </w:rPr>
        <w:t xml:space="preserve">The submission stated that no incremental cost for </w:t>
      </w:r>
      <w:r w:rsidRPr="0096285A">
        <w:rPr>
          <w:rFonts w:eastAsia="Calibri" w:cs="Arial"/>
          <w:i/>
        </w:rPr>
        <w:t xml:space="preserve">BRAF </w:t>
      </w:r>
      <w:r w:rsidR="00965823" w:rsidRPr="00965823">
        <w:rPr>
          <w:rFonts w:eastAsia="Calibri" w:cs="Arial"/>
        </w:rPr>
        <w:t>V600E</w:t>
      </w:r>
      <w:r w:rsidRPr="0096285A">
        <w:rPr>
          <w:rFonts w:eastAsia="Calibri" w:cs="Arial"/>
        </w:rPr>
        <w:t xml:space="preserve"> testing was applied in the economic model as it is currently routinely performed and reported alongside </w:t>
      </w:r>
      <w:r w:rsidRPr="0096285A">
        <w:rPr>
          <w:rFonts w:eastAsia="Calibri" w:cs="Arial"/>
          <w:i/>
          <w:iCs/>
        </w:rPr>
        <w:t>RAS</w:t>
      </w:r>
      <w:r w:rsidRPr="0096285A">
        <w:rPr>
          <w:rFonts w:eastAsia="Calibri" w:cs="Arial"/>
        </w:rPr>
        <w:t xml:space="preserve"> status as an important prognostic tool. Thus, the submission assumed that the treatment initiation cost would be equal to that of the main comparator, since such testing is required for treatment with cetuximab. </w:t>
      </w:r>
      <w:r w:rsidRPr="0096285A">
        <w:rPr>
          <w:rFonts w:eastAsia="Calibri" w:cs="Arial"/>
          <w:iCs/>
        </w:rPr>
        <w:t xml:space="preserve">The Commentary noted that inclusion of test accuracy in the economic model would have been informative. The evaluation included a sensitivity analysis assuming discordance between the test results obtained in practice and the evidentiary standard was 5%. The results of the sensitivity analysis showed that this had a </w:t>
      </w:r>
      <w:r w:rsidR="004B50BB">
        <w:rPr>
          <w:rFonts w:eastAsia="Calibri" w:cs="Arial"/>
          <w:iCs/>
        </w:rPr>
        <w:t>small</w:t>
      </w:r>
      <w:r w:rsidRPr="0096285A">
        <w:rPr>
          <w:rFonts w:eastAsia="Calibri" w:cs="Arial"/>
          <w:iCs/>
        </w:rPr>
        <w:t xml:space="preserve"> impact on the ICER (</w:t>
      </w:r>
      <w:r w:rsidRPr="00BE7A4B">
        <w:rPr>
          <w:rFonts w:eastAsia="Calibri" w:cs="Arial"/>
          <w:iCs/>
        </w:rPr>
        <w:t>5.3% increase</w:t>
      </w:r>
      <w:r w:rsidRPr="0096285A">
        <w:rPr>
          <w:rFonts w:eastAsia="Calibri" w:cs="Arial"/>
          <w:iCs/>
        </w:rPr>
        <w:t>).</w:t>
      </w:r>
    </w:p>
    <w:p w14:paraId="48960807" w14:textId="659933D0" w:rsidR="0030749E" w:rsidRPr="0096285A" w:rsidRDefault="0030749E" w:rsidP="0030749E">
      <w:pPr>
        <w:spacing w:after="240"/>
        <w:rPr>
          <w:rFonts w:eastAsia="Calibri" w:cs="Arial"/>
        </w:rPr>
      </w:pPr>
      <w:r w:rsidRPr="0096285A">
        <w:rPr>
          <w:rFonts w:eastAsia="Calibri" w:cs="Arial"/>
        </w:rPr>
        <w:t xml:space="preserve">The submission did not propose alternate funding scenarios with regards to the MBS item 73338. The base case incremental cost effectiveness ratio (ICER) presented in the submission is shown in </w:t>
      </w:r>
      <w:r w:rsidR="00153C7B">
        <w:rPr>
          <w:rFonts w:eastAsia="Calibri"/>
        </w:rPr>
        <w:t>Table 7</w:t>
      </w:r>
      <w:r w:rsidRPr="00A06C17">
        <w:rPr>
          <w:rFonts w:eastAsia="Calibri"/>
        </w:rPr>
        <w:t>.</w:t>
      </w:r>
    </w:p>
    <w:p w14:paraId="3EBEC1DF" w14:textId="72F6C858" w:rsidR="0030749E" w:rsidRPr="00BD0E7A" w:rsidRDefault="0030749E" w:rsidP="0054469D">
      <w:pPr>
        <w:pStyle w:val="Caption"/>
      </w:pPr>
      <w:bookmarkStart w:id="7" w:name="_Ref62639632"/>
      <w:r w:rsidRPr="00BD0E7A">
        <w:t>Table</w:t>
      </w:r>
      <w:bookmarkEnd w:id="7"/>
      <w:r w:rsidR="00153C7B">
        <w:t xml:space="preserve"> 7</w:t>
      </w:r>
      <w:r>
        <w:tab/>
      </w:r>
      <w:r>
        <w:rPr>
          <w:rFonts w:eastAsia="Calibri"/>
        </w:rPr>
        <w:t>B</w:t>
      </w:r>
      <w:r w:rsidRPr="00BD0E7A">
        <w:rPr>
          <w:rFonts w:eastAsia="Calibri"/>
        </w:rPr>
        <w:t xml:space="preserve">ase case </w:t>
      </w:r>
      <w:r>
        <w:rPr>
          <w:rFonts w:eastAsia="Calibri"/>
        </w:rPr>
        <w:t>results of the economic evaluation</w:t>
      </w:r>
    </w:p>
    <w:tbl>
      <w:tblPr>
        <w:tblStyle w:val="PBACTableStyle1"/>
        <w:tblW w:w="5000" w:type="pct"/>
        <w:tblLook w:val="04A0" w:firstRow="1" w:lastRow="0" w:firstColumn="1" w:lastColumn="0" w:noHBand="0" w:noVBand="1"/>
        <w:tblDescription w:val="Base case results of the economic evaluation"/>
      </w:tblPr>
      <w:tblGrid>
        <w:gridCol w:w="3257"/>
        <w:gridCol w:w="2268"/>
        <w:gridCol w:w="2205"/>
        <w:gridCol w:w="1286"/>
      </w:tblGrid>
      <w:tr w:rsidR="0030749E" w:rsidRPr="0096285A" w14:paraId="017A383B" w14:textId="77777777" w:rsidTr="0054469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1806" w:type="pct"/>
          </w:tcPr>
          <w:p w14:paraId="37204CDF" w14:textId="77777777" w:rsidR="0030749E" w:rsidRPr="0096285A" w:rsidRDefault="0030749E" w:rsidP="00AF5486">
            <w:pPr>
              <w:widowControl/>
              <w:rPr>
                <w:rFonts w:eastAsia="Calibri" w:cs="Arial"/>
                <w:sz w:val="20"/>
              </w:rPr>
            </w:pPr>
          </w:p>
        </w:tc>
        <w:tc>
          <w:tcPr>
            <w:tcW w:w="1258" w:type="pct"/>
          </w:tcPr>
          <w:p w14:paraId="6D31DE13" w14:textId="77777777" w:rsidR="0030749E" w:rsidRPr="0096285A" w:rsidRDefault="0030749E" w:rsidP="00AF5486">
            <w:pPr>
              <w:widowControl/>
              <w:cnfStyle w:val="100000000000" w:firstRow="1" w:lastRow="0" w:firstColumn="0" w:lastColumn="0" w:oddVBand="0" w:evenVBand="0" w:oddHBand="0" w:evenHBand="0" w:firstRowFirstColumn="0" w:firstRowLastColumn="0" w:lastRowFirstColumn="0" w:lastRowLastColumn="0"/>
              <w:rPr>
                <w:rFonts w:eastAsia="Calibri" w:cs="Arial"/>
                <w:sz w:val="20"/>
              </w:rPr>
            </w:pPr>
            <w:r w:rsidRPr="0096285A">
              <w:rPr>
                <w:rFonts w:eastAsia="Calibri" w:cs="Arial"/>
                <w:sz w:val="20"/>
              </w:rPr>
              <w:t>Incremental cost</w:t>
            </w:r>
          </w:p>
        </w:tc>
        <w:tc>
          <w:tcPr>
            <w:tcW w:w="1223" w:type="pct"/>
          </w:tcPr>
          <w:p w14:paraId="2D2181A7" w14:textId="77777777" w:rsidR="0030749E" w:rsidRPr="0096285A" w:rsidRDefault="0030749E" w:rsidP="00AF5486">
            <w:pPr>
              <w:widowControl/>
              <w:cnfStyle w:val="100000000000" w:firstRow="1" w:lastRow="0" w:firstColumn="0" w:lastColumn="0" w:oddVBand="0" w:evenVBand="0" w:oddHBand="0" w:evenHBand="0" w:firstRowFirstColumn="0" w:firstRowLastColumn="0" w:lastRowFirstColumn="0" w:lastRowLastColumn="0"/>
              <w:rPr>
                <w:rFonts w:eastAsia="Calibri" w:cs="Arial"/>
                <w:sz w:val="20"/>
              </w:rPr>
            </w:pPr>
            <w:r w:rsidRPr="0096285A">
              <w:rPr>
                <w:rFonts w:eastAsia="Calibri" w:cs="Arial"/>
                <w:sz w:val="20"/>
              </w:rPr>
              <w:t>Incremental QALY</w:t>
            </w:r>
          </w:p>
        </w:tc>
        <w:tc>
          <w:tcPr>
            <w:tcW w:w="713" w:type="pct"/>
          </w:tcPr>
          <w:p w14:paraId="7977BC28" w14:textId="77777777" w:rsidR="0030749E" w:rsidRPr="0096285A" w:rsidRDefault="0030749E" w:rsidP="00AF5486">
            <w:pPr>
              <w:widowControl/>
              <w:cnfStyle w:val="100000000000" w:firstRow="1" w:lastRow="0" w:firstColumn="0" w:lastColumn="0" w:oddVBand="0" w:evenVBand="0" w:oddHBand="0" w:evenHBand="0" w:firstRowFirstColumn="0" w:firstRowLastColumn="0" w:lastRowFirstColumn="0" w:lastRowLastColumn="0"/>
              <w:rPr>
                <w:rFonts w:eastAsia="Calibri" w:cs="Arial"/>
                <w:sz w:val="20"/>
              </w:rPr>
            </w:pPr>
            <w:r w:rsidRPr="0096285A">
              <w:rPr>
                <w:rFonts w:eastAsia="Calibri" w:cs="Arial"/>
                <w:sz w:val="20"/>
              </w:rPr>
              <w:t>ICER</w:t>
            </w:r>
          </w:p>
        </w:tc>
      </w:tr>
      <w:tr w:rsidR="0030749E" w:rsidRPr="0096285A" w14:paraId="1FA7F06F" w14:textId="77777777" w:rsidTr="00AF5486">
        <w:trPr>
          <w:trHeight w:val="219"/>
        </w:trPr>
        <w:tc>
          <w:tcPr>
            <w:cnfStyle w:val="001000000000" w:firstRow="0" w:lastRow="0" w:firstColumn="1" w:lastColumn="0" w:oddVBand="0" w:evenVBand="0" w:oddHBand="0" w:evenHBand="0" w:firstRowFirstColumn="0" w:firstRowLastColumn="0" w:lastRowFirstColumn="0" w:lastRowLastColumn="0"/>
            <w:tcW w:w="1806" w:type="pct"/>
          </w:tcPr>
          <w:p w14:paraId="48CBDFE9" w14:textId="77777777" w:rsidR="0030749E" w:rsidRPr="0096285A" w:rsidRDefault="0030749E" w:rsidP="00AF5486">
            <w:pPr>
              <w:widowControl/>
              <w:rPr>
                <w:rFonts w:eastAsia="Calibri" w:cs="Arial"/>
                <w:bCs/>
                <w:sz w:val="20"/>
              </w:rPr>
            </w:pPr>
            <w:r w:rsidRPr="0096285A">
              <w:rPr>
                <w:rFonts w:eastAsia="Calibri" w:cs="Arial"/>
                <w:bCs/>
                <w:sz w:val="20"/>
              </w:rPr>
              <w:t>Submission base case</w:t>
            </w:r>
          </w:p>
        </w:tc>
        <w:tc>
          <w:tcPr>
            <w:tcW w:w="1258" w:type="pct"/>
          </w:tcPr>
          <w:p w14:paraId="5059DB7D" w14:textId="2BDE73FB" w:rsidR="0030749E" w:rsidRPr="00E73411" w:rsidRDefault="0030749E" w:rsidP="00AF5486">
            <w:pPr>
              <w:widowControl/>
              <w:cnfStyle w:val="000000000000" w:firstRow="0" w:lastRow="0" w:firstColumn="0" w:lastColumn="0" w:oddVBand="0" w:evenVBand="0" w:oddHBand="0" w:evenHBand="0" w:firstRowFirstColumn="0" w:firstRowLastColumn="0" w:lastRowFirstColumn="0" w:lastRowLastColumn="0"/>
              <w:rPr>
                <w:rFonts w:eastAsia="Calibri" w:cs="Arial"/>
                <w:bCs/>
                <w:iCs/>
                <w:sz w:val="20"/>
              </w:rPr>
            </w:pPr>
            <w:r w:rsidRPr="00E73411">
              <w:rPr>
                <w:rFonts w:eastAsia="Calibri" w:cs="Arial"/>
                <w:bCs/>
                <w:iCs/>
                <w:sz w:val="20"/>
              </w:rPr>
              <w:t>$</w:t>
            </w:r>
            <w:r w:rsidR="00272931" w:rsidRPr="00E73411">
              <w:rPr>
                <w:rFonts w:eastAsia="Calibri" w:cs="Arial"/>
                <w:bCs/>
                <w:iCs/>
                <w:sz w:val="20"/>
              </w:rPr>
              <w:t>redacted</w:t>
            </w:r>
          </w:p>
        </w:tc>
        <w:tc>
          <w:tcPr>
            <w:tcW w:w="1223" w:type="pct"/>
          </w:tcPr>
          <w:p w14:paraId="22463AA8" w14:textId="77777777" w:rsidR="0030749E" w:rsidRPr="00E73411" w:rsidRDefault="0030749E" w:rsidP="00AF5486">
            <w:pPr>
              <w:widowControl/>
              <w:cnfStyle w:val="000000000000" w:firstRow="0" w:lastRow="0" w:firstColumn="0" w:lastColumn="0" w:oddVBand="0" w:evenVBand="0" w:oddHBand="0" w:evenHBand="0" w:firstRowFirstColumn="0" w:firstRowLastColumn="0" w:lastRowFirstColumn="0" w:lastRowLastColumn="0"/>
              <w:rPr>
                <w:rFonts w:eastAsia="Calibri" w:cs="Arial"/>
                <w:bCs/>
                <w:iCs/>
                <w:sz w:val="20"/>
              </w:rPr>
            </w:pPr>
            <w:r w:rsidRPr="00E73411">
              <w:rPr>
                <w:rFonts w:eastAsia="Calibri" w:cs="Arial"/>
                <w:bCs/>
                <w:iCs/>
                <w:sz w:val="20"/>
              </w:rPr>
              <w:t>0.34</w:t>
            </w:r>
          </w:p>
        </w:tc>
        <w:tc>
          <w:tcPr>
            <w:tcW w:w="713" w:type="pct"/>
          </w:tcPr>
          <w:p w14:paraId="7B44F640" w14:textId="713AD944" w:rsidR="0030749E" w:rsidRPr="00E73411" w:rsidRDefault="0030749E" w:rsidP="00AF5486">
            <w:pPr>
              <w:widowControl/>
              <w:cnfStyle w:val="000000000000" w:firstRow="0" w:lastRow="0" w:firstColumn="0" w:lastColumn="0" w:oddVBand="0" w:evenVBand="0" w:oddHBand="0" w:evenHBand="0" w:firstRowFirstColumn="0" w:firstRowLastColumn="0" w:lastRowFirstColumn="0" w:lastRowLastColumn="0"/>
              <w:rPr>
                <w:rFonts w:eastAsia="Calibri" w:cs="Arial"/>
                <w:bCs/>
                <w:iCs/>
                <w:sz w:val="20"/>
                <w:vertAlign w:val="superscript"/>
              </w:rPr>
            </w:pPr>
            <w:r w:rsidRPr="00E73411">
              <w:rPr>
                <w:rFonts w:eastAsia="Calibri" w:cs="Arial"/>
                <w:bCs/>
                <w:iCs/>
                <w:sz w:val="20"/>
              </w:rPr>
              <w:t>$</w:t>
            </w:r>
            <w:r w:rsidR="00272931" w:rsidRPr="00E73411">
              <w:rPr>
                <w:rFonts w:eastAsia="Calibri" w:cs="Arial"/>
                <w:bCs/>
                <w:iCs/>
                <w:sz w:val="20"/>
              </w:rPr>
              <w:t>redacted</w:t>
            </w:r>
            <w:r w:rsidR="00CF2D89" w:rsidRPr="00E73411">
              <w:rPr>
                <w:rFonts w:eastAsia="Calibri" w:cs="Arial"/>
                <w:bCs/>
                <w:iCs/>
                <w:sz w:val="20"/>
              </w:rPr>
              <w:t xml:space="preserve"> </w:t>
            </w:r>
            <w:r w:rsidR="00CF2D89" w:rsidRPr="00E73411">
              <w:rPr>
                <w:rFonts w:eastAsia="Calibri" w:cs="Arial"/>
                <w:bCs/>
                <w:iCs/>
                <w:sz w:val="20"/>
                <w:vertAlign w:val="superscript"/>
              </w:rPr>
              <w:t>1</w:t>
            </w:r>
          </w:p>
        </w:tc>
      </w:tr>
    </w:tbl>
    <w:p w14:paraId="08BF9D7B" w14:textId="77777777" w:rsidR="0030749E" w:rsidRPr="0096285A" w:rsidRDefault="0030749E" w:rsidP="0043278F">
      <w:pPr>
        <w:contextualSpacing/>
        <w:rPr>
          <w:rFonts w:ascii="Arial Narrow" w:hAnsi="Arial Narrow" w:cs="Arial"/>
          <w:snapToGrid w:val="0"/>
          <w:sz w:val="18"/>
        </w:rPr>
      </w:pPr>
      <w:r w:rsidRPr="0096285A">
        <w:rPr>
          <w:rFonts w:ascii="Arial Narrow" w:hAnsi="Arial Narrow" w:cs="Arial"/>
          <w:snapToGrid w:val="0"/>
          <w:sz w:val="18"/>
        </w:rPr>
        <w:t>Abbreviations: ICER = incremental cost effectiveness ratio; QALY = quality adjusted life years</w:t>
      </w:r>
    </w:p>
    <w:p w14:paraId="60CCE49F" w14:textId="77777777" w:rsidR="00CF2D89" w:rsidRDefault="0030749E" w:rsidP="0043278F">
      <w:pPr>
        <w:contextualSpacing/>
        <w:rPr>
          <w:rFonts w:ascii="Arial Narrow" w:hAnsi="Arial Narrow" w:cs="Arial"/>
          <w:snapToGrid w:val="0"/>
          <w:sz w:val="18"/>
        </w:rPr>
      </w:pPr>
      <w:r w:rsidRPr="0096285A">
        <w:rPr>
          <w:rFonts w:ascii="Arial Narrow" w:hAnsi="Arial Narrow" w:cs="Arial"/>
          <w:snapToGrid w:val="0"/>
          <w:sz w:val="18"/>
        </w:rPr>
        <w:t xml:space="preserve">Source: Table </w:t>
      </w:r>
      <w:r w:rsidR="003D7919">
        <w:rPr>
          <w:rFonts w:ascii="Arial Narrow" w:hAnsi="Arial Narrow" w:cs="Arial"/>
          <w:snapToGrid w:val="0"/>
          <w:sz w:val="18"/>
        </w:rPr>
        <w:t>MSAC.9, p13 of the Commentary.</w:t>
      </w:r>
    </w:p>
    <w:p w14:paraId="1E0B0CF3" w14:textId="73465AED" w:rsidR="00CF2D89" w:rsidRPr="009868C4" w:rsidRDefault="00CF2D89" w:rsidP="00CF2D89">
      <w:pPr>
        <w:pStyle w:val="TableFigureFooter"/>
        <w:spacing w:after="0"/>
        <w:contextualSpacing w:val="0"/>
      </w:pPr>
      <w:r w:rsidRPr="009868C4">
        <w:rPr>
          <w:i/>
        </w:rPr>
        <w:t>The redacted value correspond</w:t>
      </w:r>
      <w:r w:rsidR="0043278F">
        <w:rPr>
          <w:i/>
        </w:rPr>
        <w:t>s</w:t>
      </w:r>
      <w:r w:rsidRPr="009868C4">
        <w:rPr>
          <w:i/>
        </w:rPr>
        <w:t xml:space="preserve"> to the following range</w:t>
      </w:r>
      <w:r>
        <w:rPr>
          <w:i/>
        </w:rPr>
        <w:t xml:space="preserve">: </w:t>
      </w:r>
    </w:p>
    <w:p w14:paraId="28FC8B5D" w14:textId="0A709F43" w:rsidR="00CF2D89" w:rsidRPr="009868C4" w:rsidRDefault="00CF2D89" w:rsidP="00CF2D89">
      <w:pPr>
        <w:rPr>
          <w:rFonts w:ascii="Arial Narrow" w:hAnsi="Arial Narrow"/>
          <w:i/>
          <w:sz w:val="18"/>
          <w:szCs w:val="18"/>
        </w:rPr>
      </w:pPr>
      <w:r w:rsidRPr="009868C4">
        <w:rPr>
          <w:rFonts w:ascii="Arial Narrow" w:hAnsi="Arial Narrow"/>
          <w:i/>
          <w:sz w:val="18"/>
          <w:szCs w:val="18"/>
          <w:vertAlign w:val="superscript"/>
        </w:rPr>
        <w:t>1</w:t>
      </w:r>
      <w:r w:rsidRPr="009868C4">
        <w:rPr>
          <w:rFonts w:ascii="Arial Narrow" w:hAnsi="Arial Narrow"/>
          <w:i/>
          <w:sz w:val="18"/>
          <w:szCs w:val="18"/>
        </w:rPr>
        <w:t xml:space="preserve"> </w:t>
      </w:r>
      <w:r w:rsidR="00A56176" w:rsidRPr="00A56176">
        <w:rPr>
          <w:rFonts w:ascii="Arial Narrow" w:hAnsi="Arial Narrow"/>
          <w:i/>
          <w:sz w:val="18"/>
          <w:szCs w:val="18"/>
        </w:rPr>
        <w:t>$75,000 to &lt; $95,000</w:t>
      </w:r>
      <w:r w:rsidRPr="009868C4">
        <w:rPr>
          <w:rFonts w:ascii="Arial Narrow" w:hAnsi="Arial Narrow"/>
          <w:i/>
          <w:sz w:val="18"/>
          <w:szCs w:val="18"/>
        </w:rPr>
        <w:t>/QALY gained</w:t>
      </w:r>
    </w:p>
    <w:p w14:paraId="227321ED" w14:textId="721D1574" w:rsidR="0054469D" w:rsidRDefault="0054469D" w:rsidP="0054469D">
      <w:pPr>
        <w:spacing w:after="240"/>
        <w:contextualSpacing/>
        <w:rPr>
          <w:rFonts w:ascii="Arial Narrow" w:hAnsi="Arial Narrow" w:cs="Arial"/>
          <w:snapToGrid w:val="0"/>
          <w:sz w:val="18"/>
        </w:rPr>
      </w:pPr>
      <w:r>
        <w:rPr>
          <w:rFonts w:ascii="Arial Narrow" w:hAnsi="Arial Narrow" w:cs="Arial"/>
          <w:snapToGrid w:val="0"/>
          <w:sz w:val="18"/>
        </w:rPr>
        <w:br w:type="page"/>
      </w:r>
    </w:p>
    <w:p w14:paraId="0DDAA949" w14:textId="77777777" w:rsidR="00BC1364" w:rsidRPr="00F715D1" w:rsidRDefault="00BC1364" w:rsidP="00F715D1">
      <w:pPr>
        <w:pStyle w:val="Heading1"/>
      </w:pPr>
      <w:r w:rsidRPr="00F715D1">
        <w:lastRenderedPageBreak/>
        <w:t>Financial/budgetary impacts</w:t>
      </w:r>
    </w:p>
    <w:p w14:paraId="189D00AE" w14:textId="24EA1B1A" w:rsidR="000801A7" w:rsidRPr="0096285A" w:rsidRDefault="000801A7" w:rsidP="000801A7">
      <w:pPr>
        <w:spacing w:after="240"/>
        <w:rPr>
          <w:rFonts w:eastAsia="Calibri" w:cs="Arial"/>
        </w:rPr>
      </w:pPr>
      <w:r w:rsidRPr="0096285A">
        <w:rPr>
          <w:rFonts w:eastAsia="Calibri" w:cs="Arial"/>
        </w:rPr>
        <w:t xml:space="preserve">The submission assumed that there would be no additional cost associated with the MBS listing of </w:t>
      </w:r>
      <w:r w:rsidRPr="0096285A">
        <w:rPr>
          <w:rFonts w:eastAsia="Calibri" w:cs="Arial"/>
          <w:i/>
        </w:rPr>
        <w:t xml:space="preserve">BRAF </w:t>
      </w:r>
      <w:r w:rsidR="00965823" w:rsidRPr="00965823">
        <w:rPr>
          <w:rFonts w:eastAsia="Calibri" w:cs="Arial"/>
        </w:rPr>
        <w:t>V600E</w:t>
      </w:r>
      <w:r w:rsidRPr="0096285A">
        <w:rPr>
          <w:rFonts w:eastAsia="Calibri" w:cs="Arial"/>
        </w:rPr>
        <w:t xml:space="preserve"> testing as it is currently routinely performed and reported alongside </w:t>
      </w:r>
      <w:r w:rsidRPr="0096285A">
        <w:rPr>
          <w:rFonts w:eastAsia="Calibri" w:cs="Arial"/>
          <w:i/>
          <w:iCs/>
        </w:rPr>
        <w:t>RAS</w:t>
      </w:r>
      <w:r w:rsidRPr="0096285A">
        <w:rPr>
          <w:rFonts w:eastAsia="Calibri" w:cs="Arial"/>
        </w:rPr>
        <w:t xml:space="preserve"> status (for MBS item 73338) as an important prognostic tool. The Commentary considered that t</w:t>
      </w:r>
      <w:r>
        <w:rPr>
          <w:rFonts w:eastAsia="Calibri" w:cs="Arial"/>
        </w:rPr>
        <w:t>his was reasonable.</w:t>
      </w:r>
    </w:p>
    <w:p w14:paraId="5A2FDEAA" w14:textId="0149D0D2" w:rsidR="000801A7" w:rsidRPr="0096285A" w:rsidRDefault="000801A7" w:rsidP="000801A7">
      <w:pPr>
        <w:spacing w:after="240"/>
        <w:rPr>
          <w:rFonts w:eastAsia="Calibri" w:cs="Arial"/>
        </w:rPr>
      </w:pPr>
      <w:r w:rsidRPr="0096285A">
        <w:rPr>
          <w:rFonts w:eastAsia="Calibri" w:cs="Arial"/>
        </w:rPr>
        <w:t>The financial impact associated with the use of other MBS items (MBS items 105, 82200, 36, 63001, 56001, 56341, and 65070) likely to be affected by the listing of encorafenib is presented in</w:t>
      </w:r>
      <w:r>
        <w:rPr>
          <w:rFonts w:eastAsia="Calibri" w:cs="Arial"/>
        </w:rPr>
        <w:t xml:space="preserve"> </w:t>
      </w:r>
      <w:r w:rsidR="00153C7B">
        <w:rPr>
          <w:rFonts w:eastAsia="Calibri"/>
        </w:rPr>
        <w:t>Table 8</w:t>
      </w:r>
      <w:r w:rsidRPr="00A06C17">
        <w:rPr>
          <w:rFonts w:eastAsia="Calibri"/>
        </w:rPr>
        <w:t>. The</w:t>
      </w:r>
      <w:r w:rsidRPr="0096285A">
        <w:rPr>
          <w:rFonts w:eastAsia="Calibri" w:cs="Arial"/>
        </w:rPr>
        <w:t xml:space="preserve"> use of these items was anticipated to increase and was consistent with MBS services applied in the economic model. Details of the estimation of the number of patients likely to receive encorafenib on the PBS is presented in the </w:t>
      </w:r>
      <w:r>
        <w:rPr>
          <w:rFonts w:eastAsia="Calibri" w:cs="Arial"/>
        </w:rPr>
        <w:t>ESCs advice to the PBAC.</w:t>
      </w:r>
    </w:p>
    <w:p w14:paraId="797DF639" w14:textId="77A03370" w:rsidR="000801A7" w:rsidRDefault="000801A7" w:rsidP="0054469D">
      <w:pPr>
        <w:pStyle w:val="Caption"/>
      </w:pPr>
      <w:bookmarkStart w:id="8" w:name="_Ref64018583"/>
      <w:bookmarkStart w:id="9" w:name="_Ref64231948"/>
      <w:r>
        <w:t>Table</w:t>
      </w:r>
      <w:bookmarkEnd w:id="8"/>
      <w:r w:rsidR="00153C7B">
        <w:t xml:space="preserve"> 8</w:t>
      </w:r>
      <w:r>
        <w:tab/>
      </w:r>
      <w:r w:rsidRPr="0088686A">
        <w:t>Estimated use and financial implications of PBS listing of encorafenib to the MBS</w:t>
      </w:r>
      <w:bookmarkEnd w:id="9"/>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39"/>
        <w:gridCol w:w="992"/>
        <w:gridCol w:w="993"/>
        <w:gridCol w:w="992"/>
        <w:gridCol w:w="992"/>
        <w:gridCol w:w="992"/>
        <w:gridCol w:w="993"/>
      </w:tblGrid>
      <w:tr w:rsidR="000801A7" w:rsidRPr="0096285A" w14:paraId="693573CE" w14:textId="77777777" w:rsidTr="00F108DD">
        <w:trPr>
          <w:tblHeader/>
        </w:trPr>
        <w:tc>
          <w:tcPr>
            <w:tcW w:w="3539" w:type="dxa"/>
            <w:shd w:val="clear" w:color="auto" w:fill="auto"/>
            <w:vAlign w:val="center"/>
          </w:tcPr>
          <w:p w14:paraId="705BDA12" w14:textId="77777777" w:rsidR="000801A7" w:rsidRPr="0096285A" w:rsidRDefault="000801A7" w:rsidP="00AF5486">
            <w:pPr>
              <w:spacing w:before="40" w:after="40" w:line="256" w:lineRule="auto"/>
              <w:jc w:val="center"/>
              <w:rPr>
                <w:rFonts w:ascii="Arial Narrow" w:eastAsia="Calibri" w:hAnsi="Arial Narrow" w:cs="Arial"/>
                <w:b/>
                <w:sz w:val="20"/>
              </w:rPr>
            </w:pPr>
          </w:p>
        </w:tc>
        <w:tc>
          <w:tcPr>
            <w:tcW w:w="992" w:type="dxa"/>
            <w:shd w:val="clear" w:color="auto" w:fill="auto"/>
            <w:vAlign w:val="center"/>
          </w:tcPr>
          <w:p w14:paraId="0EC9DE00" w14:textId="77777777" w:rsidR="000801A7" w:rsidRPr="0096285A" w:rsidRDefault="000801A7" w:rsidP="00AF5486">
            <w:pPr>
              <w:spacing w:before="40" w:after="40" w:line="256" w:lineRule="auto"/>
              <w:jc w:val="center"/>
              <w:rPr>
                <w:rFonts w:ascii="Arial Narrow" w:eastAsia="Calibri" w:hAnsi="Arial Narrow" w:cs="Arial"/>
                <w:b/>
                <w:sz w:val="20"/>
              </w:rPr>
            </w:pPr>
            <w:r w:rsidRPr="0096285A">
              <w:rPr>
                <w:rFonts w:ascii="Arial Narrow" w:eastAsia="Calibri" w:hAnsi="Arial Narrow" w:cs="Arial"/>
                <w:b/>
                <w:sz w:val="20"/>
              </w:rPr>
              <w:t>Year 1 (2022)</w:t>
            </w:r>
          </w:p>
        </w:tc>
        <w:tc>
          <w:tcPr>
            <w:tcW w:w="993" w:type="dxa"/>
            <w:shd w:val="clear" w:color="auto" w:fill="auto"/>
            <w:vAlign w:val="center"/>
          </w:tcPr>
          <w:p w14:paraId="71566A68" w14:textId="77777777" w:rsidR="000801A7" w:rsidRPr="0096285A" w:rsidRDefault="000801A7" w:rsidP="00AF5486">
            <w:pPr>
              <w:spacing w:before="40" w:after="40" w:line="256" w:lineRule="auto"/>
              <w:jc w:val="center"/>
              <w:rPr>
                <w:rFonts w:ascii="Arial Narrow" w:eastAsia="Calibri" w:hAnsi="Arial Narrow" w:cs="Arial"/>
                <w:b/>
                <w:sz w:val="20"/>
              </w:rPr>
            </w:pPr>
            <w:r w:rsidRPr="0096285A">
              <w:rPr>
                <w:rFonts w:ascii="Arial Narrow" w:eastAsia="Calibri" w:hAnsi="Arial Narrow" w:cs="Arial"/>
                <w:b/>
                <w:sz w:val="20"/>
              </w:rPr>
              <w:t>Year 2</w:t>
            </w:r>
          </w:p>
        </w:tc>
        <w:tc>
          <w:tcPr>
            <w:tcW w:w="992" w:type="dxa"/>
            <w:shd w:val="clear" w:color="auto" w:fill="auto"/>
            <w:vAlign w:val="center"/>
          </w:tcPr>
          <w:p w14:paraId="1B3D11C4" w14:textId="77777777" w:rsidR="000801A7" w:rsidRPr="0096285A" w:rsidRDefault="000801A7" w:rsidP="00AF5486">
            <w:pPr>
              <w:spacing w:before="40" w:after="40" w:line="256" w:lineRule="auto"/>
              <w:jc w:val="center"/>
              <w:rPr>
                <w:rFonts w:ascii="Arial Narrow" w:eastAsia="Calibri" w:hAnsi="Arial Narrow" w:cs="Arial"/>
                <w:b/>
                <w:sz w:val="20"/>
              </w:rPr>
            </w:pPr>
            <w:r w:rsidRPr="0096285A">
              <w:rPr>
                <w:rFonts w:ascii="Arial Narrow" w:eastAsia="Calibri" w:hAnsi="Arial Narrow" w:cs="Arial"/>
                <w:b/>
                <w:sz w:val="20"/>
              </w:rPr>
              <w:t>Year 3</w:t>
            </w:r>
          </w:p>
        </w:tc>
        <w:tc>
          <w:tcPr>
            <w:tcW w:w="992" w:type="dxa"/>
            <w:shd w:val="clear" w:color="auto" w:fill="auto"/>
            <w:vAlign w:val="center"/>
          </w:tcPr>
          <w:p w14:paraId="10DF5AF5" w14:textId="77777777" w:rsidR="000801A7" w:rsidRPr="0096285A" w:rsidRDefault="000801A7" w:rsidP="00AF5486">
            <w:pPr>
              <w:spacing w:before="40" w:after="40" w:line="256" w:lineRule="auto"/>
              <w:jc w:val="center"/>
              <w:rPr>
                <w:rFonts w:ascii="Arial Narrow" w:eastAsia="Calibri" w:hAnsi="Arial Narrow" w:cs="Arial"/>
                <w:b/>
                <w:sz w:val="20"/>
              </w:rPr>
            </w:pPr>
            <w:r w:rsidRPr="0096285A">
              <w:rPr>
                <w:rFonts w:ascii="Arial Narrow" w:eastAsia="Calibri" w:hAnsi="Arial Narrow" w:cs="Arial"/>
                <w:b/>
                <w:sz w:val="20"/>
              </w:rPr>
              <w:t>Year 4</w:t>
            </w:r>
          </w:p>
        </w:tc>
        <w:tc>
          <w:tcPr>
            <w:tcW w:w="992" w:type="dxa"/>
            <w:shd w:val="clear" w:color="auto" w:fill="auto"/>
            <w:vAlign w:val="center"/>
          </w:tcPr>
          <w:p w14:paraId="63B118CE" w14:textId="77777777" w:rsidR="000801A7" w:rsidRPr="0096285A" w:rsidRDefault="000801A7" w:rsidP="00AF5486">
            <w:pPr>
              <w:spacing w:before="40" w:after="40" w:line="256" w:lineRule="auto"/>
              <w:jc w:val="center"/>
              <w:rPr>
                <w:rFonts w:ascii="Arial Narrow" w:eastAsia="Calibri" w:hAnsi="Arial Narrow" w:cs="Arial"/>
                <w:b/>
                <w:sz w:val="20"/>
              </w:rPr>
            </w:pPr>
            <w:r w:rsidRPr="0096285A">
              <w:rPr>
                <w:rFonts w:ascii="Arial Narrow" w:eastAsia="Calibri" w:hAnsi="Arial Narrow" w:cs="Arial"/>
                <w:b/>
                <w:sz w:val="20"/>
              </w:rPr>
              <w:t>Year 5</w:t>
            </w:r>
          </w:p>
        </w:tc>
        <w:tc>
          <w:tcPr>
            <w:tcW w:w="993" w:type="dxa"/>
            <w:vAlign w:val="center"/>
          </w:tcPr>
          <w:p w14:paraId="1C1192B2" w14:textId="77777777" w:rsidR="000801A7" w:rsidRPr="0096285A" w:rsidRDefault="000801A7" w:rsidP="00AF5486">
            <w:pPr>
              <w:spacing w:before="40" w:after="40" w:line="256" w:lineRule="auto"/>
              <w:jc w:val="center"/>
              <w:rPr>
                <w:rFonts w:ascii="Arial Narrow" w:eastAsia="Calibri" w:hAnsi="Arial Narrow" w:cs="Arial"/>
                <w:b/>
                <w:sz w:val="20"/>
              </w:rPr>
            </w:pPr>
            <w:r w:rsidRPr="0096285A">
              <w:rPr>
                <w:rFonts w:ascii="Arial Narrow" w:eastAsia="Calibri" w:hAnsi="Arial Narrow" w:cs="Arial"/>
                <w:b/>
                <w:sz w:val="20"/>
              </w:rPr>
              <w:t>Year 6</w:t>
            </w:r>
          </w:p>
        </w:tc>
      </w:tr>
      <w:tr w:rsidR="000801A7" w:rsidRPr="0096285A" w14:paraId="5678D309" w14:textId="77777777" w:rsidTr="00F108DD">
        <w:tc>
          <w:tcPr>
            <w:tcW w:w="9493" w:type="dxa"/>
            <w:gridSpan w:val="7"/>
            <w:shd w:val="clear" w:color="auto" w:fill="auto"/>
            <w:vAlign w:val="center"/>
          </w:tcPr>
          <w:p w14:paraId="42A88811" w14:textId="77777777" w:rsidR="000801A7" w:rsidRPr="0096285A" w:rsidRDefault="000801A7" w:rsidP="00AF5486">
            <w:pPr>
              <w:spacing w:before="40" w:after="40" w:line="256" w:lineRule="auto"/>
              <w:rPr>
                <w:rFonts w:ascii="Arial Narrow" w:eastAsia="Calibri" w:hAnsi="Arial Narrow" w:cs="Arial"/>
                <w:b/>
                <w:sz w:val="20"/>
              </w:rPr>
            </w:pPr>
            <w:r w:rsidRPr="0096285A">
              <w:rPr>
                <w:rFonts w:ascii="Arial Narrow" w:eastAsia="Calibri" w:hAnsi="Arial Narrow" w:cs="Arial"/>
                <w:b/>
                <w:sz w:val="20"/>
              </w:rPr>
              <w:t>Estimated extent of use of encorafenib</w:t>
            </w:r>
          </w:p>
        </w:tc>
      </w:tr>
      <w:tr w:rsidR="000801A7" w:rsidRPr="0096285A" w14:paraId="398BD965" w14:textId="77777777" w:rsidTr="00F108DD">
        <w:tc>
          <w:tcPr>
            <w:tcW w:w="3539" w:type="dxa"/>
            <w:shd w:val="clear" w:color="auto" w:fill="auto"/>
            <w:vAlign w:val="center"/>
          </w:tcPr>
          <w:p w14:paraId="7444D875" w14:textId="2B99B08B" w:rsidR="000801A7" w:rsidRPr="0096285A" w:rsidRDefault="000801A7" w:rsidP="00AF5486">
            <w:pPr>
              <w:spacing w:before="40" w:after="40" w:line="256" w:lineRule="auto"/>
              <w:rPr>
                <w:rFonts w:ascii="Arial Narrow" w:eastAsia="Calibri" w:hAnsi="Arial Narrow" w:cs="Arial"/>
                <w:sz w:val="20"/>
              </w:rPr>
            </w:pPr>
            <w:r w:rsidRPr="0096285A">
              <w:rPr>
                <w:rFonts w:ascii="Arial Narrow" w:eastAsia="Calibri" w:hAnsi="Arial Narrow" w:cs="Arial"/>
                <w:sz w:val="20"/>
              </w:rPr>
              <w:t xml:space="preserve">Number of patients (incident cases) with </w:t>
            </w:r>
            <w:r w:rsidRPr="0096285A">
              <w:rPr>
                <w:rFonts w:ascii="Arial Narrow" w:eastAsia="Calibri" w:hAnsi="Arial Narrow" w:cs="Arial"/>
                <w:i/>
                <w:sz w:val="20"/>
              </w:rPr>
              <w:t xml:space="preserve">BRAF </w:t>
            </w:r>
            <w:r w:rsidR="00965823" w:rsidRPr="00965823">
              <w:rPr>
                <w:rFonts w:ascii="Arial Narrow" w:eastAsia="Calibri" w:hAnsi="Arial Narrow" w:cs="Arial"/>
                <w:sz w:val="20"/>
              </w:rPr>
              <w:t>V600E</w:t>
            </w:r>
            <w:r w:rsidRPr="0096285A">
              <w:rPr>
                <w:rFonts w:ascii="Arial Narrow" w:eastAsia="Calibri" w:hAnsi="Arial Narrow" w:cs="Arial"/>
                <w:sz w:val="20"/>
              </w:rPr>
              <w:t xml:space="preserve"> variant</w:t>
            </w:r>
          </w:p>
        </w:tc>
        <w:tc>
          <w:tcPr>
            <w:tcW w:w="992" w:type="dxa"/>
            <w:shd w:val="clear" w:color="auto" w:fill="auto"/>
            <w:vAlign w:val="center"/>
          </w:tcPr>
          <w:p w14:paraId="1030F8B1" w14:textId="188D7048" w:rsidR="000801A7" w:rsidRPr="00B928B9" w:rsidRDefault="00272931" w:rsidP="00AF5486">
            <w:pPr>
              <w:tabs>
                <w:tab w:val="decimal" w:pos="396"/>
              </w:tabs>
              <w:spacing w:before="40" w:after="40" w:line="256" w:lineRule="auto"/>
              <w:jc w:val="center"/>
              <w:rPr>
                <w:rFonts w:ascii="Arial Narrow" w:eastAsia="Calibri" w:hAnsi="Arial Narrow" w:cs="Arial"/>
                <w:sz w:val="20"/>
                <w:vertAlign w:val="superscript"/>
              </w:rPr>
            </w:pPr>
            <w:r w:rsidRPr="00FA6A21">
              <w:rPr>
                <w:rFonts w:ascii="Arial Narrow" w:eastAsia="Calibri" w:hAnsi="Arial Narrow" w:cs="Arial"/>
                <w:sz w:val="20"/>
              </w:rPr>
              <w:t>redacted</w:t>
            </w:r>
            <w:r w:rsidR="00643332">
              <w:rPr>
                <w:rFonts w:ascii="Arial Narrow" w:eastAsia="Calibri" w:hAnsi="Arial Narrow" w:cs="Arial"/>
                <w:sz w:val="20"/>
                <w:vertAlign w:val="superscript"/>
              </w:rPr>
              <w:t>1</w:t>
            </w:r>
          </w:p>
        </w:tc>
        <w:tc>
          <w:tcPr>
            <w:tcW w:w="993" w:type="dxa"/>
            <w:shd w:val="clear" w:color="auto" w:fill="auto"/>
            <w:vAlign w:val="center"/>
          </w:tcPr>
          <w:p w14:paraId="41C15F44" w14:textId="05194BC2" w:rsidR="000801A7" w:rsidRPr="00643332" w:rsidRDefault="00272931" w:rsidP="00AF5486">
            <w:pPr>
              <w:tabs>
                <w:tab w:val="decimal" w:pos="396"/>
              </w:tabs>
              <w:spacing w:before="40" w:after="40" w:line="256" w:lineRule="auto"/>
              <w:jc w:val="center"/>
              <w:rPr>
                <w:rFonts w:ascii="Arial Narrow" w:eastAsia="Calibri" w:hAnsi="Arial Narrow" w:cs="Arial"/>
                <w:sz w:val="20"/>
              </w:rPr>
            </w:pPr>
            <w:r w:rsidRPr="00FA6A21">
              <w:rPr>
                <w:rFonts w:ascii="Arial Narrow" w:eastAsia="Calibri" w:hAnsi="Arial Narrow" w:cs="Arial"/>
                <w:sz w:val="20"/>
              </w:rPr>
              <w:t>redacted</w:t>
            </w:r>
            <w:r w:rsidR="00643332">
              <w:rPr>
                <w:rFonts w:ascii="Arial Narrow" w:eastAsia="Calibri" w:hAnsi="Arial Narrow" w:cs="Arial"/>
                <w:sz w:val="20"/>
                <w:vertAlign w:val="superscript"/>
              </w:rPr>
              <w:t>1</w:t>
            </w:r>
          </w:p>
        </w:tc>
        <w:tc>
          <w:tcPr>
            <w:tcW w:w="992" w:type="dxa"/>
            <w:shd w:val="clear" w:color="auto" w:fill="auto"/>
            <w:vAlign w:val="center"/>
          </w:tcPr>
          <w:p w14:paraId="327079B0" w14:textId="367BFD89" w:rsidR="000801A7" w:rsidRPr="00643332" w:rsidRDefault="00272931" w:rsidP="00AF5486">
            <w:pPr>
              <w:tabs>
                <w:tab w:val="decimal" w:pos="396"/>
              </w:tabs>
              <w:spacing w:before="40" w:after="40" w:line="256" w:lineRule="auto"/>
              <w:jc w:val="center"/>
              <w:rPr>
                <w:rFonts w:ascii="Arial Narrow" w:eastAsia="Calibri" w:hAnsi="Arial Narrow" w:cs="Arial"/>
                <w:sz w:val="20"/>
              </w:rPr>
            </w:pPr>
            <w:r w:rsidRPr="00FA6A21">
              <w:rPr>
                <w:rFonts w:ascii="Arial Narrow" w:eastAsia="Calibri" w:hAnsi="Arial Narrow" w:cs="Arial"/>
                <w:sz w:val="20"/>
              </w:rPr>
              <w:t>redacted</w:t>
            </w:r>
            <w:r w:rsidR="00643332">
              <w:rPr>
                <w:rFonts w:ascii="Arial Narrow" w:eastAsia="Calibri" w:hAnsi="Arial Narrow" w:cs="Arial"/>
                <w:sz w:val="20"/>
                <w:vertAlign w:val="superscript"/>
              </w:rPr>
              <w:t>1</w:t>
            </w:r>
          </w:p>
        </w:tc>
        <w:tc>
          <w:tcPr>
            <w:tcW w:w="992" w:type="dxa"/>
            <w:shd w:val="clear" w:color="auto" w:fill="auto"/>
            <w:vAlign w:val="center"/>
          </w:tcPr>
          <w:p w14:paraId="1FF92171" w14:textId="4DBA431D" w:rsidR="000801A7" w:rsidRPr="00643332" w:rsidRDefault="00272931" w:rsidP="00AF5486">
            <w:pPr>
              <w:tabs>
                <w:tab w:val="decimal" w:pos="396"/>
              </w:tabs>
              <w:spacing w:before="40" w:after="40" w:line="256" w:lineRule="auto"/>
              <w:jc w:val="center"/>
              <w:rPr>
                <w:rFonts w:ascii="Arial Narrow" w:eastAsia="Calibri" w:hAnsi="Arial Narrow" w:cs="Arial"/>
                <w:sz w:val="20"/>
              </w:rPr>
            </w:pPr>
            <w:r w:rsidRPr="00FA6A21">
              <w:rPr>
                <w:rFonts w:ascii="Arial Narrow" w:eastAsia="Calibri" w:hAnsi="Arial Narrow" w:cs="Arial"/>
                <w:sz w:val="20"/>
              </w:rPr>
              <w:t>redacted</w:t>
            </w:r>
            <w:r w:rsidR="00643332">
              <w:rPr>
                <w:rFonts w:ascii="Arial Narrow" w:eastAsia="Calibri" w:hAnsi="Arial Narrow" w:cs="Arial"/>
                <w:sz w:val="20"/>
                <w:vertAlign w:val="superscript"/>
              </w:rPr>
              <w:t>1</w:t>
            </w:r>
          </w:p>
        </w:tc>
        <w:tc>
          <w:tcPr>
            <w:tcW w:w="992" w:type="dxa"/>
            <w:shd w:val="clear" w:color="auto" w:fill="auto"/>
            <w:vAlign w:val="center"/>
          </w:tcPr>
          <w:p w14:paraId="3384B0FC" w14:textId="7DADA146" w:rsidR="000801A7" w:rsidRPr="00643332" w:rsidRDefault="00272931" w:rsidP="00AF5486">
            <w:pPr>
              <w:tabs>
                <w:tab w:val="decimal" w:pos="396"/>
              </w:tabs>
              <w:spacing w:before="40" w:after="40" w:line="256" w:lineRule="auto"/>
              <w:jc w:val="center"/>
              <w:rPr>
                <w:rFonts w:ascii="Arial Narrow" w:eastAsia="Calibri" w:hAnsi="Arial Narrow" w:cs="Arial"/>
                <w:sz w:val="20"/>
              </w:rPr>
            </w:pPr>
            <w:r w:rsidRPr="00FA6A21">
              <w:rPr>
                <w:rFonts w:ascii="Arial Narrow" w:eastAsia="Calibri" w:hAnsi="Arial Narrow" w:cs="Arial"/>
                <w:sz w:val="20"/>
              </w:rPr>
              <w:t>redacted</w:t>
            </w:r>
            <w:r w:rsidR="00643332">
              <w:rPr>
                <w:rFonts w:ascii="Arial Narrow" w:eastAsia="Calibri" w:hAnsi="Arial Narrow" w:cs="Arial"/>
                <w:sz w:val="20"/>
                <w:vertAlign w:val="superscript"/>
              </w:rPr>
              <w:t>1</w:t>
            </w:r>
          </w:p>
        </w:tc>
        <w:tc>
          <w:tcPr>
            <w:tcW w:w="993" w:type="dxa"/>
            <w:shd w:val="clear" w:color="auto" w:fill="auto"/>
            <w:vAlign w:val="center"/>
          </w:tcPr>
          <w:p w14:paraId="04869196" w14:textId="0910F04C" w:rsidR="000801A7" w:rsidRPr="00643332" w:rsidRDefault="00272931" w:rsidP="00AF5486">
            <w:pPr>
              <w:tabs>
                <w:tab w:val="decimal" w:pos="396"/>
              </w:tabs>
              <w:spacing w:before="40" w:after="40" w:line="256" w:lineRule="auto"/>
              <w:jc w:val="center"/>
              <w:rPr>
                <w:rFonts w:ascii="Arial Narrow" w:eastAsia="Calibri" w:hAnsi="Arial Narrow" w:cs="Arial"/>
                <w:sz w:val="20"/>
              </w:rPr>
            </w:pPr>
            <w:r w:rsidRPr="00FA6A21">
              <w:rPr>
                <w:rFonts w:ascii="Arial Narrow" w:eastAsia="Calibri" w:hAnsi="Arial Narrow" w:cs="Arial"/>
                <w:sz w:val="20"/>
              </w:rPr>
              <w:t>redacted</w:t>
            </w:r>
            <w:r w:rsidR="00643332">
              <w:rPr>
                <w:rFonts w:ascii="Arial Narrow" w:eastAsia="Calibri" w:hAnsi="Arial Narrow" w:cs="Arial"/>
                <w:sz w:val="20"/>
                <w:vertAlign w:val="superscript"/>
              </w:rPr>
              <w:t>1</w:t>
            </w:r>
          </w:p>
        </w:tc>
      </w:tr>
      <w:tr w:rsidR="000801A7" w:rsidRPr="0096285A" w14:paraId="2B878BCA" w14:textId="77777777" w:rsidTr="00F108DD">
        <w:tc>
          <w:tcPr>
            <w:tcW w:w="3539" w:type="dxa"/>
            <w:shd w:val="clear" w:color="auto" w:fill="auto"/>
            <w:vAlign w:val="center"/>
          </w:tcPr>
          <w:p w14:paraId="451FD07B" w14:textId="77777777" w:rsidR="000801A7" w:rsidRPr="0096285A" w:rsidRDefault="000801A7" w:rsidP="00AF5486">
            <w:pPr>
              <w:spacing w:before="40" w:after="40" w:line="256" w:lineRule="auto"/>
              <w:rPr>
                <w:rFonts w:ascii="Arial Narrow" w:eastAsia="Calibri" w:hAnsi="Arial Narrow" w:cs="Arial"/>
                <w:sz w:val="20"/>
              </w:rPr>
            </w:pPr>
            <w:r w:rsidRPr="0096285A">
              <w:rPr>
                <w:rFonts w:ascii="Arial Narrow" w:eastAsia="Calibri" w:hAnsi="Arial Narrow" w:cs="Arial"/>
                <w:sz w:val="20"/>
              </w:rPr>
              <w:t>Number of patients likely to receive encorafenib</w:t>
            </w:r>
          </w:p>
        </w:tc>
        <w:tc>
          <w:tcPr>
            <w:tcW w:w="992" w:type="dxa"/>
            <w:shd w:val="clear" w:color="auto" w:fill="auto"/>
          </w:tcPr>
          <w:p w14:paraId="708DE1E3" w14:textId="177FCFA9" w:rsidR="000801A7" w:rsidRPr="00643332" w:rsidRDefault="00272931" w:rsidP="00AF5486">
            <w:pPr>
              <w:tabs>
                <w:tab w:val="decimal" w:pos="396"/>
              </w:tabs>
              <w:spacing w:before="40" w:after="40" w:line="256" w:lineRule="auto"/>
              <w:jc w:val="center"/>
              <w:rPr>
                <w:rFonts w:ascii="Arial Narrow" w:eastAsia="Calibri" w:hAnsi="Arial Narrow" w:cs="Arial"/>
                <w:sz w:val="20"/>
              </w:rPr>
            </w:pPr>
            <w:r w:rsidRPr="00FA6A21">
              <w:rPr>
                <w:rFonts w:ascii="Arial Narrow" w:eastAsia="Calibri" w:hAnsi="Arial Narrow" w:cs="Arial"/>
                <w:sz w:val="20"/>
              </w:rPr>
              <w:t>redacted</w:t>
            </w:r>
            <w:r w:rsidR="00643332">
              <w:rPr>
                <w:rFonts w:ascii="Arial Narrow" w:eastAsia="Calibri" w:hAnsi="Arial Narrow" w:cs="Arial"/>
                <w:sz w:val="20"/>
                <w:vertAlign w:val="superscript"/>
              </w:rPr>
              <w:t>1</w:t>
            </w:r>
          </w:p>
        </w:tc>
        <w:tc>
          <w:tcPr>
            <w:tcW w:w="993" w:type="dxa"/>
            <w:shd w:val="clear" w:color="auto" w:fill="auto"/>
          </w:tcPr>
          <w:p w14:paraId="0E1FAE30" w14:textId="35BFBB43" w:rsidR="000801A7" w:rsidRPr="00643332" w:rsidRDefault="00272931" w:rsidP="00AF5486">
            <w:pPr>
              <w:tabs>
                <w:tab w:val="decimal" w:pos="396"/>
              </w:tabs>
              <w:spacing w:before="40" w:after="40" w:line="256" w:lineRule="auto"/>
              <w:jc w:val="center"/>
              <w:rPr>
                <w:rFonts w:ascii="Arial Narrow" w:eastAsia="Calibri" w:hAnsi="Arial Narrow" w:cs="Arial"/>
                <w:sz w:val="20"/>
              </w:rPr>
            </w:pPr>
            <w:r w:rsidRPr="00FA6A21">
              <w:rPr>
                <w:rFonts w:ascii="Arial Narrow" w:eastAsia="Calibri" w:hAnsi="Arial Narrow" w:cs="Arial"/>
                <w:sz w:val="20"/>
              </w:rPr>
              <w:t>redacted</w:t>
            </w:r>
            <w:r w:rsidR="00643332">
              <w:rPr>
                <w:rFonts w:ascii="Arial Narrow" w:eastAsia="Calibri" w:hAnsi="Arial Narrow" w:cs="Arial"/>
                <w:sz w:val="20"/>
                <w:vertAlign w:val="superscript"/>
              </w:rPr>
              <w:t>1</w:t>
            </w:r>
          </w:p>
        </w:tc>
        <w:tc>
          <w:tcPr>
            <w:tcW w:w="992" w:type="dxa"/>
            <w:shd w:val="clear" w:color="auto" w:fill="auto"/>
          </w:tcPr>
          <w:p w14:paraId="706A307D" w14:textId="21E0523D" w:rsidR="000801A7" w:rsidRPr="00643332" w:rsidRDefault="00272931" w:rsidP="00AF5486">
            <w:pPr>
              <w:tabs>
                <w:tab w:val="decimal" w:pos="396"/>
              </w:tabs>
              <w:spacing w:before="40" w:after="40" w:line="256" w:lineRule="auto"/>
              <w:jc w:val="center"/>
              <w:rPr>
                <w:rFonts w:ascii="Arial Narrow" w:eastAsia="Calibri" w:hAnsi="Arial Narrow" w:cs="Arial"/>
                <w:sz w:val="20"/>
              </w:rPr>
            </w:pPr>
            <w:r w:rsidRPr="00FA6A21">
              <w:rPr>
                <w:rFonts w:ascii="Arial Narrow" w:eastAsia="Calibri" w:hAnsi="Arial Narrow" w:cs="Arial"/>
                <w:sz w:val="20"/>
              </w:rPr>
              <w:t>redacted</w:t>
            </w:r>
            <w:r w:rsidR="00643332">
              <w:rPr>
                <w:rFonts w:ascii="Arial Narrow" w:eastAsia="Calibri" w:hAnsi="Arial Narrow" w:cs="Arial"/>
                <w:sz w:val="20"/>
                <w:vertAlign w:val="superscript"/>
              </w:rPr>
              <w:t>1</w:t>
            </w:r>
          </w:p>
        </w:tc>
        <w:tc>
          <w:tcPr>
            <w:tcW w:w="992" w:type="dxa"/>
            <w:shd w:val="clear" w:color="auto" w:fill="auto"/>
          </w:tcPr>
          <w:p w14:paraId="34D32F6F" w14:textId="19F9DEAD" w:rsidR="000801A7" w:rsidRPr="00643332" w:rsidRDefault="00272931" w:rsidP="00AF5486">
            <w:pPr>
              <w:tabs>
                <w:tab w:val="decimal" w:pos="396"/>
              </w:tabs>
              <w:spacing w:before="40" w:after="40" w:line="256" w:lineRule="auto"/>
              <w:jc w:val="center"/>
              <w:rPr>
                <w:rFonts w:ascii="Arial Narrow" w:eastAsia="Calibri" w:hAnsi="Arial Narrow" w:cs="Arial"/>
                <w:sz w:val="20"/>
              </w:rPr>
            </w:pPr>
            <w:r w:rsidRPr="00FA6A21">
              <w:rPr>
                <w:rFonts w:ascii="Arial Narrow" w:eastAsia="Calibri" w:hAnsi="Arial Narrow" w:cs="Arial"/>
                <w:sz w:val="20"/>
              </w:rPr>
              <w:t>redacted</w:t>
            </w:r>
            <w:r w:rsidR="00643332">
              <w:rPr>
                <w:rFonts w:ascii="Arial Narrow" w:eastAsia="Calibri" w:hAnsi="Arial Narrow" w:cs="Arial"/>
                <w:sz w:val="20"/>
                <w:vertAlign w:val="superscript"/>
              </w:rPr>
              <w:t>1</w:t>
            </w:r>
          </w:p>
        </w:tc>
        <w:tc>
          <w:tcPr>
            <w:tcW w:w="992" w:type="dxa"/>
            <w:shd w:val="clear" w:color="auto" w:fill="auto"/>
          </w:tcPr>
          <w:p w14:paraId="24CF9143" w14:textId="341EBB08" w:rsidR="000801A7" w:rsidRPr="00643332" w:rsidRDefault="00272931" w:rsidP="00AF5486">
            <w:pPr>
              <w:tabs>
                <w:tab w:val="decimal" w:pos="396"/>
              </w:tabs>
              <w:spacing w:before="40" w:after="40" w:line="256" w:lineRule="auto"/>
              <w:jc w:val="center"/>
              <w:rPr>
                <w:rFonts w:ascii="Arial Narrow" w:eastAsia="Calibri" w:hAnsi="Arial Narrow" w:cs="Arial"/>
                <w:sz w:val="20"/>
              </w:rPr>
            </w:pPr>
            <w:r w:rsidRPr="00FA6A21">
              <w:rPr>
                <w:rFonts w:ascii="Arial Narrow" w:eastAsia="Calibri" w:hAnsi="Arial Narrow" w:cs="Arial"/>
                <w:sz w:val="20"/>
              </w:rPr>
              <w:t>redacted</w:t>
            </w:r>
            <w:r w:rsidR="00643332">
              <w:rPr>
                <w:rFonts w:ascii="Arial Narrow" w:eastAsia="Calibri" w:hAnsi="Arial Narrow" w:cs="Arial"/>
                <w:sz w:val="20"/>
                <w:vertAlign w:val="superscript"/>
              </w:rPr>
              <w:t>1</w:t>
            </w:r>
          </w:p>
        </w:tc>
        <w:tc>
          <w:tcPr>
            <w:tcW w:w="993" w:type="dxa"/>
            <w:shd w:val="clear" w:color="auto" w:fill="auto"/>
          </w:tcPr>
          <w:p w14:paraId="4A048C4F" w14:textId="69DF3C71" w:rsidR="000801A7" w:rsidRPr="00643332" w:rsidRDefault="00272931" w:rsidP="00AF5486">
            <w:pPr>
              <w:tabs>
                <w:tab w:val="decimal" w:pos="396"/>
              </w:tabs>
              <w:spacing w:before="40" w:after="40" w:line="256" w:lineRule="auto"/>
              <w:jc w:val="center"/>
              <w:rPr>
                <w:rFonts w:ascii="Arial Narrow" w:eastAsia="Calibri" w:hAnsi="Arial Narrow" w:cs="Arial"/>
                <w:sz w:val="20"/>
              </w:rPr>
            </w:pPr>
            <w:r w:rsidRPr="00FA6A21">
              <w:rPr>
                <w:rFonts w:ascii="Arial Narrow" w:eastAsia="Calibri" w:hAnsi="Arial Narrow" w:cs="Arial"/>
                <w:sz w:val="20"/>
              </w:rPr>
              <w:t>redacted</w:t>
            </w:r>
            <w:r w:rsidR="00643332">
              <w:rPr>
                <w:rFonts w:ascii="Arial Narrow" w:eastAsia="Calibri" w:hAnsi="Arial Narrow" w:cs="Arial"/>
                <w:sz w:val="20"/>
                <w:vertAlign w:val="superscript"/>
              </w:rPr>
              <w:t>1</w:t>
            </w:r>
          </w:p>
        </w:tc>
      </w:tr>
      <w:tr w:rsidR="000801A7" w:rsidRPr="0096285A" w14:paraId="5439A451" w14:textId="77777777" w:rsidTr="00F108DD">
        <w:tc>
          <w:tcPr>
            <w:tcW w:w="9493" w:type="dxa"/>
            <w:gridSpan w:val="7"/>
            <w:shd w:val="clear" w:color="auto" w:fill="auto"/>
            <w:vAlign w:val="center"/>
          </w:tcPr>
          <w:p w14:paraId="0A0A9D1A" w14:textId="6169783E" w:rsidR="000801A7" w:rsidRPr="0096285A" w:rsidRDefault="000801A7" w:rsidP="00AF5486">
            <w:pPr>
              <w:spacing w:before="40" w:after="40" w:line="256" w:lineRule="auto"/>
              <w:rPr>
                <w:rFonts w:ascii="Arial Narrow" w:eastAsia="Calibri" w:hAnsi="Arial Narrow" w:cs="Arial"/>
                <w:b/>
                <w:bCs/>
                <w:color w:val="000000"/>
                <w:sz w:val="20"/>
              </w:rPr>
            </w:pPr>
            <w:r w:rsidRPr="0096285A">
              <w:rPr>
                <w:rFonts w:ascii="Arial Narrow" w:eastAsia="Calibri" w:hAnsi="Arial Narrow" w:cs="Arial"/>
                <w:b/>
                <w:sz w:val="20"/>
              </w:rPr>
              <w:t xml:space="preserve">Estimated financial implications of </w:t>
            </w:r>
            <w:r w:rsidRPr="0096285A">
              <w:rPr>
                <w:rFonts w:ascii="Arial Narrow" w:eastAsia="Calibri" w:hAnsi="Arial Narrow" w:cs="Arial"/>
                <w:b/>
                <w:i/>
                <w:sz w:val="20"/>
              </w:rPr>
              <w:t xml:space="preserve">BRAF </w:t>
            </w:r>
            <w:r w:rsidR="00965823" w:rsidRPr="00AF5272">
              <w:rPr>
                <w:rFonts w:ascii="Arial Narrow" w:eastAsia="Calibri" w:hAnsi="Arial Narrow" w:cs="Arial"/>
                <w:b/>
                <w:sz w:val="20"/>
              </w:rPr>
              <w:t>V600E</w:t>
            </w:r>
            <w:r w:rsidRPr="00965823">
              <w:rPr>
                <w:rFonts w:ascii="Arial Narrow" w:eastAsia="Calibri" w:hAnsi="Arial Narrow" w:cs="Arial"/>
                <w:b/>
                <w:sz w:val="20"/>
              </w:rPr>
              <w:t xml:space="preserve"> </w:t>
            </w:r>
            <w:r w:rsidRPr="0096285A">
              <w:rPr>
                <w:rFonts w:ascii="Arial Narrow" w:eastAsia="Calibri" w:hAnsi="Arial Narrow" w:cs="Arial"/>
                <w:b/>
                <w:sz w:val="20"/>
              </w:rPr>
              <w:t>testing to the MBS</w:t>
            </w:r>
          </w:p>
        </w:tc>
      </w:tr>
      <w:tr w:rsidR="00643332" w:rsidRPr="0096285A" w14:paraId="74DDC394" w14:textId="77777777" w:rsidTr="00F108DD">
        <w:tc>
          <w:tcPr>
            <w:tcW w:w="3539" w:type="dxa"/>
            <w:shd w:val="clear" w:color="auto" w:fill="auto"/>
            <w:vAlign w:val="center"/>
          </w:tcPr>
          <w:p w14:paraId="4261A845" w14:textId="77777777" w:rsidR="00643332" w:rsidRPr="0096285A" w:rsidRDefault="00643332" w:rsidP="00643332">
            <w:pPr>
              <w:spacing w:before="40" w:after="40" w:line="256" w:lineRule="auto"/>
              <w:rPr>
                <w:rFonts w:ascii="Arial Narrow" w:eastAsia="Calibri" w:hAnsi="Arial Narrow" w:cs="Arial"/>
                <w:sz w:val="20"/>
              </w:rPr>
            </w:pPr>
            <w:r w:rsidRPr="0096285A">
              <w:rPr>
                <w:rFonts w:ascii="Arial Narrow" w:eastAsia="Calibri" w:hAnsi="Arial Narrow" w:cs="Arial"/>
                <w:iCs/>
                <w:sz w:val="20"/>
              </w:rPr>
              <w:t>Increased cost due to change in MBS items for PBS/RPBS beneficiaries</w:t>
            </w:r>
          </w:p>
        </w:tc>
        <w:tc>
          <w:tcPr>
            <w:tcW w:w="992" w:type="dxa"/>
            <w:shd w:val="clear" w:color="auto" w:fill="auto"/>
            <w:vAlign w:val="center"/>
          </w:tcPr>
          <w:p w14:paraId="378127AC" w14:textId="1D4E4377" w:rsidR="00643332" w:rsidRPr="00FA6A21" w:rsidRDefault="00643332">
            <w:pPr>
              <w:spacing w:before="40" w:after="40" w:line="256" w:lineRule="auto"/>
              <w:jc w:val="center"/>
              <w:rPr>
                <w:rFonts w:ascii="Arial Narrow" w:eastAsia="Calibri" w:hAnsi="Arial Narrow" w:cs="Arial"/>
                <w:sz w:val="20"/>
                <w:vertAlign w:val="superscript"/>
              </w:rPr>
            </w:pPr>
            <w:r w:rsidRPr="00FA6A21">
              <w:rPr>
                <w:rFonts w:ascii="Arial Narrow" w:eastAsia="Calibri" w:hAnsi="Arial Narrow" w:cs="Arial"/>
                <w:sz w:val="20"/>
              </w:rPr>
              <w:t>$</w:t>
            </w:r>
            <w:r w:rsidR="00272931" w:rsidRPr="00FA6A21">
              <w:rPr>
                <w:rFonts w:ascii="Arial Narrow" w:eastAsia="Calibri" w:hAnsi="Arial Narrow" w:cs="Arial"/>
                <w:sz w:val="20"/>
              </w:rPr>
              <w:t>redacted</w:t>
            </w:r>
            <w:r>
              <w:rPr>
                <w:rFonts w:ascii="Arial Narrow" w:eastAsia="Calibri" w:hAnsi="Arial Narrow" w:cs="Arial"/>
                <w:sz w:val="20"/>
                <w:vertAlign w:val="superscript"/>
              </w:rPr>
              <w:t>2</w:t>
            </w:r>
          </w:p>
        </w:tc>
        <w:tc>
          <w:tcPr>
            <w:tcW w:w="993" w:type="dxa"/>
            <w:shd w:val="clear" w:color="auto" w:fill="auto"/>
            <w:vAlign w:val="center"/>
          </w:tcPr>
          <w:p w14:paraId="70DBCBB2" w14:textId="57169636" w:rsidR="00643332" w:rsidRPr="00643332" w:rsidRDefault="00FA6A21">
            <w:pPr>
              <w:spacing w:before="40" w:after="40" w:line="256" w:lineRule="auto"/>
              <w:jc w:val="center"/>
              <w:rPr>
                <w:rFonts w:ascii="Arial Narrow" w:eastAsia="Calibri" w:hAnsi="Arial Narrow" w:cs="Arial"/>
                <w:sz w:val="20"/>
              </w:rPr>
            </w:pPr>
            <w:r w:rsidRPr="00FA6A21">
              <w:rPr>
                <w:rFonts w:ascii="Arial Narrow" w:eastAsia="Calibri" w:hAnsi="Arial Narrow" w:cs="Arial"/>
                <w:sz w:val="20"/>
              </w:rPr>
              <w:t>$</w:t>
            </w:r>
            <w:r w:rsidR="00B928B9" w:rsidRPr="00FA6A21">
              <w:rPr>
                <w:rFonts w:ascii="Arial Narrow" w:eastAsia="Calibri" w:hAnsi="Arial Narrow" w:cs="Arial"/>
                <w:sz w:val="20"/>
              </w:rPr>
              <w:t>redacted</w:t>
            </w:r>
            <w:r w:rsidR="00643332" w:rsidRPr="00F90061">
              <w:rPr>
                <w:rFonts w:ascii="Arial Narrow" w:eastAsia="Calibri" w:hAnsi="Arial Narrow" w:cs="Arial"/>
                <w:sz w:val="20"/>
                <w:vertAlign w:val="superscript"/>
              </w:rPr>
              <w:t>2</w:t>
            </w:r>
          </w:p>
        </w:tc>
        <w:tc>
          <w:tcPr>
            <w:tcW w:w="992" w:type="dxa"/>
            <w:shd w:val="clear" w:color="auto" w:fill="auto"/>
            <w:vAlign w:val="center"/>
          </w:tcPr>
          <w:p w14:paraId="3B22602E" w14:textId="6A45F5FC" w:rsidR="00643332" w:rsidRPr="00643332" w:rsidRDefault="00FA6A21">
            <w:pPr>
              <w:spacing w:before="40" w:after="40" w:line="256" w:lineRule="auto"/>
              <w:jc w:val="center"/>
              <w:rPr>
                <w:rFonts w:ascii="Arial Narrow" w:eastAsia="Calibri" w:hAnsi="Arial Narrow" w:cs="Arial"/>
                <w:sz w:val="20"/>
              </w:rPr>
            </w:pPr>
            <w:r w:rsidRPr="00FA6A21">
              <w:rPr>
                <w:rFonts w:ascii="Arial Narrow" w:eastAsia="Calibri" w:hAnsi="Arial Narrow" w:cs="Arial"/>
                <w:sz w:val="20"/>
              </w:rPr>
              <w:t>$</w:t>
            </w:r>
            <w:r w:rsidR="00B928B9" w:rsidRPr="00FA6A21">
              <w:rPr>
                <w:rFonts w:ascii="Arial Narrow" w:eastAsia="Calibri" w:hAnsi="Arial Narrow" w:cs="Arial"/>
                <w:sz w:val="20"/>
              </w:rPr>
              <w:t>redacted</w:t>
            </w:r>
            <w:r w:rsidR="00643332" w:rsidRPr="00F90061">
              <w:rPr>
                <w:rFonts w:ascii="Arial Narrow" w:eastAsia="Calibri" w:hAnsi="Arial Narrow" w:cs="Arial"/>
                <w:sz w:val="20"/>
                <w:vertAlign w:val="superscript"/>
              </w:rPr>
              <w:t>2</w:t>
            </w:r>
          </w:p>
        </w:tc>
        <w:tc>
          <w:tcPr>
            <w:tcW w:w="992" w:type="dxa"/>
            <w:shd w:val="clear" w:color="auto" w:fill="auto"/>
            <w:vAlign w:val="center"/>
          </w:tcPr>
          <w:p w14:paraId="30D08992" w14:textId="66B6F2CB" w:rsidR="00643332" w:rsidRPr="00643332" w:rsidRDefault="00FA6A21">
            <w:pPr>
              <w:spacing w:before="40" w:after="40" w:line="256" w:lineRule="auto"/>
              <w:jc w:val="center"/>
              <w:rPr>
                <w:rFonts w:ascii="Arial Narrow" w:eastAsia="Calibri" w:hAnsi="Arial Narrow" w:cs="Arial"/>
                <w:sz w:val="20"/>
              </w:rPr>
            </w:pPr>
            <w:r w:rsidRPr="00FA6A21">
              <w:rPr>
                <w:rFonts w:ascii="Arial Narrow" w:eastAsia="Calibri" w:hAnsi="Arial Narrow" w:cs="Arial"/>
                <w:sz w:val="20"/>
              </w:rPr>
              <w:t>$</w:t>
            </w:r>
            <w:r w:rsidR="00B928B9" w:rsidRPr="00FA6A21">
              <w:rPr>
                <w:rFonts w:ascii="Arial Narrow" w:eastAsia="Calibri" w:hAnsi="Arial Narrow" w:cs="Arial"/>
                <w:sz w:val="20"/>
              </w:rPr>
              <w:t>redacted</w:t>
            </w:r>
            <w:r w:rsidR="00643332" w:rsidRPr="00F90061">
              <w:rPr>
                <w:rFonts w:ascii="Arial Narrow" w:eastAsia="Calibri" w:hAnsi="Arial Narrow" w:cs="Arial"/>
                <w:sz w:val="20"/>
                <w:vertAlign w:val="superscript"/>
              </w:rPr>
              <w:t>2</w:t>
            </w:r>
          </w:p>
        </w:tc>
        <w:tc>
          <w:tcPr>
            <w:tcW w:w="992" w:type="dxa"/>
            <w:shd w:val="clear" w:color="auto" w:fill="auto"/>
            <w:vAlign w:val="center"/>
          </w:tcPr>
          <w:p w14:paraId="4B3A7D1B" w14:textId="2B0B37CB" w:rsidR="00643332" w:rsidRPr="00643332" w:rsidRDefault="00FA6A21">
            <w:pPr>
              <w:spacing w:before="40" w:after="40" w:line="256" w:lineRule="auto"/>
              <w:jc w:val="center"/>
              <w:rPr>
                <w:rFonts w:ascii="Arial Narrow" w:eastAsia="Calibri" w:hAnsi="Arial Narrow" w:cs="Arial"/>
                <w:sz w:val="20"/>
              </w:rPr>
            </w:pPr>
            <w:r w:rsidRPr="00FA6A21">
              <w:rPr>
                <w:rFonts w:ascii="Arial Narrow" w:eastAsia="Calibri" w:hAnsi="Arial Narrow" w:cs="Arial"/>
                <w:sz w:val="20"/>
              </w:rPr>
              <w:t>$</w:t>
            </w:r>
            <w:r w:rsidR="00B928B9" w:rsidRPr="00FA6A21">
              <w:rPr>
                <w:rFonts w:ascii="Arial Narrow" w:eastAsia="Calibri" w:hAnsi="Arial Narrow" w:cs="Arial"/>
                <w:sz w:val="20"/>
              </w:rPr>
              <w:t>redacted</w:t>
            </w:r>
            <w:r w:rsidR="00643332" w:rsidRPr="00F90061">
              <w:rPr>
                <w:rFonts w:ascii="Arial Narrow" w:eastAsia="Calibri" w:hAnsi="Arial Narrow" w:cs="Arial"/>
                <w:sz w:val="20"/>
                <w:vertAlign w:val="superscript"/>
              </w:rPr>
              <w:t>2</w:t>
            </w:r>
          </w:p>
        </w:tc>
        <w:tc>
          <w:tcPr>
            <w:tcW w:w="993" w:type="dxa"/>
            <w:shd w:val="clear" w:color="auto" w:fill="auto"/>
            <w:vAlign w:val="center"/>
          </w:tcPr>
          <w:p w14:paraId="1DDE5133" w14:textId="01BC3517" w:rsidR="00643332" w:rsidRPr="00643332" w:rsidRDefault="00FA6A21">
            <w:pPr>
              <w:spacing w:before="40" w:after="40" w:line="256" w:lineRule="auto"/>
              <w:jc w:val="center"/>
              <w:rPr>
                <w:rFonts w:ascii="Arial Narrow" w:eastAsia="Calibri" w:hAnsi="Arial Narrow" w:cs="Arial"/>
                <w:sz w:val="20"/>
              </w:rPr>
            </w:pPr>
            <w:r w:rsidRPr="00FA6A21">
              <w:rPr>
                <w:rFonts w:ascii="Arial Narrow" w:eastAsia="Calibri" w:hAnsi="Arial Narrow" w:cs="Arial"/>
                <w:sz w:val="20"/>
              </w:rPr>
              <w:t>$</w:t>
            </w:r>
            <w:r w:rsidR="00B928B9" w:rsidRPr="00FA6A21">
              <w:rPr>
                <w:rFonts w:ascii="Arial Narrow" w:eastAsia="Calibri" w:hAnsi="Arial Narrow" w:cs="Arial"/>
                <w:sz w:val="20"/>
              </w:rPr>
              <w:t>redacted</w:t>
            </w:r>
            <w:r w:rsidR="00643332" w:rsidRPr="00F90061">
              <w:rPr>
                <w:rFonts w:ascii="Arial Narrow" w:eastAsia="Calibri" w:hAnsi="Arial Narrow" w:cs="Arial"/>
                <w:sz w:val="20"/>
                <w:vertAlign w:val="superscript"/>
              </w:rPr>
              <w:t>2</w:t>
            </w:r>
          </w:p>
        </w:tc>
      </w:tr>
      <w:tr w:rsidR="00643332" w:rsidRPr="0096285A" w14:paraId="0AF1E0D9" w14:textId="77777777" w:rsidTr="00F108DD">
        <w:tc>
          <w:tcPr>
            <w:tcW w:w="3539" w:type="dxa"/>
            <w:shd w:val="clear" w:color="auto" w:fill="auto"/>
            <w:vAlign w:val="center"/>
          </w:tcPr>
          <w:p w14:paraId="7AA4EB7D" w14:textId="77777777" w:rsidR="00643332" w:rsidRPr="0096285A" w:rsidRDefault="00643332" w:rsidP="00643332">
            <w:pPr>
              <w:spacing w:before="40" w:after="40" w:line="256" w:lineRule="auto"/>
              <w:rPr>
                <w:rFonts w:ascii="Arial Narrow" w:eastAsia="Calibri" w:hAnsi="Arial Narrow" w:cs="Arial"/>
                <w:sz w:val="20"/>
              </w:rPr>
            </w:pPr>
            <w:r w:rsidRPr="0096285A">
              <w:rPr>
                <w:rFonts w:ascii="Arial Narrow" w:eastAsia="Calibri" w:hAnsi="Arial Narrow" w:cs="Arial"/>
                <w:iCs/>
                <w:sz w:val="20"/>
              </w:rPr>
              <w:t>Decrease cost due to change in MBS items for PBS/RPBS beneficiaries</w:t>
            </w:r>
          </w:p>
        </w:tc>
        <w:tc>
          <w:tcPr>
            <w:tcW w:w="992" w:type="dxa"/>
            <w:shd w:val="clear" w:color="auto" w:fill="auto"/>
            <w:vAlign w:val="center"/>
          </w:tcPr>
          <w:p w14:paraId="23EB1BD0" w14:textId="32BC108B" w:rsidR="00643332" w:rsidRPr="00643332" w:rsidRDefault="00FA6A21">
            <w:pPr>
              <w:spacing w:before="40" w:after="40" w:line="256" w:lineRule="auto"/>
              <w:jc w:val="center"/>
              <w:rPr>
                <w:rFonts w:ascii="Arial Narrow" w:eastAsia="Calibri" w:hAnsi="Arial Narrow" w:cs="Arial"/>
                <w:sz w:val="20"/>
              </w:rPr>
            </w:pPr>
            <w:r w:rsidRPr="00FA6A21">
              <w:rPr>
                <w:rFonts w:ascii="Arial Narrow" w:eastAsia="Calibri" w:hAnsi="Arial Narrow" w:cs="Arial"/>
                <w:sz w:val="20"/>
              </w:rPr>
              <w:t>$</w:t>
            </w:r>
            <w:r w:rsidR="00B928B9" w:rsidRPr="00FA6A21">
              <w:rPr>
                <w:rFonts w:ascii="Arial Narrow" w:eastAsia="Calibri" w:hAnsi="Arial Narrow" w:cs="Arial"/>
                <w:sz w:val="20"/>
              </w:rPr>
              <w:t>redacted</w:t>
            </w:r>
            <w:r w:rsidR="00643332" w:rsidRPr="00F442D5">
              <w:rPr>
                <w:rFonts w:ascii="Arial Narrow" w:eastAsia="Calibri" w:hAnsi="Arial Narrow" w:cs="Arial"/>
                <w:sz w:val="20"/>
                <w:vertAlign w:val="superscript"/>
              </w:rPr>
              <w:t>2</w:t>
            </w:r>
          </w:p>
        </w:tc>
        <w:tc>
          <w:tcPr>
            <w:tcW w:w="993" w:type="dxa"/>
            <w:shd w:val="clear" w:color="auto" w:fill="auto"/>
            <w:vAlign w:val="center"/>
          </w:tcPr>
          <w:p w14:paraId="0D96C8B7" w14:textId="112457A1" w:rsidR="00643332" w:rsidRPr="00643332" w:rsidRDefault="00FA6A21">
            <w:pPr>
              <w:spacing w:before="40" w:after="40" w:line="256" w:lineRule="auto"/>
              <w:jc w:val="center"/>
              <w:rPr>
                <w:rFonts w:ascii="Arial Narrow" w:eastAsia="Calibri" w:hAnsi="Arial Narrow" w:cs="Arial"/>
                <w:sz w:val="20"/>
              </w:rPr>
            </w:pPr>
            <w:r w:rsidRPr="00FA6A21">
              <w:rPr>
                <w:rFonts w:ascii="Arial Narrow" w:eastAsia="Calibri" w:hAnsi="Arial Narrow" w:cs="Arial"/>
                <w:sz w:val="20"/>
              </w:rPr>
              <w:t>$</w:t>
            </w:r>
            <w:r w:rsidR="00B928B9" w:rsidRPr="00FA6A21">
              <w:rPr>
                <w:rFonts w:ascii="Arial Narrow" w:eastAsia="Calibri" w:hAnsi="Arial Narrow" w:cs="Arial"/>
                <w:sz w:val="20"/>
              </w:rPr>
              <w:t>redacted</w:t>
            </w:r>
            <w:r w:rsidR="00643332" w:rsidRPr="00F442D5">
              <w:rPr>
                <w:rFonts w:ascii="Arial Narrow" w:eastAsia="Calibri" w:hAnsi="Arial Narrow" w:cs="Arial"/>
                <w:sz w:val="20"/>
                <w:vertAlign w:val="superscript"/>
              </w:rPr>
              <w:t>2</w:t>
            </w:r>
          </w:p>
        </w:tc>
        <w:tc>
          <w:tcPr>
            <w:tcW w:w="992" w:type="dxa"/>
            <w:shd w:val="clear" w:color="auto" w:fill="auto"/>
            <w:vAlign w:val="center"/>
          </w:tcPr>
          <w:p w14:paraId="6C9ED943" w14:textId="20B65645" w:rsidR="00643332" w:rsidRPr="00643332" w:rsidRDefault="00FA6A21">
            <w:pPr>
              <w:spacing w:before="40" w:after="40" w:line="256" w:lineRule="auto"/>
              <w:jc w:val="center"/>
              <w:rPr>
                <w:rFonts w:ascii="Arial Narrow" w:eastAsia="Calibri" w:hAnsi="Arial Narrow" w:cs="Arial"/>
                <w:sz w:val="20"/>
              </w:rPr>
            </w:pPr>
            <w:r w:rsidRPr="00FA6A21">
              <w:rPr>
                <w:rFonts w:ascii="Arial Narrow" w:eastAsia="Calibri" w:hAnsi="Arial Narrow" w:cs="Arial"/>
                <w:sz w:val="20"/>
              </w:rPr>
              <w:t>$</w:t>
            </w:r>
            <w:r w:rsidR="00B928B9" w:rsidRPr="00FA6A21">
              <w:rPr>
                <w:rFonts w:ascii="Arial Narrow" w:eastAsia="Calibri" w:hAnsi="Arial Narrow" w:cs="Arial"/>
                <w:sz w:val="20"/>
              </w:rPr>
              <w:t>redacted</w:t>
            </w:r>
            <w:r w:rsidR="00643332" w:rsidRPr="00F442D5">
              <w:rPr>
                <w:rFonts w:ascii="Arial Narrow" w:eastAsia="Calibri" w:hAnsi="Arial Narrow" w:cs="Arial"/>
                <w:sz w:val="20"/>
                <w:vertAlign w:val="superscript"/>
              </w:rPr>
              <w:t>2</w:t>
            </w:r>
          </w:p>
        </w:tc>
        <w:tc>
          <w:tcPr>
            <w:tcW w:w="992" w:type="dxa"/>
            <w:shd w:val="clear" w:color="auto" w:fill="auto"/>
            <w:vAlign w:val="center"/>
          </w:tcPr>
          <w:p w14:paraId="2501D5CE" w14:textId="54B50D64" w:rsidR="00643332" w:rsidRPr="00643332" w:rsidRDefault="00FA6A21">
            <w:pPr>
              <w:spacing w:before="40" w:after="40" w:line="256" w:lineRule="auto"/>
              <w:jc w:val="center"/>
              <w:rPr>
                <w:rFonts w:ascii="Arial Narrow" w:eastAsia="Calibri" w:hAnsi="Arial Narrow" w:cs="Arial"/>
                <w:sz w:val="20"/>
              </w:rPr>
            </w:pPr>
            <w:r w:rsidRPr="00FA6A21">
              <w:rPr>
                <w:rFonts w:ascii="Arial Narrow" w:eastAsia="Calibri" w:hAnsi="Arial Narrow" w:cs="Arial"/>
                <w:sz w:val="20"/>
              </w:rPr>
              <w:t>$</w:t>
            </w:r>
            <w:r w:rsidR="00B928B9" w:rsidRPr="00FA6A21">
              <w:rPr>
                <w:rFonts w:ascii="Arial Narrow" w:eastAsia="Calibri" w:hAnsi="Arial Narrow" w:cs="Arial"/>
                <w:sz w:val="20"/>
              </w:rPr>
              <w:t>redacted</w:t>
            </w:r>
            <w:r w:rsidR="00643332" w:rsidRPr="00F442D5">
              <w:rPr>
                <w:rFonts w:ascii="Arial Narrow" w:eastAsia="Calibri" w:hAnsi="Arial Narrow" w:cs="Arial"/>
                <w:sz w:val="20"/>
                <w:vertAlign w:val="superscript"/>
              </w:rPr>
              <w:t>2</w:t>
            </w:r>
          </w:p>
        </w:tc>
        <w:tc>
          <w:tcPr>
            <w:tcW w:w="992" w:type="dxa"/>
            <w:shd w:val="clear" w:color="auto" w:fill="auto"/>
            <w:vAlign w:val="center"/>
          </w:tcPr>
          <w:p w14:paraId="5273FA0E" w14:textId="77AE1F87" w:rsidR="00643332" w:rsidRPr="00643332" w:rsidRDefault="00FA6A21">
            <w:pPr>
              <w:spacing w:before="40" w:after="40" w:line="256" w:lineRule="auto"/>
              <w:jc w:val="center"/>
              <w:rPr>
                <w:rFonts w:ascii="Arial Narrow" w:eastAsia="Calibri" w:hAnsi="Arial Narrow" w:cs="Arial"/>
                <w:sz w:val="20"/>
              </w:rPr>
            </w:pPr>
            <w:r w:rsidRPr="00FA6A21">
              <w:rPr>
                <w:rFonts w:ascii="Arial Narrow" w:eastAsia="Calibri" w:hAnsi="Arial Narrow" w:cs="Arial"/>
                <w:sz w:val="20"/>
              </w:rPr>
              <w:t>$</w:t>
            </w:r>
            <w:r w:rsidR="00B928B9" w:rsidRPr="00FA6A21">
              <w:rPr>
                <w:rFonts w:ascii="Arial Narrow" w:eastAsia="Calibri" w:hAnsi="Arial Narrow" w:cs="Arial"/>
                <w:sz w:val="20"/>
              </w:rPr>
              <w:t>redacted</w:t>
            </w:r>
            <w:r w:rsidR="00643332" w:rsidRPr="00F442D5">
              <w:rPr>
                <w:rFonts w:ascii="Arial Narrow" w:eastAsia="Calibri" w:hAnsi="Arial Narrow" w:cs="Arial"/>
                <w:sz w:val="20"/>
                <w:vertAlign w:val="superscript"/>
              </w:rPr>
              <w:t>2</w:t>
            </w:r>
          </w:p>
        </w:tc>
        <w:tc>
          <w:tcPr>
            <w:tcW w:w="993" w:type="dxa"/>
            <w:shd w:val="clear" w:color="auto" w:fill="auto"/>
            <w:vAlign w:val="center"/>
          </w:tcPr>
          <w:p w14:paraId="464CCA18" w14:textId="0AFCC335" w:rsidR="00643332" w:rsidRPr="00643332" w:rsidRDefault="00FA6A21">
            <w:pPr>
              <w:spacing w:before="40" w:after="40" w:line="256" w:lineRule="auto"/>
              <w:jc w:val="center"/>
              <w:rPr>
                <w:rFonts w:ascii="Arial Narrow" w:eastAsia="Calibri" w:hAnsi="Arial Narrow" w:cs="Arial"/>
                <w:sz w:val="20"/>
              </w:rPr>
            </w:pPr>
            <w:r w:rsidRPr="00FA6A21">
              <w:rPr>
                <w:rFonts w:ascii="Arial Narrow" w:eastAsia="Calibri" w:hAnsi="Arial Narrow" w:cs="Arial"/>
                <w:sz w:val="20"/>
              </w:rPr>
              <w:t>$</w:t>
            </w:r>
            <w:r w:rsidR="00B928B9" w:rsidRPr="00FA6A21">
              <w:rPr>
                <w:rFonts w:ascii="Arial Narrow" w:eastAsia="Calibri" w:hAnsi="Arial Narrow" w:cs="Arial"/>
                <w:sz w:val="20"/>
              </w:rPr>
              <w:t>redacted</w:t>
            </w:r>
            <w:r w:rsidR="00643332" w:rsidRPr="00F442D5">
              <w:rPr>
                <w:rFonts w:ascii="Arial Narrow" w:eastAsia="Calibri" w:hAnsi="Arial Narrow" w:cs="Arial"/>
                <w:sz w:val="20"/>
                <w:vertAlign w:val="superscript"/>
              </w:rPr>
              <w:t>2</w:t>
            </w:r>
          </w:p>
        </w:tc>
      </w:tr>
      <w:tr w:rsidR="00643332" w:rsidRPr="0096285A" w14:paraId="0007BBAF" w14:textId="77777777" w:rsidTr="00F108DD">
        <w:tc>
          <w:tcPr>
            <w:tcW w:w="3539" w:type="dxa"/>
            <w:shd w:val="clear" w:color="auto" w:fill="auto"/>
            <w:vAlign w:val="center"/>
          </w:tcPr>
          <w:p w14:paraId="7C4BAE69" w14:textId="77777777" w:rsidR="00643332" w:rsidRPr="0096285A" w:rsidRDefault="00643332" w:rsidP="00643332">
            <w:pPr>
              <w:spacing w:before="40" w:after="40" w:line="256" w:lineRule="auto"/>
              <w:rPr>
                <w:rFonts w:ascii="Arial Narrow" w:eastAsia="Calibri" w:hAnsi="Arial Narrow" w:cs="Arial"/>
                <w:sz w:val="20"/>
              </w:rPr>
            </w:pPr>
            <w:r w:rsidRPr="0096285A">
              <w:rPr>
                <w:rFonts w:ascii="Arial Narrow" w:eastAsia="Calibri" w:hAnsi="Arial Narrow" w:cs="Arial"/>
                <w:sz w:val="20"/>
              </w:rPr>
              <w:t>Net cost to the MBS budget</w:t>
            </w:r>
          </w:p>
        </w:tc>
        <w:tc>
          <w:tcPr>
            <w:tcW w:w="992" w:type="dxa"/>
            <w:shd w:val="clear" w:color="auto" w:fill="auto"/>
            <w:vAlign w:val="center"/>
          </w:tcPr>
          <w:p w14:paraId="7E6EDA37" w14:textId="0E06BE80" w:rsidR="00643332" w:rsidRPr="00643332" w:rsidRDefault="00FA6A21">
            <w:pPr>
              <w:spacing w:before="40" w:after="40" w:line="256" w:lineRule="auto"/>
              <w:jc w:val="center"/>
              <w:rPr>
                <w:rFonts w:ascii="Arial Narrow" w:eastAsia="Calibri" w:hAnsi="Arial Narrow" w:cs="Arial"/>
                <w:sz w:val="20"/>
              </w:rPr>
            </w:pPr>
            <w:r w:rsidRPr="00FA6A21">
              <w:rPr>
                <w:rFonts w:ascii="Arial Narrow" w:eastAsia="Calibri" w:hAnsi="Arial Narrow" w:cs="Arial"/>
                <w:sz w:val="20"/>
              </w:rPr>
              <w:t>$</w:t>
            </w:r>
            <w:r w:rsidR="00B928B9" w:rsidRPr="00FA6A21">
              <w:rPr>
                <w:rFonts w:ascii="Arial Narrow" w:eastAsia="Calibri" w:hAnsi="Arial Narrow" w:cs="Arial"/>
                <w:sz w:val="20"/>
              </w:rPr>
              <w:t>redacted</w:t>
            </w:r>
            <w:r w:rsidR="00643332" w:rsidRPr="00F442D5">
              <w:rPr>
                <w:rFonts w:ascii="Arial Narrow" w:eastAsia="Calibri" w:hAnsi="Arial Narrow" w:cs="Arial"/>
                <w:sz w:val="20"/>
                <w:vertAlign w:val="superscript"/>
              </w:rPr>
              <w:t>2</w:t>
            </w:r>
          </w:p>
        </w:tc>
        <w:tc>
          <w:tcPr>
            <w:tcW w:w="993" w:type="dxa"/>
            <w:shd w:val="clear" w:color="auto" w:fill="auto"/>
            <w:vAlign w:val="center"/>
          </w:tcPr>
          <w:p w14:paraId="7DB67BB8" w14:textId="33C6EA00" w:rsidR="00643332" w:rsidRPr="00643332" w:rsidRDefault="00FA6A21">
            <w:pPr>
              <w:spacing w:before="40" w:after="40" w:line="256" w:lineRule="auto"/>
              <w:jc w:val="center"/>
              <w:rPr>
                <w:rFonts w:ascii="Arial Narrow" w:eastAsia="Calibri" w:hAnsi="Arial Narrow" w:cs="Arial"/>
                <w:sz w:val="20"/>
              </w:rPr>
            </w:pPr>
            <w:r w:rsidRPr="00FA6A21">
              <w:rPr>
                <w:rFonts w:ascii="Arial Narrow" w:eastAsia="Calibri" w:hAnsi="Arial Narrow" w:cs="Arial"/>
                <w:sz w:val="20"/>
              </w:rPr>
              <w:t>$</w:t>
            </w:r>
            <w:r w:rsidR="00B928B9" w:rsidRPr="00FA6A21">
              <w:rPr>
                <w:rFonts w:ascii="Arial Narrow" w:eastAsia="Calibri" w:hAnsi="Arial Narrow" w:cs="Arial"/>
                <w:sz w:val="20"/>
              </w:rPr>
              <w:t>redacted</w:t>
            </w:r>
            <w:r w:rsidR="00643332" w:rsidRPr="00F442D5">
              <w:rPr>
                <w:rFonts w:ascii="Arial Narrow" w:eastAsia="Calibri" w:hAnsi="Arial Narrow" w:cs="Arial"/>
                <w:sz w:val="20"/>
                <w:vertAlign w:val="superscript"/>
              </w:rPr>
              <w:t>2</w:t>
            </w:r>
          </w:p>
        </w:tc>
        <w:tc>
          <w:tcPr>
            <w:tcW w:w="992" w:type="dxa"/>
            <w:shd w:val="clear" w:color="auto" w:fill="auto"/>
            <w:vAlign w:val="center"/>
          </w:tcPr>
          <w:p w14:paraId="5CB538E7" w14:textId="710BCFFF" w:rsidR="00643332" w:rsidRPr="00643332" w:rsidRDefault="00FA6A21">
            <w:pPr>
              <w:spacing w:before="40" w:after="40" w:line="256" w:lineRule="auto"/>
              <w:jc w:val="center"/>
              <w:rPr>
                <w:rFonts w:ascii="Arial Narrow" w:eastAsia="Calibri" w:hAnsi="Arial Narrow" w:cs="Arial"/>
                <w:sz w:val="20"/>
              </w:rPr>
            </w:pPr>
            <w:r w:rsidRPr="00FA6A21">
              <w:rPr>
                <w:rFonts w:ascii="Arial Narrow" w:eastAsia="Calibri" w:hAnsi="Arial Narrow" w:cs="Arial"/>
                <w:sz w:val="20"/>
              </w:rPr>
              <w:t>$</w:t>
            </w:r>
            <w:r w:rsidR="00B928B9" w:rsidRPr="00FA6A21">
              <w:rPr>
                <w:rFonts w:ascii="Arial Narrow" w:eastAsia="Calibri" w:hAnsi="Arial Narrow" w:cs="Arial"/>
                <w:sz w:val="20"/>
              </w:rPr>
              <w:t>redacted</w:t>
            </w:r>
            <w:r w:rsidR="00643332" w:rsidRPr="00F442D5">
              <w:rPr>
                <w:rFonts w:ascii="Arial Narrow" w:eastAsia="Calibri" w:hAnsi="Arial Narrow" w:cs="Arial"/>
                <w:sz w:val="20"/>
                <w:vertAlign w:val="superscript"/>
              </w:rPr>
              <w:t>2</w:t>
            </w:r>
          </w:p>
        </w:tc>
        <w:tc>
          <w:tcPr>
            <w:tcW w:w="992" w:type="dxa"/>
            <w:shd w:val="clear" w:color="auto" w:fill="auto"/>
            <w:vAlign w:val="center"/>
          </w:tcPr>
          <w:p w14:paraId="2F54E7E3" w14:textId="6D376D35" w:rsidR="00643332" w:rsidRPr="00643332" w:rsidRDefault="00FA6A21">
            <w:pPr>
              <w:spacing w:before="40" w:after="40" w:line="256" w:lineRule="auto"/>
              <w:jc w:val="center"/>
              <w:rPr>
                <w:rFonts w:ascii="Arial Narrow" w:eastAsia="Calibri" w:hAnsi="Arial Narrow" w:cs="Arial"/>
                <w:sz w:val="20"/>
              </w:rPr>
            </w:pPr>
            <w:r w:rsidRPr="00FA6A21">
              <w:rPr>
                <w:rFonts w:ascii="Arial Narrow" w:eastAsia="Calibri" w:hAnsi="Arial Narrow" w:cs="Arial"/>
                <w:sz w:val="20"/>
              </w:rPr>
              <w:t>$</w:t>
            </w:r>
            <w:r w:rsidR="00B928B9" w:rsidRPr="00FA6A21">
              <w:rPr>
                <w:rFonts w:ascii="Arial Narrow" w:eastAsia="Calibri" w:hAnsi="Arial Narrow" w:cs="Arial"/>
                <w:sz w:val="20"/>
              </w:rPr>
              <w:t>redacted</w:t>
            </w:r>
            <w:r w:rsidR="00643332" w:rsidRPr="00F442D5">
              <w:rPr>
                <w:rFonts w:ascii="Arial Narrow" w:eastAsia="Calibri" w:hAnsi="Arial Narrow" w:cs="Arial"/>
                <w:sz w:val="20"/>
                <w:vertAlign w:val="superscript"/>
              </w:rPr>
              <w:t>2</w:t>
            </w:r>
          </w:p>
        </w:tc>
        <w:tc>
          <w:tcPr>
            <w:tcW w:w="992" w:type="dxa"/>
            <w:shd w:val="clear" w:color="auto" w:fill="auto"/>
            <w:vAlign w:val="center"/>
          </w:tcPr>
          <w:p w14:paraId="6750AD81" w14:textId="026588F6" w:rsidR="00643332" w:rsidRPr="00643332" w:rsidRDefault="00FA6A21">
            <w:pPr>
              <w:spacing w:before="40" w:after="40" w:line="256" w:lineRule="auto"/>
              <w:jc w:val="center"/>
              <w:rPr>
                <w:rFonts w:ascii="Arial Narrow" w:eastAsia="Calibri" w:hAnsi="Arial Narrow" w:cs="Arial"/>
                <w:sz w:val="20"/>
              </w:rPr>
            </w:pPr>
            <w:r w:rsidRPr="00FA6A21">
              <w:rPr>
                <w:rFonts w:ascii="Arial Narrow" w:eastAsia="Calibri" w:hAnsi="Arial Narrow" w:cs="Arial"/>
                <w:sz w:val="20"/>
              </w:rPr>
              <w:t>$</w:t>
            </w:r>
            <w:r w:rsidR="00B928B9" w:rsidRPr="00FA6A21">
              <w:rPr>
                <w:rFonts w:ascii="Arial Narrow" w:eastAsia="Calibri" w:hAnsi="Arial Narrow" w:cs="Arial"/>
                <w:sz w:val="20"/>
              </w:rPr>
              <w:t>redacted</w:t>
            </w:r>
            <w:r w:rsidR="00643332" w:rsidRPr="00F442D5">
              <w:rPr>
                <w:rFonts w:ascii="Arial Narrow" w:eastAsia="Calibri" w:hAnsi="Arial Narrow" w:cs="Arial"/>
                <w:sz w:val="20"/>
                <w:vertAlign w:val="superscript"/>
              </w:rPr>
              <w:t>2</w:t>
            </w:r>
          </w:p>
        </w:tc>
        <w:tc>
          <w:tcPr>
            <w:tcW w:w="993" w:type="dxa"/>
            <w:vAlign w:val="center"/>
          </w:tcPr>
          <w:p w14:paraId="1D1D16FD" w14:textId="0C43FED7" w:rsidR="00643332" w:rsidRPr="00643332" w:rsidRDefault="00FA6A21">
            <w:pPr>
              <w:spacing w:before="40" w:after="40" w:line="256" w:lineRule="auto"/>
              <w:jc w:val="center"/>
              <w:rPr>
                <w:rFonts w:ascii="Arial Narrow" w:eastAsia="Calibri" w:hAnsi="Arial Narrow" w:cs="Arial"/>
                <w:sz w:val="20"/>
              </w:rPr>
            </w:pPr>
            <w:r w:rsidRPr="00FA6A21">
              <w:rPr>
                <w:rFonts w:ascii="Arial Narrow" w:eastAsia="Calibri" w:hAnsi="Arial Narrow" w:cs="Arial"/>
                <w:sz w:val="20"/>
              </w:rPr>
              <w:t>$</w:t>
            </w:r>
            <w:r w:rsidR="00B928B9" w:rsidRPr="00FA6A21">
              <w:rPr>
                <w:rFonts w:ascii="Arial Narrow" w:eastAsia="Calibri" w:hAnsi="Arial Narrow" w:cs="Arial"/>
                <w:sz w:val="20"/>
              </w:rPr>
              <w:t>redacted</w:t>
            </w:r>
            <w:r w:rsidR="00643332" w:rsidRPr="00F442D5">
              <w:rPr>
                <w:rFonts w:ascii="Arial Narrow" w:eastAsia="Calibri" w:hAnsi="Arial Narrow" w:cs="Arial"/>
                <w:sz w:val="20"/>
                <w:vertAlign w:val="superscript"/>
              </w:rPr>
              <w:t>2</w:t>
            </w:r>
          </w:p>
        </w:tc>
      </w:tr>
      <w:tr w:rsidR="000801A7" w:rsidRPr="0096285A" w14:paraId="7FEEEB7A" w14:textId="77777777" w:rsidTr="00F108DD">
        <w:tc>
          <w:tcPr>
            <w:tcW w:w="9493" w:type="dxa"/>
            <w:gridSpan w:val="7"/>
            <w:shd w:val="clear" w:color="auto" w:fill="auto"/>
            <w:vAlign w:val="center"/>
          </w:tcPr>
          <w:p w14:paraId="43B7DEE6" w14:textId="77777777" w:rsidR="000801A7" w:rsidRPr="0096285A" w:rsidRDefault="000801A7" w:rsidP="00AF5486">
            <w:pPr>
              <w:spacing w:before="40" w:after="40" w:line="256" w:lineRule="auto"/>
              <w:rPr>
                <w:rFonts w:ascii="Arial Narrow" w:eastAsia="Calibri" w:hAnsi="Arial Narrow" w:cs="Arial"/>
                <w:b/>
                <w:sz w:val="20"/>
              </w:rPr>
            </w:pPr>
            <w:r w:rsidRPr="0096285A">
              <w:rPr>
                <w:rFonts w:ascii="Arial Narrow" w:eastAsia="Calibri" w:hAnsi="Arial Narrow" w:cs="Arial"/>
                <w:b/>
                <w:sz w:val="20"/>
              </w:rPr>
              <w:t>Estimated financial implications for other MBS items (likely to be affected by the PBS listing of encorafenib) to the MBS</w:t>
            </w:r>
          </w:p>
        </w:tc>
      </w:tr>
      <w:tr w:rsidR="000801A7" w:rsidRPr="003A3456" w14:paraId="54425D07" w14:textId="77777777" w:rsidTr="00F108DD">
        <w:tc>
          <w:tcPr>
            <w:tcW w:w="3539" w:type="dxa"/>
            <w:shd w:val="clear" w:color="auto" w:fill="auto"/>
            <w:vAlign w:val="center"/>
          </w:tcPr>
          <w:p w14:paraId="0BCCB191" w14:textId="77777777" w:rsidR="000801A7" w:rsidRPr="0096285A" w:rsidRDefault="000801A7" w:rsidP="00AF5486">
            <w:pPr>
              <w:spacing w:before="40" w:after="40" w:line="256" w:lineRule="auto"/>
              <w:rPr>
                <w:rFonts w:ascii="Arial Narrow" w:eastAsia="Calibri" w:hAnsi="Arial Narrow" w:cs="Arial"/>
                <w:sz w:val="20"/>
              </w:rPr>
            </w:pPr>
            <w:r w:rsidRPr="0096285A">
              <w:rPr>
                <w:rFonts w:ascii="Arial Narrow" w:eastAsia="Calibri" w:hAnsi="Arial Narrow" w:cs="Arial"/>
                <w:iCs/>
                <w:sz w:val="20"/>
              </w:rPr>
              <w:t>Increased cost due to change in MBS items for PBS/RPBS beneficiaries</w:t>
            </w:r>
          </w:p>
        </w:tc>
        <w:tc>
          <w:tcPr>
            <w:tcW w:w="992" w:type="dxa"/>
            <w:shd w:val="clear" w:color="auto" w:fill="auto"/>
            <w:vAlign w:val="center"/>
          </w:tcPr>
          <w:p w14:paraId="46C4C019" w14:textId="68AC9688" w:rsidR="000801A7" w:rsidRPr="00F108DD" w:rsidRDefault="000801A7" w:rsidP="00AF5486">
            <w:pPr>
              <w:spacing w:before="40" w:after="40" w:line="256" w:lineRule="auto"/>
              <w:jc w:val="center"/>
              <w:rPr>
                <w:rFonts w:ascii="Arial Narrow" w:eastAsia="Calibri" w:hAnsi="Arial Narrow" w:cs="Arial"/>
                <w:i/>
                <w:sz w:val="20"/>
              </w:rPr>
            </w:pPr>
            <w:r w:rsidRPr="00F108DD">
              <w:rPr>
                <w:rFonts w:ascii="Arial Narrow" w:eastAsia="Calibri" w:hAnsi="Arial Narrow" w:cs="Arial"/>
                <w:i/>
                <w:sz w:val="20"/>
              </w:rPr>
              <w:t>$</w:t>
            </w:r>
            <w:r w:rsidR="00B928B9" w:rsidRPr="00F108DD">
              <w:rPr>
                <w:rFonts w:ascii="Arial Narrow" w:eastAsia="Calibri" w:hAnsi="Arial Narrow" w:cs="Arial"/>
                <w:i/>
                <w:sz w:val="20"/>
              </w:rPr>
              <w:t>redacted</w:t>
            </w:r>
            <w:r w:rsidR="00643332" w:rsidRPr="00F108DD">
              <w:rPr>
                <w:rFonts w:ascii="Arial Narrow" w:eastAsia="Calibri" w:hAnsi="Arial Narrow" w:cs="Arial"/>
                <w:i/>
                <w:sz w:val="20"/>
                <w:vertAlign w:val="superscript"/>
              </w:rPr>
              <w:t>2</w:t>
            </w:r>
          </w:p>
        </w:tc>
        <w:tc>
          <w:tcPr>
            <w:tcW w:w="993" w:type="dxa"/>
            <w:shd w:val="clear" w:color="auto" w:fill="auto"/>
            <w:vAlign w:val="center"/>
          </w:tcPr>
          <w:p w14:paraId="050A504F" w14:textId="4017BE44" w:rsidR="000801A7" w:rsidRPr="00F108DD" w:rsidRDefault="000801A7" w:rsidP="00AF5486">
            <w:pPr>
              <w:spacing w:before="40" w:after="40" w:line="256" w:lineRule="auto"/>
              <w:jc w:val="center"/>
              <w:rPr>
                <w:rFonts w:ascii="Arial Narrow" w:eastAsia="Calibri" w:hAnsi="Arial Narrow" w:cs="Arial"/>
                <w:i/>
                <w:sz w:val="20"/>
              </w:rPr>
            </w:pPr>
            <w:r w:rsidRPr="00F108DD">
              <w:rPr>
                <w:rFonts w:ascii="Arial Narrow" w:eastAsia="Calibri" w:hAnsi="Arial Narrow" w:cs="Arial"/>
                <w:i/>
                <w:sz w:val="20"/>
              </w:rPr>
              <w:t>$</w:t>
            </w:r>
            <w:r w:rsidR="00B928B9" w:rsidRPr="00F108DD">
              <w:rPr>
                <w:rFonts w:ascii="Arial Narrow" w:eastAsia="Calibri" w:hAnsi="Arial Narrow" w:cs="Arial"/>
                <w:i/>
                <w:sz w:val="20"/>
              </w:rPr>
              <w:t>redacted</w:t>
            </w:r>
            <w:r w:rsidR="00643332" w:rsidRPr="00F108DD">
              <w:rPr>
                <w:rFonts w:ascii="Arial Narrow" w:eastAsia="Calibri" w:hAnsi="Arial Narrow" w:cs="Arial"/>
                <w:i/>
                <w:sz w:val="20"/>
                <w:vertAlign w:val="superscript"/>
              </w:rPr>
              <w:t>2</w:t>
            </w:r>
          </w:p>
        </w:tc>
        <w:tc>
          <w:tcPr>
            <w:tcW w:w="992" w:type="dxa"/>
            <w:shd w:val="clear" w:color="auto" w:fill="auto"/>
            <w:vAlign w:val="center"/>
          </w:tcPr>
          <w:p w14:paraId="77B79647" w14:textId="69EB0EE4" w:rsidR="000801A7" w:rsidRPr="00F108DD" w:rsidRDefault="000801A7" w:rsidP="00AF5486">
            <w:pPr>
              <w:spacing w:before="40" w:after="40" w:line="256" w:lineRule="auto"/>
              <w:jc w:val="center"/>
              <w:rPr>
                <w:rFonts w:ascii="Arial Narrow" w:eastAsia="Calibri" w:hAnsi="Arial Narrow" w:cs="Arial"/>
                <w:i/>
                <w:sz w:val="20"/>
              </w:rPr>
            </w:pPr>
            <w:r w:rsidRPr="00F108DD">
              <w:rPr>
                <w:rFonts w:ascii="Arial Narrow" w:eastAsia="Calibri" w:hAnsi="Arial Narrow" w:cs="Arial"/>
                <w:i/>
                <w:sz w:val="20"/>
              </w:rPr>
              <w:t>$</w:t>
            </w:r>
            <w:r w:rsidR="00B928B9" w:rsidRPr="00F108DD">
              <w:rPr>
                <w:rFonts w:ascii="Arial Narrow" w:eastAsia="Calibri" w:hAnsi="Arial Narrow" w:cs="Arial"/>
                <w:i/>
                <w:sz w:val="20"/>
              </w:rPr>
              <w:t>redacted</w:t>
            </w:r>
            <w:r w:rsidR="00643332" w:rsidRPr="00F108DD">
              <w:rPr>
                <w:rFonts w:ascii="Arial Narrow" w:eastAsia="Calibri" w:hAnsi="Arial Narrow" w:cs="Arial"/>
                <w:i/>
                <w:sz w:val="20"/>
                <w:vertAlign w:val="superscript"/>
              </w:rPr>
              <w:t>2</w:t>
            </w:r>
          </w:p>
        </w:tc>
        <w:tc>
          <w:tcPr>
            <w:tcW w:w="992" w:type="dxa"/>
            <w:shd w:val="clear" w:color="auto" w:fill="auto"/>
            <w:vAlign w:val="center"/>
          </w:tcPr>
          <w:p w14:paraId="590D08BE" w14:textId="79A73903" w:rsidR="000801A7" w:rsidRPr="00F108DD" w:rsidRDefault="000801A7" w:rsidP="00AF5486">
            <w:pPr>
              <w:spacing w:before="40" w:after="40" w:line="256" w:lineRule="auto"/>
              <w:jc w:val="center"/>
              <w:rPr>
                <w:rFonts w:ascii="Arial Narrow" w:eastAsia="Calibri" w:hAnsi="Arial Narrow" w:cs="Arial"/>
                <w:i/>
                <w:sz w:val="20"/>
              </w:rPr>
            </w:pPr>
            <w:r w:rsidRPr="00F108DD">
              <w:rPr>
                <w:rFonts w:ascii="Arial Narrow" w:eastAsia="Calibri" w:hAnsi="Arial Narrow" w:cs="Arial"/>
                <w:i/>
                <w:sz w:val="20"/>
              </w:rPr>
              <w:t>$</w:t>
            </w:r>
            <w:r w:rsidR="00B928B9" w:rsidRPr="00F108DD">
              <w:rPr>
                <w:rFonts w:ascii="Arial Narrow" w:eastAsia="Calibri" w:hAnsi="Arial Narrow" w:cs="Arial"/>
                <w:i/>
                <w:sz w:val="20"/>
              </w:rPr>
              <w:t>redacted</w:t>
            </w:r>
            <w:r w:rsidR="00643332" w:rsidRPr="00F108DD">
              <w:rPr>
                <w:rFonts w:ascii="Arial Narrow" w:eastAsia="Calibri" w:hAnsi="Arial Narrow" w:cs="Arial"/>
                <w:i/>
                <w:sz w:val="20"/>
                <w:vertAlign w:val="superscript"/>
              </w:rPr>
              <w:t>2</w:t>
            </w:r>
          </w:p>
        </w:tc>
        <w:tc>
          <w:tcPr>
            <w:tcW w:w="992" w:type="dxa"/>
            <w:shd w:val="clear" w:color="auto" w:fill="auto"/>
            <w:vAlign w:val="center"/>
          </w:tcPr>
          <w:p w14:paraId="6415510A" w14:textId="1F430F6B" w:rsidR="000801A7" w:rsidRPr="00F108DD" w:rsidRDefault="000801A7" w:rsidP="00AF5486">
            <w:pPr>
              <w:spacing w:before="40" w:after="40" w:line="256" w:lineRule="auto"/>
              <w:jc w:val="center"/>
              <w:rPr>
                <w:rFonts w:ascii="Arial Narrow" w:eastAsia="Calibri" w:hAnsi="Arial Narrow" w:cs="Arial"/>
                <w:i/>
                <w:sz w:val="20"/>
              </w:rPr>
            </w:pPr>
            <w:r w:rsidRPr="00F108DD">
              <w:rPr>
                <w:rFonts w:ascii="Arial Narrow" w:eastAsia="Calibri" w:hAnsi="Arial Narrow" w:cs="Arial"/>
                <w:i/>
                <w:sz w:val="20"/>
              </w:rPr>
              <w:t>$</w:t>
            </w:r>
            <w:r w:rsidR="00B928B9" w:rsidRPr="00F108DD">
              <w:rPr>
                <w:rFonts w:ascii="Arial Narrow" w:eastAsia="Calibri" w:hAnsi="Arial Narrow" w:cs="Arial"/>
                <w:i/>
                <w:sz w:val="20"/>
              </w:rPr>
              <w:t>redacted</w:t>
            </w:r>
            <w:r w:rsidR="00643332" w:rsidRPr="00F108DD">
              <w:rPr>
                <w:rFonts w:ascii="Arial Narrow" w:eastAsia="Calibri" w:hAnsi="Arial Narrow" w:cs="Arial"/>
                <w:i/>
                <w:sz w:val="20"/>
                <w:vertAlign w:val="superscript"/>
              </w:rPr>
              <w:t>2</w:t>
            </w:r>
          </w:p>
        </w:tc>
        <w:tc>
          <w:tcPr>
            <w:tcW w:w="993" w:type="dxa"/>
            <w:vAlign w:val="center"/>
          </w:tcPr>
          <w:p w14:paraId="20D2DBAE" w14:textId="172B06B2" w:rsidR="000801A7" w:rsidRPr="00F108DD" w:rsidRDefault="000801A7" w:rsidP="00AF5486">
            <w:pPr>
              <w:spacing w:before="40" w:after="40" w:line="256" w:lineRule="auto"/>
              <w:jc w:val="center"/>
              <w:rPr>
                <w:rFonts w:ascii="Arial Narrow" w:eastAsia="Calibri" w:hAnsi="Arial Narrow" w:cs="Arial"/>
                <w:i/>
                <w:sz w:val="20"/>
              </w:rPr>
            </w:pPr>
            <w:r w:rsidRPr="00F108DD">
              <w:rPr>
                <w:rFonts w:ascii="Arial Narrow" w:eastAsia="Calibri" w:hAnsi="Arial Narrow" w:cs="Arial"/>
                <w:i/>
                <w:sz w:val="20"/>
              </w:rPr>
              <w:t>$</w:t>
            </w:r>
            <w:r w:rsidR="00B928B9" w:rsidRPr="00F108DD">
              <w:rPr>
                <w:rFonts w:ascii="Arial Narrow" w:eastAsia="Calibri" w:hAnsi="Arial Narrow" w:cs="Arial"/>
                <w:i/>
                <w:sz w:val="20"/>
              </w:rPr>
              <w:t>redacted</w:t>
            </w:r>
            <w:r w:rsidR="00643332" w:rsidRPr="00F108DD">
              <w:rPr>
                <w:rFonts w:ascii="Arial Narrow" w:eastAsia="Calibri" w:hAnsi="Arial Narrow" w:cs="Arial"/>
                <w:i/>
                <w:sz w:val="20"/>
                <w:vertAlign w:val="superscript"/>
              </w:rPr>
              <w:t>2</w:t>
            </w:r>
          </w:p>
        </w:tc>
      </w:tr>
      <w:tr w:rsidR="00643332" w:rsidRPr="003A3456" w14:paraId="551B7080" w14:textId="77777777" w:rsidTr="00F108DD">
        <w:tc>
          <w:tcPr>
            <w:tcW w:w="3539" w:type="dxa"/>
            <w:shd w:val="clear" w:color="auto" w:fill="auto"/>
            <w:vAlign w:val="center"/>
          </w:tcPr>
          <w:p w14:paraId="10F7C5F0" w14:textId="77777777" w:rsidR="00643332" w:rsidRPr="0096285A" w:rsidRDefault="00643332" w:rsidP="00643332">
            <w:pPr>
              <w:spacing w:before="40" w:after="40" w:line="256" w:lineRule="auto"/>
              <w:rPr>
                <w:rFonts w:ascii="Arial Narrow" w:eastAsia="Calibri" w:hAnsi="Arial Narrow" w:cs="Arial"/>
                <w:sz w:val="20"/>
              </w:rPr>
            </w:pPr>
            <w:r w:rsidRPr="0096285A">
              <w:rPr>
                <w:rFonts w:ascii="Arial Narrow" w:eastAsia="Calibri" w:hAnsi="Arial Narrow" w:cs="Arial"/>
                <w:iCs/>
                <w:sz w:val="20"/>
              </w:rPr>
              <w:t>Decrease cost due to change in MBS items for PBS/RPBS beneficiaries</w:t>
            </w:r>
          </w:p>
        </w:tc>
        <w:tc>
          <w:tcPr>
            <w:tcW w:w="992" w:type="dxa"/>
            <w:shd w:val="clear" w:color="auto" w:fill="auto"/>
          </w:tcPr>
          <w:p w14:paraId="0C714D5A" w14:textId="47ABB8F8" w:rsidR="00643332" w:rsidRPr="00643332" w:rsidRDefault="00FA6A21" w:rsidP="00643332">
            <w:pPr>
              <w:spacing w:before="40" w:after="40" w:line="256" w:lineRule="auto"/>
              <w:jc w:val="center"/>
              <w:rPr>
                <w:rFonts w:ascii="Arial Narrow" w:eastAsia="Calibri" w:hAnsi="Arial Narrow" w:cs="Arial"/>
                <w:sz w:val="20"/>
              </w:rPr>
            </w:pPr>
            <w:r w:rsidRPr="00FA6A21">
              <w:rPr>
                <w:rFonts w:ascii="Arial Narrow" w:eastAsia="Calibri" w:hAnsi="Arial Narrow" w:cs="Arial"/>
                <w:sz w:val="20"/>
              </w:rPr>
              <w:t>$</w:t>
            </w:r>
            <w:r w:rsidR="00B928B9" w:rsidRPr="00FA6A21">
              <w:rPr>
                <w:rFonts w:ascii="Arial Narrow" w:eastAsia="Calibri" w:hAnsi="Arial Narrow" w:cs="Arial"/>
                <w:sz w:val="20"/>
              </w:rPr>
              <w:t>redacted</w:t>
            </w:r>
            <w:r w:rsidR="00643332" w:rsidRPr="003102C7">
              <w:rPr>
                <w:rFonts w:ascii="Arial Narrow" w:eastAsia="Calibri" w:hAnsi="Arial Narrow" w:cs="Arial"/>
                <w:sz w:val="20"/>
                <w:vertAlign w:val="superscript"/>
              </w:rPr>
              <w:t>2</w:t>
            </w:r>
          </w:p>
        </w:tc>
        <w:tc>
          <w:tcPr>
            <w:tcW w:w="993" w:type="dxa"/>
            <w:shd w:val="clear" w:color="auto" w:fill="auto"/>
          </w:tcPr>
          <w:p w14:paraId="71B11BE8" w14:textId="7F750773" w:rsidR="00643332" w:rsidRPr="00643332" w:rsidRDefault="00FA6A21" w:rsidP="00643332">
            <w:pPr>
              <w:spacing w:before="40" w:after="40" w:line="256" w:lineRule="auto"/>
              <w:jc w:val="center"/>
              <w:rPr>
                <w:rFonts w:ascii="Arial Narrow" w:eastAsia="Calibri" w:hAnsi="Arial Narrow" w:cs="Arial"/>
                <w:sz w:val="20"/>
              </w:rPr>
            </w:pPr>
            <w:r w:rsidRPr="00FA6A21">
              <w:rPr>
                <w:rFonts w:ascii="Arial Narrow" w:eastAsia="Calibri" w:hAnsi="Arial Narrow" w:cs="Arial"/>
                <w:sz w:val="20"/>
              </w:rPr>
              <w:t>$</w:t>
            </w:r>
            <w:r w:rsidR="00B928B9" w:rsidRPr="00FA6A21">
              <w:rPr>
                <w:rFonts w:ascii="Arial Narrow" w:eastAsia="Calibri" w:hAnsi="Arial Narrow" w:cs="Arial"/>
                <w:sz w:val="20"/>
              </w:rPr>
              <w:t>redacted</w:t>
            </w:r>
            <w:r w:rsidR="00643332" w:rsidRPr="003102C7">
              <w:rPr>
                <w:rFonts w:ascii="Arial Narrow" w:eastAsia="Calibri" w:hAnsi="Arial Narrow" w:cs="Arial"/>
                <w:sz w:val="20"/>
                <w:vertAlign w:val="superscript"/>
              </w:rPr>
              <w:t>2</w:t>
            </w:r>
          </w:p>
        </w:tc>
        <w:tc>
          <w:tcPr>
            <w:tcW w:w="992" w:type="dxa"/>
            <w:shd w:val="clear" w:color="auto" w:fill="auto"/>
          </w:tcPr>
          <w:p w14:paraId="3288858C" w14:textId="4E49C771" w:rsidR="00643332" w:rsidRPr="00643332" w:rsidRDefault="00FA6A21" w:rsidP="00643332">
            <w:pPr>
              <w:spacing w:before="40" w:after="40" w:line="256" w:lineRule="auto"/>
              <w:jc w:val="center"/>
              <w:rPr>
                <w:rFonts w:ascii="Arial Narrow" w:eastAsia="Calibri" w:hAnsi="Arial Narrow" w:cs="Arial"/>
                <w:sz w:val="20"/>
              </w:rPr>
            </w:pPr>
            <w:r w:rsidRPr="00FA6A21">
              <w:rPr>
                <w:rFonts w:ascii="Arial Narrow" w:eastAsia="Calibri" w:hAnsi="Arial Narrow" w:cs="Arial"/>
                <w:sz w:val="20"/>
              </w:rPr>
              <w:t>$</w:t>
            </w:r>
            <w:r w:rsidR="00B928B9" w:rsidRPr="00FA6A21">
              <w:rPr>
                <w:rFonts w:ascii="Arial Narrow" w:eastAsia="Calibri" w:hAnsi="Arial Narrow" w:cs="Arial"/>
                <w:sz w:val="20"/>
              </w:rPr>
              <w:t>redacted</w:t>
            </w:r>
            <w:r w:rsidR="00643332" w:rsidRPr="003102C7">
              <w:rPr>
                <w:rFonts w:ascii="Arial Narrow" w:eastAsia="Calibri" w:hAnsi="Arial Narrow" w:cs="Arial"/>
                <w:sz w:val="20"/>
                <w:vertAlign w:val="superscript"/>
              </w:rPr>
              <w:t>2</w:t>
            </w:r>
          </w:p>
        </w:tc>
        <w:tc>
          <w:tcPr>
            <w:tcW w:w="992" w:type="dxa"/>
            <w:shd w:val="clear" w:color="auto" w:fill="auto"/>
          </w:tcPr>
          <w:p w14:paraId="3A7825D9" w14:textId="1ED94675" w:rsidR="00643332" w:rsidRPr="00643332" w:rsidRDefault="00FA6A21" w:rsidP="00643332">
            <w:pPr>
              <w:spacing w:before="40" w:after="40" w:line="256" w:lineRule="auto"/>
              <w:jc w:val="center"/>
              <w:rPr>
                <w:rFonts w:ascii="Arial Narrow" w:eastAsia="Calibri" w:hAnsi="Arial Narrow" w:cs="Arial"/>
                <w:sz w:val="20"/>
              </w:rPr>
            </w:pPr>
            <w:r w:rsidRPr="00FA6A21">
              <w:rPr>
                <w:rFonts w:ascii="Arial Narrow" w:eastAsia="Calibri" w:hAnsi="Arial Narrow" w:cs="Arial"/>
                <w:sz w:val="20"/>
              </w:rPr>
              <w:t>$</w:t>
            </w:r>
            <w:r w:rsidR="00B928B9" w:rsidRPr="00FA6A21">
              <w:rPr>
                <w:rFonts w:ascii="Arial Narrow" w:eastAsia="Calibri" w:hAnsi="Arial Narrow" w:cs="Arial"/>
                <w:sz w:val="20"/>
              </w:rPr>
              <w:t>redacted</w:t>
            </w:r>
            <w:r w:rsidR="00643332" w:rsidRPr="003102C7">
              <w:rPr>
                <w:rFonts w:ascii="Arial Narrow" w:eastAsia="Calibri" w:hAnsi="Arial Narrow" w:cs="Arial"/>
                <w:sz w:val="20"/>
                <w:vertAlign w:val="superscript"/>
              </w:rPr>
              <w:t>2</w:t>
            </w:r>
          </w:p>
        </w:tc>
        <w:tc>
          <w:tcPr>
            <w:tcW w:w="992" w:type="dxa"/>
            <w:shd w:val="clear" w:color="auto" w:fill="auto"/>
          </w:tcPr>
          <w:p w14:paraId="2E50D571" w14:textId="4DA7E82A" w:rsidR="00643332" w:rsidRPr="00643332" w:rsidRDefault="00FA6A21" w:rsidP="00643332">
            <w:pPr>
              <w:spacing w:before="40" w:after="40" w:line="256" w:lineRule="auto"/>
              <w:jc w:val="center"/>
              <w:rPr>
                <w:rFonts w:ascii="Arial Narrow" w:eastAsia="Calibri" w:hAnsi="Arial Narrow" w:cs="Arial"/>
                <w:sz w:val="20"/>
              </w:rPr>
            </w:pPr>
            <w:r w:rsidRPr="00FA6A21">
              <w:rPr>
                <w:rFonts w:ascii="Arial Narrow" w:eastAsia="Calibri" w:hAnsi="Arial Narrow" w:cs="Arial"/>
                <w:sz w:val="20"/>
              </w:rPr>
              <w:t>$</w:t>
            </w:r>
            <w:r w:rsidR="00B928B9" w:rsidRPr="00FA6A21">
              <w:rPr>
                <w:rFonts w:ascii="Arial Narrow" w:eastAsia="Calibri" w:hAnsi="Arial Narrow" w:cs="Arial"/>
                <w:sz w:val="20"/>
              </w:rPr>
              <w:t>redacted</w:t>
            </w:r>
            <w:r w:rsidR="00643332" w:rsidRPr="003102C7">
              <w:rPr>
                <w:rFonts w:ascii="Arial Narrow" w:eastAsia="Calibri" w:hAnsi="Arial Narrow" w:cs="Arial"/>
                <w:sz w:val="20"/>
                <w:vertAlign w:val="superscript"/>
              </w:rPr>
              <w:t>2</w:t>
            </w:r>
          </w:p>
        </w:tc>
        <w:tc>
          <w:tcPr>
            <w:tcW w:w="993" w:type="dxa"/>
          </w:tcPr>
          <w:p w14:paraId="6E192132" w14:textId="1070B12D" w:rsidR="00643332" w:rsidRPr="00643332" w:rsidRDefault="00FA6A21" w:rsidP="00643332">
            <w:pPr>
              <w:spacing w:before="40" w:after="40" w:line="256" w:lineRule="auto"/>
              <w:jc w:val="center"/>
              <w:rPr>
                <w:rFonts w:ascii="Arial Narrow" w:eastAsia="Calibri" w:hAnsi="Arial Narrow" w:cs="Arial"/>
                <w:sz w:val="20"/>
              </w:rPr>
            </w:pPr>
            <w:r w:rsidRPr="00FA6A21">
              <w:rPr>
                <w:rFonts w:ascii="Arial Narrow" w:eastAsia="Calibri" w:hAnsi="Arial Narrow" w:cs="Arial"/>
                <w:sz w:val="20"/>
              </w:rPr>
              <w:t>$</w:t>
            </w:r>
            <w:r w:rsidR="00B928B9" w:rsidRPr="00FA6A21">
              <w:rPr>
                <w:rFonts w:ascii="Arial Narrow" w:eastAsia="Calibri" w:hAnsi="Arial Narrow" w:cs="Arial"/>
                <w:sz w:val="20"/>
              </w:rPr>
              <w:t>redacted</w:t>
            </w:r>
            <w:r w:rsidR="00643332" w:rsidRPr="003102C7">
              <w:rPr>
                <w:rFonts w:ascii="Arial Narrow" w:eastAsia="Calibri" w:hAnsi="Arial Narrow" w:cs="Arial"/>
                <w:sz w:val="20"/>
                <w:vertAlign w:val="superscript"/>
              </w:rPr>
              <w:t>2</w:t>
            </w:r>
          </w:p>
        </w:tc>
      </w:tr>
      <w:tr w:rsidR="000801A7" w:rsidRPr="003A3456" w14:paraId="3399DBB4" w14:textId="77777777" w:rsidTr="00F108DD">
        <w:tc>
          <w:tcPr>
            <w:tcW w:w="3539" w:type="dxa"/>
            <w:shd w:val="clear" w:color="auto" w:fill="auto"/>
            <w:vAlign w:val="center"/>
          </w:tcPr>
          <w:p w14:paraId="18B7C9BA" w14:textId="77777777" w:rsidR="000801A7" w:rsidRPr="0096285A" w:rsidRDefault="000801A7" w:rsidP="00AF5486">
            <w:pPr>
              <w:spacing w:before="40" w:after="40" w:line="256" w:lineRule="auto"/>
              <w:rPr>
                <w:rFonts w:ascii="Arial Narrow" w:eastAsia="Calibri" w:hAnsi="Arial Narrow" w:cs="Arial"/>
                <w:sz w:val="20"/>
              </w:rPr>
            </w:pPr>
            <w:r w:rsidRPr="0096285A">
              <w:rPr>
                <w:rFonts w:ascii="Arial Narrow" w:eastAsia="Calibri" w:hAnsi="Arial Narrow" w:cs="Arial"/>
                <w:sz w:val="20"/>
              </w:rPr>
              <w:t>Net cost to the MBS budget</w:t>
            </w:r>
          </w:p>
        </w:tc>
        <w:tc>
          <w:tcPr>
            <w:tcW w:w="992" w:type="dxa"/>
            <w:shd w:val="clear" w:color="auto" w:fill="auto"/>
          </w:tcPr>
          <w:p w14:paraId="5DC29546" w14:textId="21E3D50B" w:rsidR="000801A7" w:rsidRPr="00F108DD" w:rsidRDefault="000801A7" w:rsidP="00AF5486">
            <w:pPr>
              <w:spacing w:before="40" w:after="40" w:line="256" w:lineRule="auto"/>
              <w:jc w:val="center"/>
              <w:rPr>
                <w:rFonts w:ascii="Arial Narrow" w:eastAsia="Calibri" w:hAnsi="Arial Narrow" w:cs="Arial"/>
                <w:i/>
                <w:sz w:val="20"/>
              </w:rPr>
            </w:pPr>
            <w:r w:rsidRPr="00F108DD">
              <w:rPr>
                <w:rFonts w:ascii="Arial Narrow" w:eastAsia="Calibri" w:hAnsi="Arial Narrow" w:cs="Arial"/>
                <w:i/>
                <w:sz w:val="20"/>
              </w:rPr>
              <w:t>$</w:t>
            </w:r>
            <w:r w:rsidR="00B928B9" w:rsidRPr="00F108DD">
              <w:rPr>
                <w:rFonts w:ascii="Arial Narrow" w:eastAsia="Calibri" w:hAnsi="Arial Narrow" w:cs="Arial"/>
                <w:i/>
                <w:sz w:val="20"/>
              </w:rPr>
              <w:t>redacted</w:t>
            </w:r>
            <w:r w:rsidR="00643332" w:rsidRPr="00F108DD">
              <w:rPr>
                <w:rFonts w:ascii="Arial Narrow" w:eastAsia="Calibri" w:hAnsi="Arial Narrow" w:cs="Arial"/>
                <w:i/>
                <w:sz w:val="20"/>
                <w:vertAlign w:val="superscript"/>
              </w:rPr>
              <w:t>2</w:t>
            </w:r>
          </w:p>
        </w:tc>
        <w:tc>
          <w:tcPr>
            <w:tcW w:w="993" w:type="dxa"/>
            <w:shd w:val="clear" w:color="auto" w:fill="auto"/>
          </w:tcPr>
          <w:p w14:paraId="0CE57AD2" w14:textId="3C70BD65" w:rsidR="000801A7" w:rsidRPr="00F108DD" w:rsidRDefault="000801A7" w:rsidP="00AF5486">
            <w:pPr>
              <w:spacing w:before="40" w:after="40" w:line="256" w:lineRule="auto"/>
              <w:jc w:val="center"/>
              <w:rPr>
                <w:rFonts w:ascii="Arial Narrow" w:eastAsia="Calibri" w:hAnsi="Arial Narrow" w:cs="Arial"/>
                <w:i/>
                <w:sz w:val="20"/>
              </w:rPr>
            </w:pPr>
            <w:r w:rsidRPr="00F108DD">
              <w:rPr>
                <w:rFonts w:ascii="Arial Narrow" w:eastAsia="Calibri" w:hAnsi="Arial Narrow" w:cs="Arial"/>
                <w:i/>
                <w:sz w:val="20"/>
              </w:rPr>
              <w:t>$</w:t>
            </w:r>
            <w:r w:rsidR="00B928B9" w:rsidRPr="00F108DD">
              <w:rPr>
                <w:rFonts w:ascii="Arial Narrow" w:eastAsia="Calibri" w:hAnsi="Arial Narrow" w:cs="Arial"/>
                <w:i/>
                <w:sz w:val="20"/>
              </w:rPr>
              <w:t>redacted</w:t>
            </w:r>
            <w:r w:rsidR="00643332" w:rsidRPr="00F108DD">
              <w:rPr>
                <w:rFonts w:ascii="Arial Narrow" w:eastAsia="Calibri" w:hAnsi="Arial Narrow" w:cs="Arial"/>
                <w:i/>
                <w:sz w:val="20"/>
                <w:vertAlign w:val="superscript"/>
              </w:rPr>
              <w:t>2</w:t>
            </w:r>
          </w:p>
        </w:tc>
        <w:tc>
          <w:tcPr>
            <w:tcW w:w="992" w:type="dxa"/>
            <w:shd w:val="clear" w:color="auto" w:fill="auto"/>
          </w:tcPr>
          <w:p w14:paraId="5AA57C57" w14:textId="4C1EA096" w:rsidR="000801A7" w:rsidRPr="00F108DD" w:rsidRDefault="000801A7" w:rsidP="00AF5486">
            <w:pPr>
              <w:spacing w:before="40" w:after="40" w:line="256" w:lineRule="auto"/>
              <w:jc w:val="center"/>
              <w:rPr>
                <w:rFonts w:ascii="Arial Narrow" w:eastAsia="Calibri" w:hAnsi="Arial Narrow" w:cs="Arial"/>
                <w:i/>
                <w:sz w:val="20"/>
              </w:rPr>
            </w:pPr>
            <w:r w:rsidRPr="00F108DD">
              <w:rPr>
                <w:rFonts w:ascii="Arial Narrow" w:eastAsia="Calibri" w:hAnsi="Arial Narrow" w:cs="Arial"/>
                <w:i/>
                <w:sz w:val="20"/>
              </w:rPr>
              <w:t>$</w:t>
            </w:r>
            <w:r w:rsidR="00B928B9" w:rsidRPr="00F108DD">
              <w:rPr>
                <w:rFonts w:ascii="Arial Narrow" w:eastAsia="Calibri" w:hAnsi="Arial Narrow" w:cs="Arial"/>
                <w:i/>
                <w:sz w:val="20"/>
              </w:rPr>
              <w:t>redacted</w:t>
            </w:r>
            <w:r w:rsidR="00643332" w:rsidRPr="00F108DD">
              <w:rPr>
                <w:rFonts w:ascii="Arial Narrow" w:eastAsia="Calibri" w:hAnsi="Arial Narrow" w:cs="Arial"/>
                <w:i/>
                <w:sz w:val="20"/>
                <w:vertAlign w:val="superscript"/>
              </w:rPr>
              <w:t>2</w:t>
            </w:r>
          </w:p>
        </w:tc>
        <w:tc>
          <w:tcPr>
            <w:tcW w:w="992" w:type="dxa"/>
            <w:shd w:val="clear" w:color="auto" w:fill="auto"/>
          </w:tcPr>
          <w:p w14:paraId="199FFC56" w14:textId="7ED079B0" w:rsidR="000801A7" w:rsidRPr="00F108DD" w:rsidRDefault="000801A7" w:rsidP="00AF5486">
            <w:pPr>
              <w:spacing w:before="40" w:after="40" w:line="256" w:lineRule="auto"/>
              <w:jc w:val="center"/>
              <w:rPr>
                <w:rFonts w:ascii="Arial Narrow" w:eastAsia="Calibri" w:hAnsi="Arial Narrow" w:cs="Arial"/>
                <w:i/>
                <w:sz w:val="20"/>
              </w:rPr>
            </w:pPr>
            <w:r w:rsidRPr="00F108DD">
              <w:rPr>
                <w:rFonts w:ascii="Arial Narrow" w:eastAsia="Calibri" w:hAnsi="Arial Narrow" w:cs="Arial"/>
                <w:i/>
                <w:sz w:val="20"/>
              </w:rPr>
              <w:t>$</w:t>
            </w:r>
            <w:r w:rsidR="00B928B9" w:rsidRPr="00F108DD">
              <w:rPr>
                <w:rFonts w:ascii="Arial Narrow" w:eastAsia="Calibri" w:hAnsi="Arial Narrow" w:cs="Arial"/>
                <w:i/>
                <w:sz w:val="20"/>
              </w:rPr>
              <w:t>redacted</w:t>
            </w:r>
            <w:r w:rsidR="00643332" w:rsidRPr="00F108DD">
              <w:rPr>
                <w:rFonts w:ascii="Arial Narrow" w:eastAsia="Calibri" w:hAnsi="Arial Narrow" w:cs="Arial"/>
                <w:i/>
                <w:sz w:val="20"/>
                <w:vertAlign w:val="superscript"/>
              </w:rPr>
              <w:t>2</w:t>
            </w:r>
          </w:p>
        </w:tc>
        <w:tc>
          <w:tcPr>
            <w:tcW w:w="992" w:type="dxa"/>
            <w:shd w:val="clear" w:color="auto" w:fill="auto"/>
          </w:tcPr>
          <w:p w14:paraId="29A023D8" w14:textId="1431982E" w:rsidR="000801A7" w:rsidRPr="00F108DD" w:rsidRDefault="000801A7" w:rsidP="00AF5486">
            <w:pPr>
              <w:spacing w:before="40" w:after="40" w:line="256" w:lineRule="auto"/>
              <w:jc w:val="center"/>
              <w:rPr>
                <w:rFonts w:ascii="Arial Narrow" w:eastAsia="Calibri" w:hAnsi="Arial Narrow" w:cs="Arial"/>
                <w:i/>
                <w:sz w:val="20"/>
              </w:rPr>
            </w:pPr>
            <w:r w:rsidRPr="00F108DD">
              <w:rPr>
                <w:rFonts w:ascii="Arial Narrow" w:eastAsia="Calibri" w:hAnsi="Arial Narrow" w:cs="Arial"/>
                <w:i/>
                <w:sz w:val="20"/>
              </w:rPr>
              <w:t>$</w:t>
            </w:r>
            <w:r w:rsidR="00B928B9" w:rsidRPr="00F108DD">
              <w:rPr>
                <w:rFonts w:ascii="Arial Narrow" w:eastAsia="Calibri" w:hAnsi="Arial Narrow" w:cs="Arial"/>
                <w:i/>
                <w:sz w:val="20"/>
              </w:rPr>
              <w:t>redacted</w:t>
            </w:r>
            <w:r w:rsidR="00643332" w:rsidRPr="00F108DD">
              <w:rPr>
                <w:rFonts w:ascii="Arial Narrow" w:eastAsia="Calibri" w:hAnsi="Arial Narrow" w:cs="Arial"/>
                <w:i/>
                <w:sz w:val="20"/>
                <w:vertAlign w:val="superscript"/>
              </w:rPr>
              <w:t>2</w:t>
            </w:r>
          </w:p>
        </w:tc>
        <w:tc>
          <w:tcPr>
            <w:tcW w:w="993" w:type="dxa"/>
          </w:tcPr>
          <w:p w14:paraId="7F8BDC92" w14:textId="7B0544E9" w:rsidR="000801A7" w:rsidRPr="00F108DD" w:rsidRDefault="000801A7" w:rsidP="00AF5486">
            <w:pPr>
              <w:spacing w:before="40" w:after="40" w:line="256" w:lineRule="auto"/>
              <w:jc w:val="center"/>
              <w:rPr>
                <w:rFonts w:ascii="Arial Narrow" w:eastAsia="Calibri" w:hAnsi="Arial Narrow" w:cs="Arial"/>
                <w:i/>
                <w:sz w:val="20"/>
              </w:rPr>
            </w:pPr>
            <w:r w:rsidRPr="00F108DD">
              <w:rPr>
                <w:rFonts w:ascii="Arial Narrow" w:eastAsia="Calibri" w:hAnsi="Arial Narrow" w:cs="Arial"/>
                <w:i/>
                <w:sz w:val="20"/>
              </w:rPr>
              <w:t>$</w:t>
            </w:r>
            <w:r w:rsidR="00B928B9" w:rsidRPr="00F108DD">
              <w:rPr>
                <w:rFonts w:ascii="Arial Narrow" w:eastAsia="Calibri" w:hAnsi="Arial Narrow" w:cs="Arial"/>
                <w:i/>
                <w:sz w:val="20"/>
              </w:rPr>
              <w:t>redacted</w:t>
            </w:r>
            <w:r w:rsidR="00643332" w:rsidRPr="00F108DD">
              <w:rPr>
                <w:rFonts w:ascii="Arial Narrow" w:eastAsia="Calibri" w:hAnsi="Arial Narrow" w:cs="Arial"/>
                <w:i/>
                <w:sz w:val="20"/>
                <w:vertAlign w:val="superscript"/>
              </w:rPr>
              <w:t>2</w:t>
            </w:r>
          </w:p>
        </w:tc>
      </w:tr>
      <w:tr w:rsidR="000801A7" w:rsidRPr="0096285A" w14:paraId="60754D73" w14:textId="77777777" w:rsidTr="00F108DD">
        <w:tc>
          <w:tcPr>
            <w:tcW w:w="9493" w:type="dxa"/>
            <w:gridSpan w:val="7"/>
            <w:shd w:val="clear" w:color="auto" w:fill="auto"/>
            <w:vAlign w:val="center"/>
          </w:tcPr>
          <w:p w14:paraId="308E5C3D" w14:textId="0775F906" w:rsidR="000801A7" w:rsidRPr="0096285A" w:rsidRDefault="000801A7" w:rsidP="00AF5486">
            <w:pPr>
              <w:spacing w:before="40" w:after="40" w:line="256" w:lineRule="auto"/>
              <w:rPr>
                <w:rFonts w:ascii="Arial Narrow" w:eastAsia="Calibri" w:hAnsi="Arial Narrow" w:cs="Arial"/>
                <w:b/>
                <w:sz w:val="20"/>
              </w:rPr>
            </w:pPr>
            <w:r w:rsidRPr="0096285A">
              <w:rPr>
                <w:rFonts w:ascii="Arial Narrow" w:eastAsia="Calibri" w:hAnsi="Arial Narrow" w:cs="Arial"/>
                <w:b/>
                <w:sz w:val="20"/>
              </w:rPr>
              <w:t>Net financial implications</w:t>
            </w:r>
          </w:p>
        </w:tc>
      </w:tr>
      <w:tr w:rsidR="000801A7" w:rsidRPr="0096285A" w14:paraId="42C9A9A3" w14:textId="77777777" w:rsidTr="00F108DD">
        <w:tc>
          <w:tcPr>
            <w:tcW w:w="3539" w:type="dxa"/>
            <w:shd w:val="clear" w:color="auto" w:fill="auto"/>
            <w:vAlign w:val="center"/>
          </w:tcPr>
          <w:p w14:paraId="0F2924F3" w14:textId="77777777" w:rsidR="000801A7" w:rsidRPr="0096285A" w:rsidRDefault="000801A7" w:rsidP="00AF5486">
            <w:pPr>
              <w:spacing w:before="40" w:after="40" w:line="256" w:lineRule="auto"/>
              <w:rPr>
                <w:rFonts w:ascii="Times" w:hAnsi="Times"/>
                <w:sz w:val="20"/>
              </w:rPr>
            </w:pPr>
            <w:r w:rsidRPr="0096285A">
              <w:rPr>
                <w:rFonts w:ascii="Arial Narrow" w:eastAsia="Calibri" w:hAnsi="Arial Narrow" w:cs="Arial"/>
                <w:sz w:val="20"/>
              </w:rPr>
              <w:t>Net cost to MBS</w:t>
            </w:r>
          </w:p>
        </w:tc>
        <w:tc>
          <w:tcPr>
            <w:tcW w:w="992" w:type="dxa"/>
            <w:shd w:val="clear" w:color="auto" w:fill="auto"/>
          </w:tcPr>
          <w:p w14:paraId="387B2E88" w14:textId="72B95F74" w:rsidR="000801A7" w:rsidRPr="00F108DD" w:rsidRDefault="000801A7" w:rsidP="00AF5486">
            <w:pPr>
              <w:spacing w:before="40" w:after="40" w:line="256" w:lineRule="auto"/>
              <w:jc w:val="center"/>
              <w:rPr>
                <w:rFonts w:ascii="Arial Narrow" w:eastAsia="Calibri" w:hAnsi="Arial Narrow" w:cs="Arial"/>
                <w:b/>
                <w:i/>
                <w:sz w:val="20"/>
              </w:rPr>
            </w:pPr>
            <w:r w:rsidRPr="00F108DD">
              <w:rPr>
                <w:rFonts w:ascii="Arial Narrow" w:eastAsia="Calibri" w:hAnsi="Arial Narrow" w:cs="Arial"/>
                <w:b/>
                <w:i/>
                <w:sz w:val="20"/>
              </w:rPr>
              <w:t>$</w:t>
            </w:r>
            <w:r w:rsidR="00B928B9" w:rsidRPr="00F108DD">
              <w:rPr>
                <w:rFonts w:ascii="Arial Narrow" w:eastAsia="Calibri" w:hAnsi="Arial Narrow" w:cs="Arial"/>
                <w:b/>
                <w:bCs/>
                <w:i/>
                <w:sz w:val="20"/>
              </w:rPr>
              <w:t>redacted</w:t>
            </w:r>
            <w:r w:rsidR="00643332" w:rsidRPr="00F108DD">
              <w:rPr>
                <w:rFonts w:ascii="Arial Narrow" w:eastAsia="Calibri" w:hAnsi="Arial Narrow" w:cs="Arial"/>
                <w:i/>
                <w:sz w:val="20"/>
                <w:vertAlign w:val="superscript"/>
              </w:rPr>
              <w:t>2</w:t>
            </w:r>
          </w:p>
        </w:tc>
        <w:tc>
          <w:tcPr>
            <w:tcW w:w="993" w:type="dxa"/>
            <w:shd w:val="clear" w:color="auto" w:fill="auto"/>
          </w:tcPr>
          <w:p w14:paraId="68B4F058" w14:textId="32ED6BDB" w:rsidR="000801A7" w:rsidRPr="00F108DD" w:rsidRDefault="000801A7" w:rsidP="00AF5486">
            <w:pPr>
              <w:spacing w:before="40" w:after="40" w:line="256" w:lineRule="auto"/>
              <w:jc w:val="center"/>
              <w:rPr>
                <w:rFonts w:ascii="Arial Narrow" w:eastAsia="Calibri" w:hAnsi="Arial Narrow" w:cs="Arial"/>
                <w:b/>
                <w:i/>
                <w:sz w:val="20"/>
              </w:rPr>
            </w:pPr>
            <w:r w:rsidRPr="00F108DD">
              <w:rPr>
                <w:rFonts w:ascii="Arial Narrow" w:eastAsia="Calibri" w:hAnsi="Arial Narrow" w:cs="Arial"/>
                <w:b/>
                <w:i/>
                <w:sz w:val="20"/>
              </w:rPr>
              <w:t>$</w:t>
            </w:r>
            <w:r w:rsidR="00B928B9" w:rsidRPr="00F108DD">
              <w:rPr>
                <w:rFonts w:ascii="Arial Narrow" w:eastAsia="Calibri" w:hAnsi="Arial Narrow" w:cs="Arial"/>
                <w:b/>
                <w:bCs/>
                <w:i/>
                <w:sz w:val="20"/>
              </w:rPr>
              <w:t>redacted</w:t>
            </w:r>
            <w:r w:rsidR="00643332" w:rsidRPr="00F108DD">
              <w:rPr>
                <w:rFonts w:ascii="Arial Narrow" w:eastAsia="Calibri" w:hAnsi="Arial Narrow" w:cs="Arial"/>
                <w:i/>
                <w:sz w:val="20"/>
                <w:vertAlign w:val="superscript"/>
              </w:rPr>
              <w:t>2</w:t>
            </w:r>
          </w:p>
        </w:tc>
        <w:tc>
          <w:tcPr>
            <w:tcW w:w="992" w:type="dxa"/>
            <w:shd w:val="clear" w:color="auto" w:fill="auto"/>
          </w:tcPr>
          <w:p w14:paraId="0075511D" w14:textId="4E036C9D" w:rsidR="000801A7" w:rsidRPr="00F108DD" w:rsidRDefault="000801A7" w:rsidP="00AF5486">
            <w:pPr>
              <w:spacing w:before="40" w:after="40" w:line="256" w:lineRule="auto"/>
              <w:jc w:val="center"/>
              <w:rPr>
                <w:rFonts w:ascii="Arial Narrow" w:eastAsia="Calibri" w:hAnsi="Arial Narrow" w:cs="Arial"/>
                <w:b/>
                <w:i/>
                <w:sz w:val="20"/>
              </w:rPr>
            </w:pPr>
            <w:r w:rsidRPr="00F108DD">
              <w:rPr>
                <w:rFonts w:ascii="Arial Narrow" w:eastAsia="Calibri" w:hAnsi="Arial Narrow" w:cs="Arial"/>
                <w:b/>
                <w:i/>
                <w:sz w:val="20"/>
              </w:rPr>
              <w:t>$</w:t>
            </w:r>
            <w:r w:rsidR="00B928B9" w:rsidRPr="00F108DD">
              <w:rPr>
                <w:rFonts w:ascii="Arial Narrow" w:eastAsia="Calibri" w:hAnsi="Arial Narrow" w:cs="Arial"/>
                <w:b/>
                <w:bCs/>
                <w:i/>
                <w:sz w:val="20"/>
              </w:rPr>
              <w:t>redacted</w:t>
            </w:r>
            <w:r w:rsidR="00643332" w:rsidRPr="00F108DD">
              <w:rPr>
                <w:rFonts w:ascii="Arial Narrow" w:eastAsia="Calibri" w:hAnsi="Arial Narrow" w:cs="Arial"/>
                <w:i/>
                <w:sz w:val="20"/>
                <w:vertAlign w:val="superscript"/>
              </w:rPr>
              <w:t>2</w:t>
            </w:r>
          </w:p>
        </w:tc>
        <w:tc>
          <w:tcPr>
            <w:tcW w:w="992" w:type="dxa"/>
            <w:shd w:val="clear" w:color="auto" w:fill="auto"/>
          </w:tcPr>
          <w:p w14:paraId="2FB583A7" w14:textId="71665B7B" w:rsidR="000801A7" w:rsidRPr="00F108DD" w:rsidRDefault="000801A7" w:rsidP="00AF5486">
            <w:pPr>
              <w:spacing w:before="40" w:after="40" w:line="256" w:lineRule="auto"/>
              <w:jc w:val="center"/>
              <w:rPr>
                <w:rFonts w:ascii="Arial Narrow" w:eastAsia="Calibri" w:hAnsi="Arial Narrow" w:cs="Arial"/>
                <w:b/>
                <w:i/>
                <w:sz w:val="20"/>
              </w:rPr>
            </w:pPr>
            <w:r w:rsidRPr="00F108DD">
              <w:rPr>
                <w:rFonts w:ascii="Arial Narrow" w:eastAsia="Calibri" w:hAnsi="Arial Narrow" w:cs="Arial"/>
                <w:b/>
                <w:i/>
                <w:sz w:val="20"/>
              </w:rPr>
              <w:t>$</w:t>
            </w:r>
            <w:r w:rsidR="00B928B9" w:rsidRPr="00F108DD">
              <w:rPr>
                <w:rFonts w:ascii="Arial Narrow" w:eastAsia="Calibri" w:hAnsi="Arial Narrow" w:cs="Arial"/>
                <w:b/>
                <w:bCs/>
                <w:i/>
                <w:sz w:val="20"/>
              </w:rPr>
              <w:t>redacted</w:t>
            </w:r>
            <w:r w:rsidR="00643332" w:rsidRPr="00F108DD">
              <w:rPr>
                <w:rFonts w:ascii="Arial Narrow" w:eastAsia="Calibri" w:hAnsi="Arial Narrow" w:cs="Arial"/>
                <w:i/>
                <w:sz w:val="20"/>
                <w:vertAlign w:val="superscript"/>
              </w:rPr>
              <w:t>2</w:t>
            </w:r>
          </w:p>
        </w:tc>
        <w:tc>
          <w:tcPr>
            <w:tcW w:w="992" w:type="dxa"/>
            <w:shd w:val="clear" w:color="auto" w:fill="auto"/>
          </w:tcPr>
          <w:p w14:paraId="61886766" w14:textId="279AB4EF" w:rsidR="000801A7" w:rsidRPr="00F108DD" w:rsidRDefault="000801A7" w:rsidP="00AF5486">
            <w:pPr>
              <w:spacing w:before="40" w:after="40" w:line="256" w:lineRule="auto"/>
              <w:jc w:val="center"/>
              <w:rPr>
                <w:rFonts w:ascii="Arial Narrow" w:eastAsia="Calibri" w:hAnsi="Arial Narrow" w:cs="Arial"/>
                <w:b/>
                <w:i/>
                <w:sz w:val="20"/>
              </w:rPr>
            </w:pPr>
            <w:r w:rsidRPr="00F108DD">
              <w:rPr>
                <w:rFonts w:ascii="Arial Narrow" w:eastAsia="Calibri" w:hAnsi="Arial Narrow" w:cs="Arial"/>
                <w:b/>
                <w:i/>
                <w:sz w:val="20"/>
              </w:rPr>
              <w:t>$</w:t>
            </w:r>
            <w:r w:rsidR="00B928B9" w:rsidRPr="00F108DD">
              <w:rPr>
                <w:rFonts w:ascii="Arial Narrow" w:eastAsia="Calibri" w:hAnsi="Arial Narrow" w:cs="Arial"/>
                <w:b/>
                <w:bCs/>
                <w:i/>
                <w:sz w:val="20"/>
              </w:rPr>
              <w:t>redacte</w:t>
            </w:r>
            <w:r w:rsidR="00F108DD" w:rsidRPr="00F108DD">
              <w:rPr>
                <w:rFonts w:ascii="Arial Narrow" w:eastAsia="Calibri" w:hAnsi="Arial Narrow" w:cs="Arial"/>
                <w:b/>
                <w:bCs/>
                <w:i/>
                <w:sz w:val="20"/>
              </w:rPr>
              <w:t>d</w:t>
            </w:r>
            <w:r w:rsidR="00643332" w:rsidRPr="00F108DD">
              <w:rPr>
                <w:rFonts w:ascii="Arial Narrow" w:eastAsia="Calibri" w:hAnsi="Arial Narrow" w:cs="Arial"/>
                <w:i/>
                <w:sz w:val="20"/>
                <w:vertAlign w:val="superscript"/>
              </w:rPr>
              <w:t>2</w:t>
            </w:r>
          </w:p>
        </w:tc>
        <w:tc>
          <w:tcPr>
            <w:tcW w:w="993" w:type="dxa"/>
          </w:tcPr>
          <w:p w14:paraId="48F38F34" w14:textId="6AB341ED" w:rsidR="000801A7" w:rsidRPr="00F108DD" w:rsidRDefault="000801A7" w:rsidP="00AF5486">
            <w:pPr>
              <w:spacing w:before="40" w:after="40" w:line="256" w:lineRule="auto"/>
              <w:jc w:val="center"/>
              <w:rPr>
                <w:rFonts w:ascii="Arial Narrow" w:eastAsia="Calibri" w:hAnsi="Arial Narrow" w:cs="Arial"/>
                <w:b/>
                <w:i/>
                <w:sz w:val="20"/>
              </w:rPr>
            </w:pPr>
            <w:r w:rsidRPr="00F108DD">
              <w:rPr>
                <w:rFonts w:ascii="Arial Narrow" w:eastAsia="Calibri" w:hAnsi="Arial Narrow" w:cs="Arial"/>
                <w:b/>
                <w:i/>
                <w:sz w:val="20"/>
              </w:rPr>
              <w:t>$</w:t>
            </w:r>
            <w:r w:rsidR="00B928B9" w:rsidRPr="00F108DD">
              <w:rPr>
                <w:rFonts w:ascii="Arial Narrow" w:eastAsia="Calibri" w:hAnsi="Arial Narrow" w:cs="Arial"/>
                <w:b/>
                <w:bCs/>
                <w:i/>
                <w:sz w:val="20"/>
              </w:rPr>
              <w:t>redacted</w:t>
            </w:r>
            <w:r w:rsidR="00643332" w:rsidRPr="00F108DD">
              <w:rPr>
                <w:rFonts w:ascii="Arial Narrow" w:eastAsia="Calibri" w:hAnsi="Arial Narrow" w:cs="Arial"/>
                <w:i/>
                <w:sz w:val="20"/>
                <w:vertAlign w:val="superscript"/>
              </w:rPr>
              <w:t>2</w:t>
            </w:r>
          </w:p>
        </w:tc>
      </w:tr>
    </w:tbl>
    <w:p w14:paraId="4D7DB3B2" w14:textId="6F19F5D6" w:rsidR="000801A7" w:rsidRPr="0096285A" w:rsidRDefault="000801A7" w:rsidP="000801A7">
      <w:pPr>
        <w:spacing w:after="240"/>
        <w:contextualSpacing/>
        <w:rPr>
          <w:rFonts w:ascii="Arial Narrow" w:hAnsi="Arial Narrow" w:cs="Arial"/>
          <w:snapToGrid w:val="0"/>
          <w:sz w:val="18"/>
        </w:rPr>
      </w:pPr>
      <w:r w:rsidRPr="0096285A">
        <w:rPr>
          <w:rFonts w:ascii="Arial Narrow" w:hAnsi="Arial Narrow" w:cs="Arial"/>
          <w:snapToGrid w:val="0"/>
          <w:sz w:val="18"/>
        </w:rPr>
        <w:t xml:space="preserve">Note: </w:t>
      </w:r>
      <w:r w:rsidRPr="0096285A">
        <w:rPr>
          <w:rFonts w:ascii="Arial Narrow" w:hAnsi="Arial Narrow" w:cs="Arial"/>
          <w:i/>
          <w:snapToGrid w:val="0"/>
          <w:sz w:val="18"/>
        </w:rPr>
        <w:t>Costs in italic</w:t>
      </w:r>
      <w:r w:rsidR="004B50BB">
        <w:rPr>
          <w:rFonts w:ascii="Arial Narrow" w:hAnsi="Arial Narrow" w:cs="Arial"/>
          <w:i/>
          <w:snapToGrid w:val="0"/>
          <w:sz w:val="18"/>
        </w:rPr>
        <w:t>s</w:t>
      </w:r>
      <w:r w:rsidRPr="0096285A">
        <w:rPr>
          <w:rFonts w:ascii="Arial Narrow" w:hAnsi="Arial Narrow" w:cs="Arial"/>
          <w:i/>
          <w:snapToGrid w:val="0"/>
          <w:sz w:val="18"/>
        </w:rPr>
        <w:t xml:space="preserve"> were updated based on MBS item </w:t>
      </w:r>
      <w:r w:rsidR="004B50BB">
        <w:rPr>
          <w:rFonts w:ascii="Arial Narrow" w:hAnsi="Arial Narrow" w:cs="Arial"/>
          <w:i/>
          <w:snapToGrid w:val="0"/>
          <w:sz w:val="18"/>
        </w:rPr>
        <w:t>fees</w:t>
      </w:r>
      <w:r w:rsidRPr="0096285A">
        <w:rPr>
          <w:rFonts w:ascii="Arial Narrow" w:hAnsi="Arial Narrow" w:cs="Arial"/>
          <w:i/>
          <w:snapToGrid w:val="0"/>
          <w:sz w:val="18"/>
        </w:rPr>
        <w:t xml:space="preserve"> from July 2020</w:t>
      </w:r>
    </w:p>
    <w:p w14:paraId="6A639990" w14:textId="77777777" w:rsidR="000801A7" w:rsidRPr="0096285A" w:rsidRDefault="000801A7" w:rsidP="000801A7">
      <w:pPr>
        <w:spacing w:after="240"/>
        <w:contextualSpacing/>
        <w:rPr>
          <w:rFonts w:ascii="Arial Narrow" w:hAnsi="Arial Narrow" w:cs="Arial"/>
          <w:snapToGrid w:val="0"/>
          <w:sz w:val="18"/>
        </w:rPr>
      </w:pPr>
      <w:r w:rsidRPr="0096285A">
        <w:rPr>
          <w:rFonts w:ascii="Arial Narrow" w:hAnsi="Arial Narrow" w:cs="Arial"/>
          <w:snapToGrid w:val="0"/>
          <w:sz w:val="18"/>
        </w:rPr>
        <w:t>Abbreviations: MBS = Medical Benefit Scheme; PBS = Pharmaceutical Benefits Scheme; RPBS = Repatriation Pharmaceutical Benefits Scheme.</w:t>
      </w:r>
    </w:p>
    <w:p w14:paraId="6E5B2527" w14:textId="77777777" w:rsidR="00643332" w:rsidRDefault="000801A7" w:rsidP="0054469D">
      <w:pPr>
        <w:spacing w:after="240"/>
        <w:contextualSpacing/>
        <w:rPr>
          <w:rFonts w:ascii="Arial Narrow" w:hAnsi="Arial Narrow" w:cs="Arial"/>
          <w:snapToGrid w:val="0"/>
          <w:sz w:val="18"/>
        </w:rPr>
      </w:pPr>
      <w:r w:rsidRPr="0096285A">
        <w:rPr>
          <w:rFonts w:ascii="Arial Narrow" w:hAnsi="Arial Narrow" w:cs="Arial"/>
          <w:snapToGrid w:val="0"/>
          <w:sz w:val="18"/>
        </w:rPr>
        <w:t>Source: Table 4-5, p274 and Table 4-23, p285 of the submission.</w:t>
      </w:r>
    </w:p>
    <w:p w14:paraId="0825FAF9" w14:textId="77777777" w:rsidR="00643332" w:rsidRDefault="00643332" w:rsidP="00643332">
      <w:pPr>
        <w:keepNext/>
        <w:snapToGrid w:val="0"/>
        <w:jc w:val="both"/>
        <w:rPr>
          <w:rFonts w:ascii="Arial Narrow" w:hAnsi="Arial Narrow" w:cs="Arial"/>
          <w:i/>
          <w:sz w:val="18"/>
          <w:szCs w:val="22"/>
        </w:rPr>
      </w:pPr>
      <w:r w:rsidRPr="00643332">
        <w:rPr>
          <w:rFonts w:ascii="Arial Narrow" w:hAnsi="Arial Narrow" w:cs="Arial"/>
          <w:i/>
          <w:sz w:val="18"/>
          <w:szCs w:val="22"/>
        </w:rPr>
        <w:t>The redacted values correspond to the following ranges:</w:t>
      </w:r>
    </w:p>
    <w:p w14:paraId="3419D675" w14:textId="77777777" w:rsidR="00643332" w:rsidRDefault="00643332" w:rsidP="00643332">
      <w:pPr>
        <w:keepNext/>
        <w:snapToGrid w:val="0"/>
        <w:jc w:val="both"/>
        <w:rPr>
          <w:rFonts w:ascii="Arial Narrow" w:hAnsi="Arial Narrow" w:cs="Arial"/>
          <w:i/>
          <w:sz w:val="18"/>
          <w:szCs w:val="22"/>
        </w:rPr>
      </w:pPr>
      <w:r>
        <w:rPr>
          <w:rFonts w:ascii="Arial Narrow" w:hAnsi="Arial Narrow" w:cs="Arial"/>
          <w:i/>
          <w:sz w:val="18"/>
          <w:szCs w:val="22"/>
          <w:vertAlign w:val="superscript"/>
        </w:rPr>
        <w:t xml:space="preserve">1 </w:t>
      </w:r>
      <w:r w:rsidRPr="00643332">
        <w:rPr>
          <w:rFonts w:ascii="Arial Narrow" w:hAnsi="Arial Narrow" w:cs="Arial"/>
          <w:i/>
          <w:sz w:val="18"/>
          <w:szCs w:val="22"/>
        </w:rPr>
        <w:t>&lt; 500</w:t>
      </w:r>
    </w:p>
    <w:p w14:paraId="5E452297" w14:textId="77777777" w:rsidR="00643332" w:rsidRPr="00643332" w:rsidRDefault="00643332" w:rsidP="00643332">
      <w:pPr>
        <w:keepNext/>
        <w:snapToGrid w:val="0"/>
        <w:jc w:val="both"/>
        <w:rPr>
          <w:rFonts w:ascii="Arial Narrow" w:hAnsi="Arial Narrow" w:cs="Arial"/>
          <w:i/>
          <w:color w:val="FF0000"/>
          <w:sz w:val="18"/>
          <w:szCs w:val="22"/>
        </w:rPr>
      </w:pPr>
      <w:r>
        <w:rPr>
          <w:rFonts w:ascii="Arial Narrow" w:hAnsi="Arial Narrow" w:cs="Arial"/>
          <w:i/>
          <w:sz w:val="18"/>
          <w:szCs w:val="22"/>
          <w:vertAlign w:val="superscript"/>
        </w:rPr>
        <w:t>2</w:t>
      </w:r>
      <w:r>
        <w:rPr>
          <w:rFonts w:ascii="Arial Narrow" w:hAnsi="Arial Narrow" w:cs="Arial"/>
          <w:i/>
          <w:sz w:val="18"/>
          <w:szCs w:val="22"/>
        </w:rPr>
        <w:t xml:space="preserve"> </w:t>
      </w:r>
      <w:r w:rsidRPr="00643332">
        <w:rPr>
          <w:rFonts w:ascii="Arial Narrow" w:hAnsi="Arial Narrow" w:cs="Arial"/>
          <w:i/>
          <w:sz w:val="18"/>
          <w:szCs w:val="22"/>
        </w:rPr>
        <w:t>$0 to &lt; $10 million</w:t>
      </w:r>
    </w:p>
    <w:p w14:paraId="3BE928FE" w14:textId="1258A914" w:rsidR="0054469D" w:rsidRDefault="0054469D" w:rsidP="0054469D">
      <w:pPr>
        <w:spacing w:after="240"/>
        <w:contextualSpacing/>
        <w:rPr>
          <w:rFonts w:ascii="Arial Narrow" w:hAnsi="Arial Narrow" w:cs="Arial"/>
          <w:snapToGrid w:val="0"/>
          <w:sz w:val="18"/>
        </w:rPr>
      </w:pPr>
      <w:r>
        <w:rPr>
          <w:rFonts w:ascii="Arial Narrow" w:hAnsi="Arial Narrow" w:cs="Arial"/>
          <w:snapToGrid w:val="0"/>
          <w:sz w:val="18"/>
        </w:rPr>
        <w:br w:type="page"/>
      </w:r>
    </w:p>
    <w:p w14:paraId="4FFE7C8E" w14:textId="18E6768E" w:rsidR="006A0D97" w:rsidRPr="00F715D1" w:rsidRDefault="006A0D97" w:rsidP="00F715D1">
      <w:pPr>
        <w:pStyle w:val="Heading1"/>
      </w:pPr>
      <w:r w:rsidRPr="00F715D1">
        <w:lastRenderedPageBreak/>
        <w:t>Key issues from ESC</w:t>
      </w:r>
      <w:r w:rsidR="005A79C0">
        <w:t>s</w:t>
      </w:r>
      <w:r w:rsidRPr="00F715D1">
        <w:t xml:space="preserve"> for MSAC</w:t>
      </w:r>
    </w:p>
    <w:tbl>
      <w:tblPr>
        <w:tblStyle w:val="TableGrid1"/>
        <w:tblW w:w="0" w:type="auto"/>
        <w:tblLook w:val="04A0" w:firstRow="1" w:lastRow="0" w:firstColumn="1" w:lastColumn="0" w:noHBand="0" w:noVBand="1"/>
        <w:tblDescription w:val="Key issues from ESC for MSAC consideration"/>
      </w:tblPr>
      <w:tblGrid>
        <w:gridCol w:w="1696"/>
        <w:gridCol w:w="7320"/>
      </w:tblGrid>
      <w:tr w:rsidR="00B712B4" w:rsidRPr="00B712B4" w14:paraId="6E6EC55D" w14:textId="77777777" w:rsidTr="0054469D">
        <w:trPr>
          <w:tblHeader/>
        </w:trPr>
        <w:tc>
          <w:tcPr>
            <w:tcW w:w="1696" w:type="dxa"/>
          </w:tcPr>
          <w:p w14:paraId="70FD37C3" w14:textId="77777777" w:rsidR="00B712B4" w:rsidRPr="00B712B4" w:rsidRDefault="00B712B4" w:rsidP="00B712B4">
            <w:pPr>
              <w:spacing w:before="40" w:after="40" w:line="256" w:lineRule="auto"/>
              <w:rPr>
                <w:rFonts w:ascii="Arial Narrow" w:hAnsi="Arial Narrow"/>
                <w:b/>
                <w:sz w:val="20"/>
              </w:rPr>
            </w:pPr>
            <w:r w:rsidRPr="00B712B4">
              <w:rPr>
                <w:rFonts w:ascii="Arial Narrow" w:hAnsi="Arial Narrow"/>
                <w:b/>
                <w:sz w:val="20"/>
              </w:rPr>
              <w:t>ESCs key issue</w:t>
            </w:r>
          </w:p>
        </w:tc>
        <w:tc>
          <w:tcPr>
            <w:tcW w:w="7320" w:type="dxa"/>
          </w:tcPr>
          <w:p w14:paraId="3D512E6C" w14:textId="77777777" w:rsidR="00B712B4" w:rsidRPr="00B712B4" w:rsidRDefault="00B712B4" w:rsidP="00B712B4">
            <w:pPr>
              <w:spacing w:before="40" w:after="40" w:line="256" w:lineRule="auto"/>
              <w:rPr>
                <w:rFonts w:ascii="Arial Narrow" w:hAnsi="Arial Narrow"/>
                <w:b/>
                <w:sz w:val="20"/>
              </w:rPr>
            </w:pPr>
            <w:r w:rsidRPr="00B712B4">
              <w:rPr>
                <w:rFonts w:ascii="Arial Narrow" w:hAnsi="Arial Narrow"/>
                <w:b/>
                <w:sz w:val="20"/>
              </w:rPr>
              <w:t>ESCs advice to MSAC</w:t>
            </w:r>
          </w:p>
        </w:tc>
      </w:tr>
      <w:tr w:rsidR="00B712B4" w:rsidRPr="00B712B4" w14:paraId="7956DFBE" w14:textId="77777777" w:rsidTr="00AF5486">
        <w:tc>
          <w:tcPr>
            <w:tcW w:w="1696" w:type="dxa"/>
            <w:shd w:val="clear" w:color="auto" w:fill="auto"/>
          </w:tcPr>
          <w:p w14:paraId="2A9682B6" w14:textId="77777777" w:rsidR="00B712B4" w:rsidRPr="00B712B4" w:rsidRDefault="00B712B4" w:rsidP="00B712B4">
            <w:pPr>
              <w:spacing w:before="40" w:after="40" w:line="256" w:lineRule="auto"/>
              <w:rPr>
                <w:rFonts w:ascii="Arial Narrow" w:hAnsi="Arial Narrow"/>
                <w:sz w:val="20"/>
              </w:rPr>
            </w:pPr>
            <w:r w:rsidRPr="00B712B4">
              <w:rPr>
                <w:rFonts w:ascii="Arial Narrow" w:hAnsi="Arial Narrow"/>
                <w:sz w:val="20"/>
              </w:rPr>
              <w:t>Concordance with evidentiary standard</w:t>
            </w:r>
          </w:p>
        </w:tc>
        <w:tc>
          <w:tcPr>
            <w:tcW w:w="7320" w:type="dxa"/>
            <w:shd w:val="clear" w:color="auto" w:fill="auto"/>
          </w:tcPr>
          <w:p w14:paraId="6B2158C1" w14:textId="100AE616" w:rsidR="00B712B4" w:rsidRPr="00B712B4" w:rsidRDefault="00B712B4" w:rsidP="00B712B4">
            <w:pPr>
              <w:spacing w:before="40" w:after="40" w:line="256" w:lineRule="auto"/>
              <w:rPr>
                <w:rFonts w:ascii="Arial Narrow" w:hAnsi="Arial Narrow"/>
                <w:sz w:val="20"/>
              </w:rPr>
            </w:pPr>
            <w:r w:rsidRPr="00B712B4">
              <w:rPr>
                <w:rFonts w:ascii="Arial Narrow" w:hAnsi="Arial Narrow"/>
                <w:sz w:val="20"/>
              </w:rPr>
              <w:t xml:space="preserve">The ESCs considered the evidence presented showed high concordance between testing methods and the submission’s proposed evidentiary standard – the therascreen® real time polymerase chain reaction companion diagnostic (RT-PCR-CDx). The ESCs noted that the therascreen® RT-PCR-CDx was not technically the evidentiary standard as it was not used to identify </w:t>
            </w:r>
            <w:r w:rsidRPr="00B712B4">
              <w:rPr>
                <w:rFonts w:ascii="Arial Narrow" w:hAnsi="Arial Narrow"/>
                <w:i/>
                <w:sz w:val="20"/>
              </w:rPr>
              <w:t xml:space="preserve">BRAF </w:t>
            </w:r>
            <w:r w:rsidR="00965823" w:rsidRPr="00965823">
              <w:rPr>
                <w:rFonts w:ascii="Arial Narrow" w:hAnsi="Arial Narrow"/>
                <w:sz w:val="20"/>
              </w:rPr>
              <w:t>V600E</w:t>
            </w:r>
            <w:r w:rsidRPr="00B712B4">
              <w:rPr>
                <w:rFonts w:ascii="Arial Narrow" w:hAnsi="Arial Narrow"/>
                <w:sz w:val="20"/>
              </w:rPr>
              <w:t xml:space="preserve"> variants in the BEACON trial. However the bridging study presented in the submission demonstrated that the therascreen® RT-PCR-CDx test classified very few patients differently to the test used in the clinical trial.</w:t>
            </w:r>
          </w:p>
        </w:tc>
      </w:tr>
      <w:tr w:rsidR="00B712B4" w:rsidRPr="00B712B4" w14:paraId="25629078" w14:textId="77777777" w:rsidTr="00AF5486">
        <w:tc>
          <w:tcPr>
            <w:tcW w:w="1696" w:type="dxa"/>
            <w:shd w:val="clear" w:color="auto" w:fill="auto"/>
          </w:tcPr>
          <w:p w14:paraId="14D27124" w14:textId="77777777" w:rsidR="00B712B4" w:rsidRPr="00B712B4" w:rsidRDefault="00B712B4" w:rsidP="00B712B4">
            <w:pPr>
              <w:spacing w:before="40" w:after="40" w:line="256" w:lineRule="auto"/>
              <w:rPr>
                <w:rFonts w:ascii="Arial Narrow" w:hAnsi="Arial Narrow"/>
                <w:sz w:val="20"/>
              </w:rPr>
            </w:pPr>
            <w:r w:rsidRPr="00B712B4">
              <w:rPr>
                <w:rFonts w:ascii="Arial Narrow" w:hAnsi="Arial Narrow"/>
                <w:sz w:val="20"/>
              </w:rPr>
              <w:t>Codependency</w:t>
            </w:r>
          </w:p>
        </w:tc>
        <w:tc>
          <w:tcPr>
            <w:tcW w:w="7320" w:type="dxa"/>
            <w:shd w:val="clear" w:color="auto" w:fill="auto"/>
          </w:tcPr>
          <w:p w14:paraId="684B21F5" w14:textId="2018C2C0" w:rsidR="00B712B4" w:rsidRPr="00B712B4" w:rsidRDefault="00B712B4" w:rsidP="00B712B4">
            <w:pPr>
              <w:spacing w:before="40" w:after="40" w:line="256" w:lineRule="auto"/>
              <w:rPr>
                <w:rFonts w:ascii="Arial Narrow" w:hAnsi="Arial Narrow"/>
                <w:sz w:val="20"/>
              </w:rPr>
            </w:pPr>
            <w:r w:rsidRPr="00B712B4">
              <w:rPr>
                <w:rFonts w:ascii="Arial Narrow" w:hAnsi="Arial Narrow"/>
                <w:sz w:val="20"/>
              </w:rPr>
              <w:t xml:space="preserve">The ESCs noted the rationale for codependency was based on biological plausibility as there was no direct evidence that that </w:t>
            </w:r>
            <w:r w:rsidRPr="00B712B4">
              <w:rPr>
                <w:rFonts w:ascii="Arial Narrow" w:hAnsi="Arial Narrow"/>
                <w:i/>
                <w:sz w:val="20"/>
              </w:rPr>
              <w:t xml:space="preserve">BRAF </w:t>
            </w:r>
            <w:r w:rsidR="00965823" w:rsidRPr="00965823">
              <w:rPr>
                <w:rFonts w:ascii="Arial Narrow" w:hAnsi="Arial Narrow"/>
                <w:sz w:val="20"/>
              </w:rPr>
              <w:t>V600E</w:t>
            </w:r>
            <w:r w:rsidRPr="00B712B4">
              <w:rPr>
                <w:rFonts w:ascii="Arial Narrow" w:hAnsi="Arial Narrow"/>
                <w:sz w:val="20"/>
              </w:rPr>
              <w:t xml:space="preserve"> status is a treatment effect modifier. The ESCs considered it was reasonable to assume there would be minimal effect for </w:t>
            </w:r>
            <w:r w:rsidRPr="00B712B4">
              <w:rPr>
                <w:rFonts w:ascii="Arial Narrow" w:hAnsi="Arial Narrow"/>
                <w:i/>
                <w:sz w:val="20"/>
              </w:rPr>
              <w:t>BRAF</w:t>
            </w:r>
            <w:r w:rsidRPr="00B712B4">
              <w:rPr>
                <w:rFonts w:ascii="Arial Narrow" w:hAnsi="Arial Narrow"/>
                <w:sz w:val="20"/>
              </w:rPr>
              <w:t xml:space="preserve"> wild-type tumours based on biological plausibility and some preclinical data.</w:t>
            </w:r>
          </w:p>
        </w:tc>
      </w:tr>
    </w:tbl>
    <w:p w14:paraId="514D049D" w14:textId="3D502F9F" w:rsidR="006A0D97" w:rsidRDefault="00F56D7F" w:rsidP="004B50BB">
      <w:pPr>
        <w:spacing w:before="240" w:after="240"/>
        <w:rPr>
          <w:b/>
        </w:rPr>
      </w:pPr>
      <w:r w:rsidRPr="00F56D7F">
        <w:rPr>
          <w:b/>
        </w:rPr>
        <w:t>ESC</w:t>
      </w:r>
      <w:r w:rsidR="005A79C0">
        <w:rPr>
          <w:b/>
        </w:rPr>
        <w:t>s</w:t>
      </w:r>
      <w:r w:rsidRPr="00F56D7F">
        <w:rPr>
          <w:b/>
        </w:rPr>
        <w:t xml:space="preserve"> discussion</w:t>
      </w:r>
    </w:p>
    <w:p w14:paraId="12B6DDA5" w14:textId="4496F8FD" w:rsidR="00B712B4" w:rsidRPr="00B712B4" w:rsidRDefault="00B712B4" w:rsidP="00B712B4">
      <w:r w:rsidRPr="00B712B4">
        <w:t xml:space="preserve">The ESCs noted that the submission sought to include testing for the </w:t>
      </w:r>
      <w:r w:rsidR="00965823" w:rsidRPr="00965823">
        <w:t>V600E</w:t>
      </w:r>
      <w:r w:rsidRPr="00B712B4">
        <w:t xml:space="preserve"> pathogenic genetic variant of the </w:t>
      </w:r>
      <w:r w:rsidRPr="00B712B4">
        <w:rPr>
          <w:i/>
        </w:rPr>
        <w:t>BRAF</w:t>
      </w:r>
      <w:r w:rsidRPr="00B712B4">
        <w:t xml:space="preserve"> gene into the existing MBS item 73338 (</w:t>
      </w:r>
      <w:r w:rsidRPr="00B712B4">
        <w:rPr>
          <w:i/>
        </w:rPr>
        <w:t xml:space="preserve">RAS </w:t>
      </w:r>
      <w:r w:rsidRPr="00B712B4">
        <w:t xml:space="preserve">testing in metastatic colorectal cancer (mCRC)) to determine eligibility for treatment with encorafenib in combination with an epidermal growth factor receptor (EGFR) inhibitor such as cetuximab. The ESCs noted that no change in the existing MBS fee was proposed as the submission claimed </w:t>
      </w:r>
      <w:r w:rsidRPr="00B712B4">
        <w:rPr>
          <w:i/>
        </w:rPr>
        <w:t xml:space="preserve">BRAF </w:t>
      </w:r>
      <w:r w:rsidR="00965823" w:rsidRPr="00965823">
        <w:t>V600E</w:t>
      </w:r>
      <w:r w:rsidRPr="00B712B4">
        <w:t xml:space="preserve"> testing was already conducted alongside </w:t>
      </w:r>
      <w:r w:rsidRPr="00B712B4">
        <w:rPr>
          <w:i/>
        </w:rPr>
        <w:t>RAS</w:t>
      </w:r>
      <w:r w:rsidRPr="00B712B4">
        <w:t xml:space="preserve"> testing using existing panel testing approaches.</w:t>
      </w:r>
    </w:p>
    <w:p w14:paraId="1BD975F5" w14:textId="1A4AF1B8" w:rsidR="00B712B4" w:rsidRPr="00B712B4" w:rsidRDefault="00B712B4" w:rsidP="0054469D">
      <w:pPr>
        <w:spacing w:before="240"/>
      </w:pPr>
      <w:r w:rsidRPr="00B712B4">
        <w:t xml:space="preserve">From a consumer perspective, the ESCs noted that access to testing may be more difficult for patients in rural and remote </w:t>
      </w:r>
      <w:r w:rsidRPr="00B712B4">
        <w:rPr>
          <w:szCs w:val="24"/>
        </w:rPr>
        <w:t>areas</w:t>
      </w:r>
      <w:r w:rsidRPr="00B712B4">
        <w:rPr>
          <w:rFonts w:eastAsia="Calibri"/>
          <w:szCs w:val="24"/>
          <w:lang w:eastAsia="en-US"/>
        </w:rPr>
        <w:t xml:space="preserve"> and </w:t>
      </w:r>
      <w:r w:rsidRPr="00B712B4">
        <w:rPr>
          <w:szCs w:val="24"/>
        </w:rPr>
        <w:t>a lack of data from patient-reported outcome and experience measures. The ESCs</w:t>
      </w:r>
      <w:r w:rsidRPr="00B712B4">
        <w:t xml:space="preserve"> also noted that the cost of genetic testing is expected to decrease over time and it may be appropriate to review MBS fees in the future.</w:t>
      </w:r>
    </w:p>
    <w:p w14:paraId="0AC0A7C0" w14:textId="0F516CA5" w:rsidR="00B712B4" w:rsidRPr="00B712B4" w:rsidRDefault="00B712B4" w:rsidP="0054469D">
      <w:pPr>
        <w:spacing w:before="240"/>
      </w:pPr>
      <w:r w:rsidRPr="00B712B4">
        <w:t xml:space="preserve">The ESCs noted that the comparator for </w:t>
      </w:r>
      <w:r w:rsidRPr="00B712B4">
        <w:rPr>
          <w:i/>
        </w:rPr>
        <w:t xml:space="preserve">BRAF </w:t>
      </w:r>
      <w:r w:rsidRPr="007C3B31">
        <w:t>V600</w:t>
      </w:r>
      <w:r w:rsidRPr="00965823">
        <w:t xml:space="preserve"> </w:t>
      </w:r>
      <w:r w:rsidRPr="00B712B4">
        <w:t>testing was is MBS item 73338 with its current item descriptor (</w:t>
      </w:r>
      <w:r w:rsidRPr="00B712B4">
        <w:rPr>
          <w:i/>
        </w:rPr>
        <w:t xml:space="preserve">RAS </w:t>
      </w:r>
      <w:r w:rsidRPr="00B712B4">
        <w:t xml:space="preserve">testing only). The comparator for encorafenib + EGFR inhibitor (cetuximab) was FOLFIRI (folinic acid/fluorouracil/irinotecan) + an EGFR (cetuximab). The ESCs noted that FOLFIRI and cetuximab is generally not used for patients with the pathogenic </w:t>
      </w:r>
      <w:r w:rsidRPr="00B712B4">
        <w:rPr>
          <w:i/>
        </w:rPr>
        <w:t xml:space="preserve">BRAF </w:t>
      </w:r>
      <w:r w:rsidR="00965823" w:rsidRPr="00965823">
        <w:t>V600E</w:t>
      </w:r>
      <w:r w:rsidRPr="00B712B4">
        <w:t xml:space="preserve"> variant.</w:t>
      </w:r>
    </w:p>
    <w:p w14:paraId="657FAFB1" w14:textId="3C79D62D" w:rsidR="00B712B4" w:rsidRPr="00B712B4" w:rsidRDefault="00B712B4" w:rsidP="0054469D">
      <w:pPr>
        <w:spacing w:before="240"/>
      </w:pPr>
      <w:r w:rsidRPr="00B712B4">
        <w:t xml:space="preserve">The ESCs noted that the rationale for codependency was based on biological plausibility as the BEACON trial only enrolled patients with the </w:t>
      </w:r>
      <w:r w:rsidR="00965823" w:rsidRPr="00965823">
        <w:t>V600E</w:t>
      </w:r>
      <w:r w:rsidRPr="00B712B4">
        <w:t xml:space="preserve"> pathogenic variant of the </w:t>
      </w:r>
      <w:r w:rsidRPr="00B712B4">
        <w:rPr>
          <w:i/>
        </w:rPr>
        <w:t xml:space="preserve">BRAF </w:t>
      </w:r>
      <w:r w:rsidRPr="00B712B4">
        <w:t xml:space="preserve">gene. The ESCs noted that biological plausibility was supported by preclinical studies showing a combined inhibition of BRAF and EGFR receptors results in a synergistic inhibition of tumour growth in </w:t>
      </w:r>
      <w:r w:rsidRPr="00B712B4">
        <w:rPr>
          <w:i/>
        </w:rPr>
        <w:t xml:space="preserve">BRAF </w:t>
      </w:r>
      <w:r w:rsidR="00965823" w:rsidRPr="00965823">
        <w:t>V600E</w:t>
      </w:r>
      <w:r w:rsidRPr="00B712B4">
        <w:t xml:space="preserve"> human tissue xenograft models grown in nude mice.</w:t>
      </w:r>
    </w:p>
    <w:p w14:paraId="5A3129E6" w14:textId="56CEFFE4" w:rsidR="00B712B4" w:rsidRPr="00B712B4" w:rsidRDefault="00B712B4" w:rsidP="0054469D">
      <w:pPr>
        <w:spacing w:before="240"/>
      </w:pPr>
      <w:r w:rsidRPr="00B712B4">
        <w:t xml:space="preserve">The ESCs noted there that was consistent evidence showing that patients with a </w:t>
      </w:r>
      <w:r w:rsidRPr="00B712B4">
        <w:rPr>
          <w:i/>
        </w:rPr>
        <w:t xml:space="preserve">BRAF </w:t>
      </w:r>
      <w:r w:rsidR="00965823" w:rsidRPr="00965823">
        <w:t>V600E</w:t>
      </w:r>
      <w:r w:rsidRPr="00B712B4">
        <w:t xml:space="preserve"> variant have a poorer prognosis than patients without a </w:t>
      </w:r>
      <w:r w:rsidRPr="00B712B4">
        <w:rPr>
          <w:i/>
        </w:rPr>
        <w:t xml:space="preserve">BRAF </w:t>
      </w:r>
      <w:r w:rsidRPr="007C3B31">
        <w:t>V600</w:t>
      </w:r>
      <w:r w:rsidRPr="00B712B4">
        <w:t xml:space="preserve"> variant. The ESCs noted that these studies of prognosis varied in study design, patient population, testing methods and assessment of potential confounders.</w:t>
      </w:r>
    </w:p>
    <w:p w14:paraId="35C30042" w14:textId="26F937A7" w:rsidR="00B712B4" w:rsidRPr="00B712B4" w:rsidRDefault="00B712B4" w:rsidP="0054469D">
      <w:pPr>
        <w:spacing w:before="240"/>
      </w:pPr>
      <w:r w:rsidRPr="00B712B4">
        <w:t xml:space="preserve">The ESCs noted that no reference standard was identified. MSAC noted that Sanger sequencing with confirmatory pyrosequencing was proposed as the reference standard testing of all </w:t>
      </w:r>
      <w:r w:rsidRPr="00B712B4">
        <w:rPr>
          <w:i/>
        </w:rPr>
        <w:t xml:space="preserve">BRAF </w:t>
      </w:r>
      <w:r w:rsidRPr="007C3B31">
        <w:t>V600</w:t>
      </w:r>
      <w:r w:rsidRPr="00965823">
        <w:t xml:space="preserve"> </w:t>
      </w:r>
      <w:r w:rsidRPr="00B712B4">
        <w:t xml:space="preserve">variants (rather than </w:t>
      </w:r>
      <w:r w:rsidRPr="00B712B4">
        <w:rPr>
          <w:i/>
        </w:rPr>
        <w:t xml:space="preserve">BRAF </w:t>
      </w:r>
      <w:r w:rsidR="00965823" w:rsidRPr="00965823">
        <w:t>V600E</w:t>
      </w:r>
      <w:r w:rsidRPr="00B712B4">
        <w:t xml:space="preserve">) in melanoma (p3, </w:t>
      </w:r>
      <w:hyperlink r:id="rId17" w:history="1">
        <w:r w:rsidRPr="00B712B4">
          <w:rPr>
            <w:color w:val="0000FF"/>
            <w:u w:val="single"/>
          </w:rPr>
          <w:t>Application 1172 Public Summary Document [PSD]</w:t>
        </w:r>
      </w:hyperlink>
      <w:r w:rsidRPr="00B712B4">
        <w:t>). The ESCs noted that the clinical claims were based on the evidentiary standard.</w:t>
      </w:r>
    </w:p>
    <w:p w14:paraId="7F4D0FF5" w14:textId="67E80535" w:rsidR="00B712B4" w:rsidRPr="00B712B4" w:rsidRDefault="00B712B4" w:rsidP="00B712B4">
      <w:r w:rsidRPr="00B712B4">
        <w:lastRenderedPageBreak/>
        <w:t xml:space="preserve">The ESCs noted that patients entering the trial could undergo </w:t>
      </w:r>
      <w:r w:rsidRPr="00B712B4">
        <w:rPr>
          <w:i/>
        </w:rPr>
        <w:t xml:space="preserve">BRAF </w:t>
      </w:r>
      <w:r w:rsidR="00965823" w:rsidRPr="00965823">
        <w:t>V600E</w:t>
      </w:r>
      <w:r w:rsidRPr="00B712B4">
        <w:t xml:space="preserve"> testing using either the central test using the therascreen® pyrosequencing test (RT-PCR-CTA) or local testing that was next generation sequencing (NGS)-based or polymerase chain reaction (PCR)-based. Local testing was confirmed using the central test. The ESCs noted that the submission presented a bridging study that compared the central test with the submission’s proposed evidentiary standard therascreen® real time (RT) polymerase chain reaction (PCR) companion diagnostic (RT-PCR-CDx) which contains software design changes to the central test (RT-PCR-CTA). The ESCs noted the Commentary did not accept the therascreen® RT-PCR-CDx test as the evidentiary standard as it was not the test used to identify patients with the </w:t>
      </w:r>
      <w:r w:rsidRPr="00B712B4">
        <w:rPr>
          <w:i/>
        </w:rPr>
        <w:t xml:space="preserve">BRAF </w:t>
      </w:r>
      <w:r w:rsidR="00965823" w:rsidRPr="00965823">
        <w:t>V600E</w:t>
      </w:r>
      <w:r w:rsidRPr="00B712B4">
        <w:t xml:space="preserve"> variant in the trial. The ESCs agreed that this was technically true but agreed with the pre-ESCs response that the therascreen® RT-PCR-CDx test classified very few patients differently to the RT-PCR-CTA.</w:t>
      </w:r>
    </w:p>
    <w:p w14:paraId="64A0137C" w14:textId="74EB0C65" w:rsidR="00B712B4" w:rsidRPr="00B712B4" w:rsidRDefault="00B712B4" w:rsidP="0054469D">
      <w:pPr>
        <w:spacing w:before="240"/>
      </w:pPr>
      <w:r w:rsidRPr="00B712B4">
        <w:t xml:space="preserve">The ESCs noted that the submission had presented analytical performance studies that reported concordance between RT-PCR-CDx and other test options available in Australia (Table 6). The ESCs highlighted the nested case control study reported by the FDA (part of the BEACON bridging study), which used samples consecutively enrolled on the date of sampling to minimise bias. This study reported higher proportions of indeterminate results with Sanger sequencing than with RT-PCR-CDx (of the 600 included samples, 79 (13%) were indeterminate with RT-PCR-CDx and 136 samples (23%) were indeterminate by Sanger sequencing), and lower positivity rate with Sanger sequencing than RT-PCR-CDx (of the 192 positive samples identified by Sanger sequencing, all were identified as positive by RT-PCR-CDx; an additional 20 samples identified as positive using the RT-PCR-CDx were identified as having no pathogenic variant on Sanger sequencing). This implies that Sanger sequencing may be more conservative in identifying the pathogenic variant than RT-PCR-CDx, and than the evidentiary standard RT-PCR-CTA. However, the ESCs noted that overall positive agreement across this and the other studies was greater than 95%. The ESCs further noted that </w:t>
      </w:r>
      <w:r w:rsidRPr="00B712B4">
        <w:rPr>
          <w:i/>
        </w:rPr>
        <w:t xml:space="preserve">BRAF </w:t>
      </w:r>
      <w:r w:rsidR="00965823" w:rsidRPr="00965823">
        <w:t>V600E</w:t>
      </w:r>
      <w:r w:rsidRPr="00B712B4">
        <w:t xml:space="preserve"> testing is already reimbursed for patients with melanoma and agreed with the pre-ESCs response that that testing should not be limited to a particular methodology. The ESCs also considered that testing may be done sequentially, with </w:t>
      </w:r>
      <w:r w:rsidRPr="00B712B4">
        <w:rPr>
          <w:i/>
        </w:rPr>
        <w:t xml:space="preserve">BRAF </w:t>
      </w:r>
      <w:r w:rsidR="00965823" w:rsidRPr="00965823">
        <w:t>V600E</w:t>
      </w:r>
      <w:r w:rsidRPr="00B712B4">
        <w:t xml:space="preserve"> testing only performed in patients where </w:t>
      </w:r>
      <w:r w:rsidRPr="00B712B4">
        <w:rPr>
          <w:i/>
        </w:rPr>
        <w:t xml:space="preserve">RAS </w:t>
      </w:r>
      <w:r w:rsidRPr="00B712B4">
        <w:t>pathogenic variants have not been identified, but it would not be necessary to require this. The ESCs did not express a view on whether the item should also be restricted to once per cancer diagnosis.</w:t>
      </w:r>
    </w:p>
    <w:p w14:paraId="7DCBC9D0" w14:textId="552EE3EB" w:rsidR="00B712B4" w:rsidRPr="00B712B4" w:rsidRDefault="00B712B4" w:rsidP="0054469D">
      <w:pPr>
        <w:spacing w:before="240"/>
      </w:pPr>
      <w:r w:rsidRPr="00B712B4">
        <w:t xml:space="preserve">The ESCs noted the National Pathology Accreditation Advisory Council advice that </w:t>
      </w:r>
      <w:r w:rsidRPr="00B712B4">
        <w:rPr>
          <w:i/>
        </w:rPr>
        <w:t xml:space="preserve">BRAF </w:t>
      </w:r>
      <w:r w:rsidR="00965823" w:rsidRPr="00965823">
        <w:t>V600E</w:t>
      </w:r>
      <w:r w:rsidRPr="00B712B4">
        <w:t xml:space="preserve"> testing is already established in a number of laboratories in Australia and that an external quality assurance program is available through the Royal College of Pathologists of Australasia Quality Assurance Program P/L.</w:t>
      </w:r>
    </w:p>
    <w:p w14:paraId="379065DD" w14:textId="3A011B45" w:rsidR="00B712B4" w:rsidRPr="00B712B4" w:rsidRDefault="00B712B4" w:rsidP="0054469D">
      <w:pPr>
        <w:spacing w:before="240"/>
      </w:pPr>
      <w:r w:rsidRPr="00B712B4">
        <w:t>The ESCs noted that although the BEACON trial compared the efficacy of encorafenib with cetuximab, it may be reasonable to patients to have to option to use encorafenib in combination with panitumumab</w:t>
      </w:r>
      <w:r w:rsidRPr="00257DDA">
        <w:t xml:space="preserve">. </w:t>
      </w:r>
      <w:r w:rsidRPr="00382EF1">
        <w:t>The</w:t>
      </w:r>
      <w:r w:rsidRPr="00257DDA">
        <w:t xml:space="preserve"> ESCs noted the absolute median difference in overall survival of </w:t>
      </w:r>
      <w:r w:rsidR="00860339" w:rsidRPr="00860339">
        <w:t>redacted</w:t>
      </w:r>
      <w:r w:rsidR="00954BCF" w:rsidRPr="00954BCF">
        <w:t> </w:t>
      </w:r>
      <w:r w:rsidR="00954BCF" w:rsidRPr="00860339">
        <w:rPr>
          <w:rStyle w:val="FootnoteReference"/>
        </w:rPr>
        <w:footnoteReference w:id="8"/>
      </w:r>
      <w:r w:rsidRPr="00257DDA">
        <w:t xml:space="preserve"> months was small.</w:t>
      </w:r>
    </w:p>
    <w:p w14:paraId="64F7D19D" w14:textId="707A44CE" w:rsidR="00B712B4" w:rsidRPr="00B712B4" w:rsidRDefault="00B712B4" w:rsidP="0054469D">
      <w:pPr>
        <w:spacing w:before="240"/>
      </w:pPr>
      <w:r w:rsidRPr="00B712B4">
        <w:t>The ESCs noted that the economic evaluation was a partitioned survival model where entry into the model was at the point of primary treatment and not at the point of testing.</w:t>
      </w:r>
    </w:p>
    <w:p w14:paraId="0945F363" w14:textId="552CF29D" w:rsidR="00B712B4" w:rsidRPr="00B712B4" w:rsidRDefault="00B712B4" w:rsidP="0054469D">
      <w:pPr>
        <w:spacing w:before="240"/>
      </w:pPr>
      <w:r w:rsidRPr="00B712B4">
        <w:t xml:space="preserve">The ESCs noted that a sensitivity analysis performed by the Commentary showed that test discordance of 5% had little impact on the ICER. The ESCs considered that the assumption of 5% discordance was at the higher end of likely values based on the clinical evidence and </w:t>
      </w:r>
      <w:r w:rsidRPr="00B712B4">
        <w:lastRenderedPageBreak/>
        <w:t>therefore represented worst-case assumption. Overall, the ESCs considered that there were no significant economic issues for MSAC’s consideration.</w:t>
      </w:r>
    </w:p>
    <w:p w14:paraId="4293BE90" w14:textId="18827304" w:rsidR="00B712B4" w:rsidRPr="00B712B4" w:rsidRDefault="00B712B4" w:rsidP="00B712B4">
      <w:r w:rsidRPr="00B712B4">
        <w:t>The ESCs noted that there is no anticipated financial impact to the MBS as there is no proposed change to the fee and the proposed change is unlikely to affect uptake of the item. The ESCs noted the estimated reduction in treatment regimens replaced may not be appropriate and that any changes to the estimates of utilisation of these regimens on the PBS would need to be reflected in these estimates.</w:t>
      </w:r>
    </w:p>
    <w:p w14:paraId="3902604C" w14:textId="77777777" w:rsidR="00D90A38" w:rsidRPr="00F715D1" w:rsidRDefault="00BC1364" w:rsidP="00F715D1">
      <w:pPr>
        <w:pStyle w:val="Heading1"/>
      </w:pPr>
      <w:r w:rsidRPr="00F715D1">
        <w:t>Other significant factors</w:t>
      </w:r>
    </w:p>
    <w:p w14:paraId="2B35101D" w14:textId="77777777" w:rsidR="00BC1364" w:rsidRPr="00656CCF" w:rsidRDefault="00BC1364" w:rsidP="00F715D1">
      <w:pPr>
        <w:spacing w:after="240"/>
        <w:rPr>
          <w:szCs w:val="24"/>
        </w:rPr>
      </w:pPr>
      <w:r w:rsidRPr="00656CCF">
        <w:rPr>
          <w:szCs w:val="24"/>
        </w:rPr>
        <w:t>Nil</w:t>
      </w:r>
    </w:p>
    <w:p w14:paraId="2DB7ED78" w14:textId="77777777" w:rsidR="00BC1364" w:rsidRPr="00F715D1" w:rsidRDefault="00C06B0B" w:rsidP="00F715D1">
      <w:pPr>
        <w:pStyle w:val="Heading1"/>
      </w:pPr>
      <w:r>
        <w:t>Applicant</w:t>
      </w:r>
      <w:r w:rsidR="00BC1364" w:rsidRPr="00F715D1">
        <w:t xml:space="preserve"> comments on MSAC’s </w:t>
      </w:r>
      <w:r w:rsidR="00DA56AA" w:rsidRPr="00F715D1">
        <w:t>Public Summary Document</w:t>
      </w:r>
    </w:p>
    <w:p w14:paraId="041DF2A2" w14:textId="2EF810FD" w:rsidR="00BC1364" w:rsidRPr="005A4362" w:rsidRDefault="003F35F1" w:rsidP="00F715D1">
      <w:pPr>
        <w:spacing w:after="240"/>
        <w:rPr>
          <w:color w:val="00B0F0"/>
          <w:szCs w:val="24"/>
        </w:rPr>
      </w:pPr>
      <w:r w:rsidRPr="00860339">
        <w:rPr>
          <w:szCs w:val="24"/>
        </w:rPr>
        <w:t xml:space="preserve">Pierre Fabre welcome the opportunity to work with MSAC and PBAC to enable reimbursed access to BRAF V600 testing and Braftovi (encorafenib) for Australian patients with BRAF V600E variant metastatic colorectal cancer. </w:t>
      </w:r>
    </w:p>
    <w:p w14:paraId="0BF1E2C2" w14:textId="77777777" w:rsidR="00BC1364" w:rsidRPr="00F715D1" w:rsidRDefault="00271F18" w:rsidP="00F715D1">
      <w:pPr>
        <w:pStyle w:val="Heading1"/>
      </w:pPr>
      <w:r w:rsidRPr="00F715D1">
        <w:t>Further information on MSAC</w:t>
      </w:r>
    </w:p>
    <w:p w14:paraId="5994DEE7"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8" w:tooltip="Link to Medical Services Advisory Committee website" w:history="1">
        <w:r w:rsidR="00BC2667" w:rsidRPr="00F715D1">
          <w:rPr>
            <w:rStyle w:val="Hyperlink"/>
            <w:szCs w:val="24"/>
          </w:rPr>
          <w:t>visit the MSAC website</w:t>
        </w:r>
      </w:hyperlink>
    </w:p>
    <w:sectPr w:rsidR="00BC1364" w:rsidRPr="00F715D1" w:rsidSect="00271F18">
      <w:footerReference w:type="default" r:id="rId19"/>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72A2E" w14:textId="77777777" w:rsidR="009835BB" w:rsidRDefault="009835BB" w:rsidP="00065623">
      <w:r>
        <w:separator/>
      </w:r>
    </w:p>
  </w:endnote>
  <w:endnote w:type="continuationSeparator" w:id="0">
    <w:p w14:paraId="0A3AE162" w14:textId="77777777" w:rsidR="009835BB" w:rsidRDefault="009835BB"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altName w:val="﷽﷽﷽﷽﷽﷽﷽﷽ތ"/>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3507969"/>
      <w:docPartObj>
        <w:docPartGallery w:val="Page Numbers (Bottom of Page)"/>
        <w:docPartUnique/>
      </w:docPartObj>
    </w:sdtPr>
    <w:sdtEndPr>
      <w:rPr>
        <w:noProof/>
      </w:rPr>
    </w:sdtEndPr>
    <w:sdtContent>
      <w:p w14:paraId="51F9CEF5" w14:textId="61422E0E" w:rsidR="009835BB" w:rsidRDefault="009835BB">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7785730E" w14:textId="77777777" w:rsidR="009835BB" w:rsidRDefault="00983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181F2" w14:textId="77777777" w:rsidR="009835BB" w:rsidRDefault="009835BB" w:rsidP="00065623">
      <w:r>
        <w:separator/>
      </w:r>
    </w:p>
  </w:footnote>
  <w:footnote w:type="continuationSeparator" w:id="0">
    <w:p w14:paraId="2E960F45" w14:textId="77777777" w:rsidR="009835BB" w:rsidRDefault="009835BB" w:rsidP="00065623">
      <w:r>
        <w:continuationSeparator/>
      </w:r>
    </w:p>
  </w:footnote>
  <w:footnote w:id="1">
    <w:p w14:paraId="173CD138" w14:textId="03B60A83" w:rsidR="009835BB" w:rsidRDefault="009835BB">
      <w:pPr>
        <w:pStyle w:val="FootnoteText"/>
      </w:pPr>
      <w:r>
        <w:rPr>
          <w:rStyle w:val="FootnoteReference"/>
        </w:rPr>
        <w:footnoteRef/>
      </w:r>
      <w:r>
        <w:t xml:space="preserve"> </w:t>
      </w:r>
      <w:r w:rsidRPr="005D408C">
        <w:rPr>
          <w:i/>
          <w:iCs/>
        </w:rPr>
        <w:t>OS data cut off May 2020: manuscript in preparation. To be submitted Q3 2021 to BMJ Open</w:t>
      </w:r>
    </w:p>
  </w:footnote>
  <w:footnote w:id="2">
    <w:p w14:paraId="32DD4A77" w14:textId="1A25BF7E" w:rsidR="009835BB" w:rsidRDefault="009835BB">
      <w:pPr>
        <w:pStyle w:val="FootnoteText"/>
      </w:pPr>
      <w:r>
        <w:rPr>
          <w:rStyle w:val="FootnoteReference"/>
        </w:rPr>
        <w:footnoteRef/>
      </w:r>
      <w:r>
        <w:t xml:space="preserve"> Yao Z </w:t>
      </w:r>
      <w:r w:rsidRPr="007C3B31">
        <w:rPr>
          <w:i/>
        </w:rPr>
        <w:t>et al</w:t>
      </w:r>
      <w:r w:rsidRPr="00E2304B">
        <w:t>. Tumours with class 3 BRAF mutants are sensitive to the inhibition of activated RAS. </w:t>
      </w:r>
      <w:r w:rsidRPr="00E2304B">
        <w:rPr>
          <w:i/>
          <w:iCs/>
        </w:rPr>
        <w:t>Nature</w:t>
      </w:r>
      <w:r w:rsidRPr="00E2304B">
        <w:t>. 2017;548(7666):234-238.</w:t>
      </w:r>
    </w:p>
  </w:footnote>
  <w:footnote w:id="3">
    <w:p w14:paraId="19A05D4E" w14:textId="529747B3" w:rsidR="009835BB" w:rsidRPr="007C3B31" w:rsidRDefault="009835BB">
      <w:pPr>
        <w:pStyle w:val="FootnoteText"/>
        <w:rPr>
          <w:i/>
        </w:rPr>
      </w:pPr>
      <w:r>
        <w:rPr>
          <w:rStyle w:val="FootnoteReference"/>
        </w:rPr>
        <w:footnoteRef/>
      </w:r>
      <w:r>
        <w:t xml:space="preserve"> </w:t>
      </w:r>
      <w:r w:rsidRPr="00E2304B">
        <w:t>Schirripa</w:t>
      </w:r>
      <w:r>
        <w:t xml:space="preserve"> </w:t>
      </w:r>
      <w:r>
        <w:rPr>
          <w:i/>
        </w:rPr>
        <w:t xml:space="preserve">et al. </w:t>
      </w:r>
      <w:r w:rsidRPr="007C3B31">
        <w:t>Clinico-pathological and molecular characterisation of BRAF mutant metastatic colorectal cancer (mCRC): Are all mutations created equal?</w:t>
      </w:r>
      <w:r>
        <w:t xml:space="preserve"> [abstract] </w:t>
      </w:r>
      <w:r w:rsidRPr="00E2304B">
        <w:rPr>
          <w:i/>
        </w:rPr>
        <w:t xml:space="preserve">Journal of Clinical Oncology </w:t>
      </w:r>
      <w:r w:rsidRPr="007C3B31">
        <w:t>2018 36:15_suppl, 3590-3590</w:t>
      </w:r>
    </w:p>
  </w:footnote>
  <w:footnote w:id="4">
    <w:p w14:paraId="61C2EEBD" w14:textId="77777777" w:rsidR="009835BB" w:rsidRPr="0031097F" w:rsidRDefault="009835BB" w:rsidP="00656CCF">
      <w:pPr>
        <w:pStyle w:val="FootnoteText"/>
        <w:rPr>
          <w:rFonts w:cstheme="minorHAnsi"/>
        </w:rPr>
      </w:pPr>
      <w:r w:rsidRPr="0031097F">
        <w:rPr>
          <w:rStyle w:val="FootnoteReference"/>
          <w:rFonts w:cstheme="minorHAnsi"/>
        </w:rPr>
        <w:footnoteRef/>
      </w:r>
      <w:r w:rsidRPr="0031097F">
        <w:rPr>
          <w:rFonts w:cstheme="minorHAnsi"/>
        </w:rPr>
        <w:t xml:space="preserve"> Luu LJ, Price JT. BRAF mutation and its importance in colorectal cancer. Adv. Mol. Underst. Color. </w:t>
      </w:r>
      <w:r w:rsidRPr="007C3B31">
        <w:rPr>
          <w:rFonts w:cstheme="minorHAnsi"/>
          <w:i/>
        </w:rPr>
        <w:t>Cancer</w:t>
      </w:r>
      <w:r w:rsidRPr="0031097F">
        <w:rPr>
          <w:rFonts w:cstheme="minorHAnsi"/>
        </w:rPr>
        <w:t>. 2019 Jan 17:1-8.</w:t>
      </w:r>
    </w:p>
  </w:footnote>
  <w:footnote w:id="5">
    <w:p w14:paraId="0E4DB815" w14:textId="77777777" w:rsidR="009835BB" w:rsidRPr="005D1DD3" w:rsidRDefault="009835BB" w:rsidP="005D1DD3">
      <w:pPr>
        <w:pStyle w:val="FootnoteText"/>
        <w:rPr>
          <w:rFonts w:cs="Calibri"/>
        </w:rPr>
      </w:pPr>
      <w:r w:rsidRPr="005D1DD3">
        <w:rPr>
          <w:rStyle w:val="FootnoteReference"/>
          <w:rFonts w:cs="Calibri"/>
        </w:rPr>
        <w:footnoteRef/>
      </w:r>
      <w:r w:rsidRPr="005D1DD3">
        <w:rPr>
          <w:rFonts w:cs="Calibri"/>
        </w:rPr>
        <w:t xml:space="preserve"> Cheng L, Lopez-Beltran A, Massari F, MacLennan GT, Montironi R. Molecular testing for BRAF mutations to inform melanoma treatment decisions: a move toward precision medicine. </w:t>
      </w:r>
      <w:r w:rsidRPr="00E824EE">
        <w:rPr>
          <w:rFonts w:cs="Calibri"/>
          <w:i/>
        </w:rPr>
        <w:t>Mod Pathol</w:t>
      </w:r>
      <w:r w:rsidRPr="005D1DD3">
        <w:rPr>
          <w:rFonts w:cs="Calibri"/>
        </w:rPr>
        <w:t>. 2018;31(1):24-38.</w:t>
      </w:r>
    </w:p>
  </w:footnote>
  <w:footnote w:id="6">
    <w:p w14:paraId="569BB4ED" w14:textId="77777777" w:rsidR="009835BB" w:rsidRPr="005D1DD3" w:rsidRDefault="009835BB" w:rsidP="005D1DD3">
      <w:pPr>
        <w:pStyle w:val="FootnoteText"/>
        <w:rPr>
          <w:rFonts w:cs="Calibri"/>
        </w:rPr>
      </w:pPr>
      <w:r w:rsidRPr="005D1DD3">
        <w:rPr>
          <w:rStyle w:val="FootnoteReference"/>
          <w:rFonts w:cs="Calibri"/>
        </w:rPr>
        <w:footnoteRef/>
      </w:r>
      <w:r w:rsidRPr="005D1DD3">
        <w:rPr>
          <w:rFonts w:cs="Calibri"/>
        </w:rPr>
        <w:t xml:space="preserve"> Louisa Lo, Timothy Price, Joanne Young and Amanda Townsend (September 7th 2016). BRAF Mutation in Colorectal Cancer, Colorectal Cancer - From Pathogenesis to Treatment, Luis Rodrigo, IntechOpen, DOI: 10.5772/62226. Available from: https://www.intechopen.com/books/colorectal-cancer-from-pathogenesis-to-treatment/braf-mutation-in-colorectal-cancer</w:t>
      </w:r>
    </w:p>
  </w:footnote>
  <w:footnote w:id="7">
    <w:p w14:paraId="5C27F6A8" w14:textId="7DB07ED7" w:rsidR="009835BB" w:rsidRPr="008A62C0" w:rsidRDefault="009835BB" w:rsidP="008A62C0">
      <w:pPr>
        <w:pStyle w:val="FootnoteText"/>
      </w:pPr>
      <w:r>
        <w:rPr>
          <w:rStyle w:val="FootnoteReference"/>
        </w:rPr>
        <w:footnoteRef/>
      </w:r>
      <w:r>
        <w:t xml:space="preserve"> </w:t>
      </w:r>
      <w:r>
        <w:rPr>
          <w:i/>
        </w:rPr>
        <w:t>Proportion of patients discontinuing treatment</w:t>
      </w:r>
      <w:r w:rsidRPr="008A62C0">
        <w:rPr>
          <w:i/>
        </w:rPr>
        <w:t>: manuscript in preparation. To be submitted Q4 2021 to ESMO Open</w:t>
      </w:r>
    </w:p>
    <w:p w14:paraId="3A009B21" w14:textId="372C82FF" w:rsidR="009835BB" w:rsidRDefault="009835BB">
      <w:pPr>
        <w:pStyle w:val="FootnoteText"/>
      </w:pPr>
    </w:p>
  </w:footnote>
  <w:footnote w:id="8">
    <w:p w14:paraId="790B26AC" w14:textId="77777777" w:rsidR="009835BB" w:rsidRPr="00954BCF" w:rsidRDefault="009835BB" w:rsidP="00954BCF">
      <w:pPr>
        <w:pStyle w:val="FootnoteText"/>
      </w:pPr>
      <w:r>
        <w:rPr>
          <w:rStyle w:val="FootnoteReference"/>
        </w:rPr>
        <w:footnoteRef/>
      </w:r>
      <w:r>
        <w:t xml:space="preserve"> </w:t>
      </w:r>
      <w:r w:rsidRPr="00954BCF">
        <w:rPr>
          <w:i/>
          <w:iCs/>
        </w:rPr>
        <w:t>OS data cut off May 2020: manuscript in preparation. To be submitted Q3 2021 to BMJ Open</w:t>
      </w:r>
    </w:p>
    <w:p w14:paraId="5EA6E40A" w14:textId="37972236" w:rsidR="009835BB" w:rsidRDefault="009835B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21BA2"/>
    <w:multiLevelType w:val="hybridMultilevel"/>
    <w:tmpl w:val="74EE6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1F5C8E"/>
    <w:multiLevelType w:val="hybridMultilevel"/>
    <w:tmpl w:val="D7F44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355198"/>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9E91417"/>
    <w:multiLevelType w:val="hybridMultilevel"/>
    <w:tmpl w:val="F482B5E8"/>
    <w:lvl w:ilvl="0" w:tplc="A49A3360">
      <w:start w:val="1"/>
      <w:numFmt w:val="decimal"/>
      <w:lvlText w:val="%1."/>
      <w:lvlJc w:val="left"/>
      <w:pPr>
        <w:ind w:left="107" w:hanging="197"/>
      </w:pPr>
      <w:rPr>
        <w:rFonts w:ascii="Calibri" w:eastAsia="Calibri" w:hAnsi="Calibri" w:cs="Calibri" w:hint="default"/>
        <w:w w:val="99"/>
        <w:sz w:val="20"/>
        <w:szCs w:val="20"/>
        <w:lang w:val="en-AU" w:eastAsia="en-US" w:bidi="ar-SA"/>
      </w:rPr>
    </w:lvl>
    <w:lvl w:ilvl="1" w:tplc="1352B412">
      <w:start w:val="1"/>
      <w:numFmt w:val="lowerLetter"/>
      <w:lvlText w:val="(%2)"/>
      <w:lvlJc w:val="left"/>
      <w:pPr>
        <w:ind w:left="828" w:hanging="360"/>
      </w:pPr>
      <w:rPr>
        <w:rFonts w:ascii="Calibri" w:eastAsia="Calibri" w:hAnsi="Calibri" w:cs="Calibri" w:hint="default"/>
        <w:b w:val="0"/>
        <w:spacing w:val="-1"/>
        <w:w w:val="99"/>
        <w:sz w:val="20"/>
        <w:szCs w:val="20"/>
        <w:lang w:val="en-AU" w:eastAsia="en-US" w:bidi="ar-SA"/>
      </w:rPr>
    </w:lvl>
    <w:lvl w:ilvl="2" w:tplc="E94C8AFE">
      <w:numFmt w:val="bullet"/>
      <w:lvlText w:val="•"/>
      <w:lvlJc w:val="left"/>
      <w:pPr>
        <w:ind w:left="1822" w:hanging="360"/>
      </w:pPr>
      <w:rPr>
        <w:rFonts w:hint="default"/>
        <w:lang w:val="en-AU" w:eastAsia="en-US" w:bidi="ar-SA"/>
      </w:rPr>
    </w:lvl>
    <w:lvl w:ilvl="3" w:tplc="DE5AB60C">
      <w:numFmt w:val="bullet"/>
      <w:lvlText w:val="•"/>
      <w:lvlJc w:val="left"/>
      <w:pPr>
        <w:ind w:left="2825" w:hanging="360"/>
      </w:pPr>
      <w:rPr>
        <w:rFonts w:hint="default"/>
        <w:lang w:val="en-AU" w:eastAsia="en-US" w:bidi="ar-SA"/>
      </w:rPr>
    </w:lvl>
    <w:lvl w:ilvl="4" w:tplc="811C7216">
      <w:numFmt w:val="bullet"/>
      <w:lvlText w:val="•"/>
      <w:lvlJc w:val="left"/>
      <w:pPr>
        <w:ind w:left="3828" w:hanging="360"/>
      </w:pPr>
      <w:rPr>
        <w:rFonts w:hint="default"/>
        <w:lang w:val="en-AU" w:eastAsia="en-US" w:bidi="ar-SA"/>
      </w:rPr>
    </w:lvl>
    <w:lvl w:ilvl="5" w:tplc="2ABE3F54">
      <w:numFmt w:val="bullet"/>
      <w:lvlText w:val="•"/>
      <w:lvlJc w:val="left"/>
      <w:pPr>
        <w:ind w:left="4831" w:hanging="360"/>
      </w:pPr>
      <w:rPr>
        <w:rFonts w:hint="default"/>
        <w:lang w:val="en-AU" w:eastAsia="en-US" w:bidi="ar-SA"/>
      </w:rPr>
    </w:lvl>
    <w:lvl w:ilvl="6" w:tplc="CA3E632E">
      <w:numFmt w:val="bullet"/>
      <w:lvlText w:val="•"/>
      <w:lvlJc w:val="left"/>
      <w:pPr>
        <w:ind w:left="5834" w:hanging="360"/>
      </w:pPr>
      <w:rPr>
        <w:rFonts w:hint="default"/>
        <w:lang w:val="en-AU" w:eastAsia="en-US" w:bidi="ar-SA"/>
      </w:rPr>
    </w:lvl>
    <w:lvl w:ilvl="7" w:tplc="3A6249F6">
      <w:numFmt w:val="bullet"/>
      <w:lvlText w:val="•"/>
      <w:lvlJc w:val="left"/>
      <w:pPr>
        <w:ind w:left="6837" w:hanging="360"/>
      </w:pPr>
      <w:rPr>
        <w:rFonts w:hint="default"/>
        <w:lang w:val="en-AU" w:eastAsia="en-US" w:bidi="ar-SA"/>
      </w:rPr>
    </w:lvl>
    <w:lvl w:ilvl="8" w:tplc="B896E94C">
      <w:numFmt w:val="bullet"/>
      <w:lvlText w:val="•"/>
      <w:lvlJc w:val="left"/>
      <w:pPr>
        <w:ind w:left="7840" w:hanging="360"/>
      </w:pPr>
      <w:rPr>
        <w:rFonts w:hint="default"/>
        <w:lang w:val="en-AU" w:eastAsia="en-US" w:bidi="ar-SA"/>
      </w:rPr>
    </w:lvl>
  </w:abstractNum>
  <w:abstractNum w:abstractNumId="11"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B33C59"/>
    <w:multiLevelType w:val="hybridMultilevel"/>
    <w:tmpl w:val="AA2CF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724A7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738A3DD9"/>
    <w:multiLevelType w:val="hybridMultilevel"/>
    <w:tmpl w:val="568CC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4D033C"/>
    <w:multiLevelType w:val="multilevel"/>
    <w:tmpl w:val="1AC2CCF4"/>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720" w:hanging="720"/>
      </w:pPr>
      <w:rPr>
        <w:rFonts w:hint="default"/>
        <w:b w:val="0"/>
        <w:i w:val="0"/>
        <w:color w:val="auto"/>
        <w:sz w:val="24"/>
        <w:szCs w:val="24"/>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9"/>
  </w:num>
  <w:num w:numId="3">
    <w:abstractNumId w:val="3"/>
  </w:num>
  <w:num w:numId="4">
    <w:abstractNumId w:val="21"/>
  </w:num>
  <w:num w:numId="5">
    <w:abstractNumId w:val="13"/>
  </w:num>
  <w:num w:numId="6">
    <w:abstractNumId w:val="20"/>
  </w:num>
  <w:num w:numId="7">
    <w:abstractNumId w:val="24"/>
  </w:num>
  <w:num w:numId="8">
    <w:abstractNumId w:val="16"/>
  </w:num>
  <w:num w:numId="9">
    <w:abstractNumId w:val="32"/>
  </w:num>
  <w:num w:numId="10">
    <w:abstractNumId w:val="2"/>
  </w:num>
  <w:num w:numId="11">
    <w:abstractNumId w:val="23"/>
  </w:num>
  <w:num w:numId="12">
    <w:abstractNumId w:val="25"/>
  </w:num>
  <w:num w:numId="13">
    <w:abstractNumId w:val="6"/>
  </w:num>
  <w:num w:numId="14">
    <w:abstractNumId w:val="29"/>
  </w:num>
  <w:num w:numId="15">
    <w:abstractNumId w:val="22"/>
  </w:num>
  <w:num w:numId="16">
    <w:abstractNumId w:val="26"/>
  </w:num>
  <w:num w:numId="17">
    <w:abstractNumId w:val="17"/>
  </w:num>
  <w:num w:numId="18">
    <w:abstractNumId w:val="18"/>
  </w:num>
  <w:num w:numId="19">
    <w:abstractNumId w:val="28"/>
  </w:num>
  <w:num w:numId="20">
    <w:abstractNumId w:val="27"/>
  </w:num>
  <w:num w:numId="21">
    <w:abstractNumId w:val="5"/>
  </w:num>
  <w:num w:numId="22">
    <w:abstractNumId w:val="12"/>
  </w:num>
  <w:num w:numId="23">
    <w:abstractNumId w:val="4"/>
  </w:num>
  <w:num w:numId="24">
    <w:abstractNumId w:val="11"/>
  </w:num>
  <w:num w:numId="25">
    <w:abstractNumId w:val="7"/>
  </w:num>
  <w:num w:numId="26">
    <w:abstractNumId w:val="0"/>
  </w:num>
  <w:num w:numId="27">
    <w:abstractNumId w:val="10"/>
  </w:num>
  <w:num w:numId="28">
    <w:abstractNumId w:val="1"/>
  </w:num>
  <w:num w:numId="29">
    <w:abstractNumId w:val="30"/>
  </w:num>
  <w:num w:numId="30">
    <w:abstractNumId w:val="14"/>
  </w:num>
  <w:num w:numId="31">
    <w:abstractNumId w:val="31"/>
  </w:num>
  <w:num w:numId="32">
    <w:abstractNumId w:val="9"/>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623"/>
    <w:rsid w:val="00007312"/>
    <w:rsid w:val="00011A36"/>
    <w:rsid w:val="0001311B"/>
    <w:rsid w:val="000317F2"/>
    <w:rsid w:val="000346C1"/>
    <w:rsid w:val="00047606"/>
    <w:rsid w:val="00061FDF"/>
    <w:rsid w:val="00065623"/>
    <w:rsid w:val="0006594D"/>
    <w:rsid w:val="000663AA"/>
    <w:rsid w:val="000756B9"/>
    <w:rsid w:val="000765F6"/>
    <w:rsid w:val="000800A8"/>
    <w:rsid w:val="000801A7"/>
    <w:rsid w:val="00096B67"/>
    <w:rsid w:val="00096DAF"/>
    <w:rsid w:val="000A5164"/>
    <w:rsid w:val="000A71B1"/>
    <w:rsid w:val="000C2F47"/>
    <w:rsid w:val="000D2B9A"/>
    <w:rsid w:val="000D432D"/>
    <w:rsid w:val="000D6C00"/>
    <w:rsid w:val="000E4E04"/>
    <w:rsid w:val="000F14B4"/>
    <w:rsid w:val="000F75DF"/>
    <w:rsid w:val="00100C77"/>
    <w:rsid w:val="001023DC"/>
    <w:rsid w:val="0010279F"/>
    <w:rsid w:val="00127C1A"/>
    <w:rsid w:val="001328FA"/>
    <w:rsid w:val="00145E60"/>
    <w:rsid w:val="00147AAF"/>
    <w:rsid w:val="00153C7B"/>
    <w:rsid w:val="001552C0"/>
    <w:rsid w:val="001640B1"/>
    <w:rsid w:val="001654FB"/>
    <w:rsid w:val="0018435E"/>
    <w:rsid w:val="0019571E"/>
    <w:rsid w:val="00196E93"/>
    <w:rsid w:val="001A3080"/>
    <w:rsid w:val="001D28DC"/>
    <w:rsid w:val="00202564"/>
    <w:rsid w:val="002041A1"/>
    <w:rsid w:val="002054F0"/>
    <w:rsid w:val="00206DA9"/>
    <w:rsid w:val="0022043C"/>
    <w:rsid w:val="00230D6B"/>
    <w:rsid w:val="00232068"/>
    <w:rsid w:val="002330F2"/>
    <w:rsid w:val="00243D9E"/>
    <w:rsid w:val="00247552"/>
    <w:rsid w:val="00253B66"/>
    <w:rsid w:val="00257629"/>
    <w:rsid w:val="00257DDA"/>
    <w:rsid w:val="00261DF1"/>
    <w:rsid w:val="00262E8F"/>
    <w:rsid w:val="00271F18"/>
    <w:rsid w:val="00272931"/>
    <w:rsid w:val="00282779"/>
    <w:rsid w:val="0028334D"/>
    <w:rsid w:val="00295F5D"/>
    <w:rsid w:val="002B7FFA"/>
    <w:rsid w:val="002C2BCF"/>
    <w:rsid w:val="002E201C"/>
    <w:rsid w:val="002F279D"/>
    <w:rsid w:val="002F43B8"/>
    <w:rsid w:val="0030749E"/>
    <w:rsid w:val="003235DE"/>
    <w:rsid w:val="00336856"/>
    <w:rsid w:val="0034554D"/>
    <w:rsid w:val="00351023"/>
    <w:rsid w:val="00352224"/>
    <w:rsid w:val="00365850"/>
    <w:rsid w:val="003671E6"/>
    <w:rsid w:val="00382EF1"/>
    <w:rsid w:val="00384272"/>
    <w:rsid w:val="00386D67"/>
    <w:rsid w:val="003945B8"/>
    <w:rsid w:val="003A3456"/>
    <w:rsid w:val="003D3EDF"/>
    <w:rsid w:val="003D7919"/>
    <w:rsid w:val="003D7F29"/>
    <w:rsid w:val="003F2810"/>
    <w:rsid w:val="003F35F1"/>
    <w:rsid w:val="00405A6B"/>
    <w:rsid w:val="00406BE7"/>
    <w:rsid w:val="00407B1F"/>
    <w:rsid w:val="0041184F"/>
    <w:rsid w:val="00414C57"/>
    <w:rsid w:val="0041748B"/>
    <w:rsid w:val="0041758C"/>
    <w:rsid w:val="0043278F"/>
    <w:rsid w:val="004539DE"/>
    <w:rsid w:val="004967B0"/>
    <w:rsid w:val="004A2C44"/>
    <w:rsid w:val="004A2CF1"/>
    <w:rsid w:val="004A4CC2"/>
    <w:rsid w:val="004A4D40"/>
    <w:rsid w:val="004B50BB"/>
    <w:rsid w:val="004C3035"/>
    <w:rsid w:val="004C307F"/>
    <w:rsid w:val="004D5FA1"/>
    <w:rsid w:val="004E4BA8"/>
    <w:rsid w:val="004F340F"/>
    <w:rsid w:val="004F745D"/>
    <w:rsid w:val="004F7B7C"/>
    <w:rsid w:val="005069F9"/>
    <w:rsid w:val="0052243D"/>
    <w:rsid w:val="0052775A"/>
    <w:rsid w:val="00532435"/>
    <w:rsid w:val="0054469D"/>
    <w:rsid w:val="00550354"/>
    <w:rsid w:val="00571236"/>
    <w:rsid w:val="0058250A"/>
    <w:rsid w:val="0058425E"/>
    <w:rsid w:val="005953A1"/>
    <w:rsid w:val="00596E7B"/>
    <w:rsid w:val="005A4362"/>
    <w:rsid w:val="005A79C0"/>
    <w:rsid w:val="005B5434"/>
    <w:rsid w:val="005D0332"/>
    <w:rsid w:val="005D0D8C"/>
    <w:rsid w:val="005D1DD3"/>
    <w:rsid w:val="005D408C"/>
    <w:rsid w:val="00643332"/>
    <w:rsid w:val="006557B2"/>
    <w:rsid w:val="00656CCF"/>
    <w:rsid w:val="00670501"/>
    <w:rsid w:val="00676947"/>
    <w:rsid w:val="006776AE"/>
    <w:rsid w:val="006952A9"/>
    <w:rsid w:val="00697488"/>
    <w:rsid w:val="006A0D97"/>
    <w:rsid w:val="006B1F86"/>
    <w:rsid w:val="006B5706"/>
    <w:rsid w:val="006B692E"/>
    <w:rsid w:val="006C0A91"/>
    <w:rsid w:val="006C73CE"/>
    <w:rsid w:val="007054BB"/>
    <w:rsid w:val="00707064"/>
    <w:rsid w:val="007226A2"/>
    <w:rsid w:val="00730683"/>
    <w:rsid w:val="00747874"/>
    <w:rsid w:val="0075261F"/>
    <w:rsid w:val="0075468E"/>
    <w:rsid w:val="007665D8"/>
    <w:rsid w:val="00766E36"/>
    <w:rsid w:val="00767031"/>
    <w:rsid w:val="007765F4"/>
    <w:rsid w:val="00776633"/>
    <w:rsid w:val="00784D53"/>
    <w:rsid w:val="00793D2C"/>
    <w:rsid w:val="00797797"/>
    <w:rsid w:val="007A63C9"/>
    <w:rsid w:val="007B32D1"/>
    <w:rsid w:val="007B7095"/>
    <w:rsid w:val="007C3B31"/>
    <w:rsid w:val="007D24E1"/>
    <w:rsid w:val="007D6288"/>
    <w:rsid w:val="007D63F2"/>
    <w:rsid w:val="007F4CE9"/>
    <w:rsid w:val="007F4E20"/>
    <w:rsid w:val="00822C7E"/>
    <w:rsid w:val="00831EE9"/>
    <w:rsid w:val="00847060"/>
    <w:rsid w:val="00847A36"/>
    <w:rsid w:val="00856A33"/>
    <w:rsid w:val="00860339"/>
    <w:rsid w:val="00892620"/>
    <w:rsid w:val="008A62C0"/>
    <w:rsid w:val="008B0F06"/>
    <w:rsid w:val="008C778E"/>
    <w:rsid w:val="008C7D37"/>
    <w:rsid w:val="008D1722"/>
    <w:rsid w:val="008D4DD3"/>
    <w:rsid w:val="008D5885"/>
    <w:rsid w:val="008E2CA9"/>
    <w:rsid w:val="008F0DBE"/>
    <w:rsid w:val="008F11C2"/>
    <w:rsid w:val="00902E0A"/>
    <w:rsid w:val="00923FA2"/>
    <w:rsid w:val="0094445F"/>
    <w:rsid w:val="00946334"/>
    <w:rsid w:val="00953334"/>
    <w:rsid w:val="00954BCF"/>
    <w:rsid w:val="0096060D"/>
    <w:rsid w:val="00965823"/>
    <w:rsid w:val="00974A50"/>
    <w:rsid w:val="0097585A"/>
    <w:rsid w:val="009773E5"/>
    <w:rsid w:val="00981AC6"/>
    <w:rsid w:val="009835BB"/>
    <w:rsid w:val="0098513A"/>
    <w:rsid w:val="009924B0"/>
    <w:rsid w:val="009942C9"/>
    <w:rsid w:val="009B2F8E"/>
    <w:rsid w:val="009B35C4"/>
    <w:rsid w:val="009C630A"/>
    <w:rsid w:val="009D2F8D"/>
    <w:rsid w:val="009E0D98"/>
    <w:rsid w:val="009F617C"/>
    <w:rsid w:val="00A00C03"/>
    <w:rsid w:val="00A040CD"/>
    <w:rsid w:val="00A068A1"/>
    <w:rsid w:val="00A1207D"/>
    <w:rsid w:val="00A12FD8"/>
    <w:rsid w:val="00A1484C"/>
    <w:rsid w:val="00A346FC"/>
    <w:rsid w:val="00A46D77"/>
    <w:rsid w:val="00A53C7A"/>
    <w:rsid w:val="00A56176"/>
    <w:rsid w:val="00A6376C"/>
    <w:rsid w:val="00A846F2"/>
    <w:rsid w:val="00A847E8"/>
    <w:rsid w:val="00A84F93"/>
    <w:rsid w:val="00AB1AC5"/>
    <w:rsid w:val="00AB3BFC"/>
    <w:rsid w:val="00AB770E"/>
    <w:rsid w:val="00AC4F2E"/>
    <w:rsid w:val="00AD0C37"/>
    <w:rsid w:val="00AD385F"/>
    <w:rsid w:val="00AE6E2A"/>
    <w:rsid w:val="00AF5272"/>
    <w:rsid w:val="00AF5486"/>
    <w:rsid w:val="00B03EAB"/>
    <w:rsid w:val="00B06AF6"/>
    <w:rsid w:val="00B31E9C"/>
    <w:rsid w:val="00B35595"/>
    <w:rsid w:val="00B51C6D"/>
    <w:rsid w:val="00B57167"/>
    <w:rsid w:val="00B615EC"/>
    <w:rsid w:val="00B712B4"/>
    <w:rsid w:val="00B83DD2"/>
    <w:rsid w:val="00B86D64"/>
    <w:rsid w:val="00B928B9"/>
    <w:rsid w:val="00BA4AC5"/>
    <w:rsid w:val="00BA7EB9"/>
    <w:rsid w:val="00BC1364"/>
    <w:rsid w:val="00BC2667"/>
    <w:rsid w:val="00BC7DE9"/>
    <w:rsid w:val="00BE7A4B"/>
    <w:rsid w:val="00BF02F5"/>
    <w:rsid w:val="00BF2AC8"/>
    <w:rsid w:val="00BF479B"/>
    <w:rsid w:val="00C02577"/>
    <w:rsid w:val="00C06B0B"/>
    <w:rsid w:val="00C07AB1"/>
    <w:rsid w:val="00C204FB"/>
    <w:rsid w:val="00C20BEE"/>
    <w:rsid w:val="00C2158D"/>
    <w:rsid w:val="00C27E8E"/>
    <w:rsid w:val="00C3624B"/>
    <w:rsid w:val="00C67DD2"/>
    <w:rsid w:val="00C725CB"/>
    <w:rsid w:val="00C76F5C"/>
    <w:rsid w:val="00C96BAD"/>
    <w:rsid w:val="00C97731"/>
    <w:rsid w:val="00CA49DE"/>
    <w:rsid w:val="00CA6944"/>
    <w:rsid w:val="00CB0F8E"/>
    <w:rsid w:val="00CB7E7D"/>
    <w:rsid w:val="00CC2911"/>
    <w:rsid w:val="00CC7E57"/>
    <w:rsid w:val="00CD238D"/>
    <w:rsid w:val="00CD51D2"/>
    <w:rsid w:val="00CF0C6D"/>
    <w:rsid w:val="00CF2CC1"/>
    <w:rsid w:val="00CF2D89"/>
    <w:rsid w:val="00CF4E81"/>
    <w:rsid w:val="00CF7307"/>
    <w:rsid w:val="00CF7C68"/>
    <w:rsid w:val="00D1101F"/>
    <w:rsid w:val="00D1205A"/>
    <w:rsid w:val="00D124FA"/>
    <w:rsid w:val="00D340DE"/>
    <w:rsid w:val="00D55723"/>
    <w:rsid w:val="00D57CBF"/>
    <w:rsid w:val="00D62FAD"/>
    <w:rsid w:val="00D64355"/>
    <w:rsid w:val="00D70450"/>
    <w:rsid w:val="00D70D0A"/>
    <w:rsid w:val="00D83BFD"/>
    <w:rsid w:val="00D90A38"/>
    <w:rsid w:val="00D95739"/>
    <w:rsid w:val="00D96E39"/>
    <w:rsid w:val="00DA0515"/>
    <w:rsid w:val="00DA171E"/>
    <w:rsid w:val="00DA56AA"/>
    <w:rsid w:val="00DB0599"/>
    <w:rsid w:val="00DB5833"/>
    <w:rsid w:val="00DB7F0E"/>
    <w:rsid w:val="00DD2858"/>
    <w:rsid w:val="00DF489D"/>
    <w:rsid w:val="00E00B66"/>
    <w:rsid w:val="00E03E33"/>
    <w:rsid w:val="00E059E0"/>
    <w:rsid w:val="00E10DE9"/>
    <w:rsid w:val="00E14020"/>
    <w:rsid w:val="00E2304B"/>
    <w:rsid w:val="00E3642A"/>
    <w:rsid w:val="00E415C4"/>
    <w:rsid w:val="00E50016"/>
    <w:rsid w:val="00E50EAA"/>
    <w:rsid w:val="00E656D6"/>
    <w:rsid w:val="00E73411"/>
    <w:rsid w:val="00E824EE"/>
    <w:rsid w:val="00E87AFC"/>
    <w:rsid w:val="00E94CB8"/>
    <w:rsid w:val="00E977EE"/>
    <w:rsid w:val="00EA1DA0"/>
    <w:rsid w:val="00EA2F24"/>
    <w:rsid w:val="00EA5C0E"/>
    <w:rsid w:val="00EA67A2"/>
    <w:rsid w:val="00EB57CF"/>
    <w:rsid w:val="00EB630F"/>
    <w:rsid w:val="00EB6B6F"/>
    <w:rsid w:val="00EC4F98"/>
    <w:rsid w:val="00F108DD"/>
    <w:rsid w:val="00F12F02"/>
    <w:rsid w:val="00F32E0D"/>
    <w:rsid w:val="00F35134"/>
    <w:rsid w:val="00F37B9C"/>
    <w:rsid w:val="00F41812"/>
    <w:rsid w:val="00F43371"/>
    <w:rsid w:val="00F559A1"/>
    <w:rsid w:val="00F56D7F"/>
    <w:rsid w:val="00F61536"/>
    <w:rsid w:val="00F64DE5"/>
    <w:rsid w:val="00F715D1"/>
    <w:rsid w:val="00F72715"/>
    <w:rsid w:val="00F73333"/>
    <w:rsid w:val="00F95D8F"/>
    <w:rsid w:val="00FA6A21"/>
    <w:rsid w:val="00FB350A"/>
    <w:rsid w:val="00FB4638"/>
    <w:rsid w:val="00FB4C5D"/>
    <w:rsid w:val="00FB74AC"/>
    <w:rsid w:val="00FC29D1"/>
    <w:rsid w:val="00FD30AB"/>
    <w:rsid w:val="00FE1C3F"/>
    <w:rsid w:val="00FE4383"/>
    <w:rsid w:val="00FE731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0F09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DDA"/>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semiHidden/>
    <w:rsid w:val="00065623"/>
    <w:rPr>
      <w:rFonts w:cs="Times New Roman"/>
      <w:vertAlign w:val="superscript"/>
    </w:rPr>
  </w:style>
  <w:style w:type="paragraph" w:styleId="ListParagraph">
    <w:name w:val="List Paragraph"/>
    <w:aliases w:val="PBAC ES Paragraph,BulletPoints,_CC_Bullet,Paragraphe de liste1,Bullets Points,Table Header Row,Bullet 1,Odstavec se seznamem1,2nd Bullet,Bullet1,Section 5,Body Text Bullet Points,Numbered para,List Paragraph1,Bullet point,List Paragraph1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basedOn w:val="TableNormal"/>
    <w:locked/>
    <w:rsid w:val="00A6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712B4"/>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next w:val="Normal"/>
    <w:link w:val="CaptionChar"/>
    <w:autoRedefine/>
    <w:qFormat/>
    <w:locked/>
    <w:rsid w:val="0054469D"/>
    <w:pPr>
      <w:keepNext/>
      <w:tabs>
        <w:tab w:val="left" w:pos="1418"/>
      </w:tabs>
      <w:spacing w:before="240"/>
      <w:contextualSpacing/>
    </w:pPr>
    <w:rPr>
      <w:rFonts w:ascii="Arial Narrow" w:eastAsia="Times New Roman" w:hAnsi="Arial Narrow" w:cs="Arial"/>
      <w:b/>
      <w:iCs/>
      <w:sz w:val="20"/>
      <w:szCs w:val="20"/>
      <w:lang w:eastAsia="en-US"/>
    </w:rPr>
  </w:style>
  <w:style w:type="paragraph" w:customStyle="1" w:styleId="TableText">
    <w:name w:val="Table Text"/>
    <w:basedOn w:val="Normal"/>
    <w:link w:val="TableTextChar"/>
    <w:qFormat/>
    <w:rsid w:val="00656CCF"/>
    <w:pPr>
      <w:widowControl w:val="0"/>
      <w:spacing w:before="40" w:after="40" w:line="256" w:lineRule="auto"/>
    </w:pPr>
    <w:rPr>
      <w:rFonts w:ascii="Arial Narrow" w:eastAsiaTheme="minorHAnsi" w:hAnsi="Arial Narrow" w:cstheme="minorBidi"/>
      <w:sz w:val="20"/>
      <w:szCs w:val="22"/>
      <w:lang w:eastAsia="en-US"/>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w:link w:val="Caption"/>
    <w:rsid w:val="0054469D"/>
    <w:rPr>
      <w:rFonts w:ascii="Arial Narrow" w:eastAsia="Times New Roman" w:hAnsi="Arial Narrow" w:cs="Arial"/>
      <w:b/>
      <w:iCs/>
      <w:sz w:val="20"/>
      <w:szCs w:val="20"/>
      <w:lang w:eastAsia="en-US"/>
    </w:rPr>
  </w:style>
  <w:style w:type="character" w:customStyle="1" w:styleId="TableTextChar">
    <w:name w:val="Table Text Char"/>
    <w:link w:val="TableText"/>
    <w:rsid w:val="00656CCF"/>
    <w:rPr>
      <w:rFonts w:ascii="Arial Narrow" w:eastAsiaTheme="minorHAnsi" w:hAnsi="Arial Narrow" w:cstheme="minorBidi"/>
      <w:sz w:val="20"/>
      <w:lang w:eastAsia="en-US"/>
    </w:rPr>
  </w:style>
  <w:style w:type="table" w:customStyle="1" w:styleId="PBACTableStyle">
    <w:name w:val="PBAC Table Style"/>
    <w:basedOn w:val="TableGrid10"/>
    <w:uiPriority w:val="99"/>
    <w:rsid w:val="00656CCF"/>
    <w:pPr>
      <w:widowControl w:val="0"/>
      <w:spacing w:before="120"/>
      <w:contextualSpacing/>
      <w:jc w:val="center"/>
    </w:pPr>
    <w:rPr>
      <w:rFonts w:ascii="Arial Narrow" w:eastAsiaTheme="minorHAnsi" w:hAnsi="Arial Narrow" w:cstheme="minorBidi"/>
      <w:color w:val="000000" w:themeColor="text1"/>
      <w:sz w:val="20"/>
      <w:szCs w:val="20"/>
      <w:lang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paragraph" w:customStyle="1" w:styleId="MSACESParagraph">
    <w:name w:val="MSAC ES Paragraph"/>
    <w:link w:val="MSACESParagraphChar"/>
    <w:uiPriority w:val="1"/>
    <w:qFormat/>
    <w:rsid w:val="00656CCF"/>
    <w:pPr>
      <w:spacing w:after="240"/>
    </w:pPr>
    <w:rPr>
      <w:rFonts w:eastAsiaTheme="minorHAnsi" w:cstheme="minorBidi"/>
      <w:sz w:val="24"/>
      <w:lang w:eastAsia="en-US"/>
    </w:rPr>
  </w:style>
  <w:style w:type="character" w:customStyle="1" w:styleId="MSACESParagraphChar">
    <w:name w:val="MSAC ES Paragraph Char"/>
    <w:basedOn w:val="DefaultParagraphFont"/>
    <w:link w:val="MSACESParagraph"/>
    <w:uiPriority w:val="1"/>
    <w:rsid w:val="00656CCF"/>
    <w:rPr>
      <w:rFonts w:eastAsiaTheme="minorHAnsi" w:cstheme="minorBidi"/>
      <w:sz w:val="24"/>
      <w:lang w:eastAsia="en-US"/>
    </w:rPr>
  </w:style>
  <w:style w:type="table" w:styleId="TableGrid10">
    <w:name w:val="Table Grid 1"/>
    <w:basedOn w:val="TableNormal"/>
    <w:uiPriority w:val="99"/>
    <w:semiHidden/>
    <w:unhideWhenUsed/>
    <w:rsid w:val="00656CC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beth11">
    <w:name w:val="Table Gridbeth11"/>
    <w:basedOn w:val="TableNormal"/>
    <w:next w:val="TableGrid"/>
    <w:uiPriority w:val="59"/>
    <w:rsid w:val="0010279F"/>
    <w:rPr>
      <w:rFonts w:ascii="Calibri" w:eastAsiaTheme="minorHAnsi" w:hAnsi="Calibri" w:cstheme="minorBidi"/>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PBACTableStyle1">
    <w:name w:val="PBAC Table Style1"/>
    <w:basedOn w:val="TableGrid10"/>
    <w:uiPriority w:val="99"/>
    <w:rsid w:val="0030749E"/>
    <w:pPr>
      <w:widowControl w:val="0"/>
      <w:spacing w:before="120"/>
      <w:contextualSpacing/>
      <w:jc w:val="center"/>
    </w:pPr>
    <w:rPr>
      <w:rFonts w:ascii="Arial Narrow" w:eastAsiaTheme="minorHAnsi" w:hAnsi="Arial Narrow" w:cstheme="minorBidi"/>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paragraph" w:customStyle="1" w:styleId="NormalBeforeBullet">
    <w:name w:val="NormalBeforeBullet"/>
    <w:basedOn w:val="Normal"/>
    <w:qFormat/>
    <w:rsid w:val="00F559A1"/>
    <w:pPr>
      <w:keepNext/>
      <w:spacing w:after="120"/>
    </w:pPr>
    <w:rPr>
      <w:color w:val="000000"/>
    </w:rPr>
  </w:style>
  <w:style w:type="character" w:customStyle="1" w:styleId="ListParagraphChar">
    <w:name w:val="List Paragraph Char"/>
    <w:aliases w:val="PBAC ES Paragraph Char,BulletPoints Char,_CC_Bullet Char,Paragraphe de liste1 Char,Bullets Points Char,Table Header Row Char,Bullet 1 Char,Odstavec se seznamem1 Char,2nd Bullet Char,Bullet1 Char,Section 5 Char,Numbered para Char"/>
    <w:basedOn w:val="DefaultParagraphFont"/>
    <w:link w:val="ListParagraph"/>
    <w:uiPriority w:val="34"/>
    <w:qFormat/>
    <w:locked/>
    <w:rsid w:val="00257629"/>
    <w:rPr>
      <w:rFonts w:eastAsia="Times New Roman"/>
      <w:sz w:val="24"/>
      <w:szCs w:val="20"/>
    </w:rPr>
  </w:style>
  <w:style w:type="paragraph" w:customStyle="1" w:styleId="PBACESHeading1">
    <w:name w:val="PBAC ES Heading 1"/>
    <w:basedOn w:val="Heading1"/>
    <w:next w:val="ListParagraph"/>
    <w:uiPriority w:val="1"/>
    <w:qFormat/>
    <w:rsid w:val="00257629"/>
    <w:pPr>
      <w:numPr>
        <w:numId w:val="0"/>
      </w:numPr>
      <w:tabs>
        <w:tab w:val="left" w:pos="1077"/>
      </w:tabs>
      <w:spacing w:after="120"/>
      <w:ind w:left="720" w:hanging="720"/>
    </w:pPr>
    <w:rPr>
      <w:rFonts w:asciiTheme="minorHAnsi" w:hAnsiTheme="minorHAnsi" w:cs="Arial"/>
      <w:bCs w:val="0"/>
      <w:snapToGrid w:val="0"/>
      <w:sz w:val="32"/>
      <w:szCs w:val="32"/>
      <w:lang w:eastAsia="en-US"/>
    </w:rPr>
  </w:style>
  <w:style w:type="paragraph" w:customStyle="1" w:styleId="MSACHeading1">
    <w:name w:val="MSAC Heading 1"/>
    <w:basedOn w:val="Heading1"/>
    <w:next w:val="Normal"/>
    <w:uiPriority w:val="1"/>
    <w:qFormat/>
    <w:rsid w:val="00257629"/>
    <w:pPr>
      <w:numPr>
        <w:numId w:val="0"/>
      </w:numPr>
      <w:spacing w:before="160" w:line="259" w:lineRule="auto"/>
      <w:ind w:left="720" w:hanging="720"/>
    </w:pPr>
    <w:rPr>
      <w:rFonts w:ascii="Times New Roman" w:eastAsiaTheme="majorEastAsia" w:hAnsi="Times New Roman" w:cstheme="majorBidi"/>
      <w:bCs w:val="0"/>
      <w:lang w:eastAsia="en-US"/>
    </w:rPr>
  </w:style>
  <w:style w:type="paragraph" w:customStyle="1" w:styleId="MSACESHeading2">
    <w:name w:val="MSAC ES Heading 2"/>
    <w:basedOn w:val="Heading2"/>
    <w:next w:val="Normal"/>
    <w:uiPriority w:val="1"/>
    <w:qFormat/>
    <w:rsid w:val="00257629"/>
    <w:pPr>
      <w:spacing w:before="360" w:after="120"/>
      <w:ind w:left="720" w:hanging="720"/>
    </w:pPr>
    <w:rPr>
      <w:rFonts w:ascii="Cambria" w:hAnsi="Cambria"/>
      <w:bCs w:val="0"/>
      <w:snapToGrid w:val="0"/>
      <w:color w:val="auto"/>
      <w:sz w:val="24"/>
      <w:szCs w:val="28"/>
      <w:lang w:eastAsia="en-US"/>
    </w:rPr>
  </w:style>
  <w:style w:type="character" w:customStyle="1" w:styleId="TableFigureFooterChar">
    <w:name w:val="Table/Figure Footer Char"/>
    <w:link w:val="TableFigureFooter"/>
    <w:locked/>
    <w:rsid w:val="00CF2D89"/>
    <w:rPr>
      <w:rFonts w:ascii="Arial Narrow" w:eastAsia="Times New Roman" w:hAnsi="Arial Narrow" w:cs="Arial"/>
      <w:sz w:val="18"/>
    </w:rPr>
  </w:style>
  <w:style w:type="paragraph" w:customStyle="1" w:styleId="TableFigureFooter">
    <w:name w:val="Table/Figure Footer"/>
    <w:basedOn w:val="Normal"/>
    <w:link w:val="TableFigureFooterChar"/>
    <w:qFormat/>
    <w:rsid w:val="00CF2D89"/>
    <w:pPr>
      <w:snapToGrid w:val="0"/>
      <w:spacing w:after="120"/>
      <w:contextualSpacing/>
      <w:jc w:val="both"/>
    </w:pPr>
    <w:rPr>
      <w:rFonts w:ascii="Arial Narrow" w:hAnsi="Arial Narrow" w:cs="Arial"/>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014547">
      <w:bodyDiv w:val="1"/>
      <w:marLeft w:val="0"/>
      <w:marRight w:val="0"/>
      <w:marTop w:val="0"/>
      <w:marBottom w:val="0"/>
      <w:divBdr>
        <w:top w:val="none" w:sz="0" w:space="0" w:color="auto"/>
        <w:left w:val="none" w:sz="0" w:space="0" w:color="auto"/>
        <w:bottom w:val="none" w:sz="0" w:space="0" w:color="auto"/>
        <w:right w:val="none" w:sz="0" w:space="0" w:color="auto"/>
      </w:divBdr>
    </w:div>
    <w:div w:id="1002900533">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 w:id="135607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sac.gov.au/internet/msac/publishing.nsf/Content/4C2558B99B2EC07ACA25801000123B92/$File/PSD%201172%20BRAF%20for%20vemurafenib.pdf" TargetMode="External"/><Relationship Id="rId18" Type="http://schemas.openxmlformats.org/officeDocument/2006/relationships/hyperlink" Target="http://www.msac.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sac.gov.au/internet/msac/publishing.nsf/Content/DBE91D7AA74C5A3ECA25801000123B96/$File/1207-FinalPSD-BRAFforDabrafenib.PDF" TargetMode="External"/><Relationship Id="rId17" Type="http://schemas.openxmlformats.org/officeDocument/2006/relationships/hyperlink" Target="http://www.msac.gov.au/internet/msac/publishing.nsf/Content/4C2558B99B2EC07ACA25801000123B92/$File/PSD%201172%20BRAF%20for%20vemurafenib.pdf" TargetMode="External"/><Relationship Id="rId2" Type="http://schemas.openxmlformats.org/officeDocument/2006/relationships/numbering" Target="numbering.xml"/><Relationship Id="rId16" Type="http://schemas.openxmlformats.org/officeDocument/2006/relationships/hyperlink" Target="http://www.msac.gov.au/internet/msac/publishing.nsf/Content/1172-publi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internet/msac/publishing.nsf/Content/DBE91D7AA74C5A3ECA25801000123B96/$File/1207-FinalPSD-BRAFforDabrafenib.PDF" TargetMode="External"/><Relationship Id="rId5" Type="http://schemas.openxmlformats.org/officeDocument/2006/relationships/webSettings" Target="webSettings.xml"/><Relationship Id="rId15" Type="http://schemas.openxmlformats.org/officeDocument/2006/relationships/hyperlink" Target="http://www.msac.gov.au/internet/msac/publishing.nsf/Content/C9D6C6655BD5E938CA25801000123C1B/$File/1172.1_PSD.pdf" TargetMode="External"/><Relationship Id="rId10" Type="http://schemas.openxmlformats.org/officeDocument/2006/relationships/hyperlink" Target="http://www.msac.gov.au/internet/msac/publishing.nsf/Content/4528B9B4DFD40A67CA2583A600163DCE/$File/1543%20-%20Final%20PSD.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www.msac.gov.au/internet/msac/publishing.nsf/Content/1173-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74699-5B8A-4DBA-836F-2E0BEC898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9836</Words>
  <Characters>55710</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2021-07-09T11:20:00Z</dcterms:created>
  <dcterms:modified xsi:type="dcterms:W3CDTF">2021-07-13T10:26:00Z</dcterms:modified>
</cp:coreProperties>
</file>