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0AD03" w14:textId="77777777" w:rsidR="00E44B80" w:rsidRPr="00F637B3" w:rsidRDefault="00E44B80" w:rsidP="00E44B80">
      <w:pPr>
        <w:jc w:val="center"/>
        <w:rPr>
          <w:b/>
          <w:szCs w:val="20"/>
        </w:rPr>
      </w:pPr>
      <w:r w:rsidRPr="00F637B3">
        <w:rPr>
          <w:b/>
          <w:noProof/>
          <w:szCs w:val="20"/>
          <w:lang w:eastAsia="en-AU"/>
        </w:rPr>
        <w:drawing>
          <wp:inline distT="0" distB="0" distL="0" distR="0" wp14:anchorId="589B5941" wp14:editId="5ABC099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4DA2866" w14:textId="77777777" w:rsidR="008B2610" w:rsidRPr="006F20CF" w:rsidRDefault="008B2610" w:rsidP="00427E3A">
      <w:pPr>
        <w:pStyle w:val="Title"/>
        <w:spacing w:before="2600"/>
      </w:pPr>
      <w:r w:rsidRPr="001906CD">
        <w:t>Application Form</w:t>
      </w:r>
    </w:p>
    <w:p w14:paraId="410B98E6" w14:textId="19E6A8E0" w:rsidR="00CA3E41" w:rsidRPr="00427E3A" w:rsidRDefault="00CA3E41" w:rsidP="00427E3A">
      <w:pPr>
        <w:pStyle w:val="TitleBlue"/>
        <w:rPr>
          <w:color w:val="4472C4" w:themeColor="accent1"/>
        </w:rPr>
      </w:pPr>
      <w:r w:rsidRPr="00427E3A">
        <w:rPr>
          <w:color w:val="4472C4" w:themeColor="accent1"/>
        </w:rPr>
        <w:t>BRAF V600 mutation testing to determine eligibility for PBS access to Braftovi® (encorafenib) in patients with metastat</w:t>
      </w:r>
      <w:r w:rsidR="00427E3A" w:rsidRPr="00427E3A">
        <w:rPr>
          <w:color w:val="4472C4" w:themeColor="accent1"/>
        </w:rPr>
        <w:t>ic colorectal cancer (stage IV)</w:t>
      </w:r>
    </w:p>
    <w:p w14:paraId="10FACE40" w14:textId="4D931BA3" w:rsidR="00A12E4B" w:rsidRPr="00A12E4B" w:rsidRDefault="00CA3E41" w:rsidP="00AA02A6">
      <w:pPr>
        <w:pStyle w:val="Title"/>
        <w:spacing w:before="240" w:after="240"/>
      </w:pPr>
      <w:r w:rsidRPr="00D73646">
        <w:rPr>
          <w:sz w:val="28"/>
          <w:szCs w:val="28"/>
        </w:rPr>
        <w:t xml:space="preserve"> </w:t>
      </w:r>
      <w:r w:rsidR="00E44B80" w:rsidRPr="00D73646">
        <w:rPr>
          <w:sz w:val="28"/>
          <w:szCs w:val="28"/>
        </w:rPr>
        <w:t>(</w:t>
      </w:r>
      <w:r w:rsidR="001906CD" w:rsidRPr="00D73646">
        <w:rPr>
          <w:sz w:val="28"/>
          <w:szCs w:val="28"/>
        </w:rPr>
        <w:t>New and Amended</w:t>
      </w:r>
      <w:r>
        <w:rPr>
          <w:sz w:val="28"/>
          <w:szCs w:val="28"/>
        </w:rPr>
        <w:t xml:space="preserve"> </w:t>
      </w:r>
      <w:r w:rsidR="003433D1" w:rsidRPr="00D73646">
        <w:rPr>
          <w:sz w:val="28"/>
          <w:szCs w:val="28"/>
        </w:rPr>
        <w:t>Requests for Public Funding</w:t>
      </w:r>
      <w:r w:rsidR="008B2610" w:rsidRPr="00D73646">
        <w:rPr>
          <w:sz w:val="28"/>
          <w:szCs w:val="28"/>
        </w:rPr>
        <w:t>)</w:t>
      </w:r>
      <w:r w:rsidR="00AA02A6" w:rsidRPr="00A12E4B">
        <w:t xml:space="preserve"> </w:t>
      </w:r>
    </w:p>
    <w:p w14:paraId="6226B358" w14:textId="77777777" w:rsidR="00E75670" w:rsidRDefault="00D73646" w:rsidP="00E75670">
      <w:bookmarkStart w:id="0" w:name="_Toc443555803"/>
      <w:r>
        <w:rPr>
          <w:rStyle w:val="IntenseReference"/>
        </w:rPr>
        <w:br w:type="page"/>
      </w:r>
      <w:bookmarkEnd w:id="0"/>
    </w:p>
    <w:p w14:paraId="01BB10F6" w14:textId="77777777" w:rsidR="00E75670" w:rsidRDefault="00E75670" w:rsidP="00E75670">
      <w:pPr>
        <w:pStyle w:val="Heading1"/>
      </w:pPr>
      <w:r>
        <w:lastRenderedPageBreak/>
        <w:t xml:space="preserve">PART 1 – </w:t>
      </w:r>
      <w:r w:rsidRPr="00C776B1">
        <w:t>APPLICANT DETAILS</w:t>
      </w:r>
    </w:p>
    <w:p w14:paraId="0086669E" w14:textId="77777777" w:rsidR="00E75670" w:rsidRPr="003F5F85" w:rsidRDefault="00E75670" w:rsidP="00E75670">
      <w:pPr>
        <w:pStyle w:val="Heading2"/>
      </w:pPr>
      <w:r w:rsidRPr="003F5F85">
        <w:t>Applicant details (primary and alternative contacts)</w:t>
      </w:r>
    </w:p>
    <w:p w14:paraId="3F1B662F" w14:textId="5ECC6F1A" w:rsidR="00E75670" w:rsidRPr="003F5F85" w:rsidRDefault="00E75670" w:rsidP="00E75670">
      <w:pPr>
        <w:pBdr>
          <w:top w:val="single" w:sz="4" w:space="1" w:color="auto"/>
          <w:left w:val="single" w:sz="4" w:space="1" w:color="auto"/>
          <w:bottom w:val="single" w:sz="4" w:space="1" w:color="auto"/>
          <w:right w:val="single" w:sz="4" w:space="1" w:color="auto"/>
        </w:pBdr>
        <w:rPr>
          <w:szCs w:val="20"/>
        </w:rPr>
      </w:pPr>
      <w:r w:rsidRPr="003F5F85">
        <w:rPr>
          <w:szCs w:val="20"/>
        </w:rPr>
        <w:t xml:space="preserve">Corporation / partnership details (where relevant): </w:t>
      </w:r>
      <w:r w:rsidR="00841A75">
        <w:rPr>
          <w:szCs w:val="20"/>
        </w:rPr>
        <w:t>N/A</w:t>
      </w:r>
    </w:p>
    <w:p w14:paraId="192BFF0C" w14:textId="77777777" w:rsidR="00E75670" w:rsidRPr="003F5F85" w:rsidRDefault="00E75670" w:rsidP="00E75670">
      <w:pPr>
        <w:pBdr>
          <w:top w:val="single" w:sz="4" w:space="1" w:color="auto"/>
          <w:left w:val="single" w:sz="4" w:space="1" w:color="auto"/>
          <w:bottom w:val="single" w:sz="4" w:space="1" w:color="auto"/>
          <w:right w:val="single" w:sz="4" w:space="1" w:color="auto"/>
        </w:pBdr>
        <w:rPr>
          <w:szCs w:val="20"/>
        </w:rPr>
      </w:pPr>
      <w:r w:rsidRPr="003F5F85">
        <w:rPr>
          <w:szCs w:val="20"/>
        </w:rPr>
        <w:t>Corporation name: Pierre-Fabre Australia Pty Ltd</w:t>
      </w:r>
    </w:p>
    <w:p w14:paraId="47E43E42" w14:textId="77777777" w:rsidR="00E75670" w:rsidRPr="003F5F85" w:rsidRDefault="00E75670" w:rsidP="00E75670">
      <w:pPr>
        <w:pStyle w:val="Heading1"/>
        <w:pBdr>
          <w:top w:val="single" w:sz="4" w:space="1" w:color="auto"/>
          <w:left w:val="single" w:sz="4" w:space="1" w:color="auto"/>
          <w:bottom w:val="single" w:sz="4" w:space="1" w:color="auto"/>
          <w:right w:val="single" w:sz="4" w:space="1" w:color="auto"/>
        </w:pBdr>
        <w:spacing w:before="120" w:after="120"/>
        <w:rPr>
          <w:color w:val="auto"/>
          <w:sz w:val="20"/>
          <w:szCs w:val="20"/>
        </w:rPr>
      </w:pPr>
      <w:r w:rsidRPr="003F5F85">
        <w:rPr>
          <w:color w:val="auto"/>
          <w:sz w:val="20"/>
          <w:szCs w:val="20"/>
        </w:rPr>
        <w:t>ABN:  30 098 999 850</w:t>
      </w:r>
    </w:p>
    <w:p w14:paraId="1A354E15" w14:textId="77777777" w:rsidR="00E75670" w:rsidRPr="003F5F85" w:rsidRDefault="00E75670" w:rsidP="00E75670">
      <w:pPr>
        <w:pBdr>
          <w:top w:val="single" w:sz="4" w:space="1" w:color="auto"/>
          <w:left w:val="single" w:sz="4" w:space="1" w:color="auto"/>
          <w:bottom w:val="single" w:sz="4" w:space="1" w:color="auto"/>
          <w:right w:val="single" w:sz="4" w:space="1" w:color="auto"/>
        </w:pBdr>
        <w:rPr>
          <w:szCs w:val="20"/>
        </w:rPr>
      </w:pPr>
      <w:r w:rsidRPr="003F5F85">
        <w:rPr>
          <w:szCs w:val="20"/>
        </w:rPr>
        <w:t>Business trading name: Pierre-Fabre Australia Pty Ltd</w:t>
      </w:r>
    </w:p>
    <w:p w14:paraId="0A0148E2" w14:textId="77777777" w:rsidR="00E75670" w:rsidRPr="003F5F85" w:rsidRDefault="00E75670" w:rsidP="00E75670">
      <w:pPr>
        <w:rPr>
          <w:szCs w:val="20"/>
        </w:rPr>
      </w:pPr>
    </w:p>
    <w:p w14:paraId="6B4CC275" w14:textId="7D8616CB" w:rsidR="00E75670" w:rsidRPr="003F5F85" w:rsidRDefault="00E75670" w:rsidP="006455D8">
      <w:pPr>
        <w:pStyle w:val="xmsonormal"/>
        <w:shd w:val="clear" w:color="auto" w:fill="FFFFFF"/>
        <w:spacing w:before="120" w:beforeAutospacing="0" w:after="120" w:afterAutospacing="0"/>
        <w:rPr>
          <w:rFonts w:asciiTheme="minorHAnsi" w:hAnsiTheme="minorHAnsi"/>
          <w:sz w:val="20"/>
          <w:szCs w:val="20"/>
        </w:rPr>
      </w:pPr>
      <w:r w:rsidRPr="003F5F85">
        <w:rPr>
          <w:rFonts w:asciiTheme="minorHAnsi" w:hAnsiTheme="minorHAnsi"/>
          <w:b/>
          <w:sz w:val="20"/>
          <w:szCs w:val="20"/>
        </w:rPr>
        <w:t>Primary contact name</w:t>
      </w:r>
      <w:r w:rsidRPr="003F5F85">
        <w:rPr>
          <w:rFonts w:asciiTheme="minorHAnsi" w:hAnsiTheme="minorHAnsi"/>
          <w:sz w:val="20"/>
          <w:szCs w:val="20"/>
        </w:rPr>
        <w:t xml:space="preserve">: </w:t>
      </w:r>
      <w:r w:rsidR="006455D8">
        <w:rPr>
          <w:rFonts w:asciiTheme="minorHAnsi" w:hAnsiTheme="minorHAnsi"/>
          <w:bCs/>
          <w:sz w:val="20"/>
          <w:szCs w:val="20"/>
          <w:bdr w:val="none" w:sz="0" w:space="0" w:color="auto" w:frame="1"/>
          <w:lang w:val="en-US"/>
        </w:rPr>
        <w:t>REDACTED</w:t>
      </w:r>
    </w:p>
    <w:p w14:paraId="7ACD04F3" w14:textId="6DA2DB65" w:rsidR="00E75670" w:rsidRPr="003F5F85" w:rsidRDefault="00E75670" w:rsidP="00E75670">
      <w:pPr>
        <w:pBdr>
          <w:top w:val="single" w:sz="4" w:space="1" w:color="auto"/>
          <w:left w:val="single" w:sz="4" w:space="4" w:color="auto"/>
          <w:bottom w:val="single" w:sz="4" w:space="1" w:color="auto"/>
          <w:right w:val="single" w:sz="4" w:space="4" w:color="auto"/>
        </w:pBdr>
        <w:rPr>
          <w:szCs w:val="20"/>
        </w:rPr>
      </w:pPr>
      <w:r w:rsidRPr="003F5F85">
        <w:rPr>
          <w:szCs w:val="20"/>
        </w:rPr>
        <w:t>Primary contact numbers</w:t>
      </w:r>
      <w:r w:rsidR="00271F41">
        <w:rPr>
          <w:szCs w:val="20"/>
        </w:rPr>
        <w:t>:</w:t>
      </w:r>
    </w:p>
    <w:p w14:paraId="2643E79F" w14:textId="51AEC1F8" w:rsidR="00E75670" w:rsidRPr="003F5F85" w:rsidRDefault="00E75670" w:rsidP="00E75670">
      <w:pPr>
        <w:pBdr>
          <w:top w:val="single" w:sz="4" w:space="1" w:color="auto"/>
          <w:left w:val="single" w:sz="4" w:space="4" w:color="auto"/>
          <w:bottom w:val="single" w:sz="4" w:space="1" w:color="auto"/>
          <w:right w:val="single" w:sz="4" w:space="4" w:color="auto"/>
        </w:pBdr>
        <w:rPr>
          <w:szCs w:val="20"/>
        </w:rPr>
      </w:pPr>
      <w:r w:rsidRPr="003F5F85">
        <w:rPr>
          <w:szCs w:val="20"/>
        </w:rPr>
        <w:t xml:space="preserve">Business: </w:t>
      </w:r>
      <w:r w:rsidR="006455D8">
        <w:rPr>
          <w:bCs/>
          <w:szCs w:val="20"/>
          <w:bdr w:val="none" w:sz="0" w:space="0" w:color="auto" w:frame="1"/>
          <w:lang w:val="en-US"/>
        </w:rPr>
        <w:t>REDACTED</w:t>
      </w:r>
    </w:p>
    <w:p w14:paraId="7AB4FD96" w14:textId="77777777" w:rsidR="006455D8" w:rsidRDefault="00E75670" w:rsidP="00E75670">
      <w:pPr>
        <w:pBdr>
          <w:top w:val="single" w:sz="4" w:space="1" w:color="auto"/>
          <w:left w:val="single" w:sz="4" w:space="4" w:color="auto"/>
          <w:bottom w:val="single" w:sz="4" w:space="1" w:color="auto"/>
          <w:right w:val="single" w:sz="4" w:space="4" w:color="auto"/>
        </w:pBdr>
        <w:rPr>
          <w:szCs w:val="20"/>
        </w:rPr>
      </w:pPr>
      <w:r w:rsidRPr="003F5F85">
        <w:rPr>
          <w:szCs w:val="20"/>
        </w:rPr>
        <w:t>Mobile:</w:t>
      </w:r>
      <w:r w:rsidRPr="003F5F85">
        <w:rPr>
          <w:szCs w:val="20"/>
        </w:rPr>
        <w:tab/>
      </w:r>
      <w:r w:rsidR="006455D8">
        <w:rPr>
          <w:bCs/>
          <w:szCs w:val="20"/>
          <w:bdr w:val="none" w:sz="0" w:space="0" w:color="auto" w:frame="1"/>
          <w:lang w:val="en-US"/>
        </w:rPr>
        <w:t>REDACTED</w:t>
      </w:r>
      <w:r w:rsidR="006455D8" w:rsidRPr="003F5F85">
        <w:rPr>
          <w:szCs w:val="20"/>
        </w:rPr>
        <w:t xml:space="preserve"> </w:t>
      </w:r>
    </w:p>
    <w:p w14:paraId="6EB560FA" w14:textId="74BFB8C5" w:rsidR="00E75670" w:rsidRPr="003F5F85" w:rsidRDefault="00E75670" w:rsidP="00E75670">
      <w:pPr>
        <w:pBdr>
          <w:top w:val="single" w:sz="4" w:space="1" w:color="auto"/>
          <w:left w:val="single" w:sz="4" w:space="4" w:color="auto"/>
          <w:bottom w:val="single" w:sz="4" w:space="1" w:color="auto"/>
          <w:right w:val="single" w:sz="4" w:space="4" w:color="auto"/>
        </w:pBdr>
        <w:rPr>
          <w:szCs w:val="20"/>
        </w:rPr>
      </w:pPr>
      <w:r w:rsidRPr="003F5F85">
        <w:rPr>
          <w:szCs w:val="20"/>
        </w:rPr>
        <w:t xml:space="preserve">Email: </w:t>
      </w:r>
      <w:r w:rsidR="006455D8">
        <w:rPr>
          <w:bCs/>
          <w:szCs w:val="20"/>
          <w:bdr w:val="none" w:sz="0" w:space="0" w:color="auto" w:frame="1"/>
          <w:lang w:val="en-US"/>
        </w:rPr>
        <w:t>REDACTED</w:t>
      </w:r>
    </w:p>
    <w:p w14:paraId="3F564EA2" w14:textId="77777777" w:rsidR="00E75670" w:rsidRPr="003F5F85" w:rsidRDefault="00E75670" w:rsidP="00E75670">
      <w:pPr>
        <w:rPr>
          <w:b/>
          <w:szCs w:val="20"/>
        </w:rPr>
      </w:pPr>
    </w:p>
    <w:p w14:paraId="1B8CDAB4" w14:textId="468382B2" w:rsidR="00E75670" w:rsidRPr="003F5F85" w:rsidRDefault="00E75670" w:rsidP="006455D8">
      <w:pPr>
        <w:rPr>
          <w:b/>
          <w:szCs w:val="20"/>
        </w:rPr>
      </w:pPr>
      <w:r w:rsidRPr="003F5F85">
        <w:rPr>
          <w:b/>
          <w:szCs w:val="20"/>
        </w:rPr>
        <w:t xml:space="preserve">Alternative contact name: </w:t>
      </w:r>
      <w:r w:rsidR="006455D8">
        <w:rPr>
          <w:bCs/>
          <w:szCs w:val="20"/>
          <w:bdr w:val="none" w:sz="0" w:space="0" w:color="auto" w:frame="1"/>
          <w:lang w:val="en-US"/>
        </w:rPr>
        <w:t>REDACTED</w:t>
      </w:r>
    </w:p>
    <w:p w14:paraId="05AEF20D" w14:textId="77777777" w:rsidR="00E75670" w:rsidRPr="003F5F85" w:rsidRDefault="00E75670" w:rsidP="00E75670">
      <w:pPr>
        <w:pBdr>
          <w:top w:val="single" w:sz="4" w:space="1" w:color="auto"/>
          <w:left w:val="single" w:sz="4" w:space="1" w:color="auto"/>
          <w:bottom w:val="single" w:sz="4" w:space="1" w:color="auto"/>
          <w:right w:val="single" w:sz="4" w:space="1" w:color="auto"/>
        </w:pBdr>
        <w:rPr>
          <w:szCs w:val="20"/>
        </w:rPr>
      </w:pPr>
      <w:r w:rsidRPr="003F5F85">
        <w:rPr>
          <w:szCs w:val="20"/>
        </w:rPr>
        <w:t>Alternative contact numbers</w:t>
      </w:r>
      <w:r>
        <w:rPr>
          <w:szCs w:val="20"/>
        </w:rPr>
        <w:t>:</w:t>
      </w:r>
    </w:p>
    <w:p w14:paraId="23889B37" w14:textId="48C8E477" w:rsidR="00E75670" w:rsidRPr="003F5F85" w:rsidRDefault="00E75670" w:rsidP="00E75670">
      <w:pPr>
        <w:pBdr>
          <w:top w:val="single" w:sz="4" w:space="1" w:color="auto"/>
          <w:left w:val="single" w:sz="4" w:space="1" w:color="auto"/>
          <w:bottom w:val="single" w:sz="4" w:space="1" w:color="auto"/>
          <w:right w:val="single" w:sz="4" w:space="1" w:color="auto"/>
        </w:pBdr>
        <w:rPr>
          <w:szCs w:val="20"/>
        </w:rPr>
      </w:pPr>
      <w:r w:rsidRPr="003F5F85">
        <w:rPr>
          <w:szCs w:val="20"/>
        </w:rPr>
        <w:t xml:space="preserve">Business: </w:t>
      </w:r>
      <w:r w:rsidR="006455D8">
        <w:rPr>
          <w:bCs/>
          <w:szCs w:val="20"/>
          <w:bdr w:val="none" w:sz="0" w:space="0" w:color="auto" w:frame="1"/>
          <w:lang w:val="en-US"/>
        </w:rPr>
        <w:t>REDACTED</w:t>
      </w:r>
    </w:p>
    <w:p w14:paraId="4AB75330" w14:textId="16CAC95E" w:rsidR="00E75670" w:rsidRPr="003F5F85" w:rsidRDefault="00E75670" w:rsidP="00E75670">
      <w:pPr>
        <w:pBdr>
          <w:top w:val="single" w:sz="4" w:space="1" w:color="auto"/>
          <w:left w:val="single" w:sz="4" w:space="1" w:color="auto"/>
          <w:bottom w:val="single" w:sz="4" w:space="1" w:color="auto"/>
          <w:right w:val="single" w:sz="4" w:space="1" w:color="auto"/>
        </w:pBdr>
        <w:rPr>
          <w:szCs w:val="20"/>
        </w:rPr>
      </w:pPr>
      <w:r w:rsidRPr="003F5F85">
        <w:rPr>
          <w:szCs w:val="20"/>
        </w:rPr>
        <w:t xml:space="preserve">Mobile: </w:t>
      </w:r>
      <w:r w:rsidR="006455D8">
        <w:rPr>
          <w:bCs/>
          <w:szCs w:val="20"/>
          <w:bdr w:val="none" w:sz="0" w:space="0" w:color="auto" w:frame="1"/>
          <w:lang w:val="en-US"/>
        </w:rPr>
        <w:t>REDACTED</w:t>
      </w:r>
    </w:p>
    <w:p w14:paraId="75FF39D7" w14:textId="014416F0" w:rsidR="00E75670" w:rsidRPr="003F5F85" w:rsidRDefault="00E75670" w:rsidP="00E75670">
      <w:pPr>
        <w:pBdr>
          <w:top w:val="single" w:sz="4" w:space="1" w:color="auto"/>
          <w:left w:val="single" w:sz="4" w:space="1" w:color="auto"/>
          <w:bottom w:val="single" w:sz="4" w:space="1" w:color="auto"/>
          <w:right w:val="single" w:sz="4" w:space="1" w:color="auto"/>
        </w:pBdr>
        <w:rPr>
          <w:szCs w:val="20"/>
        </w:rPr>
      </w:pPr>
      <w:r w:rsidRPr="003F5F85">
        <w:rPr>
          <w:szCs w:val="20"/>
        </w:rPr>
        <w:t xml:space="preserve">Email: </w:t>
      </w:r>
      <w:r w:rsidR="006455D8">
        <w:rPr>
          <w:bCs/>
          <w:szCs w:val="20"/>
          <w:bdr w:val="none" w:sz="0" w:space="0" w:color="auto" w:frame="1"/>
          <w:lang w:val="en-US"/>
        </w:rPr>
        <w:t>REDACTED</w:t>
      </w:r>
    </w:p>
    <w:p w14:paraId="5B5AF267" w14:textId="77777777" w:rsidR="00E75670" w:rsidRPr="003F5F85" w:rsidRDefault="00E75670" w:rsidP="00E75670">
      <w:pPr>
        <w:rPr>
          <w:szCs w:val="20"/>
        </w:rPr>
      </w:pPr>
    </w:p>
    <w:p w14:paraId="4B1238A7" w14:textId="77777777" w:rsidR="00E75670" w:rsidRPr="003F5F85" w:rsidRDefault="00E75670" w:rsidP="00E75670">
      <w:pPr>
        <w:pStyle w:val="Heading2"/>
      </w:pPr>
      <w:r w:rsidRPr="003F5F85">
        <w:t>(a) Are you a lobbyist acting on behalf of an Applicant?</w:t>
      </w:r>
    </w:p>
    <w:p w14:paraId="15143357" w14:textId="35360984" w:rsidR="00E75670" w:rsidRPr="003F5F85" w:rsidRDefault="00E75670" w:rsidP="00E75670">
      <w:pPr>
        <w:spacing w:before="0" w:after="0"/>
        <w:ind w:left="426"/>
        <w:rPr>
          <w:szCs w:val="20"/>
        </w:rPr>
      </w:pPr>
      <w:r w:rsidRPr="003F5F85">
        <w:rPr>
          <w:szCs w:val="20"/>
        </w:rPr>
        <w:t>No</w:t>
      </w:r>
      <w:r w:rsidR="00F43346">
        <w:rPr>
          <w:szCs w:val="20"/>
        </w:rPr>
        <w:t>.</w:t>
      </w:r>
    </w:p>
    <w:p w14:paraId="43024DD2" w14:textId="77777777" w:rsidR="00E75670" w:rsidRPr="003F5F85" w:rsidRDefault="00E75670" w:rsidP="00E75670">
      <w:pPr>
        <w:pStyle w:val="Heading2"/>
        <w:numPr>
          <w:ilvl w:val="0"/>
          <w:numId w:val="23"/>
        </w:numPr>
      </w:pPr>
      <w:r w:rsidRPr="003F5F85">
        <w:t>If yes, are you listed on the Register of Lobbyists?</w:t>
      </w:r>
    </w:p>
    <w:p w14:paraId="4A705A7D" w14:textId="388BBDA8" w:rsidR="00E75670" w:rsidRPr="003F5F85" w:rsidRDefault="00E75670" w:rsidP="00E75670">
      <w:pPr>
        <w:ind w:firstLine="426"/>
        <w:rPr>
          <w:szCs w:val="20"/>
        </w:rPr>
      </w:pPr>
      <w:r w:rsidRPr="003F5F85">
        <w:rPr>
          <w:szCs w:val="20"/>
        </w:rPr>
        <w:t>Not applicable</w:t>
      </w:r>
      <w:r w:rsidR="00F43346">
        <w:rPr>
          <w:szCs w:val="20"/>
        </w:rPr>
        <w:t>.</w:t>
      </w:r>
    </w:p>
    <w:p w14:paraId="534C4826" w14:textId="77777777" w:rsidR="00E75670" w:rsidRPr="003F5F85" w:rsidRDefault="00E75670" w:rsidP="00E75670">
      <w:pPr>
        <w:rPr>
          <w:szCs w:val="20"/>
        </w:rPr>
      </w:pPr>
    </w:p>
    <w:p w14:paraId="3078B25F" w14:textId="77777777" w:rsidR="001B439C" w:rsidRDefault="001B439C">
      <w:pPr>
        <w:spacing w:before="0" w:after="200" w:line="276" w:lineRule="auto"/>
        <w:rPr>
          <w:bCs/>
          <w:color w:val="4472C4" w:themeColor="accent1"/>
          <w:sz w:val="40"/>
          <w:szCs w:val="32"/>
        </w:rPr>
      </w:pPr>
      <w:r>
        <w:br w:type="page"/>
      </w:r>
    </w:p>
    <w:p w14:paraId="215FB4D0" w14:textId="77777777" w:rsidR="005556DA" w:rsidRPr="00C776B1" w:rsidRDefault="005556DA" w:rsidP="005556DA">
      <w:pPr>
        <w:pStyle w:val="Heading1"/>
      </w:pPr>
      <w:r>
        <w:lastRenderedPageBreak/>
        <w:t xml:space="preserve">PART 2 – </w:t>
      </w:r>
      <w:r w:rsidRPr="00C776B1">
        <w:t>INFORMATION ABOUT THE PROPOSED MEDICAL SERVICE</w:t>
      </w:r>
    </w:p>
    <w:p w14:paraId="6FA86248" w14:textId="77777777" w:rsidR="005556DA" w:rsidRDefault="005556DA" w:rsidP="001B439C">
      <w:pPr>
        <w:pStyle w:val="Heading2"/>
        <w:jc w:val="both"/>
      </w:pPr>
      <w:r w:rsidRPr="00154B00">
        <w:t>Application title</w:t>
      </w:r>
      <w:r>
        <w:t xml:space="preserve"> </w:t>
      </w:r>
    </w:p>
    <w:p w14:paraId="29CF5261" w14:textId="77777777" w:rsidR="005556DA" w:rsidRDefault="005556DA" w:rsidP="006C03F9">
      <w:pPr>
        <w:ind w:left="360"/>
      </w:pPr>
      <w:r>
        <w:t xml:space="preserve">BRAF V600 mutation testing to determine eligibility for PBS access to </w:t>
      </w:r>
      <w:r w:rsidRPr="008579E0">
        <w:t xml:space="preserve">Braftovi® (encorafenib) </w:t>
      </w:r>
      <w:r>
        <w:t xml:space="preserve">in patients with </w:t>
      </w:r>
      <w:r w:rsidRPr="008579E0">
        <w:t>metastatic colorectal cancer</w:t>
      </w:r>
      <w:r w:rsidR="00AF066D">
        <w:t xml:space="preserve"> (mCRC)</w:t>
      </w:r>
      <w:r w:rsidRPr="008579E0">
        <w:t xml:space="preserve"> (stage IV)</w:t>
      </w:r>
      <w:r>
        <w:t>.</w:t>
      </w:r>
    </w:p>
    <w:p w14:paraId="11980E36" w14:textId="18780884" w:rsidR="005556DA" w:rsidRDefault="005556DA" w:rsidP="006C03F9">
      <w:pPr>
        <w:ind w:left="360"/>
      </w:pPr>
      <w:r>
        <w:t xml:space="preserve">This </w:t>
      </w:r>
      <w:r w:rsidR="009755D8">
        <w:t>is part of a</w:t>
      </w:r>
      <w:r>
        <w:t xml:space="preserve"> co-dependent submission</w:t>
      </w:r>
      <w:r w:rsidR="00AF066D">
        <w:t xml:space="preserve"> to the PBAC</w:t>
      </w:r>
      <w:r w:rsidR="0066449F">
        <w:t>.</w:t>
      </w:r>
    </w:p>
    <w:p w14:paraId="1165DF39" w14:textId="77777777" w:rsidR="005556DA" w:rsidRPr="00506F30" w:rsidRDefault="005556DA" w:rsidP="006C03F9">
      <w:pPr>
        <w:ind w:left="360"/>
        <w:rPr>
          <w:rFonts w:eastAsia="Times New Roman" w:cs="Helvetica"/>
          <w:i/>
          <w:iCs/>
          <w:lang w:eastAsia="en-AU"/>
        </w:rPr>
      </w:pPr>
      <w:r w:rsidRPr="00506F30">
        <w:rPr>
          <w:i/>
          <w:iCs/>
        </w:rPr>
        <w:t>Detailed description</w:t>
      </w:r>
      <w:r w:rsidRPr="00506F30">
        <w:rPr>
          <w:rFonts w:eastAsia="Times New Roman" w:cs="Helvetica"/>
          <w:i/>
          <w:iCs/>
          <w:lang w:eastAsia="en-AU"/>
        </w:rPr>
        <w:t xml:space="preserve">: </w:t>
      </w:r>
    </w:p>
    <w:p w14:paraId="0C314AA1" w14:textId="77777777" w:rsidR="008D74AB" w:rsidRDefault="005556DA" w:rsidP="006C03F9">
      <w:pPr>
        <w:ind w:left="360"/>
        <w:rPr>
          <w:rFonts w:eastAsia="Times New Roman" w:cs="Helvetica"/>
          <w:lang w:eastAsia="en-AU"/>
        </w:rPr>
      </w:pPr>
      <w:r>
        <w:rPr>
          <w:rFonts w:eastAsia="Times New Roman" w:cs="Helvetica"/>
          <w:lang w:eastAsia="en-AU"/>
        </w:rPr>
        <w:t>This application proposes that BRAF</w:t>
      </w:r>
      <w:r w:rsidR="00AF066D">
        <w:rPr>
          <w:rFonts w:eastAsia="Times New Roman" w:cs="Helvetica"/>
          <w:lang w:eastAsia="en-AU"/>
        </w:rPr>
        <w:t xml:space="preserve"> V600 mutation</w:t>
      </w:r>
      <w:r>
        <w:rPr>
          <w:rFonts w:eastAsia="Times New Roman" w:cs="Helvetica"/>
          <w:lang w:eastAsia="en-AU"/>
        </w:rPr>
        <w:t xml:space="preserve"> testing is added to the MBS item (73338) which currently </w:t>
      </w:r>
      <w:r w:rsidR="00AF066D">
        <w:rPr>
          <w:rFonts w:eastAsia="Times New Roman" w:cs="Helvetica"/>
          <w:lang w:eastAsia="en-AU"/>
        </w:rPr>
        <w:t>cover</w:t>
      </w:r>
      <w:r>
        <w:rPr>
          <w:rFonts w:eastAsia="Times New Roman" w:cs="Helvetica"/>
          <w:lang w:eastAsia="en-AU"/>
        </w:rPr>
        <w:t xml:space="preserve">s </w:t>
      </w:r>
      <w:r w:rsidR="00AF066D">
        <w:rPr>
          <w:rFonts w:eastAsia="Times New Roman" w:cs="Helvetica"/>
          <w:lang w:eastAsia="en-AU"/>
        </w:rPr>
        <w:t>a</w:t>
      </w:r>
      <w:r w:rsidR="00AF066D" w:rsidRPr="00AF066D">
        <w:rPr>
          <w:rFonts w:eastAsia="Times New Roman" w:cs="Helvetica"/>
          <w:lang w:eastAsia="en-AU"/>
        </w:rPr>
        <w:t xml:space="preserve"> test of tumour tissue from a patient with </w:t>
      </w:r>
      <w:r w:rsidR="00AF066D">
        <w:rPr>
          <w:rFonts w:eastAsia="Times New Roman" w:cs="Helvetica"/>
          <w:lang w:eastAsia="en-AU"/>
        </w:rPr>
        <w:t>mCRC</w:t>
      </w:r>
      <w:r w:rsidR="00AF066D" w:rsidRPr="00AF066D">
        <w:rPr>
          <w:rFonts w:eastAsia="Times New Roman" w:cs="Helvetica"/>
          <w:lang w:eastAsia="en-AU"/>
        </w:rPr>
        <w:t xml:space="preserve"> (stage IV), requested by a specialist or consultant physician, to determine if the requirements relating to rat sarcoma oncogene (RAS) gene mutation status for access to cetuximab or panitumumab under the Pharmaceutical Benefits Scheme (PBS) are fulfilled</w:t>
      </w:r>
      <w:r>
        <w:rPr>
          <w:rFonts w:eastAsia="Times New Roman" w:cs="Helvetica"/>
          <w:lang w:eastAsia="en-AU"/>
        </w:rPr>
        <w:t xml:space="preserve">.  </w:t>
      </w:r>
    </w:p>
    <w:p w14:paraId="5A08A973" w14:textId="77777777" w:rsidR="005556DA" w:rsidRDefault="005556DA" w:rsidP="006C03F9">
      <w:pPr>
        <w:ind w:left="360"/>
      </w:pPr>
      <w:r>
        <w:rPr>
          <w:rFonts w:eastAsia="Times New Roman" w:cs="Helvetica"/>
          <w:lang w:eastAsia="en-AU"/>
        </w:rPr>
        <w:t xml:space="preserve">This application contends that RAS mutation testing is determined using a somatic tumour gene panel test, which </w:t>
      </w:r>
      <w:r w:rsidR="00CA64D6">
        <w:rPr>
          <w:rFonts w:eastAsia="Times New Roman" w:cs="Helvetica"/>
          <w:lang w:eastAsia="en-AU"/>
        </w:rPr>
        <w:t xml:space="preserve">already </w:t>
      </w:r>
      <w:r w:rsidR="001B439C">
        <w:rPr>
          <w:rFonts w:eastAsia="Times New Roman" w:cs="Helvetica"/>
          <w:lang w:eastAsia="en-AU"/>
        </w:rPr>
        <w:t xml:space="preserve">routinely </w:t>
      </w:r>
      <w:r>
        <w:rPr>
          <w:rFonts w:eastAsia="Times New Roman" w:cs="Helvetica"/>
          <w:lang w:eastAsia="en-AU"/>
        </w:rPr>
        <w:t xml:space="preserve">includes a BRAF </w:t>
      </w:r>
      <w:r w:rsidR="00AF066D">
        <w:rPr>
          <w:rFonts w:eastAsia="Times New Roman" w:cs="Helvetica"/>
          <w:lang w:eastAsia="en-AU"/>
        </w:rPr>
        <w:t xml:space="preserve">V600 </w:t>
      </w:r>
      <w:r>
        <w:rPr>
          <w:rFonts w:eastAsia="Times New Roman" w:cs="Helvetica"/>
          <w:lang w:eastAsia="en-AU"/>
        </w:rPr>
        <w:t xml:space="preserve">mutation test.  Since the determination of BRAF mutation status will guide the use of </w:t>
      </w:r>
      <w:r w:rsidRPr="008170E6">
        <w:t xml:space="preserve">encorafenib </w:t>
      </w:r>
      <w:r>
        <w:t>in the treatment of mCRC, this application seeks to formalise current clinical practice.</w:t>
      </w:r>
    </w:p>
    <w:p w14:paraId="19598C01" w14:textId="238E3AD1" w:rsidR="005556DA" w:rsidRPr="008170E6" w:rsidRDefault="00AF066D" w:rsidP="006C03F9">
      <w:pPr>
        <w:ind w:left="360"/>
        <w:rPr>
          <w:rFonts w:eastAsia="Times New Roman" w:cs="Helvetica"/>
          <w:lang w:eastAsia="en-AU"/>
        </w:rPr>
      </w:pPr>
      <w:r>
        <w:t>An</w:t>
      </w:r>
      <w:r w:rsidR="005556DA">
        <w:t xml:space="preserve"> application will be lodged with the PBAC</w:t>
      </w:r>
      <w:r w:rsidR="00F73F84">
        <w:t xml:space="preserve"> to seek PBS listing of these medicines for the treatment of BRAF V600 mutated mCRC</w:t>
      </w:r>
      <w:r w:rsidR="005556DA">
        <w:t>.</w:t>
      </w:r>
    </w:p>
    <w:p w14:paraId="4E4E6F90" w14:textId="77777777" w:rsidR="005556DA" w:rsidRDefault="005556DA" w:rsidP="005556DA">
      <w:pPr>
        <w:pStyle w:val="Heading2"/>
      </w:pPr>
      <w:r w:rsidRPr="00154B00">
        <w:t>Provide a succinct description of the medical condition relevant to the proposed service (no more than 150 words</w:t>
      </w:r>
      <w:r>
        <w:t xml:space="preserve"> – further information will be requested at Part F of the Application Form</w:t>
      </w:r>
      <w:r w:rsidRPr="00154B00">
        <w:t>)</w:t>
      </w:r>
    </w:p>
    <w:p w14:paraId="321ABFBB" w14:textId="77777777" w:rsidR="005556DA" w:rsidRPr="008B7EAC" w:rsidRDefault="005556DA" w:rsidP="006C03F9">
      <w:pPr>
        <w:ind w:left="360"/>
      </w:pPr>
      <w:r w:rsidRPr="008B7EAC">
        <w:t>C</w:t>
      </w:r>
      <w:r w:rsidR="00F73F84">
        <w:t>olorectal cancer</w:t>
      </w:r>
      <w:r w:rsidRPr="008B7EAC">
        <w:t xml:space="preserve"> is caused by an accumulation of mutations driving the transformation of cells lining the colon or rectum to polyps, which upon further mutations and growth can turn into cancerous adenocarcinoma cells. </w:t>
      </w:r>
      <w:r w:rsidR="001B439C">
        <w:t xml:space="preserve"> </w:t>
      </w:r>
      <w:r w:rsidRPr="008B7EAC">
        <w:t>Approximately 50% of CRC cases are diagnosed at Stage III or IV when cancer has already spread to the lymph nodes or beyond.</w:t>
      </w:r>
    </w:p>
    <w:p w14:paraId="473A294C" w14:textId="77777777" w:rsidR="005556DA" w:rsidRPr="008B7EAC" w:rsidRDefault="00F73F84" w:rsidP="006C03F9">
      <w:pPr>
        <w:ind w:left="360"/>
        <w:rPr>
          <w:lang w:val="en-GB"/>
        </w:rPr>
      </w:pPr>
      <w:r w:rsidRPr="008B7EAC">
        <w:t>C</w:t>
      </w:r>
      <w:r>
        <w:t>olorectal cancer</w:t>
      </w:r>
      <w:r w:rsidR="005556DA" w:rsidRPr="008B7EAC">
        <w:t xml:space="preserve"> is the second most common cancer in both men and women in Australia</w:t>
      </w:r>
      <w:r w:rsidR="00CA64D6">
        <w:t>;</w:t>
      </w:r>
      <w:r w:rsidR="005556DA" w:rsidRPr="008B7EAC">
        <w:t xml:space="preserve"> is more common in people over the age of </w:t>
      </w:r>
      <w:r w:rsidRPr="008B7EAC">
        <w:t>50</w:t>
      </w:r>
      <w:r w:rsidR="00CA64D6">
        <w:t>,</w:t>
      </w:r>
      <w:r>
        <w:t xml:space="preserve"> and</w:t>
      </w:r>
      <w:r w:rsidR="005556DA" w:rsidRPr="008B7EAC">
        <w:t xml:space="preserve"> has a five-year survival rate of 69%.  However, </w:t>
      </w:r>
      <w:r w:rsidR="008D74AB">
        <w:t xml:space="preserve">the </w:t>
      </w:r>
      <w:r w:rsidR="005556DA" w:rsidRPr="008B7EAC">
        <w:rPr>
          <w:lang w:val="en-GB"/>
        </w:rPr>
        <w:t>five-year survival rate significantly decreases to 11% in metastatic disease.</w:t>
      </w:r>
    </w:p>
    <w:p w14:paraId="1D4F2393" w14:textId="77777777" w:rsidR="001B439C" w:rsidRDefault="005556DA" w:rsidP="006C03F9">
      <w:pPr>
        <w:ind w:left="360"/>
      </w:pPr>
      <w:r w:rsidRPr="008B7EAC">
        <w:t xml:space="preserve">Approximately 55% of mCRC patients are RAS wild type and 45% have the RAS mutation.  BRAF mutations are estimated to occur in around 10% of patients with mCRC; RAS and RAF mutations are nearly always mutually exclusive.  The V600 mutation is the most common BRAF </w:t>
      </w:r>
      <w:r w:rsidRPr="008B7EAC">
        <w:lastRenderedPageBreak/>
        <w:t xml:space="preserve">mutation and the risk of mortality in patients with BRAF V600 mutation is higher than those with wild-type BRAF. </w:t>
      </w:r>
      <w:r w:rsidR="001B439C">
        <w:t xml:space="preserve"> </w:t>
      </w:r>
    </w:p>
    <w:p w14:paraId="00148583" w14:textId="77777777" w:rsidR="005556DA" w:rsidRPr="008B7EAC" w:rsidRDefault="005556DA" w:rsidP="006C03F9">
      <w:pPr>
        <w:ind w:left="360"/>
      </w:pPr>
      <w:r w:rsidRPr="008B7EAC">
        <w:t xml:space="preserve">The BRAF </w:t>
      </w:r>
      <w:r w:rsidR="00F73F84">
        <w:t xml:space="preserve">V600 </w:t>
      </w:r>
      <w:r w:rsidRPr="008B7EAC">
        <w:t xml:space="preserve">mutation identifies a distinct subtype of </w:t>
      </w:r>
      <w:r w:rsidR="00F73F84">
        <w:t>m</w:t>
      </w:r>
      <w:r w:rsidR="001B439C">
        <w:t>CRC</w:t>
      </w:r>
      <w:r w:rsidRPr="008B7EAC">
        <w:t xml:space="preserve"> that has a poor prognosis with no targeted therapies currently available.  </w:t>
      </w:r>
    </w:p>
    <w:p w14:paraId="35E472E4" w14:textId="77777777" w:rsidR="005556DA" w:rsidRDefault="005556DA" w:rsidP="005556DA">
      <w:pPr>
        <w:pStyle w:val="Heading2"/>
      </w:pPr>
      <w:r w:rsidRPr="00154B00">
        <w:t>Provide a succinct description of the proposed medical service (no more than 150 words</w:t>
      </w:r>
      <w:r>
        <w:t xml:space="preserve"> – further information will be requested at Part 6 of the Application Form</w:t>
      </w:r>
      <w:r w:rsidRPr="00154B00">
        <w:t>)</w:t>
      </w:r>
    </w:p>
    <w:p w14:paraId="18185FC2" w14:textId="77777777" w:rsidR="005556DA" w:rsidRPr="008B7EAC" w:rsidRDefault="005556DA" w:rsidP="006C03F9">
      <w:pPr>
        <w:ind w:left="360"/>
      </w:pPr>
      <w:r w:rsidRPr="0076113C">
        <w:t xml:space="preserve">The intention is to have </w:t>
      </w:r>
      <w:r>
        <w:t xml:space="preserve">specific </w:t>
      </w:r>
      <w:r w:rsidRPr="0076113C">
        <w:t xml:space="preserve">mention of BRAF </w:t>
      </w:r>
      <w:r w:rsidR="00F73F84">
        <w:t>V600 mutation</w:t>
      </w:r>
      <w:r w:rsidRPr="0076113C">
        <w:t xml:space="preserve"> testing in the current MBS code for gene </w:t>
      </w:r>
      <w:r w:rsidRPr="008B7EAC">
        <w:t xml:space="preserve">testing for mCRC, being MBS item 73338.  </w:t>
      </w:r>
    </w:p>
    <w:p w14:paraId="7A1E6187" w14:textId="77777777" w:rsidR="005556DA" w:rsidRPr="00BE140F" w:rsidRDefault="005556DA" w:rsidP="006C03F9">
      <w:pPr>
        <w:ind w:left="360"/>
        <w:rPr>
          <w:rFonts w:eastAsia="Times New Roman" w:cs="Helvetica"/>
          <w:lang w:eastAsia="en-AU"/>
        </w:rPr>
      </w:pPr>
      <w:r w:rsidRPr="00BE140F">
        <w:t>Currently, patients with the RAS gene mutation in mCRC have access to gene mutation testing under MBS item 7</w:t>
      </w:r>
      <w:r w:rsidRPr="00BE140F">
        <w:rPr>
          <w:rFonts w:eastAsia="Times New Roman" w:cs="Helvetica"/>
          <w:lang w:eastAsia="en-AU"/>
        </w:rPr>
        <w:t xml:space="preserve">3338 </w:t>
      </w:r>
      <w:r w:rsidRPr="00BE140F">
        <w:t xml:space="preserve">in order to receive targeted treatment </w:t>
      </w:r>
      <w:r w:rsidRPr="00BE140F">
        <w:rPr>
          <w:rFonts w:eastAsia="Times New Roman" w:cs="Helvetica"/>
          <w:lang w:eastAsia="en-AU"/>
        </w:rPr>
        <w:t>with PBS funded cetuximab or panitumumab.</w:t>
      </w:r>
    </w:p>
    <w:p w14:paraId="7A905FE4" w14:textId="77777777" w:rsidR="005556DA" w:rsidRPr="00BE140F" w:rsidRDefault="005556DA" w:rsidP="006C03F9">
      <w:pPr>
        <w:ind w:left="360"/>
        <w:rPr>
          <w:rFonts w:cs="Segoe UI"/>
        </w:rPr>
      </w:pPr>
      <w:r w:rsidRPr="00BE140F">
        <w:rPr>
          <w:rFonts w:eastAsia="Times New Roman" w:cs="Helvetica"/>
          <w:lang w:eastAsia="en-AU"/>
        </w:rPr>
        <w:t xml:space="preserve">BRAF testing is not explicitly mentioned in MBS code 73338, but it is currently routinely performed and reported as part of </w:t>
      </w:r>
      <w:r w:rsidRPr="00BE140F">
        <w:rPr>
          <w:rFonts w:cs="Segoe UI"/>
          <w:bdr w:val="none" w:sz="0" w:space="0" w:color="auto" w:frame="1"/>
        </w:rPr>
        <w:t xml:space="preserve">next generation sequencing tumour gene panels.  For example, the most widely used next generation panel is </w:t>
      </w:r>
      <w:r w:rsidRPr="008D74AB">
        <w:rPr>
          <w:rFonts w:cs="Segoe UI"/>
          <w:bCs/>
          <w:bdr w:val="none" w:sz="0" w:space="0" w:color="auto" w:frame="1"/>
        </w:rPr>
        <w:t>Find-It™</w:t>
      </w:r>
      <w:r w:rsidR="001B439C" w:rsidRPr="008D74AB">
        <w:rPr>
          <w:rFonts w:cs="Segoe UI"/>
          <w:bdr w:val="none" w:sz="0" w:space="0" w:color="auto" w:frame="1"/>
        </w:rPr>
        <w:t>,</w:t>
      </w:r>
      <w:r w:rsidRPr="00BE140F">
        <w:rPr>
          <w:rFonts w:cs="Segoe UI"/>
          <w:bdr w:val="none" w:sz="0" w:space="0" w:color="auto" w:frame="1"/>
        </w:rPr>
        <w:t xml:space="preserve"> which is a ‘focused’ panel for colorectal testing, </w:t>
      </w:r>
      <w:r w:rsidR="008D74AB">
        <w:rPr>
          <w:rFonts w:cs="Segoe UI"/>
          <w:bdr w:val="none" w:sz="0" w:space="0" w:color="auto" w:frame="1"/>
        </w:rPr>
        <w:t xml:space="preserve">and </w:t>
      </w:r>
      <w:r w:rsidRPr="00BE140F">
        <w:rPr>
          <w:rFonts w:cs="Segoe UI"/>
          <w:bdr w:val="none" w:sz="0" w:space="0" w:color="auto" w:frame="1"/>
        </w:rPr>
        <w:t xml:space="preserve">which reports on the mutation status of 4 genes: </w:t>
      </w:r>
      <w:r w:rsidR="001B439C" w:rsidRPr="00BE140F">
        <w:rPr>
          <w:rFonts w:cs="Segoe UI"/>
          <w:bdr w:val="none" w:sz="0" w:space="0" w:color="auto" w:frame="1"/>
        </w:rPr>
        <w:t xml:space="preserve"> </w:t>
      </w:r>
      <w:r w:rsidRPr="00BE140F">
        <w:rPr>
          <w:rFonts w:cs="Segoe UI"/>
          <w:bdr w:val="none" w:sz="0" w:space="0" w:color="auto" w:frame="1"/>
        </w:rPr>
        <w:t>RAS, BRAF, NRAS and PIK3CA.</w:t>
      </w:r>
    </w:p>
    <w:p w14:paraId="0FBBA4BE" w14:textId="77777777" w:rsidR="00CA64D6" w:rsidRPr="00BE140F" w:rsidRDefault="00CA64D6" w:rsidP="006C03F9">
      <w:pPr>
        <w:ind w:left="360"/>
      </w:pPr>
      <w:r w:rsidRPr="00BE140F">
        <w:t>Grouping the mutation testing for RAS and BRAF for patients with mCRC under the same MBS item number is logical, since this provides a more complete picture of gene mutation to best direct the choice of subsequent therapeutic intervention.  Both RAS and BRAF mutation status are determined using a gene panel test of the same tumour tissue sample.</w:t>
      </w:r>
    </w:p>
    <w:p w14:paraId="558BAE95" w14:textId="77777777" w:rsidR="005556DA" w:rsidRPr="001B439C" w:rsidRDefault="005556DA" w:rsidP="005556DA">
      <w:pPr>
        <w:pStyle w:val="Heading2"/>
        <w:rPr>
          <w:rStyle w:val="Strong"/>
          <w:b/>
        </w:rPr>
      </w:pPr>
      <w:r w:rsidRPr="001B439C">
        <w:rPr>
          <w:rStyle w:val="Strong"/>
          <w:b/>
        </w:rPr>
        <w:t xml:space="preserve"> (a) Is this a request for MBS funding?</w:t>
      </w:r>
    </w:p>
    <w:p w14:paraId="6AB57280" w14:textId="77777777" w:rsidR="005556DA" w:rsidRPr="00271F41" w:rsidRDefault="00382D7A" w:rsidP="00271F41">
      <w:pPr>
        <w:spacing w:before="0" w:after="0"/>
        <w:ind w:left="360"/>
        <w:rPr>
          <w:szCs w:val="20"/>
        </w:rPr>
      </w:pPr>
      <w:r w:rsidRPr="00271F41">
        <w:rPr>
          <w:szCs w:val="20"/>
        </w:rPr>
        <w:fldChar w:fldCharType="begin">
          <w:ffData>
            <w:name w:val="Check2"/>
            <w:enabled/>
            <w:calcOnExit w:val="0"/>
            <w:checkBox>
              <w:sizeAuto/>
              <w:default w:val="1"/>
            </w:checkBox>
          </w:ffData>
        </w:fldChar>
      </w:r>
      <w:bookmarkStart w:id="1" w:name="Check2"/>
      <w:r w:rsidR="005556DA" w:rsidRPr="00271F41">
        <w:rPr>
          <w:szCs w:val="20"/>
        </w:rPr>
        <w:instrText xml:space="preserve"> FORMCHECKBOX </w:instrText>
      </w:r>
      <w:r w:rsidR="00427E3A">
        <w:rPr>
          <w:szCs w:val="20"/>
        </w:rPr>
      </w:r>
      <w:r w:rsidR="00427E3A">
        <w:rPr>
          <w:szCs w:val="20"/>
        </w:rPr>
        <w:fldChar w:fldCharType="separate"/>
      </w:r>
      <w:r w:rsidRPr="00271F41">
        <w:rPr>
          <w:szCs w:val="20"/>
        </w:rPr>
        <w:fldChar w:fldCharType="end"/>
      </w:r>
      <w:bookmarkEnd w:id="1"/>
      <w:r w:rsidR="005556DA" w:rsidRPr="00271F41">
        <w:rPr>
          <w:szCs w:val="20"/>
        </w:rPr>
        <w:t xml:space="preserve"> Yes</w:t>
      </w:r>
    </w:p>
    <w:bookmarkStart w:id="2" w:name="_Hlk24360977"/>
    <w:p w14:paraId="4DF699AD" w14:textId="33F2AE5C" w:rsidR="005556DA" w:rsidRPr="00271F41" w:rsidRDefault="00382D7A" w:rsidP="00271F41">
      <w:pPr>
        <w:spacing w:before="0" w:after="0"/>
        <w:ind w:left="360"/>
        <w:rPr>
          <w:szCs w:val="20"/>
        </w:rPr>
      </w:pPr>
      <w:r w:rsidRPr="00271F41">
        <w:rPr>
          <w:szCs w:val="20"/>
        </w:rPr>
        <w:fldChar w:fldCharType="begin">
          <w:ffData>
            <w:name w:val="Check2"/>
            <w:enabled/>
            <w:calcOnExit w:val="0"/>
            <w:checkBox>
              <w:sizeAuto/>
              <w:default w:val="0"/>
            </w:checkBox>
          </w:ffData>
        </w:fldChar>
      </w:r>
      <w:r w:rsidR="005556DA" w:rsidRPr="00271F41">
        <w:rPr>
          <w:szCs w:val="20"/>
        </w:rPr>
        <w:instrText xml:space="preserve"> FORMCHECKBOX </w:instrText>
      </w:r>
      <w:r w:rsidR="00427E3A">
        <w:rPr>
          <w:szCs w:val="20"/>
        </w:rPr>
      </w:r>
      <w:r w:rsidR="00427E3A">
        <w:rPr>
          <w:szCs w:val="20"/>
        </w:rPr>
        <w:fldChar w:fldCharType="separate"/>
      </w:r>
      <w:r w:rsidRPr="00271F41">
        <w:rPr>
          <w:szCs w:val="20"/>
        </w:rPr>
        <w:fldChar w:fldCharType="end"/>
      </w:r>
      <w:r w:rsidR="005556DA" w:rsidRPr="00271F41">
        <w:rPr>
          <w:szCs w:val="20"/>
        </w:rPr>
        <w:t xml:space="preserve"> </w:t>
      </w:r>
      <w:bookmarkEnd w:id="2"/>
      <w:r w:rsidR="005556DA" w:rsidRPr="00271F41">
        <w:rPr>
          <w:szCs w:val="20"/>
        </w:rPr>
        <w:t xml:space="preserve">No  </w:t>
      </w:r>
    </w:p>
    <w:p w14:paraId="08726163" w14:textId="77777777" w:rsidR="005556DA" w:rsidRPr="00271F41" w:rsidRDefault="005556DA" w:rsidP="005556DA">
      <w:pPr>
        <w:pStyle w:val="Heading2"/>
        <w:numPr>
          <w:ilvl w:val="0"/>
          <w:numId w:val="24"/>
        </w:numPr>
        <w:rPr>
          <w:rStyle w:val="Strong"/>
          <w:b/>
          <w:bCs/>
        </w:rPr>
      </w:pPr>
      <w:r w:rsidRPr="00271F41">
        <w:rPr>
          <w:rStyle w:val="Strong"/>
          <w:b/>
          <w:bCs/>
        </w:rPr>
        <w:t>If yes, is the medical service(s) proposed to be covered under an existing MBS item number(s) or is a new MBS item(s) being sought altogether?</w:t>
      </w:r>
    </w:p>
    <w:p w14:paraId="270EB6C8" w14:textId="77777777" w:rsidR="005556DA" w:rsidRPr="00271F41" w:rsidRDefault="00382D7A" w:rsidP="00271F41">
      <w:pPr>
        <w:spacing w:before="0" w:after="0"/>
        <w:ind w:left="360"/>
        <w:rPr>
          <w:szCs w:val="20"/>
        </w:rPr>
      </w:pPr>
      <w:r w:rsidRPr="00271F41">
        <w:rPr>
          <w:szCs w:val="20"/>
        </w:rPr>
        <w:fldChar w:fldCharType="begin">
          <w:ffData>
            <w:name w:val=""/>
            <w:enabled/>
            <w:calcOnExit w:val="0"/>
            <w:checkBox>
              <w:sizeAuto/>
              <w:default w:val="1"/>
            </w:checkBox>
          </w:ffData>
        </w:fldChar>
      </w:r>
      <w:r w:rsidR="005556DA" w:rsidRPr="00271F41">
        <w:rPr>
          <w:szCs w:val="20"/>
        </w:rPr>
        <w:instrText xml:space="preserve"> FORMCHECKBOX </w:instrText>
      </w:r>
      <w:r w:rsidR="00427E3A">
        <w:rPr>
          <w:szCs w:val="20"/>
        </w:rPr>
      </w:r>
      <w:r w:rsidR="00427E3A">
        <w:rPr>
          <w:szCs w:val="20"/>
        </w:rPr>
        <w:fldChar w:fldCharType="separate"/>
      </w:r>
      <w:r w:rsidRPr="00271F41">
        <w:rPr>
          <w:szCs w:val="20"/>
        </w:rPr>
        <w:fldChar w:fldCharType="end"/>
      </w:r>
      <w:r w:rsidR="005556DA" w:rsidRPr="00271F41">
        <w:rPr>
          <w:szCs w:val="20"/>
        </w:rPr>
        <w:t xml:space="preserve"> Amendment to existing MBS item(s)</w:t>
      </w:r>
    </w:p>
    <w:p w14:paraId="7A86E9C0" w14:textId="6250DA94" w:rsidR="005556DA" w:rsidRPr="00271F41" w:rsidRDefault="00382D7A" w:rsidP="00271F41">
      <w:pPr>
        <w:spacing w:before="0" w:after="0"/>
        <w:ind w:left="360"/>
        <w:rPr>
          <w:szCs w:val="20"/>
        </w:rPr>
      </w:pPr>
      <w:r w:rsidRPr="00271F41">
        <w:rPr>
          <w:szCs w:val="20"/>
        </w:rPr>
        <w:fldChar w:fldCharType="begin">
          <w:ffData>
            <w:name w:val="Check2"/>
            <w:enabled/>
            <w:calcOnExit w:val="0"/>
            <w:checkBox>
              <w:sizeAuto/>
              <w:default w:val="0"/>
            </w:checkBox>
          </w:ffData>
        </w:fldChar>
      </w:r>
      <w:r w:rsidR="005556DA" w:rsidRPr="00271F41">
        <w:rPr>
          <w:szCs w:val="20"/>
        </w:rPr>
        <w:instrText xml:space="preserve"> FORMCHECKBOX </w:instrText>
      </w:r>
      <w:r w:rsidR="00427E3A">
        <w:rPr>
          <w:szCs w:val="20"/>
        </w:rPr>
      </w:r>
      <w:r w:rsidR="00427E3A">
        <w:rPr>
          <w:szCs w:val="20"/>
        </w:rPr>
        <w:fldChar w:fldCharType="separate"/>
      </w:r>
      <w:r w:rsidRPr="00271F41">
        <w:rPr>
          <w:szCs w:val="20"/>
        </w:rPr>
        <w:fldChar w:fldCharType="end"/>
      </w:r>
      <w:r w:rsidR="005556DA" w:rsidRPr="00271F41">
        <w:rPr>
          <w:szCs w:val="20"/>
        </w:rPr>
        <w:t xml:space="preserve"> New MBS item(s)</w:t>
      </w:r>
    </w:p>
    <w:p w14:paraId="24C25573" w14:textId="77777777" w:rsidR="005556DA" w:rsidRPr="00271F41" w:rsidRDefault="005556DA" w:rsidP="005556DA">
      <w:pPr>
        <w:pStyle w:val="Heading2"/>
        <w:numPr>
          <w:ilvl w:val="0"/>
          <w:numId w:val="24"/>
        </w:numPr>
        <w:rPr>
          <w:rStyle w:val="Strong"/>
          <w:b/>
          <w:bCs/>
        </w:rPr>
      </w:pPr>
      <w:r w:rsidRPr="00271F41">
        <w:rPr>
          <w:rStyle w:val="Strong"/>
          <w:b/>
          <w:bCs/>
        </w:rPr>
        <w:t xml:space="preserve">If an amendment to an existing item(s) is being sought, please list the relevant MBS item number(s) that are to be amended to include the proposed medical service: </w:t>
      </w:r>
    </w:p>
    <w:p w14:paraId="4E54E96E" w14:textId="0046CA80" w:rsidR="005556DA" w:rsidRDefault="005556DA" w:rsidP="00271F41">
      <w:pPr>
        <w:ind w:firstLine="720"/>
      </w:pPr>
      <w:r w:rsidRPr="001B439C">
        <w:t>Item number 73338.</w:t>
      </w:r>
    </w:p>
    <w:p w14:paraId="2A8BF3D5" w14:textId="77777777" w:rsidR="005556DA" w:rsidRPr="00271F41" w:rsidRDefault="005556DA" w:rsidP="005556DA">
      <w:pPr>
        <w:pStyle w:val="Heading2"/>
        <w:numPr>
          <w:ilvl w:val="0"/>
          <w:numId w:val="24"/>
        </w:numPr>
        <w:rPr>
          <w:rStyle w:val="Strong"/>
          <w:b/>
          <w:bCs/>
        </w:rPr>
      </w:pPr>
      <w:r w:rsidRPr="00271F41">
        <w:rPr>
          <w:rStyle w:val="Strong"/>
          <w:b/>
          <w:bCs/>
        </w:rPr>
        <w:t>If an amendment to an existing item(s) is being sought, what is the nature of the amendment(s)?</w:t>
      </w:r>
    </w:p>
    <w:p w14:paraId="5616082C" w14:textId="77777777" w:rsidR="005556DA" w:rsidRPr="00271F41" w:rsidRDefault="00382D7A" w:rsidP="005556DA">
      <w:pPr>
        <w:pStyle w:val="ListParagraph"/>
        <w:numPr>
          <w:ilvl w:val="0"/>
          <w:numId w:val="34"/>
        </w:numPr>
        <w:spacing w:before="0" w:after="0"/>
        <w:ind w:left="851" w:hanging="425"/>
        <w:rPr>
          <w:rStyle w:val="Strong"/>
          <w:b w:val="0"/>
          <w:szCs w:val="20"/>
        </w:rPr>
      </w:pPr>
      <w:r w:rsidRPr="00271F41">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rStyle w:val="Strong"/>
          <w:b w:val="0"/>
          <w:szCs w:val="20"/>
        </w:rPr>
        <w:t>An amendment to the way the service is clinically delivered under the existing item(s)</w:t>
      </w:r>
    </w:p>
    <w:p w14:paraId="26445900" w14:textId="77777777" w:rsidR="005556DA" w:rsidRPr="00271F41" w:rsidRDefault="00382D7A" w:rsidP="005556DA">
      <w:pPr>
        <w:pStyle w:val="ListParagraph"/>
        <w:numPr>
          <w:ilvl w:val="0"/>
          <w:numId w:val="34"/>
        </w:numPr>
        <w:spacing w:before="0" w:after="0"/>
        <w:ind w:left="851" w:hanging="425"/>
        <w:rPr>
          <w:rStyle w:val="Strong"/>
          <w:b w:val="0"/>
          <w:szCs w:val="20"/>
        </w:rPr>
      </w:pPr>
      <w:r w:rsidRPr="00271F41">
        <w:rPr>
          <w:b/>
          <w:szCs w:val="20"/>
        </w:rPr>
        <w:lastRenderedPageBreak/>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rStyle w:val="Strong"/>
          <w:b w:val="0"/>
          <w:szCs w:val="20"/>
        </w:rPr>
        <w:t>An amendment to the patient population under the existing item(s)</w:t>
      </w:r>
    </w:p>
    <w:p w14:paraId="271726C0" w14:textId="77777777" w:rsidR="005556DA" w:rsidRPr="00271F41" w:rsidRDefault="00382D7A" w:rsidP="005556DA">
      <w:pPr>
        <w:pStyle w:val="ListParagraph"/>
        <w:numPr>
          <w:ilvl w:val="0"/>
          <w:numId w:val="34"/>
        </w:numPr>
        <w:spacing w:before="0" w:after="0"/>
        <w:ind w:left="851" w:hanging="425"/>
        <w:rPr>
          <w:rStyle w:val="Strong"/>
          <w:b w:val="0"/>
          <w:szCs w:val="20"/>
        </w:rPr>
      </w:pPr>
      <w:r w:rsidRPr="00271F41">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rStyle w:val="Strong"/>
          <w:b w:val="0"/>
          <w:szCs w:val="20"/>
        </w:rPr>
        <w:t>An amendment to the schedule fee of the existing item(s)</w:t>
      </w:r>
    </w:p>
    <w:p w14:paraId="3E364DBF" w14:textId="77777777" w:rsidR="005556DA" w:rsidRPr="00271F41" w:rsidRDefault="00382D7A" w:rsidP="005556DA">
      <w:pPr>
        <w:pStyle w:val="ListParagraph"/>
        <w:numPr>
          <w:ilvl w:val="0"/>
          <w:numId w:val="34"/>
        </w:numPr>
        <w:spacing w:before="0" w:after="0"/>
        <w:ind w:left="851" w:hanging="425"/>
        <w:rPr>
          <w:rStyle w:val="Strong"/>
          <w:b w:val="0"/>
          <w:szCs w:val="20"/>
        </w:rPr>
      </w:pPr>
      <w:r w:rsidRPr="00271F41">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rStyle w:val="Strong"/>
          <w:b w:val="0"/>
          <w:szCs w:val="20"/>
        </w:rPr>
        <w:t>An amendment to the time and complexity of an existing item(s)</w:t>
      </w:r>
    </w:p>
    <w:p w14:paraId="4451627E" w14:textId="77777777" w:rsidR="005556DA" w:rsidRPr="00271F41" w:rsidRDefault="00382D7A" w:rsidP="005556DA">
      <w:pPr>
        <w:pStyle w:val="ListParagraph"/>
        <w:numPr>
          <w:ilvl w:val="0"/>
          <w:numId w:val="34"/>
        </w:numPr>
        <w:spacing w:before="0" w:after="0"/>
        <w:ind w:left="851" w:hanging="425"/>
        <w:rPr>
          <w:rStyle w:val="Strong"/>
          <w:b w:val="0"/>
          <w:szCs w:val="20"/>
        </w:rPr>
      </w:pPr>
      <w:r w:rsidRPr="00271F41">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rStyle w:val="Strong"/>
          <w:b w:val="0"/>
          <w:szCs w:val="20"/>
        </w:rPr>
        <w:t>Access to an existing item(s) by a different health practitioner group</w:t>
      </w:r>
    </w:p>
    <w:p w14:paraId="013C47E8" w14:textId="77777777" w:rsidR="005556DA" w:rsidRPr="00271F41" w:rsidRDefault="00382D7A" w:rsidP="005556DA">
      <w:pPr>
        <w:pStyle w:val="ListParagraph"/>
        <w:numPr>
          <w:ilvl w:val="0"/>
          <w:numId w:val="34"/>
        </w:numPr>
        <w:spacing w:before="0" w:after="0"/>
        <w:ind w:left="851" w:hanging="425"/>
        <w:rPr>
          <w:rStyle w:val="Strong"/>
          <w:szCs w:val="20"/>
        </w:rPr>
      </w:pPr>
      <w:r w:rsidRPr="00271F41">
        <w:rPr>
          <w:szCs w:val="20"/>
        </w:rPr>
        <w:fldChar w:fldCharType="begin">
          <w:ffData>
            <w:name w:val=""/>
            <w:enabled/>
            <w:calcOnExit w:val="0"/>
            <w:checkBox>
              <w:sizeAuto/>
              <w:default w:val="1"/>
            </w:checkBox>
          </w:ffData>
        </w:fldChar>
      </w:r>
      <w:r w:rsidR="005556DA" w:rsidRPr="00271F41">
        <w:rPr>
          <w:szCs w:val="20"/>
        </w:rPr>
        <w:instrText xml:space="preserve"> FORMCHECKBOX </w:instrText>
      </w:r>
      <w:r w:rsidR="00427E3A">
        <w:rPr>
          <w:szCs w:val="20"/>
        </w:rPr>
      </w:r>
      <w:r w:rsidR="00427E3A">
        <w:rPr>
          <w:szCs w:val="20"/>
        </w:rPr>
        <w:fldChar w:fldCharType="separate"/>
      </w:r>
      <w:r w:rsidRPr="00271F41">
        <w:rPr>
          <w:szCs w:val="20"/>
        </w:rPr>
        <w:fldChar w:fldCharType="end"/>
      </w:r>
      <w:r w:rsidR="005556DA" w:rsidRPr="00271F41">
        <w:rPr>
          <w:szCs w:val="20"/>
        </w:rPr>
        <w:t xml:space="preserve"> </w:t>
      </w:r>
      <w:r w:rsidR="005556DA" w:rsidRPr="00271F41">
        <w:rPr>
          <w:rStyle w:val="Strong"/>
          <w:szCs w:val="20"/>
        </w:rPr>
        <w:t>Minor amendments to the item descriptor that does not affect how the service is delivered</w:t>
      </w:r>
    </w:p>
    <w:p w14:paraId="009F3161" w14:textId="77777777" w:rsidR="005556DA" w:rsidRPr="00271F41" w:rsidRDefault="00382D7A" w:rsidP="005556DA">
      <w:pPr>
        <w:pStyle w:val="ListParagraph"/>
        <w:numPr>
          <w:ilvl w:val="0"/>
          <w:numId w:val="34"/>
        </w:numPr>
        <w:spacing w:before="0" w:after="0"/>
        <w:ind w:left="851" w:hanging="425"/>
        <w:rPr>
          <w:rStyle w:val="Strong"/>
          <w:b w:val="0"/>
          <w:szCs w:val="20"/>
        </w:rPr>
      </w:pPr>
      <w:r w:rsidRPr="00271F41">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rStyle w:val="Strong"/>
          <w:b w:val="0"/>
          <w:szCs w:val="20"/>
        </w:rPr>
        <w:t>An amendment to an existing specific single consultation item</w:t>
      </w:r>
    </w:p>
    <w:p w14:paraId="7635FC26" w14:textId="77777777" w:rsidR="005556DA" w:rsidRPr="00271F41" w:rsidRDefault="00382D7A" w:rsidP="005556DA">
      <w:pPr>
        <w:pStyle w:val="ListParagraph"/>
        <w:numPr>
          <w:ilvl w:val="0"/>
          <w:numId w:val="34"/>
        </w:numPr>
        <w:spacing w:before="0" w:after="0"/>
        <w:ind w:left="851" w:hanging="425"/>
        <w:rPr>
          <w:rStyle w:val="Strong"/>
          <w:b w:val="0"/>
          <w:szCs w:val="20"/>
        </w:rPr>
      </w:pPr>
      <w:r w:rsidRPr="00271F41">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rStyle w:val="Strong"/>
          <w:b w:val="0"/>
          <w:szCs w:val="20"/>
        </w:rPr>
        <w:t>An amendment to an existing global consultation item(s)</w:t>
      </w:r>
    </w:p>
    <w:p w14:paraId="10174610" w14:textId="77777777" w:rsidR="005556DA" w:rsidRPr="00271F41" w:rsidRDefault="00382D7A" w:rsidP="005556DA">
      <w:pPr>
        <w:pStyle w:val="ListParagraph"/>
        <w:numPr>
          <w:ilvl w:val="0"/>
          <w:numId w:val="34"/>
        </w:numPr>
        <w:ind w:left="851" w:hanging="425"/>
        <w:rPr>
          <w:rStyle w:val="Strong"/>
          <w:b w:val="0"/>
          <w:szCs w:val="20"/>
        </w:rPr>
      </w:pPr>
      <w:r w:rsidRPr="00271F41">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rStyle w:val="Strong"/>
          <w:b w:val="0"/>
          <w:szCs w:val="20"/>
        </w:rPr>
        <w:t>Other (please describe below):</w:t>
      </w:r>
    </w:p>
    <w:p w14:paraId="67E78F87" w14:textId="0177AEA1" w:rsidR="00CA64D6" w:rsidRDefault="00CA64D6" w:rsidP="00271F41">
      <w:pPr>
        <w:ind w:left="360"/>
      </w:pPr>
      <w:r w:rsidRPr="00BE140F">
        <w:t>As stated above, current gene testing for mCRC routinely tests for BRAF V600 mutation status,</w:t>
      </w:r>
      <w:r w:rsidRPr="00CA64D6">
        <w:rPr>
          <w:color w:val="0070C0"/>
        </w:rPr>
        <w:t xml:space="preserve"> </w:t>
      </w:r>
      <w:r w:rsidRPr="00BE140F">
        <w:t>but this is not currently explicit in the MBS item descriptor.  This application requests the amendment to the item descriptor to add BRAF testing in order fulfil eligibility requirements for access to PBS-funded encorafenib</w:t>
      </w:r>
      <w:r w:rsidR="005829A9">
        <w:t>.</w:t>
      </w:r>
    </w:p>
    <w:p w14:paraId="1DF6E7F3" w14:textId="77777777" w:rsidR="005556DA" w:rsidRPr="00271F41" w:rsidRDefault="005556DA" w:rsidP="005556DA">
      <w:pPr>
        <w:pStyle w:val="Heading2"/>
        <w:numPr>
          <w:ilvl w:val="0"/>
          <w:numId w:val="24"/>
        </w:numPr>
        <w:rPr>
          <w:rStyle w:val="Strong"/>
          <w:b/>
          <w:bCs/>
        </w:rPr>
      </w:pPr>
      <w:r w:rsidRPr="00271F41">
        <w:rPr>
          <w:rStyle w:val="Strong"/>
          <w:b/>
          <w:bCs/>
        </w:rPr>
        <w:t>If a new item(s) is being requested, what is the nature of the change to the MBS being sought?</w:t>
      </w:r>
    </w:p>
    <w:p w14:paraId="242D265A" w14:textId="7664EC8E" w:rsidR="005556DA" w:rsidRDefault="005556DA" w:rsidP="00271F41">
      <w:pPr>
        <w:ind w:firstLine="360"/>
      </w:pPr>
      <w:r w:rsidRPr="001B439C">
        <w:t>Not applicable</w:t>
      </w:r>
      <w:r w:rsidR="00271F41">
        <w:t>.</w:t>
      </w:r>
    </w:p>
    <w:p w14:paraId="732512B3" w14:textId="77777777" w:rsidR="005556DA" w:rsidRPr="00271F41" w:rsidRDefault="005556DA" w:rsidP="005556DA">
      <w:pPr>
        <w:pStyle w:val="Heading2"/>
        <w:numPr>
          <w:ilvl w:val="0"/>
          <w:numId w:val="24"/>
        </w:numPr>
        <w:rPr>
          <w:rStyle w:val="Strong"/>
          <w:b/>
          <w:bCs/>
        </w:rPr>
      </w:pPr>
      <w:r w:rsidRPr="00271F41">
        <w:rPr>
          <w:rStyle w:val="Strong"/>
          <w:b/>
          <w:bCs/>
        </w:rPr>
        <w:t>Is the proposed service seeking public funding other than the MBS?</w:t>
      </w:r>
    </w:p>
    <w:p w14:paraId="704B4C38" w14:textId="77777777" w:rsidR="005556DA" w:rsidRPr="00271F41" w:rsidRDefault="00382D7A" w:rsidP="00271F41">
      <w:pPr>
        <w:spacing w:before="0" w:after="0"/>
        <w:ind w:left="360"/>
        <w:rPr>
          <w:szCs w:val="20"/>
        </w:rPr>
      </w:pPr>
      <w:r w:rsidRPr="00271F41">
        <w:rPr>
          <w:szCs w:val="20"/>
        </w:rPr>
        <w:fldChar w:fldCharType="begin">
          <w:ffData>
            <w:name w:val="Check1"/>
            <w:enabled/>
            <w:calcOnExit w:val="0"/>
            <w:checkBox>
              <w:sizeAuto/>
              <w:default w:val="1"/>
            </w:checkBox>
          </w:ffData>
        </w:fldChar>
      </w:r>
      <w:r w:rsidR="005556DA" w:rsidRPr="00271F41">
        <w:rPr>
          <w:szCs w:val="20"/>
        </w:rPr>
        <w:instrText xml:space="preserve"> </w:instrText>
      </w:r>
      <w:bookmarkStart w:id="3" w:name="Check1"/>
      <w:r w:rsidR="005556DA" w:rsidRPr="00271F41">
        <w:rPr>
          <w:szCs w:val="20"/>
        </w:rPr>
        <w:instrText xml:space="preserve">FORMCHECKBOX </w:instrText>
      </w:r>
      <w:r w:rsidR="00427E3A">
        <w:rPr>
          <w:szCs w:val="20"/>
        </w:rPr>
      </w:r>
      <w:r w:rsidR="00427E3A">
        <w:rPr>
          <w:szCs w:val="20"/>
        </w:rPr>
        <w:fldChar w:fldCharType="separate"/>
      </w:r>
      <w:r w:rsidRPr="00271F41">
        <w:rPr>
          <w:szCs w:val="20"/>
        </w:rPr>
        <w:fldChar w:fldCharType="end"/>
      </w:r>
      <w:bookmarkEnd w:id="3"/>
      <w:r w:rsidR="005556DA" w:rsidRPr="00271F41">
        <w:rPr>
          <w:szCs w:val="20"/>
        </w:rPr>
        <w:t xml:space="preserve"> Yes</w:t>
      </w:r>
    </w:p>
    <w:p w14:paraId="13B7EF77" w14:textId="77777777" w:rsidR="005556DA" w:rsidRPr="00271F41" w:rsidRDefault="00382D7A" w:rsidP="00271F41">
      <w:pPr>
        <w:spacing w:before="0" w:after="0"/>
        <w:ind w:left="360"/>
        <w:rPr>
          <w:szCs w:val="20"/>
        </w:rPr>
      </w:pPr>
      <w:r w:rsidRPr="00271F41">
        <w:rPr>
          <w:szCs w:val="20"/>
        </w:rPr>
        <w:fldChar w:fldCharType="begin">
          <w:ffData>
            <w:name w:val="Check2"/>
            <w:enabled/>
            <w:calcOnExit w:val="0"/>
            <w:checkBox>
              <w:sizeAuto/>
              <w:default w:val="0"/>
            </w:checkBox>
          </w:ffData>
        </w:fldChar>
      </w:r>
      <w:r w:rsidR="005556DA" w:rsidRPr="00271F41">
        <w:rPr>
          <w:szCs w:val="20"/>
        </w:rPr>
        <w:instrText xml:space="preserve"> FORMCHECKBOX </w:instrText>
      </w:r>
      <w:r w:rsidR="00427E3A">
        <w:rPr>
          <w:szCs w:val="20"/>
        </w:rPr>
      </w:r>
      <w:r w:rsidR="00427E3A">
        <w:rPr>
          <w:szCs w:val="20"/>
        </w:rPr>
        <w:fldChar w:fldCharType="separate"/>
      </w:r>
      <w:r w:rsidRPr="00271F41">
        <w:rPr>
          <w:szCs w:val="20"/>
        </w:rPr>
        <w:fldChar w:fldCharType="end"/>
      </w:r>
      <w:r w:rsidR="005556DA" w:rsidRPr="00271F41">
        <w:rPr>
          <w:szCs w:val="20"/>
        </w:rPr>
        <w:t xml:space="preserve"> No</w:t>
      </w:r>
    </w:p>
    <w:p w14:paraId="1774E799" w14:textId="77777777" w:rsidR="005556DA" w:rsidRPr="00271F41" w:rsidRDefault="005556DA" w:rsidP="005556DA">
      <w:pPr>
        <w:pStyle w:val="Heading2"/>
        <w:numPr>
          <w:ilvl w:val="0"/>
          <w:numId w:val="24"/>
        </w:numPr>
        <w:rPr>
          <w:rStyle w:val="Strong"/>
          <w:b/>
          <w:bCs/>
        </w:rPr>
      </w:pPr>
      <w:r w:rsidRPr="00271F41">
        <w:rPr>
          <w:rStyle w:val="Strong"/>
          <w:b/>
          <w:bCs/>
        </w:rPr>
        <w:t>If yes, please advise:</w:t>
      </w:r>
    </w:p>
    <w:p w14:paraId="5E7D15EA" w14:textId="77777777" w:rsidR="0066449F" w:rsidRDefault="005556DA" w:rsidP="0066449F">
      <w:pPr>
        <w:ind w:left="360"/>
      </w:pPr>
      <w:r w:rsidRPr="007A64B7">
        <w:t xml:space="preserve">This </w:t>
      </w:r>
      <w:r>
        <w:t xml:space="preserve">is </w:t>
      </w:r>
      <w:r w:rsidRPr="007A64B7">
        <w:t xml:space="preserve">a co-dependent technology application.  </w:t>
      </w:r>
    </w:p>
    <w:p w14:paraId="35D08751" w14:textId="38382F58" w:rsidR="005556DA" w:rsidRDefault="005556DA" w:rsidP="0066449F">
      <w:pPr>
        <w:ind w:left="360"/>
      </w:pPr>
      <w:r w:rsidRPr="00154B00">
        <w:t>What is the type of service:</w:t>
      </w:r>
    </w:p>
    <w:p w14:paraId="1BE3F59C" w14:textId="77777777" w:rsidR="005556DA" w:rsidRPr="00453934" w:rsidRDefault="00382D7A" w:rsidP="00271F41">
      <w:pPr>
        <w:keepNext/>
        <w:spacing w:before="0" w:after="0"/>
        <w:ind w:left="360"/>
      </w:pPr>
      <w:r w:rsidRPr="00054CC6">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054CC6">
        <w:rPr>
          <w:b/>
          <w:szCs w:val="20"/>
        </w:rPr>
        <w:fldChar w:fldCharType="end"/>
      </w:r>
      <w:r w:rsidR="005556DA" w:rsidRPr="00054CC6">
        <w:rPr>
          <w:b/>
          <w:szCs w:val="20"/>
        </w:rPr>
        <w:t xml:space="preserve"> </w:t>
      </w:r>
      <w:r w:rsidR="005556DA" w:rsidRPr="00054CC6">
        <w:t>Therapeutic medical service</w:t>
      </w:r>
    </w:p>
    <w:p w14:paraId="13522A95" w14:textId="77777777" w:rsidR="005556DA" w:rsidRPr="00453934" w:rsidRDefault="00382D7A" w:rsidP="00271F41">
      <w:pPr>
        <w:keepNext/>
        <w:spacing w:before="0" w:after="0"/>
        <w:ind w:left="360"/>
      </w:pPr>
      <w:r w:rsidRPr="00054CC6">
        <w:rPr>
          <w:b/>
          <w:szCs w:val="20"/>
        </w:rPr>
        <w:fldChar w:fldCharType="begin">
          <w:ffData>
            <w:name w:val="Check2"/>
            <w:enabled/>
            <w:calcOnExit w:val="0"/>
            <w:checkBox>
              <w:sizeAuto/>
              <w:default w:val="0"/>
            </w:checkBox>
          </w:ffData>
        </w:fldChar>
      </w:r>
      <w:r w:rsidR="005556DA" w:rsidRPr="00054CC6">
        <w:rPr>
          <w:b/>
          <w:szCs w:val="20"/>
        </w:rPr>
        <w:instrText xml:space="preserve"> FORMCHECKBOX </w:instrText>
      </w:r>
      <w:r w:rsidR="00427E3A">
        <w:rPr>
          <w:b/>
          <w:szCs w:val="20"/>
        </w:rPr>
      </w:r>
      <w:r w:rsidR="00427E3A">
        <w:rPr>
          <w:b/>
          <w:szCs w:val="20"/>
        </w:rPr>
        <w:fldChar w:fldCharType="separate"/>
      </w:r>
      <w:r w:rsidRPr="00054CC6">
        <w:rPr>
          <w:b/>
          <w:szCs w:val="20"/>
        </w:rPr>
        <w:fldChar w:fldCharType="end"/>
      </w:r>
      <w:r w:rsidR="005556DA" w:rsidRPr="00453934">
        <w:rPr>
          <w:b/>
          <w:szCs w:val="20"/>
        </w:rPr>
        <w:t xml:space="preserve"> </w:t>
      </w:r>
      <w:r w:rsidR="005556DA" w:rsidRPr="00453934">
        <w:t>Investigative medical service</w:t>
      </w:r>
    </w:p>
    <w:p w14:paraId="52383F7D" w14:textId="77777777" w:rsidR="005556DA" w:rsidRPr="00453934" w:rsidRDefault="00382D7A" w:rsidP="00271F41">
      <w:pPr>
        <w:keepNext/>
        <w:spacing w:before="0" w:after="0"/>
        <w:ind w:left="360"/>
      </w:pPr>
      <w:r w:rsidRPr="00054CC6">
        <w:rPr>
          <w:b/>
          <w:szCs w:val="20"/>
        </w:rPr>
        <w:fldChar w:fldCharType="begin">
          <w:ffData>
            <w:name w:val="Check2"/>
            <w:enabled/>
            <w:calcOnExit w:val="0"/>
            <w:checkBox>
              <w:sizeAuto/>
              <w:default w:val="0"/>
            </w:checkBox>
          </w:ffData>
        </w:fldChar>
      </w:r>
      <w:r w:rsidR="005556DA" w:rsidRPr="00054CC6">
        <w:rPr>
          <w:b/>
          <w:szCs w:val="20"/>
        </w:rPr>
        <w:instrText xml:space="preserve"> FORMCHECKBOX </w:instrText>
      </w:r>
      <w:r w:rsidR="00427E3A">
        <w:rPr>
          <w:b/>
          <w:szCs w:val="20"/>
        </w:rPr>
      </w:r>
      <w:r w:rsidR="00427E3A">
        <w:rPr>
          <w:b/>
          <w:szCs w:val="20"/>
        </w:rPr>
        <w:fldChar w:fldCharType="separate"/>
      </w:r>
      <w:r w:rsidRPr="00054CC6">
        <w:rPr>
          <w:b/>
          <w:szCs w:val="20"/>
        </w:rPr>
        <w:fldChar w:fldCharType="end"/>
      </w:r>
      <w:r w:rsidR="005556DA" w:rsidRPr="00054CC6">
        <w:rPr>
          <w:b/>
          <w:szCs w:val="20"/>
        </w:rPr>
        <w:t xml:space="preserve"> </w:t>
      </w:r>
      <w:r w:rsidR="005556DA" w:rsidRPr="00054CC6">
        <w:t>Single consultation medical service</w:t>
      </w:r>
    </w:p>
    <w:p w14:paraId="52E88270" w14:textId="77777777" w:rsidR="005556DA" w:rsidRPr="00453934" w:rsidRDefault="00382D7A" w:rsidP="00271F41">
      <w:pPr>
        <w:spacing w:before="0" w:after="0"/>
        <w:ind w:left="360"/>
      </w:pPr>
      <w:r w:rsidRPr="00054CC6">
        <w:rPr>
          <w:b/>
          <w:szCs w:val="20"/>
        </w:rPr>
        <w:fldChar w:fldCharType="begin">
          <w:ffData>
            <w:name w:val="Check2"/>
            <w:enabled/>
            <w:calcOnExit w:val="0"/>
            <w:checkBox>
              <w:sizeAuto/>
              <w:default w:val="0"/>
            </w:checkBox>
          </w:ffData>
        </w:fldChar>
      </w:r>
      <w:r w:rsidR="005556DA" w:rsidRPr="00054CC6">
        <w:rPr>
          <w:b/>
          <w:szCs w:val="20"/>
        </w:rPr>
        <w:instrText xml:space="preserve"> FORMCHECKBOX </w:instrText>
      </w:r>
      <w:r w:rsidR="00427E3A">
        <w:rPr>
          <w:b/>
          <w:szCs w:val="20"/>
        </w:rPr>
      </w:r>
      <w:r w:rsidR="00427E3A">
        <w:rPr>
          <w:b/>
          <w:szCs w:val="20"/>
        </w:rPr>
        <w:fldChar w:fldCharType="separate"/>
      </w:r>
      <w:r w:rsidRPr="00054CC6">
        <w:rPr>
          <w:b/>
          <w:szCs w:val="20"/>
        </w:rPr>
        <w:fldChar w:fldCharType="end"/>
      </w:r>
      <w:r w:rsidR="005556DA" w:rsidRPr="00054CC6">
        <w:rPr>
          <w:b/>
          <w:szCs w:val="20"/>
        </w:rPr>
        <w:t xml:space="preserve"> </w:t>
      </w:r>
      <w:r w:rsidR="005556DA" w:rsidRPr="00054CC6">
        <w:t>Global consultation medical service</w:t>
      </w:r>
    </w:p>
    <w:p w14:paraId="3CE0EF56" w14:textId="77777777" w:rsidR="005556DA" w:rsidRPr="00453934" w:rsidRDefault="00382D7A" w:rsidP="00271F41">
      <w:pPr>
        <w:spacing w:before="0" w:after="0"/>
        <w:ind w:left="360"/>
      </w:pPr>
      <w:r w:rsidRPr="00054CC6">
        <w:rPr>
          <w:b/>
          <w:szCs w:val="20"/>
        </w:rPr>
        <w:fldChar w:fldCharType="begin">
          <w:ffData>
            <w:name w:val="Check2"/>
            <w:enabled/>
            <w:calcOnExit w:val="0"/>
            <w:checkBox>
              <w:sizeAuto/>
              <w:default w:val="0"/>
            </w:checkBox>
          </w:ffData>
        </w:fldChar>
      </w:r>
      <w:r w:rsidR="005556DA" w:rsidRPr="00054CC6">
        <w:rPr>
          <w:b/>
          <w:szCs w:val="20"/>
        </w:rPr>
        <w:instrText xml:space="preserve"> FORMCHECKBOX </w:instrText>
      </w:r>
      <w:r w:rsidR="00427E3A">
        <w:rPr>
          <w:b/>
          <w:szCs w:val="20"/>
        </w:rPr>
      </w:r>
      <w:r w:rsidR="00427E3A">
        <w:rPr>
          <w:b/>
          <w:szCs w:val="20"/>
        </w:rPr>
        <w:fldChar w:fldCharType="separate"/>
      </w:r>
      <w:r w:rsidRPr="00054CC6">
        <w:rPr>
          <w:b/>
          <w:szCs w:val="20"/>
        </w:rPr>
        <w:fldChar w:fldCharType="end"/>
      </w:r>
      <w:r w:rsidR="005556DA" w:rsidRPr="00054CC6">
        <w:rPr>
          <w:b/>
          <w:szCs w:val="20"/>
        </w:rPr>
        <w:t xml:space="preserve"> </w:t>
      </w:r>
      <w:r w:rsidR="005556DA" w:rsidRPr="00054CC6">
        <w:t>Allied health service</w:t>
      </w:r>
    </w:p>
    <w:p w14:paraId="1C4A7842" w14:textId="77777777" w:rsidR="005556DA" w:rsidRPr="005A22FD" w:rsidRDefault="00382D7A" w:rsidP="00271F41">
      <w:pPr>
        <w:spacing w:before="0" w:after="0"/>
        <w:ind w:left="360"/>
      </w:pPr>
      <w:r w:rsidRPr="005A22FD">
        <w:rPr>
          <w:szCs w:val="20"/>
        </w:rPr>
        <w:fldChar w:fldCharType="begin">
          <w:ffData>
            <w:name w:val=""/>
            <w:enabled/>
            <w:calcOnExit w:val="0"/>
            <w:checkBox>
              <w:sizeAuto/>
              <w:default w:val="1"/>
            </w:checkBox>
          </w:ffData>
        </w:fldChar>
      </w:r>
      <w:r w:rsidR="005556DA" w:rsidRPr="005A22FD">
        <w:rPr>
          <w:szCs w:val="20"/>
        </w:rPr>
        <w:instrText xml:space="preserve"> FORMCHECKBOX </w:instrText>
      </w:r>
      <w:r w:rsidR="00427E3A">
        <w:rPr>
          <w:szCs w:val="20"/>
        </w:rPr>
      </w:r>
      <w:r w:rsidR="00427E3A">
        <w:rPr>
          <w:szCs w:val="20"/>
        </w:rPr>
        <w:fldChar w:fldCharType="separate"/>
      </w:r>
      <w:r w:rsidRPr="005A22FD">
        <w:rPr>
          <w:szCs w:val="20"/>
        </w:rPr>
        <w:fldChar w:fldCharType="end"/>
      </w:r>
      <w:r w:rsidR="005556DA" w:rsidRPr="005A22FD">
        <w:rPr>
          <w:szCs w:val="20"/>
        </w:rPr>
        <w:t xml:space="preserve"> </w:t>
      </w:r>
      <w:r w:rsidR="005556DA" w:rsidRPr="005A22FD">
        <w:t>Co-dependent technology</w:t>
      </w:r>
    </w:p>
    <w:p w14:paraId="6FF4306C" w14:textId="2B3390D4" w:rsidR="005556DA" w:rsidRDefault="00382D7A" w:rsidP="00271F41">
      <w:pPr>
        <w:spacing w:before="0" w:after="0"/>
        <w:ind w:left="360"/>
      </w:pPr>
      <w:r w:rsidRPr="00054CC6">
        <w:rPr>
          <w:b/>
          <w:szCs w:val="20"/>
        </w:rPr>
        <w:fldChar w:fldCharType="begin">
          <w:ffData>
            <w:name w:val="Check2"/>
            <w:enabled/>
            <w:calcOnExit w:val="0"/>
            <w:checkBox>
              <w:sizeAuto/>
              <w:default w:val="0"/>
            </w:checkBox>
          </w:ffData>
        </w:fldChar>
      </w:r>
      <w:r w:rsidR="005556DA" w:rsidRPr="00054CC6">
        <w:rPr>
          <w:b/>
          <w:szCs w:val="20"/>
        </w:rPr>
        <w:instrText xml:space="preserve"> FORMCHECKBOX </w:instrText>
      </w:r>
      <w:r w:rsidR="00427E3A">
        <w:rPr>
          <w:b/>
          <w:szCs w:val="20"/>
        </w:rPr>
      </w:r>
      <w:r w:rsidR="00427E3A">
        <w:rPr>
          <w:b/>
          <w:szCs w:val="20"/>
        </w:rPr>
        <w:fldChar w:fldCharType="separate"/>
      </w:r>
      <w:r w:rsidRPr="00054CC6">
        <w:rPr>
          <w:b/>
          <w:szCs w:val="20"/>
        </w:rPr>
        <w:fldChar w:fldCharType="end"/>
      </w:r>
      <w:r w:rsidR="005556DA" w:rsidRPr="00453934">
        <w:rPr>
          <w:b/>
          <w:szCs w:val="20"/>
        </w:rPr>
        <w:t xml:space="preserve"> </w:t>
      </w:r>
      <w:r w:rsidR="005556DA" w:rsidRPr="00054CC6">
        <w:t>Hybrid health technology</w:t>
      </w:r>
    </w:p>
    <w:p w14:paraId="05F2A523" w14:textId="77777777" w:rsidR="005556DA" w:rsidRDefault="005556DA" w:rsidP="00271F41">
      <w:pPr>
        <w:pStyle w:val="Heading2"/>
        <w:keepNext/>
      </w:pPr>
      <w:r w:rsidRPr="00154B00">
        <w:t xml:space="preserve">For investigative services, advise the specific purpose of performing the service </w:t>
      </w:r>
      <w:r w:rsidRPr="00154B00">
        <w:rPr>
          <w:i/>
        </w:rPr>
        <w:t>(which could be one or more of the following)</w:t>
      </w:r>
      <w:r w:rsidRPr="00154B00">
        <w:t>:</w:t>
      </w:r>
    </w:p>
    <w:p w14:paraId="48B5D39B" w14:textId="77777777" w:rsidR="005556DA" w:rsidRPr="008B7EAC" w:rsidRDefault="00382D7A" w:rsidP="00271F41">
      <w:pPr>
        <w:pStyle w:val="ListParagraph"/>
        <w:keepNext/>
        <w:numPr>
          <w:ilvl w:val="0"/>
          <w:numId w:val="36"/>
        </w:numPr>
        <w:spacing w:before="0" w:after="0"/>
        <w:ind w:left="851" w:hanging="425"/>
        <w:rPr>
          <w:szCs w:val="20"/>
        </w:rPr>
      </w:pPr>
      <w:r w:rsidRPr="008B7EAC">
        <w:rPr>
          <w:b/>
          <w:szCs w:val="20"/>
        </w:rPr>
        <w:fldChar w:fldCharType="begin">
          <w:ffData>
            <w:name w:val=""/>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8B7EAC">
        <w:rPr>
          <w:b/>
          <w:szCs w:val="20"/>
        </w:rPr>
        <w:fldChar w:fldCharType="end"/>
      </w:r>
      <w:r w:rsidR="005556DA" w:rsidRPr="008B7EAC">
        <w:rPr>
          <w:b/>
          <w:szCs w:val="20"/>
        </w:rPr>
        <w:t xml:space="preserve"> </w:t>
      </w:r>
      <w:r w:rsidR="005556DA" w:rsidRPr="008B7EAC">
        <w:rPr>
          <w:szCs w:val="20"/>
        </w:rPr>
        <w:t xml:space="preserve">To be used as a screening tool in asymptomatic populations </w:t>
      </w:r>
    </w:p>
    <w:p w14:paraId="0283BB60" w14:textId="77777777" w:rsidR="005556DA" w:rsidRPr="008B7EAC" w:rsidRDefault="00382D7A" w:rsidP="00271F41">
      <w:pPr>
        <w:pStyle w:val="ListParagraph"/>
        <w:keepNext/>
        <w:numPr>
          <w:ilvl w:val="0"/>
          <w:numId w:val="36"/>
        </w:numPr>
        <w:spacing w:before="0" w:after="0"/>
        <w:ind w:left="851" w:hanging="425"/>
        <w:rPr>
          <w:szCs w:val="20"/>
        </w:rPr>
      </w:pPr>
      <w:r w:rsidRPr="008B7EAC">
        <w:rPr>
          <w:b/>
          <w:szCs w:val="20"/>
        </w:rPr>
        <w:fldChar w:fldCharType="begin">
          <w:ffData>
            <w:name w:val="Check2"/>
            <w:enabled/>
            <w:calcOnExit w:val="0"/>
            <w:checkBox>
              <w:sizeAuto/>
              <w:default w:val="0"/>
            </w:checkBox>
          </w:ffData>
        </w:fldChar>
      </w:r>
      <w:r w:rsidR="005556DA" w:rsidRPr="008B7EAC">
        <w:rPr>
          <w:b/>
          <w:szCs w:val="20"/>
        </w:rPr>
        <w:instrText xml:space="preserve"> FORMCHECKBOX </w:instrText>
      </w:r>
      <w:r w:rsidR="00427E3A">
        <w:rPr>
          <w:b/>
          <w:szCs w:val="20"/>
        </w:rPr>
      </w:r>
      <w:r w:rsidR="00427E3A">
        <w:rPr>
          <w:b/>
          <w:szCs w:val="20"/>
        </w:rPr>
        <w:fldChar w:fldCharType="separate"/>
      </w:r>
      <w:r w:rsidRPr="008B7EAC">
        <w:rPr>
          <w:b/>
          <w:szCs w:val="20"/>
        </w:rPr>
        <w:fldChar w:fldCharType="end"/>
      </w:r>
      <w:r w:rsidR="005556DA" w:rsidRPr="008B7EAC">
        <w:rPr>
          <w:b/>
          <w:szCs w:val="20"/>
        </w:rPr>
        <w:t xml:space="preserve"> </w:t>
      </w:r>
      <w:r w:rsidR="005556DA" w:rsidRPr="008B7EAC">
        <w:rPr>
          <w:szCs w:val="20"/>
        </w:rPr>
        <w:t>Assists in establishing a diagnosis in symptomatic patients</w:t>
      </w:r>
    </w:p>
    <w:p w14:paraId="12B81217" w14:textId="77777777" w:rsidR="005556DA" w:rsidRPr="008B7EAC" w:rsidRDefault="00382D7A" w:rsidP="005556DA">
      <w:pPr>
        <w:pStyle w:val="ListParagraph"/>
        <w:numPr>
          <w:ilvl w:val="0"/>
          <w:numId w:val="36"/>
        </w:numPr>
        <w:spacing w:before="0" w:after="0"/>
        <w:ind w:left="851" w:hanging="425"/>
        <w:rPr>
          <w:szCs w:val="20"/>
        </w:rPr>
      </w:pPr>
      <w:r w:rsidRPr="008B7EAC">
        <w:rPr>
          <w:b/>
          <w:szCs w:val="20"/>
        </w:rPr>
        <w:fldChar w:fldCharType="begin">
          <w:ffData>
            <w:name w:val="Check2"/>
            <w:enabled/>
            <w:calcOnExit w:val="0"/>
            <w:checkBox>
              <w:sizeAuto/>
              <w:default w:val="0"/>
            </w:checkBox>
          </w:ffData>
        </w:fldChar>
      </w:r>
      <w:r w:rsidR="005556DA" w:rsidRPr="008B7EAC">
        <w:rPr>
          <w:b/>
          <w:szCs w:val="20"/>
        </w:rPr>
        <w:instrText xml:space="preserve"> FORMCHECKBOX </w:instrText>
      </w:r>
      <w:r w:rsidR="00427E3A">
        <w:rPr>
          <w:b/>
          <w:szCs w:val="20"/>
        </w:rPr>
      </w:r>
      <w:r w:rsidR="00427E3A">
        <w:rPr>
          <w:b/>
          <w:szCs w:val="20"/>
        </w:rPr>
        <w:fldChar w:fldCharType="separate"/>
      </w:r>
      <w:r w:rsidRPr="008B7EAC">
        <w:rPr>
          <w:b/>
          <w:szCs w:val="20"/>
        </w:rPr>
        <w:fldChar w:fldCharType="end"/>
      </w:r>
      <w:r w:rsidR="005556DA" w:rsidRPr="008B7EAC">
        <w:rPr>
          <w:b/>
          <w:szCs w:val="20"/>
        </w:rPr>
        <w:t xml:space="preserve"> </w:t>
      </w:r>
      <w:r w:rsidR="005556DA" w:rsidRPr="008B7EAC">
        <w:rPr>
          <w:szCs w:val="20"/>
        </w:rPr>
        <w:t>Provides information about prognosis</w:t>
      </w:r>
    </w:p>
    <w:p w14:paraId="3A9AC962" w14:textId="77777777" w:rsidR="005556DA" w:rsidRPr="005A22FD" w:rsidRDefault="00382D7A" w:rsidP="005556DA">
      <w:pPr>
        <w:pStyle w:val="ListParagraph"/>
        <w:numPr>
          <w:ilvl w:val="0"/>
          <w:numId w:val="36"/>
        </w:numPr>
        <w:spacing w:before="0" w:after="0"/>
        <w:ind w:left="851" w:hanging="425"/>
        <w:rPr>
          <w:szCs w:val="20"/>
        </w:rPr>
      </w:pPr>
      <w:r w:rsidRPr="005A22FD">
        <w:rPr>
          <w:szCs w:val="20"/>
        </w:rPr>
        <w:fldChar w:fldCharType="begin">
          <w:ffData>
            <w:name w:val=""/>
            <w:enabled/>
            <w:calcOnExit w:val="0"/>
            <w:checkBox>
              <w:sizeAuto/>
              <w:default w:val="1"/>
            </w:checkBox>
          </w:ffData>
        </w:fldChar>
      </w:r>
      <w:r w:rsidR="005556DA" w:rsidRPr="005A22FD">
        <w:rPr>
          <w:szCs w:val="20"/>
        </w:rPr>
        <w:instrText xml:space="preserve"> FORMCHECKBOX </w:instrText>
      </w:r>
      <w:r w:rsidR="00427E3A">
        <w:rPr>
          <w:szCs w:val="20"/>
        </w:rPr>
      </w:r>
      <w:r w:rsidR="00427E3A">
        <w:rPr>
          <w:szCs w:val="20"/>
        </w:rPr>
        <w:fldChar w:fldCharType="separate"/>
      </w:r>
      <w:r w:rsidRPr="005A22FD">
        <w:rPr>
          <w:szCs w:val="20"/>
        </w:rPr>
        <w:fldChar w:fldCharType="end"/>
      </w:r>
      <w:r w:rsidR="005556DA" w:rsidRPr="005A22FD">
        <w:rPr>
          <w:szCs w:val="20"/>
        </w:rPr>
        <w:t xml:space="preserve"> Identifies a patient as suitable for therapy by predicting a variation in the effect of the therapy</w:t>
      </w:r>
    </w:p>
    <w:bookmarkStart w:id="4" w:name="_Hlk24361275"/>
    <w:p w14:paraId="5F2C9AF4" w14:textId="77777777" w:rsidR="005556DA" w:rsidRPr="008B7EAC" w:rsidRDefault="00382D7A" w:rsidP="005556DA">
      <w:pPr>
        <w:pStyle w:val="ListParagraph"/>
        <w:numPr>
          <w:ilvl w:val="0"/>
          <w:numId w:val="36"/>
        </w:numPr>
        <w:spacing w:before="0" w:after="0"/>
        <w:ind w:left="851" w:hanging="425"/>
        <w:rPr>
          <w:szCs w:val="20"/>
        </w:rPr>
      </w:pPr>
      <w:r w:rsidRPr="008B7EAC">
        <w:rPr>
          <w:b/>
          <w:szCs w:val="20"/>
        </w:rPr>
        <w:lastRenderedPageBreak/>
        <w:fldChar w:fldCharType="begin">
          <w:ffData>
            <w:name w:val=""/>
            <w:enabled/>
            <w:calcOnExit w:val="0"/>
            <w:checkBox>
              <w:sizeAuto/>
              <w:default w:val="0"/>
            </w:checkBox>
          </w:ffData>
        </w:fldChar>
      </w:r>
      <w:r w:rsidR="005556DA" w:rsidRPr="008B7EAC">
        <w:rPr>
          <w:b/>
          <w:szCs w:val="20"/>
        </w:rPr>
        <w:instrText xml:space="preserve"> FORMCHECKBOX </w:instrText>
      </w:r>
      <w:r w:rsidR="00427E3A">
        <w:rPr>
          <w:b/>
          <w:szCs w:val="20"/>
        </w:rPr>
      </w:r>
      <w:r w:rsidR="00427E3A">
        <w:rPr>
          <w:b/>
          <w:szCs w:val="20"/>
        </w:rPr>
        <w:fldChar w:fldCharType="separate"/>
      </w:r>
      <w:r w:rsidRPr="008B7EAC">
        <w:rPr>
          <w:b/>
          <w:szCs w:val="20"/>
        </w:rPr>
        <w:fldChar w:fldCharType="end"/>
      </w:r>
      <w:bookmarkEnd w:id="4"/>
      <w:r w:rsidR="005556DA" w:rsidRPr="008B7EAC">
        <w:rPr>
          <w:b/>
          <w:szCs w:val="20"/>
        </w:rPr>
        <w:t xml:space="preserve"> </w:t>
      </w:r>
      <w:r w:rsidR="005556DA" w:rsidRPr="008B7EAC">
        <w:rPr>
          <w:szCs w:val="20"/>
        </w:rPr>
        <w:t>Monitors a patient over time to assess treatment response and guide subsequent treatment decisions</w:t>
      </w:r>
    </w:p>
    <w:p w14:paraId="4D416120" w14:textId="77777777" w:rsidR="005556DA" w:rsidRDefault="005556DA" w:rsidP="005556DA">
      <w:pPr>
        <w:pStyle w:val="Heading2"/>
      </w:pPr>
      <w:r w:rsidRPr="00154B00">
        <w:t xml:space="preserve">Does </w:t>
      </w:r>
      <w:r>
        <w:t>your</w:t>
      </w:r>
      <w:r w:rsidRPr="00154B00">
        <w:t xml:space="preserve"> service rely on another medical </w:t>
      </w:r>
      <w:r>
        <w:t>product</w:t>
      </w:r>
      <w:r w:rsidRPr="00154B00">
        <w:t xml:space="preserve"> to achieve or to enhance its intended effect?</w:t>
      </w:r>
    </w:p>
    <w:p w14:paraId="6037E456" w14:textId="77777777" w:rsidR="005556DA" w:rsidRPr="005A22FD" w:rsidRDefault="00382D7A" w:rsidP="00271F41">
      <w:pPr>
        <w:spacing w:before="0" w:after="0"/>
        <w:ind w:left="360"/>
      </w:pPr>
      <w:r w:rsidRPr="005A22FD">
        <w:rPr>
          <w:szCs w:val="20"/>
        </w:rPr>
        <w:fldChar w:fldCharType="begin">
          <w:ffData>
            <w:name w:val=""/>
            <w:enabled/>
            <w:calcOnExit w:val="0"/>
            <w:checkBox>
              <w:sizeAuto/>
              <w:default w:val="1"/>
            </w:checkBox>
          </w:ffData>
        </w:fldChar>
      </w:r>
      <w:r w:rsidR="005556DA" w:rsidRPr="00271F41">
        <w:rPr>
          <w:szCs w:val="20"/>
        </w:rPr>
        <w:instrText xml:space="preserve"> FORMCHECKBOX </w:instrText>
      </w:r>
      <w:r w:rsidR="00427E3A">
        <w:rPr>
          <w:szCs w:val="20"/>
        </w:rPr>
      </w:r>
      <w:r w:rsidR="00427E3A">
        <w:rPr>
          <w:szCs w:val="20"/>
        </w:rPr>
        <w:fldChar w:fldCharType="separate"/>
      </w:r>
      <w:r w:rsidRPr="005A22FD">
        <w:rPr>
          <w:szCs w:val="20"/>
        </w:rPr>
        <w:fldChar w:fldCharType="end"/>
      </w:r>
      <w:r w:rsidR="005556DA" w:rsidRPr="005A22FD">
        <w:rPr>
          <w:szCs w:val="20"/>
        </w:rPr>
        <w:t xml:space="preserve"> </w:t>
      </w:r>
      <w:r w:rsidR="005556DA" w:rsidRPr="005A22FD">
        <w:t>Pharmaceutical / Biological</w:t>
      </w:r>
    </w:p>
    <w:p w14:paraId="5B3F9DAB" w14:textId="77777777" w:rsidR="005556DA" w:rsidRPr="00453934" w:rsidRDefault="00382D7A" w:rsidP="00271F41">
      <w:pPr>
        <w:spacing w:before="0" w:after="0"/>
        <w:ind w:left="360"/>
      </w:pPr>
      <w:r w:rsidRPr="00054CC6">
        <w:rPr>
          <w:b/>
          <w:szCs w:val="20"/>
        </w:rPr>
        <w:fldChar w:fldCharType="begin">
          <w:ffData>
            <w:name w:val="Check2"/>
            <w:enabled/>
            <w:calcOnExit w:val="0"/>
            <w:checkBox>
              <w:sizeAuto/>
              <w:default w:val="0"/>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054CC6">
        <w:rPr>
          <w:b/>
          <w:szCs w:val="20"/>
        </w:rPr>
        <w:fldChar w:fldCharType="end"/>
      </w:r>
      <w:r w:rsidR="005556DA" w:rsidRPr="00054CC6">
        <w:rPr>
          <w:b/>
          <w:szCs w:val="20"/>
        </w:rPr>
        <w:t xml:space="preserve"> </w:t>
      </w:r>
      <w:r w:rsidR="005556DA" w:rsidRPr="00054CC6">
        <w:t>Prosthesis or device</w:t>
      </w:r>
    </w:p>
    <w:p w14:paraId="32908E93" w14:textId="77777777" w:rsidR="005556DA" w:rsidRPr="00453934" w:rsidRDefault="00382D7A" w:rsidP="00271F41">
      <w:pPr>
        <w:spacing w:before="0" w:after="0"/>
        <w:ind w:left="360"/>
      </w:pPr>
      <w:r w:rsidRPr="00054CC6">
        <w:rPr>
          <w:b/>
          <w:szCs w:val="20"/>
        </w:rPr>
        <w:fldChar w:fldCharType="begin">
          <w:ffData>
            <w:name w:val="Check2"/>
            <w:enabled/>
            <w:calcOnExit w:val="0"/>
            <w:checkBox>
              <w:sizeAuto/>
              <w:default w:val="0"/>
            </w:checkBox>
          </w:ffData>
        </w:fldChar>
      </w:r>
      <w:r w:rsidR="005556DA" w:rsidRPr="00054CC6">
        <w:rPr>
          <w:b/>
          <w:szCs w:val="20"/>
        </w:rPr>
        <w:instrText xml:space="preserve"> FORMCHECKBOX </w:instrText>
      </w:r>
      <w:r w:rsidR="00427E3A">
        <w:rPr>
          <w:b/>
          <w:szCs w:val="20"/>
        </w:rPr>
      </w:r>
      <w:r w:rsidR="00427E3A">
        <w:rPr>
          <w:b/>
          <w:szCs w:val="20"/>
        </w:rPr>
        <w:fldChar w:fldCharType="separate"/>
      </w:r>
      <w:r w:rsidRPr="00054CC6">
        <w:rPr>
          <w:b/>
          <w:szCs w:val="20"/>
        </w:rPr>
        <w:fldChar w:fldCharType="end"/>
      </w:r>
      <w:r w:rsidR="005556DA" w:rsidRPr="00054CC6">
        <w:rPr>
          <w:b/>
          <w:szCs w:val="20"/>
        </w:rPr>
        <w:t xml:space="preserve"> </w:t>
      </w:r>
      <w:r w:rsidR="005556DA" w:rsidRPr="00054CC6">
        <w:t>No</w:t>
      </w:r>
    </w:p>
    <w:p w14:paraId="6EBA74FE" w14:textId="77777777" w:rsidR="005556DA" w:rsidRPr="001E6958" w:rsidRDefault="005556DA" w:rsidP="005556DA">
      <w:pPr>
        <w:pStyle w:val="Heading2"/>
      </w:pPr>
      <w:r>
        <w:t xml:space="preserve">(a)  </w:t>
      </w:r>
      <w:r w:rsidRPr="001E6958">
        <w:t>If the proposed service has a pharmaceutical component to it, is it already covered under an existing Pharmaceutical Benefits Scheme (PBS) listing?</w:t>
      </w:r>
    </w:p>
    <w:p w14:paraId="02271B14" w14:textId="77777777" w:rsidR="005556DA" w:rsidRPr="00453934" w:rsidRDefault="00382D7A" w:rsidP="00271F41">
      <w:pPr>
        <w:spacing w:before="0" w:after="0"/>
        <w:ind w:left="360"/>
        <w:rPr>
          <w:szCs w:val="20"/>
        </w:rPr>
      </w:pPr>
      <w:r w:rsidRPr="00054CC6">
        <w:rPr>
          <w:szCs w:val="20"/>
        </w:rPr>
        <w:fldChar w:fldCharType="begin">
          <w:ffData>
            <w:name w:val="Check1"/>
            <w:enabled/>
            <w:calcOnExit w:val="0"/>
            <w:checkBox>
              <w:sizeAuto/>
              <w:default w:val="0"/>
            </w:checkBox>
          </w:ffData>
        </w:fldChar>
      </w:r>
      <w:r w:rsidR="005556DA" w:rsidRPr="00271F41">
        <w:rPr>
          <w:szCs w:val="20"/>
        </w:rPr>
        <w:instrText xml:space="preserve"> FORMCHECKBOX </w:instrText>
      </w:r>
      <w:r w:rsidR="00427E3A">
        <w:rPr>
          <w:szCs w:val="20"/>
        </w:rPr>
      </w:r>
      <w:r w:rsidR="00427E3A">
        <w:rPr>
          <w:szCs w:val="20"/>
        </w:rPr>
        <w:fldChar w:fldCharType="separate"/>
      </w:r>
      <w:r w:rsidRPr="00054CC6">
        <w:rPr>
          <w:szCs w:val="20"/>
        </w:rPr>
        <w:fldChar w:fldCharType="end"/>
      </w:r>
      <w:r w:rsidR="005556DA" w:rsidRPr="00054CC6">
        <w:rPr>
          <w:szCs w:val="20"/>
        </w:rPr>
        <w:t xml:space="preserve"> Yes</w:t>
      </w:r>
    </w:p>
    <w:p w14:paraId="314689D6" w14:textId="77777777" w:rsidR="005556DA" w:rsidRPr="005A22FD" w:rsidRDefault="00382D7A" w:rsidP="00271F41">
      <w:pPr>
        <w:spacing w:before="0" w:after="0"/>
        <w:ind w:left="360"/>
        <w:rPr>
          <w:b/>
          <w:szCs w:val="20"/>
        </w:rPr>
      </w:pPr>
      <w:r w:rsidRPr="005A22FD">
        <w:rPr>
          <w:b/>
          <w:szCs w:val="20"/>
        </w:rPr>
        <w:fldChar w:fldCharType="begin">
          <w:ffData>
            <w:name w:val=""/>
            <w:enabled/>
            <w:calcOnExit w:val="0"/>
            <w:checkBox>
              <w:sizeAuto/>
              <w:default w:val="1"/>
            </w:checkBox>
          </w:ffData>
        </w:fldChar>
      </w:r>
      <w:r w:rsidR="005556DA" w:rsidRPr="005A22FD">
        <w:rPr>
          <w:b/>
          <w:szCs w:val="20"/>
        </w:rPr>
        <w:instrText xml:space="preserve"> FORMCHECKBOX </w:instrText>
      </w:r>
      <w:r w:rsidR="00427E3A">
        <w:rPr>
          <w:b/>
          <w:szCs w:val="20"/>
        </w:rPr>
      </w:r>
      <w:r w:rsidR="00427E3A">
        <w:rPr>
          <w:b/>
          <w:szCs w:val="20"/>
        </w:rPr>
        <w:fldChar w:fldCharType="separate"/>
      </w:r>
      <w:r w:rsidRPr="005A22FD">
        <w:rPr>
          <w:b/>
          <w:szCs w:val="20"/>
        </w:rPr>
        <w:fldChar w:fldCharType="end"/>
      </w:r>
      <w:r w:rsidR="005556DA" w:rsidRPr="005A22FD">
        <w:rPr>
          <w:b/>
          <w:szCs w:val="20"/>
        </w:rPr>
        <w:t xml:space="preserve"> </w:t>
      </w:r>
      <w:r w:rsidR="005556DA" w:rsidRPr="00BE140F">
        <w:rPr>
          <w:szCs w:val="20"/>
        </w:rPr>
        <w:t xml:space="preserve">No  </w:t>
      </w:r>
    </w:p>
    <w:p w14:paraId="3050B111" w14:textId="77777777" w:rsidR="0066449F" w:rsidRDefault="005556DA" w:rsidP="0066449F">
      <w:pPr>
        <w:ind w:left="284"/>
      </w:pPr>
      <w:r w:rsidRPr="001B439C">
        <w:t>Th</w:t>
      </w:r>
      <w:r w:rsidR="001B439C">
        <w:t>is</w:t>
      </w:r>
      <w:r w:rsidRPr="001B439C">
        <w:t xml:space="preserve"> application </w:t>
      </w:r>
      <w:r w:rsidR="00682FF1">
        <w:t>forms</w:t>
      </w:r>
      <w:r w:rsidRPr="001B439C">
        <w:t xml:space="preserve"> part of a co-dependent technology</w:t>
      </w:r>
      <w:r w:rsidR="001B439C">
        <w:t xml:space="preserve"> submission</w:t>
      </w:r>
      <w:r w:rsidRPr="001B439C">
        <w:t xml:space="preserve">.  </w:t>
      </w:r>
      <w:r w:rsidR="001B439C">
        <w:t>Encorafenib</w:t>
      </w:r>
      <w:r w:rsidRPr="001B439C">
        <w:t xml:space="preserve"> is intended for use in metastatic (stage IV) colorectal cancer patients (mCRC) where a somatic tumour gene panel test will assist with determining suitability for therapy.  </w:t>
      </w:r>
    </w:p>
    <w:p w14:paraId="1C707440" w14:textId="4C77F076" w:rsidR="005556DA" w:rsidRPr="00271F41" w:rsidRDefault="005556DA" w:rsidP="0066449F">
      <w:pPr>
        <w:ind w:left="284"/>
      </w:pPr>
      <w:r w:rsidRPr="00271F41">
        <w:t>If yes, please list the relevant PBS item code(s):</w:t>
      </w:r>
    </w:p>
    <w:p w14:paraId="21288282" w14:textId="77777777" w:rsidR="00682FF1" w:rsidRDefault="005556DA" w:rsidP="005C4793">
      <w:pPr>
        <w:ind w:left="284"/>
      </w:pPr>
      <w:r w:rsidRPr="007A64B7">
        <w:t xml:space="preserve">Encorafenib </w:t>
      </w:r>
      <w:r w:rsidR="001B439C">
        <w:t>(</w:t>
      </w:r>
      <w:r w:rsidRPr="007A64B7">
        <w:t>with binimetinib</w:t>
      </w:r>
      <w:r w:rsidR="001B439C">
        <w:t>)</w:t>
      </w:r>
      <w:r w:rsidRPr="007A64B7">
        <w:t xml:space="preserve"> gained a recommendation for PBS listing </w:t>
      </w:r>
      <w:r w:rsidRPr="00BE140F">
        <w:t>for BRAF V600</w:t>
      </w:r>
      <w:r w:rsidRPr="007A64B7">
        <w:t xml:space="preserve"> mutation positive unresectable Stage III or metastatic (Stage IV) melanoma at the November 2018 PBAC meeting</w:t>
      </w:r>
    </w:p>
    <w:p w14:paraId="2A23851A" w14:textId="77777777" w:rsidR="005556DA" w:rsidRPr="007A64B7" w:rsidRDefault="005556DA" w:rsidP="005C4793">
      <w:pPr>
        <w:ind w:left="284"/>
      </w:pPr>
      <w:r>
        <w:t xml:space="preserve">The treatment is not yet PBS listed for </w:t>
      </w:r>
      <w:r w:rsidR="00682FF1">
        <w:t xml:space="preserve">melanoma or </w:t>
      </w:r>
      <w:r>
        <w:t>mCRC.</w:t>
      </w:r>
    </w:p>
    <w:p w14:paraId="74796AC3" w14:textId="77777777" w:rsidR="005556DA" w:rsidRPr="00271F41" w:rsidRDefault="005556DA" w:rsidP="005C4793">
      <w:pPr>
        <w:pStyle w:val="Heading2"/>
        <w:numPr>
          <w:ilvl w:val="0"/>
          <w:numId w:val="25"/>
        </w:numPr>
        <w:ind w:left="284" w:firstLine="0"/>
        <w:rPr>
          <w:sz w:val="18"/>
          <w:szCs w:val="18"/>
        </w:rPr>
      </w:pPr>
      <w:r w:rsidRPr="00271F41">
        <w:t>If no, is an application (submission) in the process of being considered by the Pharmaceutical</w:t>
      </w:r>
      <w:r w:rsidRPr="00271F41">
        <w:rPr>
          <w:sz w:val="18"/>
          <w:szCs w:val="18"/>
        </w:rPr>
        <w:t xml:space="preserve"> Benefits Advisory Committee (PBAC)?</w:t>
      </w:r>
    </w:p>
    <w:p w14:paraId="7101A3F6" w14:textId="77777777" w:rsidR="005556DA" w:rsidRPr="00271F41" w:rsidRDefault="00382D7A" w:rsidP="005C4793">
      <w:pPr>
        <w:spacing w:before="0" w:after="0"/>
        <w:ind w:left="284"/>
        <w:rPr>
          <w:szCs w:val="20"/>
        </w:rPr>
      </w:pPr>
      <w:r w:rsidRPr="00271F41">
        <w:rPr>
          <w:szCs w:val="20"/>
        </w:rPr>
        <w:fldChar w:fldCharType="begin">
          <w:ffData>
            <w:name w:val="Check1"/>
            <w:enabled/>
            <w:calcOnExit w:val="0"/>
            <w:checkBox>
              <w:sizeAuto/>
              <w:default w:val="0"/>
            </w:checkBox>
          </w:ffData>
        </w:fldChar>
      </w:r>
      <w:r w:rsidR="005556DA" w:rsidRPr="005C4793">
        <w:rPr>
          <w:szCs w:val="20"/>
        </w:rPr>
        <w:instrText xml:space="preserve"> FORMCHECKBOX </w:instrText>
      </w:r>
      <w:r w:rsidR="00427E3A">
        <w:rPr>
          <w:szCs w:val="20"/>
        </w:rPr>
      </w:r>
      <w:r w:rsidR="00427E3A">
        <w:rPr>
          <w:szCs w:val="20"/>
        </w:rPr>
        <w:fldChar w:fldCharType="separate"/>
      </w:r>
      <w:r w:rsidRPr="00271F41">
        <w:rPr>
          <w:szCs w:val="20"/>
        </w:rPr>
        <w:fldChar w:fldCharType="end"/>
      </w:r>
      <w:r w:rsidR="005556DA" w:rsidRPr="00271F41">
        <w:rPr>
          <w:szCs w:val="20"/>
        </w:rPr>
        <w:t xml:space="preserve"> Yes (please provide PBAC submission item number below)</w:t>
      </w:r>
    </w:p>
    <w:p w14:paraId="66FC0E93" w14:textId="77777777" w:rsidR="005556DA" w:rsidRPr="00271F41" w:rsidRDefault="00382D7A" w:rsidP="005C4793">
      <w:pPr>
        <w:spacing w:before="0"/>
        <w:ind w:left="284"/>
        <w:rPr>
          <w:b/>
          <w:szCs w:val="20"/>
        </w:rPr>
      </w:pPr>
      <w:r w:rsidRPr="00271F41">
        <w:rPr>
          <w:b/>
          <w:szCs w:val="20"/>
        </w:rPr>
        <w:fldChar w:fldCharType="begin">
          <w:ffData>
            <w:name w:val=""/>
            <w:enabled/>
            <w:calcOnExit w:val="0"/>
            <w:checkBox>
              <w:sizeAuto/>
              <w:default w:val="1"/>
            </w:checkBox>
          </w:ffData>
        </w:fldChar>
      </w:r>
      <w:r w:rsidR="005556DA" w:rsidRPr="00271F41">
        <w:rPr>
          <w:b/>
          <w:szCs w:val="20"/>
        </w:rPr>
        <w:instrText xml:space="preserve"> FORMCHECKBOX </w:instrText>
      </w:r>
      <w:r w:rsidR="00427E3A">
        <w:rPr>
          <w:b/>
          <w:szCs w:val="20"/>
        </w:rPr>
      </w:r>
      <w:r w:rsidR="00427E3A">
        <w:rPr>
          <w:b/>
          <w:szCs w:val="20"/>
        </w:rPr>
        <w:fldChar w:fldCharType="separate"/>
      </w:r>
      <w:r w:rsidRPr="00271F41">
        <w:rPr>
          <w:b/>
          <w:szCs w:val="20"/>
        </w:rPr>
        <w:fldChar w:fldCharType="end"/>
      </w:r>
      <w:r w:rsidR="005556DA" w:rsidRPr="00271F41">
        <w:rPr>
          <w:b/>
          <w:szCs w:val="20"/>
        </w:rPr>
        <w:t xml:space="preserve"> </w:t>
      </w:r>
      <w:r w:rsidR="005556DA" w:rsidRPr="00271F41">
        <w:rPr>
          <w:szCs w:val="20"/>
        </w:rPr>
        <w:t>No</w:t>
      </w:r>
    </w:p>
    <w:p w14:paraId="6EC80121" w14:textId="721976BB" w:rsidR="005556DA" w:rsidRPr="001B439C" w:rsidRDefault="006455D8" w:rsidP="005C4793">
      <w:pPr>
        <w:ind w:left="284"/>
      </w:pPr>
      <w:r>
        <w:t>REDACTED</w:t>
      </w:r>
    </w:p>
    <w:p w14:paraId="7BEF0C44" w14:textId="77777777" w:rsidR="005556DA" w:rsidRDefault="005556DA" w:rsidP="005C4793">
      <w:pPr>
        <w:pStyle w:val="Heading2"/>
        <w:numPr>
          <w:ilvl w:val="0"/>
          <w:numId w:val="25"/>
        </w:numPr>
        <w:ind w:left="284" w:firstLine="0"/>
      </w:pPr>
      <w:r w:rsidRPr="007E39E4">
        <w:t>If you are seeking both MBS and PBS listing, what is the trade name and generic name of the pharmaceutical?</w:t>
      </w:r>
    </w:p>
    <w:p w14:paraId="1CB69A52" w14:textId="57A1C376" w:rsidR="005556DA" w:rsidRPr="007A64B7" w:rsidRDefault="005556DA" w:rsidP="005C4793">
      <w:pPr>
        <w:ind w:left="284"/>
      </w:pPr>
      <w:r w:rsidRPr="007A64B7">
        <w:t>Braftovi® (encorafenib)</w:t>
      </w:r>
    </w:p>
    <w:p w14:paraId="6B8A4133" w14:textId="77777777" w:rsidR="005556DA" w:rsidRDefault="005556DA" w:rsidP="005556DA">
      <w:pPr>
        <w:pStyle w:val="Heading2"/>
      </w:pPr>
      <w:r>
        <w:t xml:space="preserve">(a) </w:t>
      </w:r>
      <w:r w:rsidRPr="00154B00">
        <w:t xml:space="preserve">If the proposed service </w:t>
      </w:r>
      <w:r>
        <w:t xml:space="preserve">is dependent on the use of a prosthesis, </w:t>
      </w:r>
      <w:r w:rsidRPr="00154B00">
        <w:t>is it already included on the Prosthes</w:t>
      </w:r>
      <w:r>
        <w:t>e</w:t>
      </w:r>
      <w:r w:rsidRPr="00154B00">
        <w:t>s List?</w:t>
      </w:r>
    </w:p>
    <w:p w14:paraId="31F42436" w14:textId="77777777" w:rsidR="005556DA" w:rsidRPr="005A22FD" w:rsidRDefault="005556DA" w:rsidP="00271F41">
      <w:pPr>
        <w:ind w:firstLine="360"/>
      </w:pPr>
      <w:r w:rsidRPr="005A22FD">
        <w:t>Not applicable</w:t>
      </w:r>
      <w:r w:rsidR="00BE140F">
        <w:t>.</w:t>
      </w:r>
    </w:p>
    <w:p w14:paraId="5C4C1EA5" w14:textId="77777777" w:rsidR="005556DA" w:rsidRDefault="005556DA" w:rsidP="005556DA">
      <w:pPr>
        <w:pStyle w:val="Heading2"/>
        <w:numPr>
          <w:ilvl w:val="0"/>
          <w:numId w:val="26"/>
        </w:numPr>
      </w:pPr>
      <w:r w:rsidRPr="001E6958">
        <w:t xml:space="preserve">If yes, please provide the following information (where relevant): </w:t>
      </w:r>
    </w:p>
    <w:p w14:paraId="6F409640" w14:textId="77777777" w:rsidR="005556DA" w:rsidRDefault="005556DA" w:rsidP="005556DA">
      <w:pPr>
        <w:spacing w:before="0" w:after="0"/>
        <w:ind w:left="284"/>
      </w:pPr>
      <w:r>
        <w:t xml:space="preserve">Billing code(s): </w:t>
      </w:r>
      <w:r w:rsidR="00382D7A">
        <w:fldChar w:fldCharType="begin">
          <w:ffData>
            <w:name w:val=""/>
            <w:enabled/>
            <w:calcOnExit w:val="0"/>
            <w:textInput>
              <w:default w:val="Insert billing code(s) here"/>
            </w:textInput>
          </w:ffData>
        </w:fldChar>
      </w:r>
      <w:r>
        <w:instrText xml:space="preserve"> FORMTEXT </w:instrText>
      </w:r>
      <w:r w:rsidR="00382D7A">
        <w:fldChar w:fldCharType="separate"/>
      </w:r>
      <w:r>
        <w:rPr>
          <w:noProof/>
        </w:rPr>
        <w:t>Insert billing code(s) here</w:t>
      </w:r>
      <w:r w:rsidR="00382D7A">
        <w:fldChar w:fldCharType="end"/>
      </w:r>
    </w:p>
    <w:p w14:paraId="1BD10E30" w14:textId="77777777" w:rsidR="005556DA" w:rsidRDefault="005556DA" w:rsidP="005556DA">
      <w:pPr>
        <w:spacing w:before="0" w:after="0"/>
        <w:ind w:left="284"/>
      </w:pPr>
      <w:r>
        <w:t xml:space="preserve">Trade name of prostheses: </w:t>
      </w:r>
      <w:r w:rsidR="00382D7A">
        <w:fldChar w:fldCharType="begin">
          <w:ffData>
            <w:name w:val=""/>
            <w:enabled/>
            <w:calcOnExit w:val="0"/>
            <w:textInput>
              <w:default w:val="Insert trade name here"/>
            </w:textInput>
          </w:ffData>
        </w:fldChar>
      </w:r>
      <w:r w:rsidRPr="00271F41">
        <w:instrText xml:space="preserve"> FORMTEXT </w:instrText>
      </w:r>
      <w:r w:rsidR="00382D7A">
        <w:fldChar w:fldCharType="separate"/>
      </w:r>
      <w:r>
        <w:rPr>
          <w:noProof/>
        </w:rPr>
        <w:t>Insert trade name here</w:t>
      </w:r>
      <w:r w:rsidR="00382D7A">
        <w:fldChar w:fldCharType="end"/>
      </w:r>
    </w:p>
    <w:p w14:paraId="3E1A0182" w14:textId="77777777" w:rsidR="005556DA" w:rsidRDefault="005556DA" w:rsidP="005556DA">
      <w:pPr>
        <w:spacing w:before="0" w:after="0"/>
        <w:ind w:left="284"/>
      </w:pPr>
      <w:r>
        <w:t xml:space="preserve">Clinical name of prostheses: </w:t>
      </w:r>
      <w:r w:rsidR="00382D7A">
        <w:fldChar w:fldCharType="begin">
          <w:ffData>
            <w:name w:val=""/>
            <w:enabled/>
            <w:calcOnExit w:val="0"/>
            <w:textInput>
              <w:default w:val="Insert clinical name here"/>
            </w:textInput>
          </w:ffData>
        </w:fldChar>
      </w:r>
      <w:r>
        <w:instrText xml:space="preserve"> FORMTEXT </w:instrText>
      </w:r>
      <w:r w:rsidR="00382D7A">
        <w:fldChar w:fldCharType="separate"/>
      </w:r>
      <w:r>
        <w:rPr>
          <w:noProof/>
        </w:rPr>
        <w:t>Insert clinical name here</w:t>
      </w:r>
      <w:r w:rsidR="00382D7A">
        <w:fldChar w:fldCharType="end"/>
      </w:r>
    </w:p>
    <w:p w14:paraId="06B8A94E" w14:textId="77777777" w:rsidR="005556DA" w:rsidRPr="001E6958" w:rsidRDefault="005556DA" w:rsidP="005556DA">
      <w:pPr>
        <w:spacing w:before="0" w:after="0"/>
        <w:ind w:left="284"/>
      </w:pPr>
      <w:r>
        <w:t xml:space="preserve">Other device components delivered as part of the service: </w:t>
      </w:r>
      <w:r w:rsidR="00382D7A">
        <w:fldChar w:fldCharType="begin">
          <w:ffData>
            <w:name w:val=""/>
            <w:enabled/>
            <w:calcOnExit w:val="0"/>
            <w:textInput>
              <w:default w:val="Insert description of device components here"/>
            </w:textInput>
          </w:ffData>
        </w:fldChar>
      </w:r>
      <w:r>
        <w:instrText xml:space="preserve"> FORMTEXT </w:instrText>
      </w:r>
      <w:r w:rsidR="00382D7A">
        <w:fldChar w:fldCharType="separate"/>
      </w:r>
      <w:r>
        <w:rPr>
          <w:noProof/>
        </w:rPr>
        <w:t>Insert description of device components here</w:t>
      </w:r>
      <w:r w:rsidR="00382D7A">
        <w:fldChar w:fldCharType="end"/>
      </w:r>
    </w:p>
    <w:p w14:paraId="41CF8404" w14:textId="77777777" w:rsidR="005556DA" w:rsidRDefault="005556DA" w:rsidP="005556DA">
      <w:pPr>
        <w:pStyle w:val="Heading2"/>
        <w:numPr>
          <w:ilvl w:val="0"/>
          <w:numId w:val="26"/>
        </w:numPr>
      </w:pPr>
      <w:r w:rsidRPr="001E6958">
        <w:lastRenderedPageBreak/>
        <w:t>If no, is an application in the process of being considered by a Clinical Advisory Group or the Prostheses List Advisory Committee (PLAC)?</w:t>
      </w:r>
    </w:p>
    <w:p w14:paraId="51085635" w14:textId="77777777" w:rsidR="005556DA" w:rsidRPr="005A22FD" w:rsidRDefault="005556DA" w:rsidP="00271F41">
      <w:pPr>
        <w:ind w:firstLine="284"/>
      </w:pPr>
      <w:r w:rsidRPr="005A22FD">
        <w:t>Not applicable</w:t>
      </w:r>
      <w:r w:rsidR="008D74AB">
        <w:t>.</w:t>
      </w:r>
    </w:p>
    <w:p w14:paraId="47E01767" w14:textId="77777777" w:rsidR="005556DA" w:rsidRPr="00453934" w:rsidRDefault="00382D7A" w:rsidP="005556DA">
      <w:pPr>
        <w:spacing w:before="0" w:after="0"/>
        <w:ind w:left="284"/>
        <w:rPr>
          <w:szCs w:val="20"/>
        </w:rPr>
      </w:pPr>
      <w:r w:rsidRPr="00054CC6">
        <w:rPr>
          <w:szCs w:val="20"/>
        </w:rPr>
        <w:fldChar w:fldCharType="begin">
          <w:ffData>
            <w:name w:val="Check1"/>
            <w:enabled/>
            <w:calcOnExit w:val="0"/>
            <w:checkBox>
              <w:sizeAuto/>
              <w:default w:val="0"/>
            </w:checkBox>
          </w:ffData>
        </w:fldChar>
      </w:r>
      <w:r w:rsidR="005556DA" w:rsidRPr="00054CC6">
        <w:rPr>
          <w:szCs w:val="20"/>
        </w:rPr>
        <w:instrText xml:space="preserve"> FORMCHECKBOX </w:instrText>
      </w:r>
      <w:r w:rsidR="00427E3A">
        <w:rPr>
          <w:szCs w:val="20"/>
        </w:rPr>
      </w:r>
      <w:r w:rsidR="00427E3A">
        <w:rPr>
          <w:szCs w:val="20"/>
        </w:rPr>
        <w:fldChar w:fldCharType="separate"/>
      </w:r>
      <w:r w:rsidRPr="00054CC6">
        <w:rPr>
          <w:szCs w:val="20"/>
        </w:rPr>
        <w:fldChar w:fldCharType="end"/>
      </w:r>
      <w:r w:rsidR="005556DA" w:rsidRPr="00054CC6">
        <w:rPr>
          <w:szCs w:val="20"/>
        </w:rPr>
        <w:t xml:space="preserve"> Yes</w:t>
      </w:r>
    </w:p>
    <w:p w14:paraId="7AEEB6B0" w14:textId="77777777" w:rsidR="005556DA" w:rsidRPr="00453934" w:rsidRDefault="00382D7A" w:rsidP="005556DA">
      <w:pPr>
        <w:spacing w:before="0" w:after="0"/>
        <w:ind w:left="284"/>
        <w:rPr>
          <w:szCs w:val="20"/>
        </w:rPr>
      </w:pPr>
      <w:r>
        <w:rPr>
          <w:szCs w:val="20"/>
        </w:rPr>
        <w:fldChar w:fldCharType="begin">
          <w:ffData>
            <w:name w:val=""/>
            <w:enabled/>
            <w:calcOnExit w:val="0"/>
            <w:checkBox>
              <w:sizeAuto/>
              <w:default w:val="0"/>
            </w:checkBox>
          </w:ffData>
        </w:fldChar>
      </w:r>
      <w:r w:rsidR="005556DA">
        <w:rPr>
          <w:szCs w:val="20"/>
        </w:rPr>
        <w:instrText xml:space="preserve"> FORMCHECKBOX </w:instrText>
      </w:r>
      <w:r w:rsidR="00427E3A">
        <w:rPr>
          <w:szCs w:val="20"/>
        </w:rPr>
      </w:r>
      <w:r w:rsidR="00427E3A">
        <w:rPr>
          <w:szCs w:val="20"/>
        </w:rPr>
        <w:fldChar w:fldCharType="separate"/>
      </w:r>
      <w:r>
        <w:rPr>
          <w:szCs w:val="20"/>
        </w:rPr>
        <w:fldChar w:fldCharType="end"/>
      </w:r>
      <w:r w:rsidR="005556DA" w:rsidRPr="00453934">
        <w:rPr>
          <w:szCs w:val="20"/>
        </w:rPr>
        <w:t xml:space="preserve"> No  </w:t>
      </w:r>
    </w:p>
    <w:p w14:paraId="32E369D6" w14:textId="77777777" w:rsidR="005556DA" w:rsidRDefault="005556DA" w:rsidP="005556DA">
      <w:pPr>
        <w:pStyle w:val="Heading2"/>
        <w:numPr>
          <w:ilvl w:val="0"/>
          <w:numId w:val="26"/>
        </w:numPr>
      </w:pPr>
      <w:r w:rsidRPr="009939DC">
        <w:t>Are there any other sponsor(s) and / or manufacturer(s) that have a similar prosthesis or device component in the Australian market place which this application is relevant to?</w:t>
      </w:r>
    </w:p>
    <w:p w14:paraId="595FFFCC" w14:textId="77777777" w:rsidR="00CA64D6" w:rsidRPr="00CA64D6" w:rsidRDefault="00CA64D6" w:rsidP="00271F41">
      <w:pPr>
        <w:ind w:firstLine="284"/>
      </w:pPr>
      <w:r w:rsidRPr="00CA64D6">
        <w:t>Not applicable.</w:t>
      </w:r>
    </w:p>
    <w:p w14:paraId="52E512C5" w14:textId="77777777" w:rsidR="005556DA" w:rsidRPr="00762833" w:rsidRDefault="00382D7A" w:rsidP="005556DA">
      <w:pPr>
        <w:spacing w:before="0" w:after="0"/>
        <w:ind w:left="284"/>
        <w:rPr>
          <w:szCs w:val="20"/>
        </w:rPr>
      </w:pPr>
      <w:r w:rsidRPr="00762833">
        <w:rPr>
          <w:szCs w:val="20"/>
        </w:rPr>
        <w:fldChar w:fldCharType="begin">
          <w:ffData>
            <w:name w:val="Check1"/>
            <w:enabled/>
            <w:calcOnExit w:val="0"/>
            <w:checkBox>
              <w:sizeAuto/>
              <w:default w:val="0"/>
            </w:checkBox>
          </w:ffData>
        </w:fldChar>
      </w:r>
      <w:r w:rsidR="005556DA" w:rsidRPr="00762833">
        <w:rPr>
          <w:szCs w:val="20"/>
        </w:rPr>
        <w:instrText xml:space="preserve"> FORMCHECKBOX </w:instrText>
      </w:r>
      <w:r w:rsidR="00427E3A">
        <w:rPr>
          <w:szCs w:val="20"/>
        </w:rPr>
      </w:r>
      <w:r w:rsidR="00427E3A">
        <w:rPr>
          <w:szCs w:val="20"/>
        </w:rPr>
        <w:fldChar w:fldCharType="separate"/>
      </w:r>
      <w:r w:rsidRPr="00762833">
        <w:rPr>
          <w:szCs w:val="20"/>
        </w:rPr>
        <w:fldChar w:fldCharType="end"/>
      </w:r>
      <w:r w:rsidR="005556DA" w:rsidRPr="00762833">
        <w:rPr>
          <w:szCs w:val="20"/>
        </w:rPr>
        <w:t xml:space="preserve"> Yes</w:t>
      </w:r>
    </w:p>
    <w:p w14:paraId="390DEB5B" w14:textId="77777777" w:rsidR="005556DA" w:rsidRPr="001E6958" w:rsidRDefault="00382D7A" w:rsidP="005556DA">
      <w:pPr>
        <w:spacing w:before="0" w:after="0"/>
        <w:ind w:left="284"/>
        <w:rPr>
          <w:szCs w:val="20"/>
        </w:rPr>
      </w:pPr>
      <w:r w:rsidRPr="000A5B32">
        <w:rPr>
          <w:szCs w:val="20"/>
        </w:rPr>
        <w:fldChar w:fldCharType="begin">
          <w:ffData>
            <w:name w:val="Check2"/>
            <w:enabled/>
            <w:calcOnExit w:val="0"/>
            <w:checkBox>
              <w:sizeAuto/>
              <w:default w:val="0"/>
            </w:checkBox>
          </w:ffData>
        </w:fldChar>
      </w:r>
      <w:r w:rsidR="005556DA" w:rsidRPr="000A5B32">
        <w:rPr>
          <w:szCs w:val="20"/>
        </w:rPr>
        <w:instrText xml:space="preserve"> FORMCHECKBOX </w:instrText>
      </w:r>
      <w:r w:rsidR="00427E3A">
        <w:rPr>
          <w:szCs w:val="20"/>
        </w:rPr>
      </w:r>
      <w:r w:rsidR="00427E3A">
        <w:rPr>
          <w:szCs w:val="20"/>
        </w:rPr>
        <w:fldChar w:fldCharType="separate"/>
      </w:r>
      <w:r w:rsidRPr="000A5B32">
        <w:rPr>
          <w:szCs w:val="20"/>
        </w:rPr>
        <w:fldChar w:fldCharType="end"/>
      </w:r>
      <w:r w:rsidR="005556DA">
        <w:rPr>
          <w:szCs w:val="20"/>
        </w:rPr>
        <w:t xml:space="preserve"> No  </w:t>
      </w:r>
    </w:p>
    <w:p w14:paraId="660AC917" w14:textId="77777777" w:rsidR="005556DA" w:rsidRDefault="005556DA" w:rsidP="005556DA">
      <w:pPr>
        <w:pStyle w:val="Heading2"/>
        <w:numPr>
          <w:ilvl w:val="0"/>
          <w:numId w:val="26"/>
        </w:numPr>
      </w:pPr>
      <w:r w:rsidRPr="009939DC">
        <w:t>If yes, please provide the name(s) of the spon</w:t>
      </w:r>
      <w:r>
        <w:t>sor(s) and / or manufacturer(s):</w:t>
      </w:r>
    </w:p>
    <w:p w14:paraId="46D158B0" w14:textId="77777777" w:rsidR="001B439C" w:rsidRPr="001B439C" w:rsidRDefault="001B439C" w:rsidP="001B439C"/>
    <w:p w14:paraId="68442FE7" w14:textId="77777777" w:rsidR="005556DA" w:rsidRDefault="005556DA" w:rsidP="005556DA">
      <w:pPr>
        <w:pStyle w:val="Heading2"/>
      </w:pPr>
      <w:r w:rsidRPr="009939DC">
        <w:t>Please identify any single and / or multi-use consumables delivered as part of the service?</w:t>
      </w:r>
    </w:p>
    <w:p w14:paraId="1AEE9433" w14:textId="77777777" w:rsidR="005556DA" w:rsidRPr="00FF70A0" w:rsidRDefault="005556DA" w:rsidP="006C03F9">
      <w:pPr>
        <w:ind w:left="360"/>
      </w:pPr>
      <w:r w:rsidRPr="00FF70A0">
        <w:t xml:space="preserve">Single use consumables: Several assays are available for somatic tumour gene panel tests and all require single use consumables such as laboratory pipette tips. </w:t>
      </w:r>
    </w:p>
    <w:p w14:paraId="4DB835DA" w14:textId="40D54A74" w:rsidR="005556DA" w:rsidRPr="00FF70A0" w:rsidRDefault="005556DA" w:rsidP="006C03F9">
      <w:pPr>
        <w:ind w:left="360"/>
      </w:pPr>
      <w:r w:rsidRPr="00FF70A0">
        <w:t xml:space="preserve">A number </w:t>
      </w:r>
      <w:r w:rsidR="0066449F">
        <w:t xml:space="preserve">of </w:t>
      </w:r>
      <w:r w:rsidRPr="00FF70A0">
        <w:t>different assays that all require the use of consumables can be used to detect the genetic changes described above including fluorescent in situ hybridisation (FISH), polymerase chain reaction (PCR), Sanger sequencing, and next generation sequencing (NGS).</w:t>
      </w:r>
    </w:p>
    <w:p w14:paraId="2EF6D76B" w14:textId="77777777" w:rsidR="005556DA" w:rsidRPr="00FF70A0" w:rsidRDefault="005556DA" w:rsidP="006C03F9">
      <w:pPr>
        <w:ind w:left="360"/>
      </w:pPr>
      <w:r w:rsidRPr="00FF70A0">
        <w:t>This application is not specific to any one specific commercial product. A detailed listing of all products and their consumables is beyond the scope of this application. It should be noted that new products will continue to be developed using the same scientific principles.</w:t>
      </w:r>
    </w:p>
    <w:p w14:paraId="4EB2FAF0" w14:textId="77777777" w:rsidR="001B439C" w:rsidRDefault="001B439C">
      <w:pPr>
        <w:spacing w:before="0" w:after="200" w:line="276" w:lineRule="auto"/>
        <w:rPr>
          <w:bCs/>
          <w:color w:val="4472C4" w:themeColor="accent1"/>
          <w:sz w:val="40"/>
          <w:szCs w:val="32"/>
        </w:rPr>
      </w:pPr>
      <w:r>
        <w:br w:type="page"/>
      </w:r>
    </w:p>
    <w:p w14:paraId="4351A593" w14:textId="77777777" w:rsidR="005556DA" w:rsidRPr="00C776B1" w:rsidRDefault="005556DA" w:rsidP="005556DA">
      <w:pPr>
        <w:pStyle w:val="Heading1"/>
      </w:pPr>
      <w:r>
        <w:lastRenderedPageBreak/>
        <w:t xml:space="preserve">PART 3 – </w:t>
      </w:r>
      <w:r w:rsidRPr="00C776B1">
        <w:t>INFORMATION ABOUT REGULATORY REQUIREMENTS</w:t>
      </w:r>
    </w:p>
    <w:p w14:paraId="2E49D0D2" w14:textId="77777777" w:rsidR="005556DA" w:rsidRPr="00A6491A" w:rsidRDefault="005556DA" w:rsidP="005556DA">
      <w:pPr>
        <w:pStyle w:val="Heading2"/>
      </w:pPr>
      <w:r>
        <w:t xml:space="preserve">(a) </w:t>
      </w:r>
      <w:r w:rsidRPr="00A6491A">
        <w:t xml:space="preserve">If the proposed medical service involves the use of a medical device, in-vitro diagnostic test, </w:t>
      </w:r>
      <w:r w:rsidRPr="0043654D">
        <w:t>pharmaceutical</w:t>
      </w:r>
      <w:r w:rsidRPr="00A6491A">
        <w:t xml:space="preserve"> product, radioactive tracer or any other type of therapeutic good, please provide the following details:</w:t>
      </w:r>
    </w:p>
    <w:p w14:paraId="60DCC8A7" w14:textId="77777777" w:rsidR="005556DA" w:rsidRPr="005526C9" w:rsidRDefault="005556DA" w:rsidP="00F43346">
      <w:pPr>
        <w:ind w:left="360"/>
      </w:pPr>
      <w:r w:rsidRPr="005526C9">
        <w:t xml:space="preserve">Type of therapeutic good: In-vitro diagnostic test </w:t>
      </w:r>
    </w:p>
    <w:p w14:paraId="110A89A2" w14:textId="77777777" w:rsidR="005556DA" w:rsidRPr="005526C9" w:rsidRDefault="005556DA" w:rsidP="00F43346">
      <w:pPr>
        <w:ind w:left="360"/>
      </w:pPr>
      <w:r w:rsidRPr="005526C9">
        <w:t xml:space="preserve">Manufacturer’s name: Various </w:t>
      </w:r>
    </w:p>
    <w:p w14:paraId="5C4ED2F5" w14:textId="77777777" w:rsidR="005556DA" w:rsidRPr="005526C9" w:rsidRDefault="005556DA" w:rsidP="00F43346">
      <w:pPr>
        <w:ind w:left="360"/>
      </w:pPr>
      <w:r w:rsidRPr="005526C9">
        <w:t xml:space="preserve">Sponsor’s name: Not applicable to the test </w:t>
      </w:r>
    </w:p>
    <w:p w14:paraId="32A6292F" w14:textId="77777777" w:rsidR="005556DA" w:rsidRDefault="005556DA" w:rsidP="005556DA">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2B86AD5E" w14:textId="77777777" w:rsidR="005556DA" w:rsidRPr="00F43346" w:rsidRDefault="00382D7A" w:rsidP="00F43346">
      <w:pPr>
        <w:spacing w:before="0" w:after="0"/>
        <w:ind w:left="360"/>
        <w:rPr>
          <w:b/>
          <w:szCs w:val="20"/>
        </w:rPr>
      </w:pPr>
      <w:r w:rsidRPr="00F43346">
        <w:rPr>
          <w:b/>
          <w:szCs w:val="20"/>
        </w:rPr>
        <w:fldChar w:fldCharType="begin">
          <w:ffData>
            <w:name w:val="Check1"/>
            <w:enabled/>
            <w:calcOnExit w:val="0"/>
            <w:checkBox>
              <w:sizeAuto/>
              <w:default w:val="1"/>
            </w:checkBox>
          </w:ffData>
        </w:fldChar>
      </w:r>
      <w:r w:rsidR="005556DA" w:rsidRPr="00F43346">
        <w:rPr>
          <w:b/>
          <w:szCs w:val="20"/>
        </w:rPr>
        <w:instrText xml:space="preserve"> FORMCHECKBOX </w:instrText>
      </w:r>
      <w:r w:rsidR="00427E3A">
        <w:rPr>
          <w:b/>
          <w:szCs w:val="20"/>
        </w:rPr>
      </w:r>
      <w:r w:rsidR="00427E3A">
        <w:rPr>
          <w:b/>
          <w:szCs w:val="20"/>
        </w:rPr>
        <w:fldChar w:fldCharType="separate"/>
      </w:r>
      <w:r w:rsidRPr="00F43346">
        <w:rPr>
          <w:b/>
          <w:szCs w:val="20"/>
        </w:rPr>
        <w:fldChar w:fldCharType="end"/>
      </w:r>
      <w:r w:rsidR="005556DA" w:rsidRPr="00F43346">
        <w:rPr>
          <w:b/>
          <w:szCs w:val="20"/>
        </w:rPr>
        <w:t xml:space="preserve"> </w:t>
      </w:r>
      <w:r w:rsidR="005556DA" w:rsidRPr="00F43346">
        <w:rPr>
          <w:szCs w:val="20"/>
        </w:rPr>
        <w:t>Class III</w:t>
      </w:r>
    </w:p>
    <w:p w14:paraId="68B5B8F3" w14:textId="77777777" w:rsidR="005556DA" w:rsidRPr="00F43346" w:rsidRDefault="00382D7A" w:rsidP="00F43346">
      <w:pPr>
        <w:spacing w:before="0" w:after="0"/>
        <w:ind w:left="360"/>
        <w:rPr>
          <w:szCs w:val="20"/>
        </w:rPr>
      </w:pPr>
      <w:r w:rsidRPr="00F43346">
        <w:rPr>
          <w:szCs w:val="20"/>
        </w:rPr>
        <w:fldChar w:fldCharType="begin">
          <w:ffData>
            <w:name w:val="Check1"/>
            <w:enabled/>
            <w:calcOnExit w:val="0"/>
            <w:checkBox>
              <w:sizeAuto/>
              <w:default w:val="0"/>
            </w:checkBox>
          </w:ffData>
        </w:fldChar>
      </w:r>
      <w:r w:rsidR="005556DA" w:rsidRPr="00F43346">
        <w:rPr>
          <w:szCs w:val="20"/>
        </w:rPr>
        <w:instrText xml:space="preserve"> FORMCHECKBOX </w:instrText>
      </w:r>
      <w:r w:rsidR="00427E3A">
        <w:rPr>
          <w:szCs w:val="20"/>
        </w:rPr>
      </w:r>
      <w:r w:rsidR="00427E3A">
        <w:rPr>
          <w:szCs w:val="20"/>
        </w:rPr>
        <w:fldChar w:fldCharType="separate"/>
      </w:r>
      <w:r w:rsidRPr="00F43346">
        <w:rPr>
          <w:szCs w:val="20"/>
        </w:rPr>
        <w:fldChar w:fldCharType="end"/>
      </w:r>
      <w:r w:rsidR="005556DA" w:rsidRPr="00F43346">
        <w:rPr>
          <w:szCs w:val="20"/>
        </w:rPr>
        <w:t xml:space="preserve"> AIMD</w:t>
      </w:r>
    </w:p>
    <w:p w14:paraId="1E853F43" w14:textId="77777777" w:rsidR="005556DA" w:rsidRPr="00F43346" w:rsidRDefault="00382D7A" w:rsidP="00F43346">
      <w:pPr>
        <w:spacing w:before="0" w:after="0"/>
        <w:ind w:left="360"/>
        <w:rPr>
          <w:szCs w:val="20"/>
        </w:rPr>
      </w:pPr>
      <w:r w:rsidRPr="00F43346">
        <w:rPr>
          <w:szCs w:val="20"/>
        </w:rPr>
        <w:fldChar w:fldCharType="begin">
          <w:ffData>
            <w:name w:val="Check1"/>
            <w:enabled/>
            <w:calcOnExit w:val="0"/>
            <w:checkBox>
              <w:sizeAuto/>
              <w:default w:val="0"/>
            </w:checkBox>
          </w:ffData>
        </w:fldChar>
      </w:r>
      <w:r w:rsidR="005556DA" w:rsidRPr="00F43346">
        <w:rPr>
          <w:szCs w:val="20"/>
        </w:rPr>
        <w:instrText xml:space="preserve"> FORMCHECKBOX </w:instrText>
      </w:r>
      <w:r w:rsidR="00427E3A">
        <w:rPr>
          <w:szCs w:val="20"/>
        </w:rPr>
      </w:r>
      <w:r w:rsidR="00427E3A">
        <w:rPr>
          <w:szCs w:val="20"/>
        </w:rPr>
        <w:fldChar w:fldCharType="separate"/>
      </w:r>
      <w:r w:rsidRPr="00F43346">
        <w:rPr>
          <w:szCs w:val="20"/>
        </w:rPr>
        <w:fldChar w:fldCharType="end"/>
      </w:r>
      <w:r w:rsidR="005556DA" w:rsidRPr="00F43346">
        <w:rPr>
          <w:szCs w:val="20"/>
        </w:rPr>
        <w:t xml:space="preserve"> N/A</w:t>
      </w:r>
    </w:p>
    <w:p w14:paraId="78D89FEA" w14:textId="77777777" w:rsidR="005556DA" w:rsidRDefault="005556DA" w:rsidP="005556DA">
      <w:pPr>
        <w:pStyle w:val="Heading2"/>
      </w:pPr>
      <w:r>
        <w:t xml:space="preserve">(a) </w:t>
      </w:r>
      <w:r w:rsidRPr="00A6491A">
        <w:t xml:space="preserve">Is the </w:t>
      </w:r>
      <w:r w:rsidRPr="0043654D">
        <w:t>therapeutic</w:t>
      </w:r>
      <w:r w:rsidRPr="00A6491A">
        <w:t xml:space="preserve"> good to be used in the service exempt from the regulatory requirements of the </w:t>
      </w:r>
      <w:r w:rsidRPr="00A6491A">
        <w:rPr>
          <w:i/>
        </w:rPr>
        <w:t>Therapeutic Goods Act 1989</w:t>
      </w:r>
      <w:r w:rsidRPr="00A6491A">
        <w:t>?</w:t>
      </w:r>
    </w:p>
    <w:p w14:paraId="297BC527" w14:textId="77777777" w:rsidR="005556DA" w:rsidRPr="00F43346" w:rsidRDefault="005556DA" w:rsidP="00F43346">
      <w:pPr>
        <w:ind w:firstLine="284"/>
        <w:rPr>
          <w:szCs w:val="20"/>
        </w:rPr>
      </w:pPr>
      <w:r w:rsidRPr="00F43346">
        <w:rPr>
          <w:szCs w:val="20"/>
        </w:rPr>
        <w:t>The test for gene mutation status is already available and in use in Australia.</w:t>
      </w:r>
    </w:p>
    <w:p w14:paraId="0C472770" w14:textId="77777777" w:rsidR="005556DA" w:rsidRPr="00F43346" w:rsidRDefault="00382D7A" w:rsidP="00F43346">
      <w:pPr>
        <w:spacing w:before="0" w:after="0"/>
        <w:ind w:left="284"/>
        <w:rPr>
          <w:szCs w:val="20"/>
        </w:rPr>
      </w:pPr>
      <w:r w:rsidRPr="00F43346">
        <w:rPr>
          <w:szCs w:val="20"/>
        </w:rPr>
        <w:fldChar w:fldCharType="begin">
          <w:ffData>
            <w:name w:val="Check1"/>
            <w:enabled/>
            <w:calcOnExit w:val="0"/>
            <w:checkBox>
              <w:sizeAuto/>
              <w:default w:val="0"/>
            </w:checkBox>
          </w:ffData>
        </w:fldChar>
      </w:r>
      <w:r w:rsidR="005556DA" w:rsidRPr="00F43346">
        <w:rPr>
          <w:szCs w:val="20"/>
        </w:rPr>
        <w:instrText xml:space="preserve"> FORMCHECKBOX </w:instrText>
      </w:r>
      <w:r w:rsidR="00427E3A">
        <w:rPr>
          <w:szCs w:val="20"/>
        </w:rPr>
      </w:r>
      <w:r w:rsidR="00427E3A">
        <w:rPr>
          <w:szCs w:val="20"/>
        </w:rPr>
        <w:fldChar w:fldCharType="separate"/>
      </w:r>
      <w:r w:rsidRPr="00F43346">
        <w:rPr>
          <w:szCs w:val="20"/>
        </w:rPr>
        <w:fldChar w:fldCharType="end"/>
      </w:r>
      <w:r w:rsidR="005556DA" w:rsidRPr="00F43346">
        <w:rPr>
          <w:szCs w:val="20"/>
        </w:rPr>
        <w:t xml:space="preserve"> Yes (If yes, please provide supporting documentation as an attachment to this application form)</w:t>
      </w:r>
    </w:p>
    <w:p w14:paraId="20C0A4FE" w14:textId="77777777" w:rsidR="005556DA" w:rsidRPr="00F43346" w:rsidRDefault="00382D7A" w:rsidP="00F43346">
      <w:pPr>
        <w:spacing w:before="0" w:after="0"/>
        <w:ind w:left="284"/>
        <w:rPr>
          <w:b/>
          <w:szCs w:val="20"/>
        </w:rPr>
      </w:pPr>
      <w:r w:rsidRPr="00F43346">
        <w:rPr>
          <w:b/>
          <w:szCs w:val="20"/>
        </w:rPr>
        <w:fldChar w:fldCharType="begin">
          <w:ffData>
            <w:name w:val=""/>
            <w:enabled/>
            <w:calcOnExit w:val="0"/>
            <w:checkBox>
              <w:sizeAuto/>
              <w:default w:val="1"/>
            </w:checkBox>
          </w:ffData>
        </w:fldChar>
      </w:r>
      <w:r w:rsidR="005556DA" w:rsidRPr="00F43346">
        <w:rPr>
          <w:b/>
          <w:szCs w:val="20"/>
        </w:rPr>
        <w:instrText xml:space="preserve"> FORMCHECKBOX </w:instrText>
      </w:r>
      <w:r w:rsidR="00427E3A">
        <w:rPr>
          <w:b/>
          <w:szCs w:val="20"/>
        </w:rPr>
      </w:r>
      <w:r w:rsidR="00427E3A">
        <w:rPr>
          <w:b/>
          <w:szCs w:val="20"/>
        </w:rPr>
        <w:fldChar w:fldCharType="separate"/>
      </w:r>
      <w:r w:rsidRPr="00F43346">
        <w:rPr>
          <w:b/>
          <w:szCs w:val="20"/>
        </w:rPr>
        <w:fldChar w:fldCharType="end"/>
      </w:r>
      <w:r w:rsidR="005556DA" w:rsidRPr="00F43346">
        <w:rPr>
          <w:b/>
          <w:szCs w:val="20"/>
        </w:rPr>
        <w:t xml:space="preserve"> </w:t>
      </w:r>
      <w:r w:rsidR="005556DA" w:rsidRPr="00F43346">
        <w:rPr>
          <w:szCs w:val="20"/>
        </w:rPr>
        <w:t>No</w:t>
      </w:r>
    </w:p>
    <w:p w14:paraId="19866BAF" w14:textId="77777777" w:rsidR="005556DA" w:rsidRDefault="005556DA" w:rsidP="005556DA">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t>?</w:t>
      </w:r>
    </w:p>
    <w:p w14:paraId="54DDD005" w14:textId="77777777" w:rsidR="005556DA" w:rsidRPr="00BE140F" w:rsidRDefault="00382D7A" w:rsidP="005556DA">
      <w:pPr>
        <w:spacing w:before="0" w:after="0"/>
        <w:ind w:left="284"/>
        <w:rPr>
          <w:szCs w:val="20"/>
        </w:rPr>
      </w:pPr>
      <w:r w:rsidRPr="00BE140F">
        <w:rPr>
          <w:szCs w:val="20"/>
        </w:rPr>
        <w:fldChar w:fldCharType="begin">
          <w:ffData>
            <w:name w:val=""/>
            <w:enabled/>
            <w:calcOnExit w:val="0"/>
            <w:checkBox>
              <w:sizeAuto/>
              <w:default w:val="1"/>
            </w:checkBox>
          </w:ffData>
        </w:fldChar>
      </w:r>
      <w:r w:rsidR="005556DA" w:rsidRPr="00F43346">
        <w:rPr>
          <w:szCs w:val="20"/>
        </w:rPr>
        <w:instrText xml:space="preserve"> FORMCHECKBOX </w:instrText>
      </w:r>
      <w:r w:rsidR="00427E3A">
        <w:rPr>
          <w:szCs w:val="20"/>
        </w:rPr>
      </w:r>
      <w:r w:rsidR="00427E3A">
        <w:rPr>
          <w:szCs w:val="20"/>
        </w:rPr>
        <w:fldChar w:fldCharType="separate"/>
      </w:r>
      <w:r w:rsidRPr="00BE140F">
        <w:rPr>
          <w:szCs w:val="20"/>
        </w:rPr>
        <w:fldChar w:fldCharType="end"/>
      </w:r>
      <w:r w:rsidR="005556DA" w:rsidRPr="00BE140F">
        <w:rPr>
          <w:szCs w:val="20"/>
        </w:rPr>
        <w:t xml:space="preserve"> Yes (if yes, please provide details below)</w:t>
      </w:r>
    </w:p>
    <w:p w14:paraId="5C82398A" w14:textId="77777777" w:rsidR="005556DA" w:rsidRDefault="00382D7A" w:rsidP="005556DA">
      <w:pPr>
        <w:spacing w:before="0" w:after="0"/>
        <w:ind w:left="284"/>
        <w:rPr>
          <w:szCs w:val="20"/>
        </w:rPr>
      </w:pPr>
      <w:r w:rsidRPr="000A5B32">
        <w:rPr>
          <w:szCs w:val="20"/>
        </w:rPr>
        <w:fldChar w:fldCharType="begin">
          <w:ffData>
            <w:name w:val=""/>
            <w:enabled/>
            <w:calcOnExit w:val="0"/>
            <w:checkBox>
              <w:sizeAuto/>
              <w:default w:val="0"/>
            </w:checkBox>
          </w:ffData>
        </w:fldChar>
      </w:r>
      <w:r w:rsidR="005556DA" w:rsidRPr="000A5B32">
        <w:rPr>
          <w:szCs w:val="20"/>
        </w:rPr>
        <w:instrText xml:space="preserve"> FORMCHECKBOX </w:instrText>
      </w:r>
      <w:r w:rsidR="00427E3A">
        <w:rPr>
          <w:szCs w:val="20"/>
        </w:rPr>
      </w:r>
      <w:r w:rsidR="00427E3A">
        <w:rPr>
          <w:szCs w:val="20"/>
        </w:rPr>
        <w:fldChar w:fldCharType="separate"/>
      </w:r>
      <w:r w:rsidRPr="000A5B32">
        <w:rPr>
          <w:szCs w:val="20"/>
        </w:rPr>
        <w:fldChar w:fldCharType="end"/>
      </w:r>
      <w:r w:rsidR="005556DA">
        <w:rPr>
          <w:szCs w:val="20"/>
        </w:rPr>
        <w:t xml:space="preserve"> No</w:t>
      </w:r>
    </w:p>
    <w:p w14:paraId="0AE6484A" w14:textId="77777777" w:rsidR="005556DA" w:rsidRPr="00615F42" w:rsidRDefault="005556DA" w:rsidP="005556DA">
      <w:pPr>
        <w:spacing w:before="0" w:after="0"/>
        <w:ind w:left="284"/>
        <w:rPr>
          <w:b/>
          <w:szCs w:val="20"/>
        </w:rPr>
      </w:pPr>
    </w:p>
    <w:p w14:paraId="3F6FFA9A" w14:textId="77777777" w:rsidR="005556DA" w:rsidRPr="00F43346" w:rsidRDefault="005556DA" w:rsidP="005556DA">
      <w:pPr>
        <w:spacing w:before="0" w:after="0"/>
        <w:ind w:left="284"/>
        <w:rPr>
          <w:szCs w:val="20"/>
        </w:rPr>
      </w:pPr>
      <w:r w:rsidRPr="00F43346">
        <w:rPr>
          <w:szCs w:val="20"/>
        </w:rPr>
        <w:t xml:space="preserve">ARTG licence numbers for IVDs include but are not limited to: </w:t>
      </w:r>
    </w:p>
    <w:p w14:paraId="45EDB6DE"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4B8D4315"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9" w:tooltip="Bio-Rad Laboratories Pty Ltd - Acquired genetic alteration IVDs" w:history="1">
        <w:r w:rsidR="005556DA" w:rsidRPr="00F43346">
          <w:rPr>
            <w:rFonts w:eastAsia="Times New Roman" w:cs="Times New Roman"/>
            <w:szCs w:val="20"/>
            <w:lang w:eastAsia="en-AU"/>
          </w:rPr>
          <w:t>Bio-Rad Laboratories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05534DB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316116</w:t>
      </w:r>
    </w:p>
    <w:p w14:paraId="67D8BA6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0073A3E4"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xml:space="preserve"> Bio-Rad </w:t>
      </w:r>
      <w:r w:rsidR="00C1373A" w:rsidRPr="00F43346">
        <w:rPr>
          <w:rFonts w:eastAsia="Times New Roman" w:cs="Times New Roman"/>
          <w:szCs w:val="20"/>
          <w:lang w:eastAsia="en-AU"/>
        </w:rPr>
        <w:t>Laboratories</w:t>
      </w:r>
      <w:r w:rsidRPr="00F43346">
        <w:rPr>
          <w:rFonts w:eastAsia="Times New Roman" w:cs="Times New Roman"/>
          <w:szCs w:val="20"/>
          <w:lang w:eastAsia="en-AU"/>
        </w:rPr>
        <w:t xml:space="preserve"> Pty Ltd</w:t>
      </w:r>
    </w:p>
    <w:p w14:paraId="6F630438"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Bio-Rad Laboratories Inc</w:t>
      </w:r>
    </w:p>
    <w:p w14:paraId="44A5C07F"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25D69996"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0" w:tooltip="Sysmex Australia Pty Ltd - Acquired genetic alteration IVDs" w:history="1">
        <w:r w:rsidR="005556DA" w:rsidRPr="00F43346">
          <w:rPr>
            <w:rFonts w:eastAsia="Times New Roman" w:cs="Times New Roman"/>
            <w:szCs w:val="20"/>
            <w:lang w:eastAsia="en-AU"/>
          </w:rPr>
          <w:t>Sysmex Australia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34CED3FA"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315997</w:t>
      </w:r>
    </w:p>
    <w:p w14:paraId="7DA6F868"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09949EC7"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Sysmex Australia Pty Ltd</w:t>
      </w:r>
    </w:p>
    <w:p w14:paraId="259BE879"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lastRenderedPageBreak/>
        <w:t>Manufacturer:</w:t>
      </w:r>
      <w:r w:rsidRPr="00F43346">
        <w:rPr>
          <w:rFonts w:eastAsia="Times New Roman" w:cs="Times New Roman"/>
          <w:szCs w:val="20"/>
          <w:lang w:eastAsia="en-AU"/>
        </w:rPr>
        <w:t> Sysmex INOSTICS GmbH</w:t>
      </w:r>
    </w:p>
    <w:p w14:paraId="69323BED"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4731E85C"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1" w:tooltip="AusDiagnostics Pty Ltd - Inborn/inherited genetic disorder IVDs" w:history="1">
        <w:r w:rsidR="005556DA" w:rsidRPr="00F43346">
          <w:rPr>
            <w:rFonts w:eastAsia="Times New Roman" w:cs="Times New Roman"/>
            <w:szCs w:val="20"/>
            <w:lang w:eastAsia="en-AU"/>
          </w:rPr>
          <w:t>AusDiagnostics Pty Ltd - Inborn/inherited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disorder IVDs</w:t>
        </w:r>
      </w:hyperlink>
    </w:p>
    <w:p w14:paraId="60ABF586"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312306</w:t>
      </w:r>
    </w:p>
    <w:p w14:paraId="3FF7094B"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032C6681"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2" w:tooltip="Myriad Genetics Pty Ltd - Acquired genetic alteration IVDs" w:history="1">
        <w:r w:rsidR="005556DA" w:rsidRPr="00F43346">
          <w:rPr>
            <w:rFonts w:eastAsia="Times New Roman" w:cs="Times New Roman"/>
            <w:szCs w:val="20"/>
            <w:lang w:eastAsia="en-AU"/>
          </w:rPr>
          <w:t>Myriad </w:t>
        </w:r>
        <w:r w:rsidR="005556DA" w:rsidRPr="00F43346">
          <w:rPr>
            <w:rFonts w:eastAsia="Times New Roman" w:cs="Times New Roman"/>
            <w:bCs/>
            <w:szCs w:val="20"/>
            <w:lang w:eastAsia="en-AU"/>
          </w:rPr>
          <w:t>Genetics</w:t>
        </w:r>
        <w:r w:rsidR="005556DA" w:rsidRPr="00F43346">
          <w:rPr>
            <w:rFonts w:eastAsia="Times New Roman" w:cs="Times New Roman"/>
            <w:szCs w:val="20"/>
            <w:lang w:eastAsia="en-AU"/>
          </w:rPr>
          <w:t>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596517B0"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285557</w:t>
      </w:r>
    </w:p>
    <w:p w14:paraId="164A96F4"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468DDB38"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Myriad Genetics Pty Ltd</w:t>
      </w:r>
    </w:p>
    <w:p w14:paraId="4B1FBF3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Myriad International GmbH</w:t>
      </w:r>
    </w:p>
    <w:p w14:paraId="1BF8ADCE"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2E306A1D"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3" w:tooltip="Elitechgroup Australia PTY LTD - Acquired genetic alteration IVDs" w:history="1">
        <w:r w:rsidR="005556DA" w:rsidRPr="00F43346">
          <w:rPr>
            <w:rFonts w:eastAsia="Times New Roman" w:cs="Times New Roman"/>
            <w:szCs w:val="20"/>
            <w:lang w:eastAsia="en-AU"/>
          </w:rPr>
          <w:t>Elitechgroup Australia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1263AFC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278596</w:t>
      </w:r>
    </w:p>
    <w:p w14:paraId="155C4070"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0F20D0EC"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Elitechgroup Australia Pty Ltd</w:t>
      </w:r>
    </w:p>
    <w:p w14:paraId="78FBA51A"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ELITechGroup SpA</w:t>
      </w:r>
    </w:p>
    <w:p w14:paraId="68F9DF90" w14:textId="77777777" w:rsidR="005556DA" w:rsidRPr="00F43346" w:rsidRDefault="005556DA" w:rsidP="005556DA">
      <w:pPr>
        <w:spacing w:before="0" w:after="0"/>
        <w:ind w:left="284"/>
        <w:rPr>
          <w:szCs w:val="20"/>
        </w:rPr>
      </w:pPr>
    </w:p>
    <w:p w14:paraId="550280BC"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4" w:tooltip="Key Diagnostics Pty Ltd - Acquired genetic alteration IVDs" w:history="1">
        <w:r w:rsidR="005556DA" w:rsidRPr="00F43346">
          <w:rPr>
            <w:rFonts w:eastAsia="Times New Roman" w:cs="Times New Roman"/>
            <w:szCs w:val="20"/>
            <w:lang w:eastAsia="en-AU"/>
          </w:rPr>
          <w:t>Key Diagnostics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5C119BF0"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270292</w:t>
      </w:r>
    </w:p>
    <w:p w14:paraId="2A9838C1"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2CC6138A"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Key Diagnostics Pty Ltd</w:t>
      </w:r>
    </w:p>
    <w:p w14:paraId="45E85D4A"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ViennaLab Diagnostics GmbH</w:t>
      </w:r>
    </w:p>
    <w:p w14:paraId="7E4FB6A5"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531EE52E"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5" w:tooltip="Carl Zeiss Pty Ltd - Acquired genetic alteration IVDs" w:history="1">
        <w:r w:rsidR="005556DA" w:rsidRPr="00F43346">
          <w:rPr>
            <w:rFonts w:eastAsia="Times New Roman" w:cs="Times New Roman"/>
            <w:szCs w:val="20"/>
            <w:lang w:eastAsia="en-AU"/>
          </w:rPr>
          <w:t>Carl Zeiss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634AFEA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266568</w:t>
      </w:r>
    </w:p>
    <w:p w14:paraId="4F196BC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1D48497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Carl Zeiss Pty Ltd</w:t>
      </w:r>
    </w:p>
    <w:p w14:paraId="79385A4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MetaSystems Probes GmbH</w:t>
      </w:r>
    </w:p>
    <w:p w14:paraId="01ED8C5A"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112E11B8"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6" w:tooltip="Agilent Technologies Australia Pty Ltd - Acquired genetic alteration IVDs" w:history="1">
        <w:r w:rsidR="005556DA" w:rsidRPr="00F43346">
          <w:rPr>
            <w:rFonts w:eastAsia="Times New Roman" w:cs="Times New Roman"/>
            <w:szCs w:val="20"/>
            <w:lang w:eastAsia="en-AU"/>
          </w:rPr>
          <w:t>Agilent Technologies Australia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w:t>
        </w:r>
      </w:hyperlink>
    </w:p>
    <w:p w14:paraId="2F6A7C17"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264573</w:t>
      </w:r>
    </w:p>
    <w:p w14:paraId="23274A56"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355B7FC3"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Agilent Technologies Australia Pty Ltd</w:t>
      </w:r>
    </w:p>
    <w:p w14:paraId="1241305D"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Dako Denmark AS</w:t>
      </w:r>
    </w:p>
    <w:p w14:paraId="69E90F10"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2CF3CA41"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7" w:tooltip="Abacus dx Pty Ltd - Acquired genetic alteration IVDs" w:history="1">
        <w:r w:rsidR="005556DA" w:rsidRPr="00F43346">
          <w:rPr>
            <w:rFonts w:eastAsia="Times New Roman" w:cs="Times New Roman"/>
            <w:szCs w:val="20"/>
            <w:lang w:eastAsia="en-AU"/>
          </w:rPr>
          <w:t>Abacus dx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1FA2F99B"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262298</w:t>
      </w:r>
    </w:p>
    <w:p w14:paraId="4A4E688E"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3D0DE0BC"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Abacus dx Pty Ltd</w:t>
      </w:r>
    </w:p>
    <w:p w14:paraId="58735B4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Biocartis NV</w:t>
      </w:r>
    </w:p>
    <w:p w14:paraId="5C815123"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68129B35"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8" w:tooltip="Abacus dx Pty Ltd - Acquired genetic alteration IVDs" w:history="1">
        <w:r w:rsidR="005556DA" w:rsidRPr="00F43346">
          <w:rPr>
            <w:rFonts w:eastAsia="Times New Roman" w:cs="Times New Roman"/>
            <w:szCs w:val="20"/>
            <w:lang w:eastAsia="en-AU"/>
          </w:rPr>
          <w:t>Abacus dx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2CD924E2"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256572</w:t>
      </w:r>
    </w:p>
    <w:p w14:paraId="2168C9C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4C1151F9"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lastRenderedPageBreak/>
        <w:t>Sponsor:</w:t>
      </w:r>
      <w:r w:rsidRPr="00F43346">
        <w:rPr>
          <w:rFonts w:eastAsia="Times New Roman" w:cs="Times New Roman"/>
          <w:szCs w:val="20"/>
          <w:lang w:eastAsia="en-AU"/>
        </w:rPr>
        <w:t> Abacus dx Pty Ltd</w:t>
      </w:r>
    </w:p>
    <w:p w14:paraId="4F829B44"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ZytoVision GmbH</w:t>
      </w:r>
    </w:p>
    <w:p w14:paraId="608B696D"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5F585FC0"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19" w:tooltip="Thermo Fisher Scientific Australia Pty Ltd - Acquired genetic alteration IVDs" w:history="1">
        <w:r w:rsidR="005556DA" w:rsidRPr="00F43346">
          <w:rPr>
            <w:rFonts w:eastAsia="Times New Roman" w:cs="Times New Roman"/>
            <w:szCs w:val="20"/>
            <w:lang w:eastAsia="en-AU"/>
          </w:rPr>
          <w:t>Thermo Fisher Scientific Australia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w:t>
        </w:r>
      </w:hyperlink>
    </w:p>
    <w:p w14:paraId="5C5E2AD4"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256113</w:t>
      </w:r>
    </w:p>
    <w:p w14:paraId="239DFE4E"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7F31B067"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Thermo Fisher Scientific Australia Pty Ltd</w:t>
      </w:r>
    </w:p>
    <w:p w14:paraId="304956DB"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Microgenics Corporation</w:t>
      </w:r>
    </w:p>
    <w:p w14:paraId="0895D7B8"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77815E3F"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0" w:tooltip="Abacus dx Pty Ltd - Acquired genetic alteration IVDs" w:history="1">
        <w:r w:rsidR="005556DA" w:rsidRPr="00F43346">
          <w:rPr>
            <w:rFonts w:eastAsia="Times New Roman" w:cs="Times New Roman"/>
            <w:szCs w:val="20"/>
            <w:lang w:eastAsia="en-AU"/>
          </w:rPr>
          <w:t>Abacus dx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39097DC4"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255352</w:t>
      </w:r>
    </w:p>
    <w:p w14:paraId="3C2A8AD1"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471C39C2"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Abacus dx Pty Ltd</w:t>
      </w:r>
    </w:p>
    <w:p w14:paraId="20E0AC68"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Invivoscribe Technologies</w:t>
      </w:r>
    </w:p>
    <w:p w14:paraId="6642DEF5"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2E703A4B"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1" w:tooltip="Qiagen Pty Ltd - Acquired genetic alteration IVDs" w:history="1">
        <w:r w:rsidR="005556DA" w:rsidRPr="00F43346">
          <w:rPr>
            <w:rFonts w:eastAsia="Times New Roman" w:cs="Times New Roman"/>
            <w:szCs w:val="20"/>
            <w:lang w:eastAsia="en-AU"/>
          </w:rPr>
          <w:t>Qiagen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22790832"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238792</w:t>
      </w:r>
    </w:p>
    <w:p w14:paraId="183C1B71"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54F5772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Qiagen Pty Ltd</w:t>
      </w:r>
    </w:p>
    <w:p w14:paraId="67E8B003"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Qiagen GmbH</w:t>
      </w:r>
    </w:p>
    <w:p w14:paraId="64B560AB"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1D4A6A72"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2" w:tooltip="Vela Diagnostics Australia Pty Ltd - Acquired genetic alteration IVDs" w:history="1">
        <w:r w:rsidR="005556DA" w:rsidRPr="00F43346">
          <w:rPr>
            <w:rFonts w:eastAsia="Times New Roman" w:cs="Times New Roman"/>
            <w:szCs w:val="20"/>
            <w:lang w:eastAsia="en-AU"/>
          </w:rPr>
          <w:t>Vela Diagnostics Australia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4AE26796"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235394</w:t>
      </w:r>
    </w:p>
    <w:p w14:paraId="6AACCCF7"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02401A04"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Vela Diagnostics Australia Pty Ltd</w:t>
      </w:r>
    </w:p>
    <w:p w14:paraId="7032CFB6"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Vela Operations Singapore Pte Ltd</w:t>
      </w:r>
    </w:p>
    <w:p w14:paraId="6857652A"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7BD0EA53"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3" w:tooltip="Vela Diagnostics Australia Pty Ltd - Acquired genetic alteration IVDs" w:history="1">
        <w:r w:rsidR="005556DA" w:rsidRPr="00F43346">
          <w:rPr>
            <w:rFonts w:eastAsia="Times New Roman" w:cs="Times New Roman"/>
            <w:szCs w:val="20"/>
            <w:lang w:eastAsia="en-AU"/>
          </w:rPr>
          <w:t>Vela Diagnostics Australia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18BA6BD7"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228024</w:t>
      </w:r>
    </w:p>
    <w:p w14:paraId="42C7C9FB"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059C88D7"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Vela Diagnostics Australia Pty Ltd</w:t>
      </w:r>
    </w:p>
    <w:p w14:paraId="613A4DBC"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Vela Operations Singapore Pte Ltd</w:t>
      </w:r>
    </w:p>
    <w:p w14:paraId="14C516E4"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680BEA63"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4" w:tooltip="Cepheid Holdings Pty Ltd - Acquired genetic alteration IVDs" w:history="1">
        <w:r w:rsidR="005556DA" w:rsidRPr="00F43346">
          <w:rPr>
            <w:rFonts w:eastAsia="Times New Roman" w:cs="Times New Roman"/>
            <w:szCs w:val="20"/>
            <w:lang w:eastAsia="en-AU"/>
          </w:rPr>
          <w:t>Cepheid Holdings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2C2BD5B2"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226631</w:t>
      </w:r>
    </w:p>
    <w:p w14:paraId="28B1DF90"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4ADA5F3E"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Cepheid Holdings Pty Ltd</w:t>
      </w:r>
    </w:p>
    <w:p w14:paraId="3684B5C0"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Cepheid</w:t>
      </w:r>
    </w:p>
    <w:p w14:paraId="1C3D53A1"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77BE08E6"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5" w:tooltip="Bio-Strategy Pty Ltd - Acquired genetic alteration IVDs" w:history="1">
        <w:r w:rsidR="005556DA" w:rsidRPr="00F43346">
          <w:rPr>
            <w:rFonts w:eastAsia="Times New Roman" w:cs="Times New Roman"/>
            <w:szCs w:val="20"/>
            <w:lang w:eastAsia="en-AU"/>
          </w:rPr>
          <w:t>Bio-Strategy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50684F59"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226487</w:t>
      </w:r>
    </w:p>
    <w:p w14:paraId="4CB8E378"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6BFB6023"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Bio-Strategy Pty Ltd</w:t>
      </w:r>
    </w:p>
    <w:p w14:paraId="25A40DFC"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Nanostring Technologies Inc</w:t>
      </w:r>
    </w:p>
    <w:p w14:paraId="21B94C59"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5CB2B6F7"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6" w:tooltip="Qiagen Pty Ltd - Acquired genetic alteration IVDs" w:history="1">
        <w:r w:rsidR="005556DA" w:rsidRPr="00F43346">
          <w:rPr>
            <w:rFonts w:eastAsia="Times New Roman" w:cs="Times New Roman"/>
            <w:szCs w:val="20"/>
            <w:lang w:eastAsia="en-AU"/>
          </w:rPr>
          <w:t>Qiagen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4F220A41"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lastRenderedPageBreak/>
        <w:t>ARTG ID:</w:t>
      </w:r>
      <w:r w:rsidRPr="00F43346">
        <w:rPr>
          <w:rFonts w:eastAsia="Times New Roman" w:cs="Times New Roman"/>
          <w:szCs w:val="20"/>
          <w:lang w:eastAsia="en-AU"/>
        </w:rPr>
        <w:t> 226453</w:t>
      </w:r>
    </w:p>
    <w:p w14:paraId="67F0485C"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0814EF1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Qiagen Pty Ltd</w:t>
      </w:r>
    </w:p>
    <w:p w14:paraId="26249D32"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Qiagen GmbH</w:t>
      </w:r>
    </w:p>
    <w:p w14:paraId="65AF5337"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12184CD6"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7" w:tooltip="Sysmex Australia Pty Ltd - Acquired genetic alteration IVDs" w:history="1">
        <w:r w:rsidR="005556DA" w:rsidRPr="00F43346">
          <w:rPr>
            <w:rFonts w:eastAsia="Times New Roman" w:cs="Times New Roman"/>
            <w:szCs w:val="20"/>
            <w:lang w:eastAsia="en-AU"/>
          </w:rPr>
          <w:t>Sysmex Australia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494857C7"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225995</w:t>
      </w:r>
    </w:p>
    <w:p w14:paraId="775C434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298F1B9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Sysmex Australia Pty Ltd</w:t>
      </w:r>
    </w:p>
    <w:p w14:paraId="72236838"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Cytocell Ltd</w:t>
      </w:r>
    </w:p>
    <w:p w14:paraId="536214CB"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74C491AD"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8" w:tooltip="Qiagen Pty Ltd - Acquired genetic alteration IVDs" w:history="1">
        <w:r w:rsidR="005556DA" w:rsidRPr="00F43346">
          <w:rPr>
            <w:rFonts w:eastAsia="Times New Roman" w:cs="Times New Roman"/>
            <w:szCs w:val="20"/>
            <w:lang w:eastAsia="en-AU"/>
          </w:rPr>
          <w:t>Qiagen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34158333"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214994</w:t>
      </w:r>
    </w:p>
    <w:p w14:paraId="3856FDFD"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7C5AB12B"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Qiagen Pty Ltd</w:t>
      </w:r>
    </w:p>
    <w:p w14:paraId="3E4BABCB"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Qiagen Manchester Ltd</w:t>
      </w:r>
    </w:p>
    <w:p w14:paraId="780A573F"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3FC1F72F"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29" w:tooltip="Sysmex Australia Pty Ltd - Acquired genetic alteration IVDs" w:history="1">
        <w:r w:rsidR="005556DA" w:rsidRPr="00F43346">
          <w:rPr>
            <w:rFonts w:eastAsia="Times New Roman" w:cs="Times New Roman"/>
            <w:szCs w:val="20"/>
            <w:lang w:eastAsia="en-AU"/>
          </w:rPr>
          <w:t>Sysmex Australia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0F34A41D"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214482</w:t>
      </w:r>
    </w:p>
    <w:p w14:paraId="71889E6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2133077B"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Sysmex Australia Pty Ltd</w:t>
      </w:r>
    </w:p>
    <w:p w14:paraId="3DB2B69A"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Sysmex Corporation</w:t>
      </w:r>
    </w:p>
    <w:p w14:paraId="0C13FF46"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7634E549"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30" w:tooltip="Abbott Australasia Pty Ltd Molecular Division - Human genetics-related IVDs" w:history="1">
        <w:r w:rsidR="005556DA" w:rsidRPr="00F43346">
          <w:rPr>
            <w:rFonts w:eastAsia="Times New Roman" w:cs="Times New Roman"/>
            <w:szCs w:val="20"/>
            <w:lang w:eastAsia="en-AU"/>
          </w:rPr>
          <w:t>Abbott Australasia Pty Ltd Molecular Division - Human…</w:t>
        </w:r>
      </w:hyperlink>
    </w:p>
    <w:p w14:paraId="664D1EF3"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197099</w:t>
      </w:r>
    </w:p>
    <w:p w14:paraId="37A92CD1"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Human genetics-related IVDs</w:t>
      </w:r>
    </w:p>
    <w:p w14:paraId="70290DE9"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Abbott Australasia Pty Ltd Molecular Division</w:t>
      </w:r>
    </w:p>
    <w:p w14:paraId="7207A87D"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Abbott Molecular Inc</w:t>
      </w:r>
    </w:p>
    <w:p w14:paraId="2AD7C590"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32C2EC6C"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31" w:tooltip="Roche Diagnostics Australia Pty Limited - Acquired genetic alteration IVDs" w:history="1">
        <w:r w:rsidR="005556DA" w:rsidRPr="00F43346">
          <w:rPr>
            <w:rFonts w:eastAsia="Times New Roman" w:cs="Times New Roman"/>
            <w:szCs w:val="20"/>
            <w:lang w:eastAsia="en-AU"/>
          </w:rPr>
          <w:t>Roche Diagnostics Australia Pty Limited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w:t>
        </w:r>
      </w:hyperlink>
    </w:p>
    <w:p w14:paraId="7AF4AD2B"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196363</w:t>
      </w:r>
    </w:p>
    <w:p w14:paraId="17A444D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13F15CC0"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Roche Diagnostics Australia Pty Limited</w:t>
      </w:r>
    </w:p>
    <w:p w14:paraId="2D7FDC29"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Roche Diagnostics GmbH</w:t>
      </w:r>
    </w:p>
    <w:p w14:paraId="1D2DE365"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04794CA6"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32" w:tooltip="Abbott Australasia Pty Ltd Molecular Division - Acquired genetic alteration IVDs" w:history="1">
        <w:r w:rsidR="005556DA" w:rsidRPr="00F43346">
          <w:rPr>
            <w:rFonts w:eastAsia="Times New Roman" w:cs="Times New Roman"/>
            <w:szCs w:val="20"/>
            <w:lang w:eastAsia="en-AU"/>
          </w:rPr>
          <w:t>Abbott Australasia Pty Ltd Molecular Division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w:t>
        </w:r>
      </w:hyperlink>
    </w:p>
    <w:p w14:paraId="3C7E1D33"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196286</w:t>
      </w:r>
    </w:p>
    <w:p w14:paraId="4D32FD67"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38302405"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Abbott Australasia Pty Ltd Molecular Division</w:t>
      </w:r>
    </w:p>
    <w:p w14:paraId="29E2B839"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Abbott Molecular Inc</w:t>
      </w:r>
    </w:p>
    <w:p w14:paraId="79C22577"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2824405E"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33" w:tooltip="Roche Diagnostics Australia Pty Limited - Acquired genetic alteration IVDs" w:history="1">
        <w:r w:rsidR="005556DA" w:rsidRPr="00F43346">
          <w:rPr>
            <w:rFonts w:eastAsia="Times New Roman" w:cs="Times New Roman"/>
            <w:szCs w:val="20"/>
            <w:lang w:eastAsia="en-AU"/>
          </w:rPr>
          <w:t>Roche Diagnostics Australia Pty Limited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w:t>
        </w:r>
      </w:hyperlink>
    </w:p>
    <w:p w14:paraId="11C60CA0"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194319</w:t>
      </w:r>
    </w:p>
    <w:p w14:paraId="75DF0B9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08CDC721"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Roche Diagnostics Australia Pty Limited</w:t>
      </w:r>
    </w:p>
    <w:p w14:paraId="595CF3E9"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lastRenderedPageBreak/>
        <w:t>Manufacturer:</w:t>
      </w:r>
      <w:r w:rsidRPr="00F43346">
        <w:rPr>
          <w:rFonts w:eastAsia="Times New Roman" w:cs="Times New Roman"/>
          <w:szCs w:val="20"/>
          <w:lang w:eastAsia="en-AU"/>
        </w:rPr>
        <w:t> Roche Diagnostics GmbH</w:t>
      </w:r>
    </w:p>
    <w:p w14:paraId="5E0610F4"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29C53C48"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34" w:tooltip="Roche Diagnostics Australia Pty Limited - Acquired genetic alteration IVDs" w:history="1">
        <w:r w:rsidR="005556DA" w:rsidRPr="00F43346">
          <w:rPr>
            <w:rFonts w:eastAsia="Times New Roman" w:cs="Times New Roman"/>
            <w:szCs w:val="20"/>
            <w:lang w:eastAsia="en-AU"/>
          </w:rPr>
          <w:t>Roche Diagnostics Australia Pty Limited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w:t>
        </w:r>
      </w:hyperlink>
    </w:p>
    <w:p w14:paraId="0EA64F41"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192395</w:t>
      </w:r>
    </w:p>
    <w:p w14:paraId="1D3B33D4"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033FFCD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Roche Diagnostics Australia Pty Limited</w:t>
      </w:r>
    </w:p>
    <w:p w14:paraId="48D4BAF9"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Roche Diagnostics GmbH</w:t>
      </w:r>
    </w:p>
    <w:p w14:paraId="2415B2A2"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6F72C8F7"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35" w:tooltip="Roche Diagnostics Australia Pty Limited - Acquired genetic alteration IVDs" w:history="1">
        <w:r w:rsidR="005556DA" w:rsidRPr="00F43346">
          <w:rPr>
            <w:rFonts w:eastAsia="Times New Roman" w:cs="Times New Roman"/>
            <w:szCs w:val="20"/>
            <w:lang w:eastAsia="en-AU"/>
          </w:rPr>
          <w:t>Roche Diagnostics Australia Pty Limited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w:t>
        </w:r>
      </w:hyperlink>
    </w:p>
    <w:p w14:paraId="21949CF3"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192394</w:t>
      </w:r>
    </w:p>
    <w:p w14:paraId="5D55DB6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41D02444"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Roche Diagnostics Australia Pty Limited</w:t>
      </w:r>
    </w:p>
    <w:p w14:paraId="690C109A"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Roche Diagnostics GmbH</w:t>
      </w:r>
    </w:p>
    <w:p w14:paraId="0EE5E43A"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24713759"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36" w:tooltip="Leica Biosystems Melbourne Pty Ltd - Acquired genetic alteration IVDs" w:history="1">
        <w:r w:rsidR="005556DA" w:rsidRPr="00F43346">
          <w:rPr>
            <w:rFonts w:eastAsia="Times New Roman" w:cs="Times New Roman"/>
            <w:szCs w:val="20"/>
            <w:lang w:eastAsia="en-AU"/>
          </w:rPr>
          <w:t>Leica Biosystems Melbourne Pty Ltd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IVDs</w:t>
        </w:r>
      </w:hyperlink>
    </w:p>
    <w:p w14:paraId="2665269A"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191254</w:t>
      </w:r>
    </w:p>
    <w:p w14:paraId="1186B08C"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w:t>
      </w:r>
    </w:p>
    <w:p w14:paraId="772FB316"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Leica Biosystems Melbourne Pty Ltd</w:t>
      </w:r>
    </w:p>
    <w:p w14:paraId="7BF65716"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Leica Biosystems Newcastle Ltd</w:t>
      </w:r>
    </w:p>
    <w:p w14:paraId="3477F030" w14:textId="77777777" w:rsidR="005556DA" w:rsidRPr="00F43346" w:rsidRDefault="005556DA" w:rsidP="005556DA">
      <w:pPr>
        <w:shd w:val="clear" w:color="auto" w:fill="FFFFFF"/>
        <w:spacing w:before="0" w:after="0"/>
        <w:ind w:left="284"/>
        <w:rPr>
          <w:rFonts w:eastAsia="Times New Roman" w:cs="Times New Roman"/>
          <w:szCs w:val="20"/>
          <w:lang w:eastAsia="en-AU"/>
        </w:rPr>
      </w:pPr>
    </w:p>
    <w:p w14:paraId="78462B63" w14:textId="77777777" w:rsidR="005556DA" w:rsidRPr="00F43346" w:rsidRDefault="00427E3A" w:rsidP="005556DA">
      <w:pPr>
        <w:shd w:val="clear" w:color="auto" w:fill="FFFFFF"/>
        <w:spacing w:before="0" w:after="0"/>
        <w:ind w:left="284"/>
        <w:rPr>
          <w:rFonts w:eastAsia="Times New Roman" w:cs="Times New Roman"/>
          <w:szCs w:val="20"/>
          <w:lang w:eastAsia="en-AU"/>
        </w:rPr>
      </w:pPr>
      <w:hyperlink r:id="rId37" w:tooltip="Roche Diagnostics Australia Pty Limited - Acquired genetic alteration IVDs" w:history="1">
        <w:r w:rsidR="005556DA" w:rsidRPr="00F43346">
          <w:rPr>
            <w:rFonts w:eastAsia="Times New Roman" w:cs="Times New Roman"/>
            <w:szCs w:val="20"/>
            <w:lang w:eastAsia="en-AU"/>
          </w:rPr>
          <w:t>Roche Diagnostics Australia Pty Limited - Acquired </w:t>
        </w:r>
        <w:r w:rsidR="005556DA" w:rsidRPr="00F43346">
          <w:rPr>
            <w:rFonts w:eastAsia="Times New Roman" w:cs="Times New Roman"/>
            <w:bCs/>
            <w:szCs w:val="20"/>
            <w:lang w:eastAsia="en-AU"/>
          </w:rPr>
          <w:t>genetic</w:t>
        </w:r>
        <w:r w:rsidR="005556DA" w:rsidRPr="00F43346">
          <w:rPr>
            <w:rFonts w:eastAsia="Times New Roman" w:cs="Times New Roman"/>
            <w:szCs w:val="20"/>
            <w:lang w:eastAsia="en-AU"/>
          </w:rPr>
          <w:t> alteration …</w:t>
        </w:r>
      </w:hyperlink>
    </w:p>
    <w:p w14:paraId="36FB7FE2"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ARTG ID:</w:t>
      </w:r>
      <w:r w:rsidRPr="00F43346">
        <w:rPr>
          <w:rFonts w:eastAsia="Times New Roman" w:cs="Times New Roman"/>
          <w:szCs w:val="20"/>
          <w:lang w:eastAsia="en-AU"/>
        </w:rPr>
        <w:t> 180933</w:t>
      </w:r>
    </w:p>
    <w:p w14:paraId="6965D1F2"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Product name:</w:t>
      </w:r>
      <w:r w:rsidRPr="00F43346">
        <w:rPr>
          <w:rFonts w:eastAsia="Times New Roman" w:cs="Times New Roman"/>
          <w:szCs w:val="20"/>
          <w:lang w:eastAsia="en-AU"/>
        </w:rPr>
        <w:t> Acquired genetic alteration IVDs - Acquired genetic alteration IVDs</w:t>
      </w:r>
    </w:p>
    <w:p w14:paraId="023430BF"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Sponsor:</w:t>
      </w:r>
      <w:r w:rsidRPr="00F43346">
        <w:rPr>
          <w:rFonts w:eastAsia="Times New Roman" w:cs="Times New Roman"/>
          <w:szCs w:val="20"/>
          <w:lang w:eastAsia="en-AU"/>
        </w:rPr>
        <w:t> Roche Diagnostics Australia Pty Limited</w:t>
      </w:r>
    </w:p>
    <w:p w14:paraId="273EBE38" w14:textId="77777777" w:rsidR="005556DA" w:rsidRPr="00F43346" w:rsidRDefault="005556DA" w:rsidP="005556DA">
      <w:pPr>
        <w:shd w:val="clear" w:color="auto" w:fill="FFFFFF"/>
        <w:spacing w:before="0" w:after="0"/>
        <w:ind w:left="284"/>
        <w:rPr>
          <w:rFonts w:eastAsia="Times New Roman" w:cs="Times New Roman"/>
          <w:szCs w:val="20"/>
          <w:lang w:eastAsia="en-AU"/>
        </w:rPr>
      </w:pPr>
      <w:r w:rsidRPr="00F43346">
        <w:rPr>
          <w:rFonts w:eastAsia="Times New Roman" w:cs="Times New Roman"/>
          <w:bCs/>
          <w:szCs w:val="20"/>
          <w:lang w:eastAsia="en-AU"/>
        </w:rPr>
        <w:t>Manufacturer:</w:t>
      </w:r>
      <w:r w:rsidRPr="00F43346">
        <w:rPr>
          <w:rFonts w:eastAsia="Times New Roman" w:cs="Times New Roman"/>
          <w:szCs w:val="20"/>
          <w:lang w:eastAsia="en-AU"/>
        </w:rPr>
        <w:t> Roche Diagnostics GmbH</w:t>
      </w:r>
    </w:p>
    <w:p w14:paraId="2D1431FB" w14:textId="77777777" w:rsidR="005556DA" w:rsidRPr="00F43346" w:rsidRDefault="005556DA" w:rsidP="005556DA">
      <w:pPr>
        <w:spacing w:before="0" w:after="0"/>
        <w:ind w:left="284"/>
        <w:rPr>
          <w:szCs w:val="20"/>
        </w:rPr>
      </w:pPr>
    </w:p>
    <w:p w14:paraId="7ACE272C" w14:textId="77777777" w:rsidR="005556DA" w:rsidRDefault="005556DA" w:rsidP="005556DA">
      <w:pPr>
        <w:pStyle w:val="Heading2"/>
      </w:pPr>
      <w:r w:rsidRPr="0043654D">
        <w:t>If the therapeutic good has not been listed, registered or included in the ARTG, is the therapeutic good in the process of being considered for inclusion by the TGA?</w:t>
      </w:r>
    </w:p>
    <w:p w14:paraId="51C1BDA4" w14:textId="7AE65EE2" w:rsidR="005556DA" w:rsidRPr="005526C9" w:rsidRDefault="005556DA" w:rsidP="00F43346">
      <w:pPr>
        <w:ind w:left="360"/>
      </w:pPr>
      <w:r w:rsidRPr="005526C9">
        <w:t>Not applicable</w:t>
      </w:r>
      <w:r w:rsidR="00F43346">
        <w:t>.</w:t>
      </w:r>
    </w:p>
    <w:p w14:paraId="109523C2" w14:textId="77777777" w:rsidR="005556DA" w:rsidRPr="005526C9" w:rsidRDefault="00382D7A" w:rsidP="00F43346">
      <w:pPr>
        <w:ind w:left="720"/>
      </w:pPr>
      <w:r w:rsidRPr="005526C9">
        <w:fldChar w:fldCharType="begin">
          <w:ffData>
            <w:name w:val="Check1"/>
            <w:enabled/>
            <w:calcOnExit w:val="0"/>
            <w:checkBox>
              <w:sizeAuto/>
              <w:default w:val="0"/>
            </w:checkBox>
          </w:ffData>
        </w:fldChar>
      </w:r>
      <w:r w:rsidR="005556DA" w:rsidRPr="00F43346">
        <w:instrText xml:space="preserve"> FORMCHECKBOX </w:instrText>
      </w:r>
      <w:r w:rsidR="00427E3A">
        <w:fldChar w:fldCharType="separate"/>
      </w:r>
      <w:r w:rsidRPr="005526C9">
        <w:fldChar w:fldCharType="end"/>
      </w:r>
      <w:r w:rsidR="005556DA" w:rsidRPr="005526C9">
        <w:t xml:space="preserve"> Yes (please provide details below)</w:t>
      </w:r>
    </w:p>
    <w:p w14:paraId="44898186" w14:textId="77777777" w:rsidR="005556DA" w:rsidRPr="005526C9" w:rsidRDefault="00382D7A" w:rsidP="00F43346">
      <w:pPr>
        <w:ind w:left="720"/>
      </w:pPr>
      <w:r w:rsidRPr="005526C9">
        <w:fldChar w:fldCharType="begin">
          <w:ffData>
            <w:name w:val="Check1"/>
            <w:enabled/>
            <w:calcOnExit w:val="0"/>
            <w:checkBox>
              <w:sizeAuto/>
              <w:default w:val="0"/>
            </w:checkBox>
          </w:ffData>
        </w:fldChar>
      </w:r>
      <w:r w:rsidR="005556DA" w:rsidRPr="005526C9">
        <w:instrText xml:space="preserve"> FORMCHECKBOX </w:instrText>
      </w:r>
      <w:r w:rsidR="00427E3A">
        <w:fldChar w:fldCharType="separate"/>
      </w:r>
      <w:r w:rsidRPr="005526C9">
        <w:fldChar w:fldCharType="end"/>
      </w:r>
      <w:r w:rsidR="005556DA" w:rsidRPr="005526C9">
        <w:t xml:space="preserve"> No</w:t>
      </w:r>
    </w:p>
    <w:p w14:paraId="6BDB07C8" w14:textId="20E82429" w:rsidR="005526C9" w:rsidRPr="006455D8" w:rsidRDefault="006455D8" w:rsidP="00F43346">
      <w:pPr>
        <w:ind w:left="360"/>
        <w:rPr>
          <w:rFonts w:ascii="Calibri" w:eastAsia="Times New Roman" w:hAnsi="Calibri" w:cs="Times New Roman"/>
          <w:iCs/>
          <w:lang w:eastAsia="en-AU"/>
        </w:rPr>
      </w:pPr>
      <w:r w:rsidRPr="006455D8">
        <w:rPr>
          <w:iCs/>
        </w:rPr>
        <w:t>REDACTED</w:t>
      </w:r>
    </w:p>
    <w:p w14:paraId="72ACCF7B" w14:textId="77777777" w:rsidR="005556DA" w:rsidRDefault="005556DA" w:rsidP="005556DA">
      <w:pPr>
        <w:pStyle w:val="Heading2"/>
      </w:pPr>
      <w:r>
        <w:t>I</w:t>
      </w:r>
      <w:r w:rsidRPr="000A110D">
        <w:t>f the therapeutic good is not in the process of being considered for listing, registration or inclusion by the TGA, is an application to the TGA being prepared?</w:t>
      </w:r>
    </w:p>
    <w:p w14:paraId="6AA0A40E" w14:textId="65FF7FE6" w:rsidR="005556DA" w:rsidRPr="005526C9" w:rsidRDefault="005556DA" w:rsidP="00F43346">
      <w:pPr>
        <w:ind w:left="360"/>
      </w:pPr>
      <w:r w:rsidRPr="005526C9">
        <w:t>Not applicable</w:t>
      </w:r>
      <w:r w:rsidR="00F43346">
        <w:t>.</w:t>
      </w:r>
    </w:p>
    <w:p w14:paraId="2FC2AF63" w14:textId="77777777" w:rsidR="005556DA" w:rsidRPr="005526C9" w:rsidRDefault="00382D7A" w:rsidP="00F43346">
      <w:pPr>
        <w:ind w:left="720"/>
      </w:pPr>
      <w:r w:rsidRPr="005526C9">
        <w:fldChar w:fldCharType="begin">
          <w:ffData>
            <w:name w:val="Check1"/>
            <w:enabled/>
            <w:calcOnExit w:val="0"/>
            <w:checkBox>
              <w:sizeAuto/>
              <w:default w:val="0"/>
            </w:checkBox>
          </w:ffData>
        </w:fldChar>
      </w:r>
      <w:r w:rsidR="005556DA" w:rsidRPr="00F43346">
        <w:instrText xml:space="preserve"> FORMCHECKBOX </w:instrText>
      </w:r>
      <w:r w:rsidR="00427E3A">
        <w:fldChar w:fldCharType="separate"/>
      </w:r>
      <w:r w:rsidRPr="005526C9">
        <w:fldChar w:fldCharType="end"/>
      </w:r>
      <w:r w:rsidR="005556DA" w:rsidRPr="005526C9">
        <w:t xml:space="preserve"> Yes (please provide details below)</w:t>
      </w:r>
    </w:p>
    <w:p w14:paraId="5ACF3DEF" w14:textId="77777777" w:rsidR="005556DA" w:rsidRPr="00154B00" w:rsidRDefault="00382D7A" w:rsidP="00F43346">
      <w:pPr>
        <w:ind w:left="720"/>
        <w:rPr>
          <w:szCs w:val="20"/>
        </w:rPr>
      </w:pPr>
      <w:r w:rsidRPr="005526C9">
        <w:fldChar w:fldCharType="begin">
          <w:ffData>
            <w:name w:val="Check1"/>
            <w:enabled/>
            <w:calcOnExit w:val="0"/>
            <w:checkBox>
              <w:sizeAuto/>
              <w:default w:val="0"/>
            </w:checkBox>
          </w:ffData>
        </w:fldChar>
      </w:r>
      <w:r w:rsidR="005556DA" w:rsidRPr="005526C9">
        <w:instrText xml:space="preserve"> FORMCHECKBOX </w:instrText>
      </w:r>
      <w:r w:rsidR="00427E3A">
        <w:fldChar w:fldCharType="separate"/>
      </w:r>
      <w:r w:rsidRPr="005526C9">
        <w:fldChar w:fldCharType="end"/>
      </w:r>
      <w:r w:rsidR="005556DA" w:rsidRPr="005526C9">
        <w:t xml:space="preserve"> No</w:t>
      </w:r>
    </w:p>
    <w:p w14:paraId="5B87D2EA" w14:textId="77777777" w:rsidR="005556DA" w:rsidRDefault="005556DA" w:rsidP="005556DA">
      <w:pPr>
        <w:rPr>
          <w:b/>
          <w:sz w:val="32"/>
          <w:szCs w:val="32"/>
        </w:rPr>
        <w:sectPr w:rsidR="005556DA" w:rsidSect="00991EE4">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pgNumType w:start="0"/>
          <w:cols w:space="708"/>
          <w:titlePg/>
          <w:docGrid w:linePitch="360"/>
        </w:sectPr>
      </w:pPr>
    </w:p>
    <w:p w14:paraId="04B333BA" w14:textId="77777777" w:rsidR="005556DA" w:rsidRPr="00C776B1" w:rsidRDefault="005556DA" w:rsidP="005556DA">
      <w:pPr>
        <w:pStyle w:val="Heading1"/>
      </w:pPr>
      <w:r>
        <w:lastRenderedPageBreak/>
        <w:t>PART 4 – SUMMARY</w:t>
      </w:r>
      <w:r w:rsidRPr="00C776B1">
        <w:t xml:space="preserve"> OF EVIDENCE</w:t>
      </w:r>
    </w:p>
    <w:p w14:paraId="69D41C71" w14:textId="77777777" w:rsidR="005556DA" w:rsidRPr="00832B31" w:rsidRDefault="005556DA" w:rsidP="005556DA">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38" w:type="pct"/>
        <w:tblLayout w:type="fixed"/>
        <w:tblLook w:val="04A0" w:firstRow="1" w:lastRow="0" w:firstColumn="1" w:lastColumn="0" w:noHBand="0" w:noVBand="1"/>
        <w:tblCaption w:val="Table"/>
        <w:tblDescription w:val="Summary of evidence"/>
      </w:tblPr>
      <w:tblGrid>
        <w:gridCol w:w="421"/>
        <w:gridCol w:w="1279"/>
        <w:gridCol w:w="3258"/>
        <w:gridCol w:w="4393"/>
        <w:gridCol w:w="3098"/>
        <w:gridCol w:w="1605"/>
      </w:tblGrid>
      <w:tr w:rsidR="005556DA" w14:paraId="5055A1EE" w14:textId="77777777" w:rsidTr="007027E0">
        <w:trPr>
          <w:cantSplit/>
          <w:tblHeader/>
        </w:trPr>
        <w:tc>
          <w:tcPr>
            <w:tcW w:w="150" w:type="pct"/>
            <w:shd w:val="clear" w:color="auto" w:fill="D9D9D9" w:themeFill="background1" w:themeFillShade="D9"/>
          </w:tcPr>
          <w:p w14:paraId="09540BE5" w14:textId="77777777" w:rsidR="005556DA" w:rsidRDefault="005556DA" w:rsidP="001B439C">
            <w:pPr>
              <w:pStyle w:val="TableHEADER"/>
            </w:pPr>
          </w:p>
        </w:tc>
        <w:tc>
          <w:tcPr>
            <w:tcW w:w="455" w:type="pct"/>
            <w:shd w:val="clear" w:color="auto" w:fill="D9D9D9" w:themeFill="background1" w:themeFillShade="D9"/>
          </w:tcPr>
          <w:p w14:paraId="785918CB" w14:textId="77777777" w:rsidR="005556DA" w:rsidRDefault="005556DA" w:rsidP="001B439C">
            <w:pPr>
              <w:pStyle w:val="TableHEADER"/>
            </w:pPr>
            <w:r>
              <w:t>Type of study design*</w:t>
            </w:r>
          </w:p>
        </w:tc>
        <w:tc>
          <w:tcPr>
            <w:tcW w:w="1159" w:type="pct"/>
            <w:shd w:val="clear" w:color="auto" w:fill="D9D9D9" w:themeFill="background1" w:themeFillShade="D9"/>
          </w:tcPr>
          <w:p w14:paraId="0D192454" w14:textId="77777777" w:rsidR="005556DA" w:rsidRDefault="005556DA" w:rsidP="001B439C">
            <w:pPr>
              <w:pStyle w:val="TableHEADER"/>
            </w:pPr>
            <w:r>
              <w:t>Title of journal article  or research project (including any trial identifier or study lead if relevant)</w:t>
            </w:r>
          </w:p>
        </w:tc>
        <w:tc>
          <w:tcPr>
            <w:tcW w:w="1563" w:type="pct"/>
            <w:shd w:val="clear" w:color="auto" w:fill="D9D9D9" w:themeFill="background1" w:themeFillShade="D9"/>
          </w:tcPr>
          <w:p w14:paraId="1893524E" w14:textId="77777777" w:rsidR="005556DA" w:rsidRDefault="005556DA" w:rsidP="001B439C">
            <w:pPr>
              <w:pStyle w:val="TableHEADER"/>
            </w:pPr>
            <w:r>
              <w:t>Short description of research  (max 50 words)**</w:t>
            </w:r>
          </w:p>
        </w:tc>
        <w:tc>
          <w:tcPr>
            <w:tcW w:w="1102" w:type="pct"/>
            <w:shd w:val="clear" w:color="auto" w:fill="D9D9D9" w:themeFill="background1" w:themeFillShade="D9"/>
          </w:tcPr>
          <w:p w14:paraId="66C93F1E" w14:textId="77777777" w:rsidR="005556DA" w:rsidRDefault="005556DA" w:rsidP="001B439C">
            <w:pPr>
              <w:pStyle w:val="TableHEADER"/>
            </w:pPr>
            <w:r w:rsidRPr="00E82F54">
              <w:t xml:space="preserve">Website link to </w:t>
            </w:r>
            <w:r>
              <w:t>journal article or research (if available)</w:t>
            </w:r>
          </w:p>
        </w:tc>
        <w:tc>
          <w:tcPr>
            <w:tcW w:w="571" w:type="pct"/>
            <w:shd w:val="clear" w:color="auto" w:fill="D9D9D9" w:themeFill="background1" w:themeFillShade="D9"/>
          </w:tcPr>
          <w:p w14:paraId="5187585C" w14:textId="77777777" w:rsidR="005556DA" w:rsidRDefault="005556DA" w:rsidP="001B439C">
            <w:pPr>
              <w:pStyle w:val="TableHEADER"/>
            </w:pPr>
            <w:r w:rsidRPr="00E82F54">
              <w:t>Date</w:t>
            </w:r>
            <w:r>
              <w:t xml:space="preserve"> of publication</w:t>
            </w:r>
            <w:r w:rsidRPr="00E82F54">
              <w:t>*</w:t>
            </w:r>
            <w:r>
              <w:t>**</w:t>
            </w:r>
          </w:p>
        </w:tc>
      </w:tr>
      <w:tr w:rsidR="005556DA" w14:paraId="18C37B33" w14:textId="77777777" w:rsidTr="007027E0">
        <w:trPr>
          <w:cantSplit/>
        </w:trPr>
        <w:tc>
          <w:tcPr>
            <w:tcW w:w="150" w:type="pct"/>
          </w:tcPr>
          <w:p w14:paraId="0031FF82" w14:textId="0E2AF88F" w:rsidR="005556DA" w:rsidRPr="00965B6B" w:rsidRDefault="005556DA" w:rsidP="001B439C">
            <w:pPr>
              <w:rPr>
                <w:szCs w:val="20"/>
              </w:rPr>
            </w:pPr>
            <w:r>
              <w:rPr>
                <w:szCs w:val="20"/>
              </w:rPr>
              <w:t>1</w:t>
            </w:r>
            <w:r w:rsidR="007027E0">
              <w:rPr>
                <w:szCs w:val="20"/>
              </w:rPr>
              <w:t>.</w:t>
            </w:r>
          </w:p>
        </w:tc>
        <w:tc>
          <w:tcPr>
            <w:tcW w:w="455" w:type="pct"/>
          </w:tcPr>
          <w:p w14:paraId="1923BBC0" w14:textId="0C95321F" w:rsidR="005556DA" w:rsidRDefault="005556DA" w:rsidP="001B439C">
            <w:r>
              <w:t>Multicentr</w:t>
            </w:r>
            <w:r w:rsidR="007027E0">
              <w:t>e</w:t>
            </w:r>
            <w:r>
              <w:t>, open label, phase 3 randomised trial</w:t>
            </w:r>
          </w:p>
        </w:tc>
        <w:tc>
          <w:tcPr>
            <w:tcW w:w="1159" w:type="pct"/>
          </w:tcPr>
          <w:p w14:paraId="0AE67DF6" w14:textId="77777777" w:rsidR="005556DA" w:rsidRDefault="005556DA" w:rsidP="001B439C">
            <w:r w:rsidRPr="00F74813">
              <w:t>Encorafenib, Binimetinib, and Cetuximab in BRAF V600E–Mutated Colorectal Cancer</w:t>
            </w:r>
            <w:r>
              <w:t>.</w:t>
            </w:r>
          </w:p>
          <w:p w14:paraId="477AF39B" w14:textId="77777777" w:rsidR="005556DA" w:rsidRDefault="005556DA" w:rsidP="001B439C">
            <w:r>
              <w:t>Published as Kopetz S, et. Al. NEJM, 2019; 381: 1632-1643</w:t>
            </w:r>
          </w:p>
          <w:p w14:paraId="52E057E8" w14:textId="77777777" w:rsidR="005556DA" w:rsidRDefault="005556DA" w:rsidP="001B439C">
            <w:r>
              <w:t>NCT02928224;</w:t>
            </w:r>
          </w:p>
          <w:p w14:paraId="03994018" w14:textId="77777777" w:rsidR="005556DA" w:rsidRDefault="005556DA" w:rsidP="001B439C">
            <w:r>
              <w:t>EudraCT number 2015-005805-35</w:t>
            </w:r>
          </w:p>
          <w:p w14:paraId="293C7FE8" w14:textId="77777777" w:rsidR="005556DA" w:rsidRDefault="005556DA" w:rsidP="001B439C">
            <w:r>
              <w:t>BEACON study</w:t>
            </w:r>
          </w:p>
        </w:tc>
        <w:tc>
          <w:tcPr>
            <w:tcW w:w="1563" w:type="pct"/>
          </w:tcPr>
          <w:p w14:paraId="1103C10C" w14:textId="77777777" w:rsidR="005556DA" w:rsidRDefault="005556DA" w:rsidP="001B439C">
            <w:r>
              <w:t>Active, not recruiting.</w:t>
            </w:r>
          </w:p>
          <w:p w14:paraId="5811B410" w14:textId="77777777" w:rsidR="005556DA" w:rsidRDefault="005556DA" w:rsidP="001B439C">
            <w:r>
              <w:t xml:space="preserve">665 patients with BRAF V600E-mutated metastatic colorectal cancer </w:t>
            </w:r>
            <w:r w:rsidRPr="00F74813">
              <w:t>who had had disease progression after one or two previous regimens</w:t>
            </w:r>
            <w:r>
              <w:t>; randomly assigned 1:1:1 to:</w:t>
            </w:r>
          </w:p>
          <w:p w14:paraId="3A35A753" w14:textId="77777777" w:rsidR="005556DA" w:rsidRDefault="005556DA" w:rsidP="001B439C">
            <w:r>
              <w:t xml:space="preserve">Triplet therapy = </w:t>
            </w:r>
            <w:r w:rsidRPr="00F74813">
              <w:t>encorafenib, binimetinib, and cetuximab</w:t>
            </w:r>
            <w:r>
              <w:t>.</w:t>
            </w:r>
          </w:p>
          <w:p w14:paraId="3760E901" w14:textId="77777777" w:rsidR="005556DA" w:rsidRDefault="005556DA" w:rsidP="001B439C">
            <w:r>
              <w:t xml:space="preserve">Doublet therapy = </w:t>
            </w:r>
            <w:r w:rsidRPr="00F74813">
              <w:t>encorafenib and cetuximab</w:t>
            </w:r>
          </w:p>
          <w:p w14:paraId="1BD79AA4" w14:textId="77777777" w:rsidR="005556DA" w:rsidRDefault="005556DA" w:rsidP="001B439C">
            <w:r>
              <w:t xml:space="preserve">Control = </w:t>
            </w:r>
            <w:r w:rsidRPr="00F74813">
              <w:t>investigators’ choice of either cetuximab and irinotecan or cetuximab and FOLFIRI</w:t>
            </w:r>
            <w:r>
              <w:t>.</w:t>
            </w:r>
          </w:p>
          <w:p w14:paraId="39543FCC" w14:textId="77777777" w:rsidR="005556DA" w:rsidRDefault="005556DA" w:rsidP="001B439C">
            <w:r>
              <w:t>P</w:t>
            </w:r>
            <w:r w:rsidRPr="00F74813">
              <w:t>rimary end points</w:t>
            </w:r>
            <w:r>
              <w:t xml:space="preserve">: </w:t>
            </w:r>
            <w:r w:rsidRPr="00F74813">
              <w:t>overall survival and objective response rate</w:t>
            </w:r>
            <w:r>
              <w:t xml:space="preserve"> (</w:t>
            </w:r>
            <w:r w:rsidRPr="00F74813">
              <w:t>triplet-therapy group compared with the control group</w:t>
            </w:r>
            <w:r>
              <w:t>).</w:t>
            </w:r>
          </w:p>
        </w:tc>
        <w:tc>
          <w:tcPr>
            <w:tcW w:w="1102" w:type="pct"/>
          </w:tcPr>
          <w:p w14:paraId="7020541E" w14:textId="77777777" w:rsidR="005556DA" w:rsidRDefault="00427E3A" w:rsidP="001B439C">
            <w:hyperlink r:id="rId44" w:history="1">
              <w:r w:rsidR="005556DA" w:rsidRPr="00F74813">
                <w:rPr>
                  <w:color w:val="0000FF"/>
                  <w:u w:val="single"/>
                </w:rPr>
                <w:t>https://www.nejm.org/doi/full/10.1056/NEJMoa1908075</w:t>
              </w:r>
            </w:hyperlink>
          </w:p>
        </w:tc>
        <w:tc>
          <w:tcPr>
            <w:tcW w:w="571" w:type="pct"/>
          </w:tcPr>
          <w:p w14:paraId="2347E907" w14:textId="77777777" w:rsidR="005556DA" w:rsidRDefault="005556DA" w:rsidP="001B439C">
            <w:r>
              <w:t>October 2019</w:t>
            </w:r>
          </w:p>
        </w:tc>
      </w:tr>
      <w:tr w:rsidR="005556DA" w14:paraId="31A49EFC" w14:textId="77777777" w:rsidTr="007027E0">
        <w:trPr>
          <w:cantSplit/>
        </w:trPr>
        <w:tc>
          <w:tcPr>
            <w:tcW w:w="150" w:type="pct"/>
          </w:tcPr>
          <w:p w14:paraId="1E5A1C36" w14:textId="27980600" w:rsidR="005556DA" w:rsidRDefault="005556DA" w:rsidP="001B439C">
            <w:pPr>
              <w:rPr>
                <w:szCs w:val="20"/>
              </w:rPr>
            </w:pPr>
            <w:r>
              <w:rPr>
                <w:szCs w:val="20"/>
              </w:rPr>
              <w:t>2</w:t>
            </w:r>
            <w:r w:rsidR="007027E0">
              <w:rPr>
                <w:szCs w:val="20"/>
              </w:rPr>
              <w:t>.</w:t>
            </w:r>
          </w:p>
        </w:tc>
        <w:tc>
          <w:tcPr>
            <w:tcW w:w="455" w:type="pct"/>
          </w:tcPr>
          <w:p w14:paraId="01F8FE71" w14:textId="77777777" w:rsidR="005556DA" w:rsidRDefault="005556DA" w:rsidP="001B439C">
            <w:r>
              <w:t>Safety study</w:t>
            </w:r>
          </w:p>
        </w:tc>
        <w:tc>
          <w:tcPr>
            <w:tcW w:w="1159" w:type="pct"/>
          </w:tcPr>
          <w:p w14:paraId="4845D8B7" w14:textId="77777777" w:rsidR="005556DA" w:rsidRDefault="005556DA" w:rsidP="001B439C">
            <w:r>
              <w:t>Van Cutsem E, Huijberts S, Grothey A, et al. Binimetinib, encorafenib, and cetuximab triplet therapy for patients with BRAF V600E–mutant metastatic colorectal cancer: safety lead-in results from the phase III BEACON colorectal cancer study.</w:t>
            </w:r>
          </w:p>
          <w:p w14:paraId="3A97D001" w14:textId="77777777" w:rsidR="005556DA" w:rsidRPr="00F74813" w:rsidRDefault="005556DA" w:rsidP="001B439C">
            <w:r>
              <w:t>J Clin Oncol 2019; 37: 1460-9.</w:t>
            </w:r>
          </w:p>
        </w:tc>
        <w:tc>
          <w:tcPr>
            <w:tcW w:w="1563" w:type="pct"/>
          </w:tcPr>
          <w:p w14:paraId="6D1399F1" w14:textId="77777777" w:rsidR="005556DA" w:rsidRDefault="005556DA" w:rsidP="001B439C">
            <w:r>
              <w:t>Lead in safety analysis prior to the randomisation phase of the BEACON study.</w:t>
            </w:r>
          </w:p>
        </w:tc>
        <w:tc>
          <w:tcPr>
            <w:tcW w:w="1102" w:type="pct"/>
          </w:tcPr>
          <w:p w14:paraId="24059BC1" w14:textId="77777777" w:rsidR="005556DA" w:rsidRDefault="00427E3A" w:rsidP="001B439C">
            <w:hyperlink r:id="rId45" w:history="1">
              <w:r w:rsidR="005556DA" w:rsidRPr="00CB1C83">
                <w:rPr>
                  <w:rStyle w:val="Hyperlink"/>
                </w:rPr>
                <w:t>https://ascopubs.org/doi/full/10.1200/JCO.18.02459?url_ver=Z39.88-2003&amp;rfr_id=ori:rid:crossref.org&amp;rfr_dat=cr_pub%3dpubmed</w:t>
              </w:r>
            </w:hyperlink>
          </w:p>
          <w:p w14:paraId="0634EF7E" w14:textId="77777777" w:rsidR="005556DA" w:rsidRPr="00F74813" w:rsidRDefault="005556DA" w:rsidP="001B439C"/>
        </w:tc>
        <w:tc>
          <w:tcPr>
            <w:tcW w:w="571" w:type="pct"/>
          </w:tcPr>
          <w:p w14:paraId="37D466FA" w14:textId="77777777" w:rsidR="005556DA" w:rsidRDefault="005556DA" w:rsidP="001B439C">
            <w:r>
              <w:t>2019</w:t>
            </w:r>
          </w:p>
          <w:p w14:paraId="6A7F531E" w14:textId="77777777" w:rsidR="005556DA" w:rsidRDefault="005556DA" w:rsidP="001B439C">
            <w:r>
              <w:t>Companion paper to Ref 1. Above.</w:t>
            </w:r>
          </w:p>
        </w:tc>
      </w:tr>
      <w:tr w:rsidR="005556DA" w14:paraId="5EFC1393" w14:textId="77777777" w:rsidTr="007027E0">
        <w:trPr>
          <w:cantSplit/>
        </w:trPr>
        <w:tc>
          <w:tcPr>
            <w:tcW w:w="150" w:type="pct"/>
          </w:tcPr>
          <w:p w14:paraId="1373F168" w14:textId="7F542C97" w:rsidR="005556DA" w:rsidRDefault="005556DA" w:rsidP="001B439C">
            <w:pPr>
              <w:rPr>
                <w:szCs w:val="20"/>
              </w:rPr>
            </w:pPr>
            <w:r>
              <w:rPr>
                <w:szCs w:val="20"/>
              </w:rPr>
              <w:t>3</w:t>
            </w:r>
            <w:r w:rsidR="007027E0">
              <w:rPr>
                <w:szCs w:val="20"/>
              </w:rPr>
              <w:t>.</w:t>
            </w:r>
          </w:p>
        </w:tc>
        <w:tc>
          <w:tcPr>
            <w:tcW w:w="455" w:type="pct"/>
          </w:tcPr>
          <w:p w14:paraId="6200DDAC" w14:textId="77777777" w:rsidR="005556DA" w:rsidRDefault="005556DA" w:rsidP="001B439C">
            <w:r>
              <w:t>Review</w:t>
            </w:r>
          </w:p>
        </w:tc>
        <w:tc>
          <w:tcPr>
            <w:tcW w:w="1159" w:type="pct"/>
          </w:tcPr>
          <w:p w14:paraId="564506D8" w14:textId="77777777" w:rsidR="005556DA" w:rsidRDefault="005556DA" w:rsidP="001B439C">
            <w:r>
              <w:t xml:space="preserve">Sharma, SG, Gulley, ML. </w:t>
            </w:r>
            <w:r w:rsidRPr="00680181">
              <w:t>BRAF Mutation Testing in Colorectal Cancer</w:t>
            </w:r>
          </w:p>
          <w:p w14:paraId="312473DF" w14:textId="77777777" w:rsidR="005556DA" w:rsidRDefault="005556DA" w:rsidP="001B439C">
            <w:r w:rsidRPr="00680181">
              <w:t>Arch Pathol Lab Med. 2010;134:1225–1228</w:t>
            </w:r>
          </w:p>
        </w:tc>
        <w:tc>
          <w:tcPr>
            <w:tcW w:w="1563" w:type="pct"/>
          </w:tcPr>
          <w:p w14:paraId="5E7DFEF6" w14:textId="77777777" w:rsidR="005556DA" w:rsidRDefault="005556DA" w:rsidP="001B439C">
            <w:r>
              <w:t>This review describes:</w:t>
            </w:r>
          </w:p>
          <w:p w14:paraId="22AB121D" w14:textId="77777777" w:rsidR="005556DA" w:rsidRDefault="005556DA" w:rsidP="005556DA">
            <w:pPr>
              <w:pStyle w:val="ListParagraph"/>
              <w:numPr>
                <w:ilvl w:val="0"/>
                <w:numId w:val="39"/>
              </w:numPr>
            </w:pPr>
            <w:r>
              <w:t>The role of BRAF in the pathogenesis of CRC;</w:t>
            </w:r>
          </w:p>
          <w:p w14:paraId="17E2A7D9" w14:textId="77777777" w:rsidR="005556DA" w:rsidRDefault="005556DA" w:rsidP="005556DA">
            <w:pPr>
              <w:pStyle w:val="ListParagraph"/>
              <w:numPr>
                <w:ilvl w:val="0"/>
                <w:numId w:val="39"/>
              </w:numPr>
            </w:pPr>
            <w:r>
              <w:t>Analytical methods to identify BRAFV600E mutation;</w:t>
            </w:r>
          </w:p>
          <w:p w14:paraId="6D4DE3FB" w14:textId="77777777" w:rsidR="005556DA" w:rsidRDefault="005556DA" w:rsidP="005556DA">
            <w:pPr>
              <w:pStyle w:val="ListParagraph"/>
              <w:numPr>
                <w:ilvl w:val="0"/>
                <w:numId w:val="39"/>
              </w:numPr>
            </w:pPr>
            <w:r>
              <w:t>Use of BRAF and KRAS mutation analysis to select appropriate therapies for the treatment of CRC.</w:t>
            </w:r>
          </w:p>
          <w:p w14:paraId="602FFE35" w14:textId="77777777" w:rsidR="005556DA" w:rsidRDefault="005556DA" w:rsidP="001B439C"/>
        </w:tc>
        <w:tc>
          <w:tcPr>
            <w:tcW w:w="1102" w:type="pct"/>
          </w:tcPr>
          <w:p w14:paraId="2C3811FE" w14:textId="77777777" w:rsidR="005556DA" w:rsidRDefault="00427E3A" w:rsidP="001B439C">
            <w:hyperlink r:id="rId46" w:history="1">
              <w:r w:rsidR="005556DA" w:rsidRPr="00CB1C83">
                <w:rPr>
                  <w:rStyle w:val="Hyperlink"/>
                </w:rPr>
                <w:t>https://www.archivesofpathology.org/doi/10.1043/2009-0232-RS.1?url_ver=Z39.88-2003&amp;rfr_id=ori:rid:crossref.org&amp;rfr_dat=cr_pub%3dpubmed</w:t>
              </w:r>
            </w:hyperlink>
          </w:p>
          <w:p w14:paraId="7E1715D6" w14:textId="77777777" w:rsidR="005556DA" w:rsidRPr="00F74813" w:rsidRDefault="005556DA" w:rsidP="001B439C"/>
        </w:tc>
        <w:tc>
          <w:tcPr>
            <w:tcW w:w="571" w:type="pct"/>
          </w:tcPr>
          <w:p w14:paraId="56ADA768" w14:textId="77777777" w:rsidR="005556DA" w:rsidRDefault="005556DA" w:rsidP="001B439C">
            <w:r>
              <w:t>2010</w:t>
            </w:r>
          </w:p>
        </w:tc>
      </w:tr>
    </w:tbl>
    <w:p w14:paraId="0787E398" w14:textId="77777777" w:rsidR="005556DA" w:rsidRPr="002957DE" w:rsidRDefault="005556DA" w:rsidP="005556DA">
      <w:pPr>
        <w:spacing w:after="0"/>
        <w:ind w:left="426"/>
        <w:rPr>
          <w:i/>
          <w:sz w:val="16"/>
          <w:szCs w:val="16"/>
        </w:rPr>
      </w:pPr>
      <w:r w:rsidRPr="002957DE">
        <w:rPr>
          <w:i/>
          <w:sz w:val="16"/>
          <w:szCs w:val="16"/>
        </w:rPr>
        <w:t xml:space="preserve">* Categorise study design, for example meta-analysis, randomised trials, non-randomised trial or observational study, study of diagnostic accuracy, etc. </w:t>
      </w:r>
    </w:p>
    <w:p w14:paraId="0332F4FF" w14:textId="77777777" w:rsidR="005556DA" w:rsidRPr="002957DE" w:rsidRDefault="005556DA" w:rsidP="005556DA">
      <w:pPr>
        <w:spacing w:after="0"/>
        <w:ind w:left="426"/>
        <w:rPr>
          <w:i/>
          <w:sz w:val="16"/>
          <w:szCs w:val="16"/>
        </w:rPr>
      </w:pPr>
      <w:r w:rsidRPr="002957DE">
        <w:rPr>
          <w:i/>
          <w:sz w:val="16"/>
          <w:szCs w:val="16"/>
        </w:rPr>
        <w:t>**Provide high level information including population numbers and whether patients are being recruited or in post-recruitment, including providing the trial registration number to allow for tracking purposes.</w:t>
      </w:r>
    </w:p>
    <w:p w14:paraId="54ED85A5" w14:textId="77777777" w:rsidR="005556DA" w:rsidRDefault="005556DA" w:rsidP="005526C9">
      <w:pPr>
        <w:spacing w:after="0"/>
        <w:ind w:left="426"/>
        <w:rPr>
          <w:i/>
          <w:szCs w:val="20"/>
        </w:rPr>
      </w:pPr>
      <w:r w:rsidRPr="002957DE">
        <w:rPr>
          <w:i/>
          <w:sz w:val="16"/>
          <w:szCs w:val="16"/>
        </w:rPr>
        <w:t>*</w:t>
      </w:r>
      <w:r w:rsidRPr="002957DE">
        <w:rPr>
          <w:sz w:val="16"/>
          <w:szCs w:val="16"/>
        </w:rPr>
        <w:t>**</w:t>
      </w:r>
      <w:r w:rsidRPr="002957DE">
        <w:rPr>
          <w:i/>
          <w:sz w:val="16"/>
          <w:szCs w:val="16"/>
        </w:rPr>
        <w:t xml:space="preserve"> If the publication is a follow-up to an initial publication, please advise.</w:t>
      </w:r>
      <w:r>
        <w:rPr>
          <w:i/>
          <w:szCs w:val="20"/>
        </w:rPr>
        <w:br w:type="page"/>
      </w:r>
    </w:p>
    <w:p w14:paraId="372CEED3" w14:textId="77777777" w:rsidR="005556DA" w:rsidRDefault="005556DA" w:rsidP="005556DA">
      <w:pPr>
        <w:rPr>
          <w:b/>
          <w:sz w:val="32"/>
          <w:szCs w:val="32"/>
        </w:rPr>
        <w:sectPr w:rsidR="005556DA" w:rsidSect="00DD308E">
          <w:pgSz w:w="16838" w:h="11906" w:orient="landscape"/>
          <w:pgMar w:top="1440" w:right="1440" w:bottom="1440" w:left="1440" w:header="708" w:footer="708" w:gutter="0"/>
          <w:cols w:space="708"/>
          <w:docGrid w:linePitch="360"/>
        </w:sectPr>
      </w:pPr>
    </w:p>
    <w:p w14:paraId="51D2E400" w14:textId="77777777" w:rsidR="005556DA" w:rsidRDefault="005556DA" w:rsidP="005556DA">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Table"/>
        <w:tblDescription w:val="Yet to be published research"/>
      </w:tblPr>
      <w:tblGrid>
        <w:gridCol w:w="369"/>
        <w:gridCol w:w="1753"/>
        <w:gridCol w:w="4252"/>
        <w:gridCol w:w="3970"/>
        <w:gridCol w:w="2162"/>
        <w:gridCol w:w="1442"/>
      </w:tblGrid>
      <w:tr w:rsidR="005556DA" w14:paraId="08440E83" w14:textId="77777777" w:rsidTr="007027E0">
        <w:trPr>
          <w:cantSplit/>
          <w:tblHeader/>
        </w:trPr>
        <w:tc>
          <w:tcPr>
            <w:tcW w:w="132" w:type="pct"/>
            <w:shd w:val="clear" w:color="auto" w:fill="D9D9D9" w:themeFill="background1" w:themeFillShade="D9"/>
          </w:tcPr>
          <w:p w14:paraId="2281BB8E" w14:textId="77777777" w:rsidR="005556DA" w:rsidRDefault="005556DA" w:rsidP="001B439C">
            <w:pPr>
              <w:pStyle w:val="TableHEADER"/>
            </w:pPr>
          </w:p>
        </w:tc>
        <w:tc>
          <w:tcPr>
            <w:tcW w:w="628" w:type="pct"/>
            <w:shd w:val="clear" w:color="auto" w:fill="D9D9D9" w:themeFill="background1" w:themeFillShade="D9"/>
          </w:tcPr>
          <w:p w14:paraId="6604EB1C" w14:textId="77777777" w:rsidR="005556DA" w:rsidRDefault="005556DA" w:rsidP="001B439C">
            <w:pPr>
              <w:pStyle w:val="TableHEADER"/>
            </w:pPr>
            <w:r>
              <w:t>Type of study design*</w:t>
            </w:r>
          </w:p>
        </w:tc>
        <w:tc>
          <w:tcPr>
            <w:tcW w:w="1524" w:type="pct"/>
            <w:shd w:val="clear" w:color="auto" w:fill="D9D9D9" w:themeFill="background1" w:themeFillShade="D9"/>
          </w:tcPr>
          <w:p w14:paraId="65BC77AC" w14:textId="77777777" w:rsidR="005556DA" w:rsidRDefault="005556DA" w:rsidP="001B439C">
            <w:pPr>
              <w:pStyle w:val="TableHEADER"/>
            </w:pPr>
            <w:r>
              <w:t>Title of research (including any trial identifier if relevant)</w:t>
            </w:r>
          </w:p>
        </w:tc>
        <w:tc>
          <w:tcPr>
            <w:tcW w:w="1423" w:type="pct"/>
            <w:shd w:val="clear" w:color="auto" w:fill="D9D9D9" w:themeFill="background1" w:themeFillShade="D9"/>
          </w:tcPr>
          <w:p w14:paraId="0A47EDE9" w14:textId="77777777" w:rsidR="005556DA" w:rsidRDefault="005556DA" w:rsidP="001B439C">
            <w:pPr>
              <w:pStyle w:val="TableHEADER"/>
            </w:pPr>
            <w:r>
              <w:t>Short description of research (max 50 words)**</w:t>
            </w:r>
          </w:p>
        </w:tc>
        <w:tc>
          <w:tcPr>
            <w:tcW w:w="775" w:type="pct"/>
            <w:shd w:val="clear" w:color="auto" w:fill="D9D9D9" w:themeFill="background1" w:themeFillShade="D9"/>
          </w:tcPr>
          <w:p w14:paraId="047EB0C1" w14:textId="77777777" w:rsidR="005556DA" w:rsidRDefault="005556DA" w:rsidP="001B439C">
            <w:pPr>
              <w:pStyle w:val="TableHEADER"/>
            </w:pPr>
            <w:r w:rsidRPr="00E82F54">
              <w:t xml:space="preserve">Website link to </w:t>
            </w:r>
            <w:r>
              <w:t>research (if available)</w:t>
            </w:r>
          </w:p>
        </w:tc>
        <w:tc>
          <w:tcPr>
            <w:tcW w:w="517" w:type="pct"/>
            <w:shd w:val="clear" w:color="auto" w:fill="D9D9D9" w:themeFill="background1" w:themeFillShade="D9"/>
          </w:tcPr>
          <w:p w14:paraId="0B4F9CEE" w14:textId="77777777" w:rsidR="005556DA" w:rsidRDefault="005556DA" w:rsidP="001B439C">
            <w:pPr>
              <w:pStyle w:val="TableHEADER"/>
            </w:pPr>
            <w:r w:rsidRPr="00E82F54">
              <w:t>Date*</w:t>
            </w:r>
            <w:r>
              <w:t>**</w:t>
            </w:r>
          </w:p>
        </w:tc>
      </w:tr>
      <w:tr w:rsidR="005556DA" w14:paraId="105DDDE6" w14:textId="77777777" w:rsidTr="007027E0">
        <w:trPr>
          <w:cantSplit/>
          <w:trHeight w:val="1895"/>
        </w:trPr>
        <w:tc>
          <w:tcPr>
            <w:tcW w:w="132" w:type="pct"/>
          </w:tcPr>
          <w:p w14:paraId="35ED65F9" w14:textId="77777777" w:rsidR="005556DA" w:rsidRPr="00965B6B" w:rsidRDefault="005556DA" w:rsidP="001B439C">
            <w:pPr>
              <w:rPr>
                <w:szCs w:val="20"/>
              </w:rPr>
            </w:pPr>
            <w:r>
              <w:rPr>
                <w:szCs w:val="20"/>
              </w:rPr>
              <w:t>1.</w:t>
            </w:r>
          </w:p>
        </w:tc>
        <w:tc>
          <w:tcPr>
            <w:tcW w:w="628" w:type="pct"/>
          </w:tcPr>
          <w:p w14:paraId="6F6DC5A4" w14:textId="77777777" w:rsidR="005556DA" w:rsidRDefault="005556DA" w:rsidP="001B439C">
            <w:r w:rsidRPr="0067653D">
              <w:t>Phase II, Open-label, Single Arm, Multicenter Study</w:t>
            </w:r>
          </w:p>
        </w:tc>
        <w:tc>
          <w:tcPr>
            <w:tcW w:w="1524" w:type="pct"/>
          </w:tcPr>
          <w:p w14:paraId="614409A8" w14:textId="77777777" w:rsidR="005556DA" w:rsidRDefault="005556DA" w:rsidP="001B439C">
            <w:r w:rsidRPr="0067653D">
              <w:t>Encorafenib, Binimetinib and Cetuximab in Subjects With Previously Untreated BRAF-mutant ColoRectal Cancer (ANCHOR-CRC)</w:t>
            </w:r>
            <w:r>
              <w:t>.</w:t>
            </w:r>
          </w:p>
          <w:p w14:paraId="0A334D39" w14:textId="77777777" w:rsidR="005556DA" w:rsidRDefault="005556DA" w:rsidP="001B439C">
            <w:r>
              <w:t>Recruiting.  Estimated enrolment 90 participants.</w:t>
            </w:r>
          </w:p>
          <w:p w14:paraId="6E7333FE" w14:textId="33306C7C" w:rsidR="005556DA" w:rsidRDefault="005556DA" w:rsidP="001B439C">
            <w:r>
              <w:t>NCT03693170</w:t>
            </w:r>
          </w:p>
        </w:tc>
        <w:tc>
          <w:tcPr>
            <w:tcW w:w="1423" w:type="pct"/>
          </w:tcPr>
          <w:p w14:paraId="549E92AE" w14:textId="77777777" w:rsidR="005556DA" w:rsidRDefault="005556DA" w:rsidP="001B439C">
            <w:r w:rsidRPr="0067653D">
              <w:t>The purpose of this study is to evaluate the efficacy and safety of the combination of study drugs encorafenib, binimetinib and cetuximab in patients who have BRAF V600</w:t>
            </w:r>
            <w:r>
              <w:t>E</w:t>
            </w:r>
            <w:r w:rsidRPr="0067653D">
              <w:t xml:space="preserve"> mutant metastatic colorectal cancer and have not received any prior treatment for their metastatic disease.</w:t>
            </w:r>
          </w:p>
        </w:tc>
        <w:tc>
          <w:tcPr>
            <w:tcW w:w="775" w:type="pct"/>
          </w:tcPr>
          <w:p w14:paraId="626DFD58" w14:textId="2EB063CC" w:rsidR="005556DA" w:rsidRDefault="00427E3A" w:rsidP="001B439C">
            <w:hyperlink r:id="rId47" w:history="1">
              <w:r w:rsidR="007027E0" w:rsidRPr="00B752C9">
                <w:rPr>
                  <w:rStyle w:val="Hyperlink"/>
                </w:rPr>
                <w:t>www.clinicaltrials.gov</w:t>
              </w:r>
            </w:hyperlink>
          </w:p>
        </w:tc>
        <w:tc>
          <w:tcPr>
            <w:tcW w:w="517" w:type="pct"/>
          </w:tcPr>
          <w:p w14:paraId="309CF488" w14:textId="77777777" w:rsidR="005556DA" w:rsidRDefault="005556DA" w:rsidP="001B439C">
            <w:r>
              <w:t>Estimated primary completion date: June 2020</w:t>
            </w:r>
          </w:p>
        </w:tc>
      </w:tr>
      <w:tr w:rsidR="005556DA" w:rsidRPr="0021584F" w14:paraId="4DE8137D" w14:textId="77777777" w:rsidTr="007027E0">
        <w:trPr>
          <w:cantSplit/>
        </w:trPr>
        <w:tc>
          <w:tcPr>
            <w:tcW w:w="132" w:type="pct"/>
          </w:tcPr>
          <w:p w14:paraId="7C1687E2" w14:textId="77777777" w:rsidR="005556DA" w:rsidRPr="0021584F" w:rsidRDefault="005556DA" w:rsidP="001B439C">
            <w:pPr>
              <w:rPr>
                <w:szCs w:val="20"/>
              </w:rPr>
            </w:pPr>
            <w:r w:rsidRPr="0021584F">
              <w:rPr>
                <w:szCs w:val="20"/>
              </w:rPr>
              <w:t>2.</w:t>
            </w:r>
          </w:p>
        </w:tc>
        <w:tc>
          <w:tcPr>
            <w:tcW w:w="628" w:type="pct"/>
          </w:tcPr>
          <w:p w14:paraId="0767E64F" w14:textId="77777777" w:rsidR="005556DA" w:rsidRPr="0021584F" w:rsidRDefault="005556DA" w:rsidP="001B439C">
            <w:pPr>
              <w:rPr>
                <w:szCs w:val="20"/>
              </w:rPr>
            </w:pPr>
            <w:r w:rsidRPr="0021584F">
              <w:rPr>
                <w:szCs w:val="20"/>
              </w:rPr>
              <w:t>Phase I/II, open-label, single arm, study</w:t>
            </w:r>
          </w:p>
        </w:tc>
        <w:tc>
          <w:tcPr>
            <w:tcW w:w="1524" w:type="pct"/>
          </w:tcPr>
          <w:p w14:paraId="37FB2C42" w14:textId="77777777" w:rsidR="005556DA" w:rsidRDefault="005556DA" w:rsidP="001B439C">
            <w:pPr>
              <w:rPr>
                <w:szCs w:val="20"/>
              </w:rPr>
            </w:pPr>
            <w:r w:rsidRPr="0021584F">
              <w:rPr>
                <w:szCs w:val="20"/>
              </w:rPr>
              <w:t>Phase I/II Trial of Encorafenib, Binimetinib, and Nivolumab in Microsatellite Stable BRAFV600E Metastatic Colorectal Cancer</w:t>
            </w:r>
            <w:r>
              <w:rPr>
                <w:szCs w:val="20"/>
              </w:rPr>
              <w:t>.</w:t>
            </w:r>
          </w:p>
          <w:p w14:paraId="39DDA55C" w14:textId="77777777" w:rsidR="005556DA" w:rsidRDefault="005556DA" w:rsidP="001B439C">
            <w:pPr>
              <w:rPr>
                <w:szCs w:val="20"/>
              </w:rPr>
            </w:pPr>
            <w:r>
              <w:rPr>
                <w:szCs w:val="20"/>
              </w:rPr>
              <w:t>Active, not yet recruiting.</w:t>
            </w:r>
          </w:p>
          <w:p w14:paraId="071D9BE8" w14:textId="77777777" w:rsidR="005556DA" w:rsidRDefault="005556DA" w:rsidP="001B439C">
            <w:pPr>
              <w:rPr>
                <w:szCs w:val="20"/>
              </w:rPr>
            </w:pPr>
            <w:r>
              <w:rPr>
                <w:szCs w:val="20"/>
              </w:rPr>
              <w:t>Estimated enrolment: 38 participants.</w:t>
            </w:r>
          </w:p>
          <w:p w14:paraId="15F2D2D3" w14:textId="77777777" w:rsidR="005556DA" w:rsidRPr="0021584F" w:rsidRDefault="005556DA" w:rsidP="001B439C">
            <w:pPr>
              <w:rPr>
                <w:szCs w:val="20"/>
              </w:rPr>
            </w:pPr>
            <w:r>
              <w:rPr>
                <w:szCs w:val="20"/>
              </w:rPr>
              <w:t>NCT04044430</w:t>
            </w:r>
          </w:p>
        </w:tc>
        <w:tc>
          <w:tcPr>
            <w:tcW w:w="1423" w:type="pct"/>
          </w:tcPr>
          <w:p w14:paraId="1F8E9D54" w14:textId="77777777" w:rsidR="005556DA" w:rsidRPr="0021584F" w:rsidRDefault="005556DA" w:rsidP="001B439C">
            <w:pPr>
              <w:rPr>
                <w:szCs w:val="20"/>
              </w:rPr>
            </w:pPr>
            <w:r w:rsidRPr="00D27438">
              <w:rPr>
                <w:szCs w:val="20"/>
              </w:rPr>
              <w:t xml:space="preserve">This phase I/II trial studies the side effects and how well encorafenib, binimetinib, and nivolumab work in treating patients with </w:t>
            </w:r>
            <w:r>
              <w:rPr>
                <w:szCs w:val="20"/>
              </w:rPr>
              <w:t xml:space="preserve">metastatic, </w:t>
            </w:r>
            <w:r w:rsidRPr="00D27438">
              <w:rPr>
                <w:szCs w:val="20"/>
              </w:rPr>
              <w:t>microsatellite stable, BRAFV600E gene-mutated colorectal cancer</w:t>
            </w:r>
            <w:r>
              <w:rPr>
                <w:szCs w:val="20"/>
              </w:rPr>
              <w:t>.</w:t>
            </w:r>
          </w:p>
        </w:tc>
        <w:tc>
          <w:tcPr>
            <w:tcW w:w="775" w:type="pct"/>
          </w:tcPr>
          <w:p w14:paraId="3D366D97" w14:textId="58519DBE" w:rsidR="005556DA" w:rsidRPr="0021584F" w:rsidRDefault="00427E3A" w:rsidP="001B439C">
            <w:pPr>
              <w:rPr>
                <w:szCs w:val="20"/>
              </w:rPr>
            </w:pPr>
            <w:hyperlink r:id="rId48" w:history="1">
              <w:r w:rsidR="007027E0" w:rsidRPr="00B752C9">
                <w:rPr>
                  <w:rStyle w:val="Hyperlink"/>
                  <w:szCs w:val="20"/>
                </w:rPr>
                <w:t>www.clinicaltrials.gov</w:t>
              </w:r>
            </w:hyperlink>
          </w:p>
        </w:tc>
        <w:tc>
          <w:tcPr>
            <w:tcW w:w="517" w:type="pct"/>
          </w:tcPr>
          <w:p w14:paraId="6C171E08" w14:textId="77777777" w:rsidR="005556DA" w:rsidRPr="0021584F" w:rsidRDefault="005556DA" w:rsidP="001B439C">
            <w:pPr>
              <w:rPr>
                <w:szCs w:val="20"/>
              </w:rPr>
            </w:pPr>
            <w:r w:rsidRPr="00D27438">
              <w:rPr>
                <w:szCs w:val="20"/>
              </w:rPr>
              <w:t>Estimated primary completion date: June 2022</w:t>
            </w:r>
          </w:p>
        </w:tc>
      </w:tr>
    </w:tbl>
    <w:p w14:paraId="5B40828B" w14:textId="77777777" w:rsidR="005556DA" w:rsidRPr="002957DE" w:rsidRDefault="005556DA" w:rsidP="005556DA">
      <w:pPr>
        <w:spacing w:after="0"/>
        <w:ind w:left="426"/>
        <w:rPr>
          <w:i/>
          <w:sz w:val="16"/>
          <w:szCs w:val="16"/>
        </w:rPr>
      </w:pPr>
      <w:r w:rsidRPr="002957DE">
        <w:rPr>
          <w:i/>
          <w:sz w:val="16"/>
          <w:szCs w:val="16"/>
        </w:rPr>
        <w:t xml:space="preserve">* Categorise study design, for example meta-analysis, randomised trials, non-randomised trial or observational study, study of diagnostic accuracy, etc. </w:t>
      </w:r>
    </w:p>
    <w:p w14:paraId="54DCEA0F" w14:textId="77777777" w:rsidR="005556DA" w:rsidRPr="002957DE" w:rsidRDefault="005556DA" w:rsidP="005556DA">
      <w:pPr>
        <w:spacing w:after="0"/>
        <w:ind w:left="426"/>
        <w:rPr>
          <w:i/>
          <w:sz w:val="16"/>
          <w:szCs w:val="16"/>
        </w:rPr>
      </w:pPr>
      <w:r w:rsidRPr="002957DE">
        <w:rPr>
          <w:i/>
          <w:sz w:val="16"/>
          <w:szCs w:val="16"/>
        </w:rPr>
        <w:t>**Provide high level information including population numbers and whether patients are being recruited or in post-recruitment.</w:t>
      </w:r>
    </w:p>
    <w:p w14:paraId="3A0C19F1" w14:textId="77777777" w:rsidR="005556DA" w:rsidRPr="002957DE" w:rsidRDefault="005556DA" w:rsidP="005556DA">
      <w:pPr>
        <w:spacing w:after="0"/>
        <w:ind w:left="426"/>
        <w:rPr>
          <w:i/>
          <w:sz w:val="16"/>
          <w:szCs w:val="16"/>
        </w:rPr>
      </w:pPr>
      <w:r w:rsidRPr="002957DE">
        <w:rPr>
          <w:i/>
          <w:sz w:val="16"/>
          <w:szCs w:val="16"/>
        </w:rPr>
        <w:t>*</w:t>
      </w:r>
      <w:r w:rsidRPr="002957DE">
        <w:rPr>
          <w:sz w:val="16"/>
          <w:szCs w:val="16"/>
        </w:rPr>
        <w:t>**</w:t>
      </w:r>
      <w:r w:rsidRPr="002957DE">
        <w:rPr>
          <w:i/>
          <w:sz w:val="16"/>
          <w:szCs w:val="16"/>
        </w:rPr>
        <w:t>Date of when results will be made available (to the best of your knowledge).</w:t>
      </w:r>
    </w:p>
    <w:p w14:paraId="7D4BF9E1" w14:textId="77777777" w:rsidR="005556DA" w:rsidRDefault="005556DA" w:rsidP="005556DA">
      <w:pPr>
        <w:rPr>
          <w:b/>
          <w:sz w:val="32"/>
          <w:szCs w:val="32"/>
        </w:rPr>
        <w:sectPr w:rsidR="005556DA" w:rsidSect="00DD308E">
          <w:pgSz w:w="16838" w:h="11906" w:orient="landscape"/>
          <w:pgMar w:top="1440" w:right="1440" w:bottom="1440" w:left="1440" w:header="708" w:footer="708" w:gutter="0"/>
          <w:cols w:space="708"/>
          <w:docGrid w:linePitch="360"/>
        </w:sectPr>
      </w:pPr>
    </w:p>
    <w:p w14:paraId="66BE29F1" w14:textId="77777777" w:rsidR="005556DA" w:rsidRPr="00C776B1" w:rsidRDefault="005556DA" w:rsidP="005556DA">
      <w:pPr>
        <w:pStyle w:val="Heading1"/>
      </w:pPr>
      <w:r>
        <w:lastRenderedPageBreak/>
        <w:t xml:space="preserve">PART 5 – </w:t>
      </w:r>
      <w:r w:rsidRPr="00C776B1">
        <w:t>CLINICAL ENDORSEMENT AND CONSUMER INFORMATION</w:t>
      </w:r>
    </w:p>
    <w:p w14:paraId="285BF079" w14:textId="77777777" w:rsidR="005556DA" w:rsidRDefault="005556DA" w:rsidP="00BE140F">
      <w:pPr>
        <w:pStyle w:val="Heading2"/>
        <w:jc w:val="both"/>
      </w:pPr>
      <w:r w:rsidRPr="00CA26DD">
        <w:t xml:space="preserve">List all appropriate professional bodies / organisations representing the group(s) of health professionals who provide the service (please attach a </w:t>
      </w:r>
      <w:r>
        <w:t>statement of clinical relevance from</w:t>
      </w:r>
      <w:r w:rsidRPr="00CA26DD">
        <w:t xml:space="preserve"> each group nominated)</w:t>
      </w:r>
      <w:r>
        <w:t>:</w:t>
      </w:r>
    </w:p>
    <w:p w14:paraId="6A251757" w14:textId="77777777" w:rsidR="005556DA" w:rsidRDefault="005556DA" w:rsidP="007027E0">
      <w:pPr>
        <w:ind w:left="360"/>
      </w:pPr>
      <w:r w:rsidRPr="005A22FD">
        <w:t>The Royal College of Pathologists of Australasia (RCPA), Public Pathology Australia, Australian Pathology.</w:t>
      </w:r>
    </w:p>
    <w:p w14:paraId="2BFD4617" w14:textId="0FA5A901" w:rsidR="00B6717E" w:rsidRPr="005A22FD" w:rsidRDefault="006455D8" w:rsidP="007027E0">
      <w:pPr>
        <w:ind w:left="360"/>
      </w:pPr>
      <w:r>
        <w:t>REDACTED</w:t>
      </w:r>
    </w:p>
    <w:p w14:paraId="2E769FE5" w14:textId="77777777" w:rsidR="005556DA" w:rsidRPr="00154B00" w:rsidRDefault="005556DA" w:rsidP="00BE140F">
      <w:pPr>
        <w:pStyle w:val="Heading2"/>
        <w:jc w:val="both"/>
      </w:pPr>
      <w:r w:rsidRPr="00154B00">
        <w:t xml:space="preserve">List </w:t>
      </w:r>
      <w:r>
        <w:t xml:space="preserve">any </w:t>
      </w:r>
      <w:r w:rsidRPr="00A727B6">
        <w:t>professional</w:t>
      </w:r>
      <w:r>
        <w:t xml:space="preserve"> bodies / organisations that may be impacted by this medical service (i.e. those who provide the comparator service):</w:t>
      </w:r>
    </w:p>
    <w:p w14:paraId="17E0EF3B" w14:textId="77777777" w:rsidR="005556DA" w:rsidRPr="005A22FD" w:rsidRDefault="005556DA" w:rsidP="007027E0">
      <w:pPr>
        <w:ind w:firstLine="360"/>
      </w:pPr>
      <w:r w:rsidRPr="005A22FD">
        <w:t>Clinical Oncology Society of Australia (COSA), Medical Oncology Group of Australia (MOGA).</w:t>
      </w:r>
    </w:p>
    <w:p w14:paraId="2B467883" w14:textId="77777777" w:rsidR="005556DA" w:rsidRDefault="005556DA" w:rsidP="00BE140F">
      <w:pPr>
        <w:pStyle w:val="Heading2"/>
        <w:jc w:val="both"/>
      </w:pPr>
      <w:r w:rsidRPr="00154B00">
        <w:t>List the relevant consumer organisations relevant to the proposed medical service</w:t>
      </w:r>
      <w:r>
        <w:t xml:space="preserve"> (please attach a letter of </w:t>
      </w:r>
      <w:r w:rsidRPr="00EE6450">
        <w:t>support</w:t>
      </w:r>
      <w:r>
        <w:t xml:space="preserve"> for each consumer organisation nominated):</w:t>
      </w:r>
    </w:p>
    <w:p w14:paraId="4989F768" w14:textId="77777777" w:rsidR="005556DA" w:rsidRPr="007027E0" w:rsidRDefault="005556DA" w:rsidP="007027E0">
      <w:pPr>
        <w:ind w:left="360"/>
      </w:pPr>
      <w:r w:rsidRPr="007027E0">
        <w:t>Bowel Cancer Australia, Cancer Voices Australia, Cancer Council Australia.</w:t>
      </w:r>
    </w:p>
    <w:p w14:paraId="4CE52500" w14:textId="228B6D87" w:rsidR="00B6717E" w:rsidRPr="007027E0" w:rsidRDefault="006455D8" w:rsidP="007027E0">
      <w:pPr>
        <w:ind w:left="360"/>
      </w:pPr>
      <w:r>
        <w:t>REDACTED</w:t>
      </w:r>
    </w:p>
    <w:p w14:paraId="0DC95123" w14:textId="77777777" w:rsidR="005556DA" w:rsidRDefault="005556DA" w:rsidP="00BE140F">
      <w:pPr>
        <w:pStyle w:val="Heading2"/>
        <w:jc w:val="both"/>
      </w:pPr>
      <w:r>
        <w:t xml:space="preserve">List the relevant </w:t>
      </w:r>
      <w:r w:rsidRPr="00EE6450">
        <w:t>sponsor</w:t>
      </w:r>
      <w:r>
        <w:t>(s) and / or manufacturer(s) who produce similar products relevant to the proposed medical service:</w:t>
      </w:r>
    </w:p>
    <w:p w14:paraId="7F3A60E9" w14:textId="77777777" w:rsidR="005556DA" w:rsidRPr="007027E0" w:rsidRDefault="005556DA" w:rsidP="007027E0">
      <w:pPr>
        <w:ind w:left="360"/>
      </w:pPr>
      <w:r w:rsidRPr="007027E0">
        <w:t>N/A</w:t>
      </w:r>
    </w:p>
    <w:p w14:paraId="7DA4C97F" w14:textId="77777777" w:rsidR="005556DA" w:rsidRPr="00AC1EAA" w:rsidRDefault="005556DA" w:rsidP="00BE140F">
      <w:pPr>
        <w:pStyle w:val="Heading2"/>
        <w:jc w:val="both"/>
      </w:pPr>
      <w:r w:rsidRPr="00AC1EAA">
        <w:t>Nominate two experts who could be approached about the proposed medical service and the current clinical management of the service(s):</w:t>
      </w:r>
    </w:p>
    <w:p w14:paraId="69116ACB" w14:textId="451CA804" w:rsidR="005556DA" w:rsidRDefault="006455D8" w:rsidP="007027E0">
      <w:pPr>
        <w:ind w:left="360"/>
      </w:pPr>
      <w:r>
        <w:t>REDACTED</w:t>
      </w:r>
    </w:p>
    <w:p w14:paraId="3636F52E" w14:textId="77777777" w:rsidR="007027E0" w:rsidRPr="007027E0" w:rsidRDefault="007027E0" w:rsidP="007027E0">
      <w:pPr>
        <w:ind w:left="360"/>
      </w:pPr>
    </w:p>
    <w:p w14:paraId="24A91A6B" w14:textId="77777777" w:rsidR="008D196C" w:rsidRDefault="008D196C" w:rsidP="00AC1EAA">
      <w:pPr>
        <w:jc w:val="both"/>
        <w:divId w:val="1473018579"/>
        <w:rPr>
          <w:sz w:val="22"/>
        </w:rPr>
      </w:pPr>
    </w:p>
    <w:p w14:paraId="06673398" w14:textId="77777777" w:rsidR="005526C9" w:rsidRDefault="005526C9">
      <w:pPr>
        <w:spacing w:before="0" w:after="200" w:line="276" w:lineRule="auto"/>
        <w:rPr>
          <w:bCs/>
          <w:color w:val="4472C4" w:themeColor="accent1"/>
          <w:sz w:val="40"/>
          <w:szCs w:val="32"/>
          <w:lang w:val="en-GB"/>
        </w:rPr>
      </w:pPr>
      <w:r>
        <w:rPr>
          <w:lang w:val="en-GB"/>
        </w:rPr>
        <w:br w:type="page"/>
      </w:r>
    </w:p>
    <w:p w14:paraId="403314F4" w14:textId="77777777" w:rsidR="005556DA" w:rsidRDefault="005556DA" w:rsidP="005556DA">
      <w:pPr>
        <w:pStyle w:val="Heading1"/>
        <w:rPr>
          <w:lang w:val="en-GB"/>
        </w:rPr>
      </w:pPr>
      <w:r w:rsidRPr="007535BF">
        <w:rPr>
          <w:lang w:val="en-GB"/>
        </w:rPr>
        <w:lastRenderedPageBreak/>
        <w:t>PART 6 – POPULATION (AND PRIOR TESTS), INDICATION, COMPARATOR, OUTCOME (PICO)</w:t>
      </w:r>
    </w:p>
    <w:p w14:paraId="589F9988" w14:textId="77777777" w:rsidR="005556DA" w:rsidRPr="007535BF" w:rsidRDefault="005556DA" w:rsidP="005556DA">
      <w:pPr>
        <w:pStyle w:val="Subtitle"/>
        <w:rPr>
          <w:lang w:val="en-GB"/>
        </w:rPr>
      </w:pPr>
      <w:r w:rsidRPr="007535BF">
        <w:rPr>
          <w:lang w:val="en-GB"/>
        </w:rPr>
        <w:t>PART 6a – INFORMATION ABOUT THE PROPOSED POPULATION</w:t>
      </w:r>
    </w:p>
    <w:p w14:paraId="7DD1D830" w14:textId="77777777" w:rsidR="005556DA" w:rsidRPr="00255615" w:rsidRDefault="005556DA" w:rsidP="005556DA">
      <w:pPr>
        <w:pStyle w:val="Heading2"/>
        <w:rPr>
          <w:lang w:val="en-GB"/>
        </w:rPr>
      </w:pPr>
      <w:r w:rsidRPr="00255615">
        <w:rPr>
          <w:lang w:val="en-GB"/>
        </w:rPr>
        <w:t>Define the medical condition, including providing information on the natural history of the condition and a high level summary of associated burden of disease in terms of both morbidity and mortality:</w:t>
      </w:r>
    </w:p>
    <w:p w14:paraId="765F9BDA" w14:textId="77777777" w:rsidR="005556DA" w:rsidRPr="007027E0" w:rsidRDefault="005556DA" w:rsidP="006C03F9">
      <w:pPr>
        <w:shd w:val="clear" w:color="auto" w:fill="D9E2F3" w:themeFill="accent1" w:themeFillTint="33"/>
        <w:ind w:left="360"/>
        <w:jc w:val="both"/>
        <w:rPr>
          <w:bCs/>
          <w:szCs w:val="20"/>
          <w:lang w:val="en-GB"/>
        </w:rPr>
      </w:pPr>
      <w:r w:rsidRPr="007027E0">
        <w:rPr>
          <w:szCs w:val="20"/>
          <w:lang w:val="en-GB"/>
        </w:rPr>
        <w:t xml:space="preserve">The application relates to </w:t>
      </w:r>
      <w:r w:rsidR="00B6717E" w:rsidRPr="007027E0">
        <w:rPr>
          <w:szCs w:val="20"/>
          <w:lang w:val="en-GB"/>
        </w:rPr>
        <w:t>a test to determine the appropriate</w:t>
      </w:r>
      <w:r w:rsidRPr="007027E0">
        <w:rPr>
          <w:szCs w:val="20"/>
          <w:lang w:val="en-GB"/>
        </w:rPr>
        <w:t xml:space="preserve"> use of </w:t>
      </w:r>
      <w:r w:rsidR="00B6717E" w:rsidRPr="007027E0">
        <w:rPr>
          <w:szCs w:val="20"/>
          <w:lang w:val="en-GB"/>
        </w:rPr>
        <w:t xml:space="preserve">encorafenib </w:t>
      </w:r>
      <w:r w:rsidRPr="007027E0">
        <w:rPr>
          <w:szCs w:val="20"/>
          <w:lang w:val="en-GB"/>
        </w:rPr>
        <w:t xml:space="preserve">in patients </w:t>
      </w:r>
      <w:r w:rsidRPr="007027E0">
        <w:rPr>
          <w:bCs/>
          <w:szCs w:val="20"/>
          <w:lang w:val="en-GB"/>
        </w:rPr>
        <w:t>with</w:t>
      </w:r>
      <w:r w:rsidR="00B6717E" w:rsidRPr="007027E0">
        <w:rPr>
          <w:bCs/>
          <w:szCs w:val="20"/>
          <w:lang w:val="en-GB"/>
        </w:rPr>
        <w:t xml:space="preserve"> </w:t>
      </w:r>
      <w:r w:rsidR="00B6717E" w:rsidRPr="007027E0">
        <w:rPr>
          <w:szCs w:val="20"/>
          <w:lang w:val="en-GB"/>
        </w:rPr>
        <w:t>mCRC.</w:t>
      </w:r>
      <w:r w:rsidRPr="007027E0">
        <w:rPr>
          <w:bCs/>
          <w:szCs w:val="20"/>
          <w:lang w:val="en-GB"/>
        </w:rPr>
        <w:t xml:space="preserve"> </w:t>
      </w:r>
    </w:p>
    <w:p w14:paraId="4CEAE21F" w14:textId="22BF886B" w:rsidR="00B6717E" w:rsidRPr="007027E0" w:rsidRDefault="00AA0369" w:rsidP="006C03F9">
      <w:pPr>
        <w:shd w:val="clear" w:color="auto" w:fill="D9E2F3" w:themeFill="accent1" w:themeFillTint="33"/>
        <w:ind w:left="360"/>
        <w:jc w:val="both"/>
        <w:rPr>
          <w:bCs/>
          <w:szCs w:val="20"/>
          <w:lang w:val="en-GB"/>
        </w:rPr>
      </w:pPr>
      <w:r>
        <w:rPr>
          <w:szCs w:val="20"/>
          <w:lang w:val="en-GB"/>
        </w:rPr>
        <w:t>REDACTED</w:t>
      </w:r>
    </w:p>
    <w:p w14:paraId="69F196B3" w14:textId="77777777" w:rsidR="005556DA" w:rsidRPr="007535BF" w:rsidRDefault="005556DA" w:rsidP="006C03F9">
      <w:pPr>
        <w:ind w:left="360"/>
        <w:rPr>
          <w:lang w:val="en-GB"/>
        </w:rPr>
      </w:pPr>
      <w:r w:rsidRPr="007535BF">
        <w:rPr>
          <w:lang w:val="en-GB"/>
        </w:rPr>
        <w:t>C</w:t>
      </w:r>
      <w:r>
        <w:rPr>
          <w:lang w:val="en-GB"/>
        </w:rPr>
        <w:t xml:space="preserve">olorectal </w:t>
      </w:r>
      <w:r w:rsidR="002E2D06">
        <w:rPr>
          <w:lang w:val="en-GB"/>
        </w:rPr>
        <w:t xml:space="preserve">cancer </w:t>
      </w:r>
      <w:r>
        <w:rPr>
          <w:lang w:val="en-GB"/>
        </w:rPr>
        <w:t xml:space="preserve">(CRC) </w:t>
      </w:r>
      <w:r w:rsidRPr="007535BF">
        <w:rPr>
          <w:lang w:val="en-GB"/>
        </w:rPr>
        <w:t>or bowel cancer is a cancer of the colon or rectum, caused by an accumulation of mutations driving the transformation of cells lining the colon or rectum to polyps, which upon further mutations and growth can turn into cancerous adenocarcinoma cells.</w:t>
      </w:r>
      <w:r w:rsidRPr="007535BF">
        <w:rPr>
          <w:rStyle w:val="FootnoteReference"/>
          <w:sz w:val="22"/>
          <w:lang w:val="en-GB"/>
        </w:rPr>
        <w:footnoteReference w:id="1"/>
      </w:r>
      <w:r w:rsidRPr="007535BF">
        <w:rPr>
          <w:lang w:val="en-GB"/>
        </w:rPr>
        <w:t xml:space="preserve">  CRC is the third most common cancer in men and the second in women.  The highest incidence rates were in Northern America, Australia, New Zealand, Europe, and South Korea. Rates are lower in Africa and South-Central Asia.</w:t>
      </w:r>
      <w:r w:rsidRPr="007535BF">
        <w:rPr>
          <w:rStyle w:val="FootnoteReference"/>
          <w:sz w:val="22"/>
          <w:lang w:val="en-GB"/>
        </w:rPr>
        <w:footnoteReference w:id="2"/>
      </w:r>
      <w:r w:rsidRPr="007535BF">
        <w:rPr>
          <w:lang w:val="en-GB"/>
        </w:rPr>
        <w:t xml:space="preserve"> </w:t>
      </w:r>
    </w:p>
    <w:p w14:paraId="742F5041" w14:textId="77777777" w:rsidR="005556DA" w:rsidRPr="007535BF" w:rsidRDefault="002E2D06" w:rsidP="006C03F9">
      <w:pPr>
        <w:ind w:left="360"/>
        <w:rPr>
          <w:lang w:val="en-GB"/>
        </w:rPr>
      </w:pPr>
      <w:r w:rsidRPr="007535BF">
        <w:rPr>
          <w:lang w:val="en-GB"/>
        </w:rPr>
        <w:t>C</w:t>
      </w:r>
      <w:r>
        <w:rPr>
          <w:lang w:val="en-GB"/>
        </w:rPr>
        <w:t>olorectal cancer</w:t>
      </w:r>
      <w:r w:rsidR="005556DA" w:rsidRPr="007535BF">
        <w:rPr>
          <w:lang w:val="en-GB"/>
        </w:rPr>
        <w:t xml:space="preserve"> is a progressive, multistep genetic disease, influenced by a variety of genes and environmental factors. Colorectal carcinomas first develop from pre-existing adenocarcinoma cell polyps.</w:t>
      </w:r>
      <w:r w:rsidR="005556DA" w:rsidRPr="007535BF">
        <w:rPr>
          <w:rStyle w:val="FootnoteReference"/>
          <w:sz w:val="22"/>
          <w:lang w:val="en-GB"/>
        </w:rPr>
        <w:footnoteReference w:id="3"/>
      </w:r>
      <w:r w:rsidR="005556DA" w:rsidRPr="007535BF">
        <w:rPr>
          <w:lang w:val="en-GB"/>
        </w:rPr>
        <w:t xml:space="preserve"> Eventually, sequential alterations to various tumour-suppressor genes and oncogenes result in the progression of adenocarcinoma cells to cancerous cells, thus polyps develop into tumours.</w:t>
      </w:r>
      <w:r w:rsidR="005556DA" w:rsidRPr="007535BF">
        <w:rPr>
          <w:rStyle w:val="FootnoteReference"/>
          <w:sz w:val="22"/>
          <w:lang w:val="en-GB"/>
        </w:rPr>
        <w:footnoteReference w:id="4"/>
      </w:r>
      <w:r w:rsidR="005556DA" w:rsidRPr="007535BF">
        <w:rPr>
          <w:lang w:val="en-GB"/>
        </w:rPr>
        <w:t xml:space="preserve"> This process is known as the adenoma-carcinoma sequence. Furthermore, cancerous cells can alter their genetic and epigenetic profiles and thus acquire invasion capability, spreading to other organs (metastases) such as the liver and lung.</w:t>
      </w:r>
      <w:r w:rsidR="005556DA" w:rsidRPr="007535BF">
        <w:rPr>
          <w:rStyle w:val="FootnoteReference"/>
          <w:sz w:val="22"/>
          <w:lang w:val="en-GB"/>
        </w:rPr>
        <w:footnoteReference w:id="5"/>
      </w:r>
    </w:p>
    <w:p w14:paraId="5626B7C9" w14:textId="260AC1E2" w:rsidR="005556DA" w:rsidRPr="007535BF" w:rsidRDefault="005556DA" w:rsidP="006C03F9">
      <w:pPr>
        <w:ind w:left="360"/>
        <w:rPr>
          <w:lang w:val="en-GB"/>
        </w:rPr>
      </w:pPr>
      <w:r w:rsidRPr="007535BF">
        <w:rPr>
          <w:lang w:val="en-GB"/>
        </w:rPr>
        <w:t xml:space="preserve">Early stage CRC is usually asymptomatic or does not present with specific manifestations leading to delayed or (mis)diagnosis. Common </w:t>
      </w:r>
      <w:r w:rsidRPr="007535BF">
        <w:rPr>
          <w:lang w:val="en-GB"/>
        </w:rPr>
        <w:lastRenderedPageBreak/>
        <w:t>misdiagnoses include haemorrhoids, polyps, ulcerative colitis and Crohn’s disease.  Differential diagnosis is needed via colonoscopy, biopsy and imaging</w:t>
      </w:r>
      <w:r w:rsidR="007027E0">
        <w:rPr>
          <w:lang w:val="en-GB"/>
        </w:rPr>
        <w:t>.</w:t>
      </w:r>
      <w:r w:rsidRPr="00BC403A">
        <w:rPr>
          <w:rStyle w:val="FootnoteReference"/>
          <w:sz w:val="22"/>
          <w:lang w:val="en-GB"/>
        </w:rPr>
        <w:footnoteReference w:id="6"/>
      </w:r>
      <w:r w:rsidRPr="007535BF">
        <w:rPr>
          <w:lang w:val="en-GB"/>
        </w:rPr>
        <w:t xml:space="preserve">  The tumour staging of CRC is as follows:</w:t>
      </w:r>
    </w:p>
    <w:tbl>
      <w:tblPr>
        <w:tblStyle w:val="GridTable1Light1"/>
        <w:tblW w:w="4845" w:type="pct"/>
        <w:tblInd w:w="279" w:type="dxa"/>
        <w:tblLook w:val="04A0" w:firstRow="1" w:lastRow="0" w:firstColumn="1" w:lastColumn="0" w:noHBand="0" w:noVBand="1"/>
        <w:tblCaption w:val="Table"/>
        <w:tblDescription w:val="Table"/>
      </w:tblPr>
      <w:tblGrid>
        <w:gridCol w:w="1417"/>
        <w:gridCol w:w="1417"/>
        <w:gridCol w:w="5903"/>
      </w:tblGrid>
      <w:tr w:rsidR="005556DA" w:rsidRPr="007535BF" w14:paraId="3406670C" w14:textId="77777777" w:rsidTr="00AA02A6">
        <w:trPr>
          <w:cnfStyle w:val="100000000000" w:firstRow="1" w:lastRow="0" w:firstColumn="0" w:lastColumn="0" w:oddVBand="0" w:evenVBand="0" w:oddHBand="0" w:evenHBand="0" w:firstRowFirstColumn="0" w:firstRowLastColumn="0" w:lastRowFirstColumn="0" w:lastRowLastColumn="0"/>
          <w:trHeight w:val="218"/>
          <w:tblHeader/>
        </w:trPr>
        <w:tc>
          <w:tcPr>
            <w:cnfStyle w:val="001000000000" w:firstRow="0" w:lastRow="0" w:firstColumn="1" w:lastColumn="0" w:oddVBand="0" w:evenVBand="0" w:oddHBand="0" w:evenHBand="0" w:firstRowFirstColumn="0" w:firstRowLastColumn="0" w:lastRowFirstColumn="0" w:lastRowLastColumn="0"/>
            <w:tcW w:w="811" w:type="pct"/>
            <w:shd w:val="clear" w:color="auto" w:fill="D9D9D9" w:themeFill="background1" w:themeFillShade="D9"/>
            <w:hideMark/>
          </w:tcPr>
          <w:p w14:paraId="266582B2" w14:textId="77777777" w:rsidR="005556DA" w:rsidRPr="007027E0" w:rsidRDefault="005556DA" w:rsidP="001B439C">
            <w:pPr>
              <w:spacing w:before="0" w:after="0"/>
              <w:rPr>
                <w:szCs w:val="20"/>
                <w:lang w:val="en-GB"/>
              </w:rPr>
            </w:pPr>
            <w:r w:rsidRPr="007027E0">
              <w:rPr>
                <w:szCs w:val="20"/>
                <w:lang w:val="en-GB"/>
              </w:rPr>
              <w:t>TNM stage</w:t>
            </w:r>
          </w:p>
        </w:tc>
        <w:tc>
          <w:tcPr>
            <w:tcW w:w="811" w:type="pct"/>
            <w:shd w:val="clear" w:color="auto" w:fill="D9D9D9" w:themeFill="background1" w:themeFillShade="D9"/>
            <w:hideMark/>
          </w:tcPr>
          <w:p w14:paraId="1F53B6FD" w14:textId="77777777" w:rsidR="005556DA" w:rsidRPr="007027E0" w:rsidRDefault="005556DA" w:rsidP="001B439C">
            <w:pPr>
              <w:spacing w:before="0" w:after="0"/>
              <w:cnfStyle w:val="100000000000" w:firstRow="1" w:lastRow="0" w:firstColumn="0" w:lastColumn="0" w:oddVBand="0" w:evenVBand="0" w:oddHBand="0" w:evenHBand="0" w:firstRowFirstColumn="0" w:firstRowLastColumn="0" w:lastRowFirstColumn="0" w:lastRowLastColumn="0"/>
              <w:rPr>
                <w:szCs w:val="20"/>
                <w:lang w:val="en-GB"/>
              </w:rPr>
            </w:pPr>
            <w:r w:rsidRPr="007027E0">
              <w:rPr>
                <w:szCs w:val="20"/>
                <w:lang w:val="en-GB"/>
              </w:rPr>
              <w:t>Location</w:t>
            </w:r>
          </w:p>
        </w:tc>
        <w:tc>
          <w:tcPr>
            <w:tcW w:w="3378" w:type="pct"/>
            <w:shd w:val="clear" w:color="auto" w:fill="D9D9D9" w:themeFill="background1" w:themeFillShade="D9"/>
            <w:hideMark/>
          </w:tcPr>
          <w:p w14:paraId="699FD6F5" w14:textId="77777777" w:rsidR="005556DA" w:rsidRPr="007027E0" w:rsidRDefault="005556DA" w:rsidP="001B439C">
            <w:pPr>
              <w:spacing w:before="0" w:after="0"/>
              <w:cnfStyle w:val="100000000000" w:firstRow="1" w:lastRow="0" w:firstColumn="0" w:lastColumn="0" w:oddVBand="0" w:evenVBand="0" w:oddHBand="0" w:evenHBand="0" w:firstRowFirstColumn="0" w:firstRowLastColumn="0" w:lastRowFirstColumn="0" w:lastRowLastColumn="0"/>
              <w:rPr>
                <w:szCs w:val="20"/>
                <w:lang w:val="en-GB"/>
              </w:rPr>
            </w:pPr>
            <w:r w:rsidRPr="007027E0">
              <w:rPr>
                <w:szCs w:val="20"/>
                <w:lang w:val="en-GB"/>
              </w:rPr>
              <w:t>Definition</w:t>
            </w:r>
          </w:p>
        </w:tc>
      </w:tr>
      <w:tr w:rsidR="005556DA" w:rsidRPr="007535BF" w14:paraId="0723513B" w14:textId="77777777" w:rsidTr="004667E5">
        <w:trPr>
          <w:trHeight w:val="389"/>
        </w:trPr>
        <w:tc>
          <w:tcPr>
            <w:cnfStyle w:val="001000000000" w:firstRow="0" w:lastRow="0" w:firstColumn="1" w:lastColumn="0" w:oddVBand="0" w:evenVBand="0" w:oddHBand="0" w:evenHBand="0" w:firstRowFirstColumn="0" w:firstRowLastColumn="0" w:lastRowFirstColumn="0" w:lastRowLastColumn="0"/>
            <w:tcW w:w="811" w:type="pct"/>
            <w:hideMark/>
          </w:tcPr>
          <w:p w14:paraId="74ABFC5E" w14:textId="77777777" w:rsidR="005556DA" w:rsidRPr="007027E0" w:rsidRDefault="005556DA" w:rsidP="001B439C">
            <w:pPr>
              <w:spacing w:before="0" w:after="0"/>
              <w:rPr>
                <w:szCs w:val="20"/>
                <w:lang w:val="en-GB"/>
              </w:rPr>
            </w:pPr>
            <w:r w:rsidRPr="007027E0">
              <w:rPr>
                <w:szCs w:val="20"/>
                <w:lang w:val="en-GB"/>
              </w:rPr>
              <w:t>I</w:t>
            </w:r>
          </w:p>
        </w:tc>
        <w:tc>
          <w:tcPr>
            <w:tcW w:w="811" w:type="pct"/>
            <w:hideMark/>
          </w:tcPr>
          <w:p w14:paraId="04FD8728" w14:textId="77777777" w:rsidR="005556DA" w:rsidRPr="007027E0" w:rsidRDefault="005556DA" w:rsidP="001B439C">
            <w:pPr>
              <w:spacing w:before="0" w:after="0"/>
              <w:cnfStyle w:val="000000000000" w:firstRow="0" w:lastRow="0" w:firstColumn="0" w:lastColumn="0" w:oddVBand="0" w:evenVBand="0" w:oddHBand="0" w:evenHBand="0" w:firstRowFirstColumn="0" w:firstRowLastColumn="0" w:lastRowFirstColumn="0" w:lastRowLastColumn="0"/>
              <w:rPr>
                <w:szCs w:val="20"/>
                <w:lang w:val="en-GB"/>
              </w:rPr>
            </w:pPr>
            <w:r w:rsidRPr="007027E0">
              <w:rPr>
                <w:szCs w:val="20"/>
                <w:lang w:val="en-GB"/>
              </w:rPr>
              <w:t>Local</w:t>
            </w:r>
          </w:p>
        </w:tc>
        <w:tc>
          <w:tcPr>
            <w:tcW w:w="3378" w:type="pct"/>
            <w:hideMark/>
          </w:tcPr>
          <w:p w14:paraId="0D36B751" w14:textId="77777777" w:rsidR="005556DA" w:rsidRPr="007027E0" w:rsidRDefault="005556DA" w:rsidP="001B439C">
            <w:pPr>
              <w:spacing w:before="0" w:after="0"/>
              <w:cnfStyle w:val="000000000000" w:firstRow="0" w:lastRow="0" w:firstColumn="0" w:lastColumn="0" w:oddVBand="0" w:evenVBand="0" w:oddHBand="0" w:evenHBand="0" w:firstRowFirstColumn="0" w:firstRowLastColumn="0" w:lastRowFirstColumn="0" w:lastRowLastColumn="0"/>
              <w:rPr>
                <w:szCs w:val="20"/>
                <w:lang w:val="en-GB"/>
              </w:rPr>
            </w:pPr>
            <w:r w:rsidRPr="007027E0">
              <w:rPr>
                <w:szCs w:val="20"/>
                <w:lang w:val="en-GB"/>
              </w:rPr>
              <w:t>Cancer is located in the innermost lining of the bowel</w:t>
            </w:r>
          </w:p>
        </w:tc>
      </w:tr>
      <w:tr w:rsidR="005556DA" w:rsidRPr="007535BF" w14:paraId="46D68AF7" w14:textId="77777777" w:rsidTr="004667E5">
        <w:trPr>
          <w:trHeight w:val="397"/>
        </w:trPr>
        <w:tc>
          <w:tcPr>
            <w:cnfStyle w:val="001000000000" w:firstRow="0" w:lastRow="0" w:firstColumn="1" w:lastColumn="0" w:oddVBand="0" w:evenVBand="0" w:oddHBand="0" w:evenHBand="0" w:firstRowFirstColumn="0" w:firstRowLastColumn="0" w:lastRowFirstColumn="0" w:lastRowLastColumn="0"/>
            <w:tcW w:w="811" w:type="pct"/>
            <w:hideMark/>
          </w:tcPr>
          <w:p w14:paraId="70EFFDC0" w14:textId="77777777" w:rsidR="005556DA" w:rsidRPr="007027E0" w:rsidRDefault="005556DA" w:rsidP="001B439C">
            <w:pPr>
              <w:spacing w:before="0" w:after="0"/>
              <w:rPr>
                <w:szCs w:val="20"/>
                <w:lang w:val="en-GB"/>
              </w:rPr>
            </w:pPr>
            <w:r w:rsidRPr="007027E0">
              <w:rPr>
                <w:szCs w:val="20"/>
                <w:lang w:val="en-GB"/>
              </w:rPr>
              <w:t>II</w:t>
            </w:r>
          </w:p>
        </w:tc>
        <w:tc>
          <w:tcPr>
            <w:tcW w:w="811" w:type="pct"/>
            <w:hideMark/>
          </w:tcPr>
          <w:p w14:paraId="41E6AD3B" w14:textId="77777777" w:rsidR="005556DA" w:rsidRPr="007027E0" w:rsidRDefault="005556DA" w:rsidP="001B439C">
            <w:pPr>
              <w:spacing w:before="0" w:after="0"/>
              <w:cnfStyle w:val="000000000000" w:firstRow="0" w:lastRow="0" w:firstColumn="0" w:lastColumn="0" w:oddVBand="0" w:evenVBand="0" w:oddHBand="0" w:evenHBand="0" w:firstRowFirstColumn="0" w:firstRowLastColumn="0" w:lastRowFirstColumn="0" w:lastRowLastColumn="0"/>
              <w:rPr>
                <w:szCs w:val="20"/>
                <w:lang w:val="en-GB"/>
              </w:rPr>
            </w:pPr>
            <w:r w:rsidRPr="007027E0">
              <w:rPr>
                <w:szCs w:val="20"/>
                <w:lang w:val="en-GB"/>
              </w:rPr>
              <w:t>Local</w:t>
            </w:r>
          </w:p>
        </w:tc>
        <w:tc>
          <w:tcPr>
            <w:tcW w:w="3378" w:type="pct"/>
            <w:hideMark/>
          </w:tcPr>
          <w:p w14:paraId="49907B49" w14:textId="77777777" w:rsidR="005556DA" w:rsidRPr="007027E0" w:rsidRDefault="005556DA" w:rsidP="001B439C">
            <w:pPr>
              <w:spacing w:before="0" w:after="0"/>
              <w:cnfStyle w:val="000000000000" w:firstRow="0" w:lastRow="0" w:firstColumn="0" w:lastColumn="0" w:oddVBand="0" w:evenVBand="0" w:oddHBand="0" w:evenHBand="0" w:firstRowFirstColumn="0" w:firstRowLastColumn="0" w:lastRowFirstColumn="0" w:lastRowLastColumn="0"/>
              <w:rPr>
                <w:szCs w:val="20"/>
                <w:lang w:val="en-GB"/>
              </w:rPr>
            </w:pPr>
            <w:r w:rsidRPr="007027E0">
              <w:rPr>
                <w:szCs w:val="20"/>
                <w:lang w:val="en-GB"/>
              </w:rPr>
              <w:t>Cancer has grown through the muscle layer of the bowel</w:t>
            </w:r>
          </w:p>
        </w:tc>
      </w:tr>
      <w:tr w:rsidR="005556DA" w:rsidRPr="007535BF" w14:paraId="4F671A85" w14:textId="77777777" w:rsidTr="004667E5">
        <w:trPr>
          <w:trHeight w:val="333"/>
        </w:trPr>
        <w:tc>
          <w:tcPr>
            <w:cnfStyle w:val="001000000000" w:firstRow="0" w:lastRow="0" w:firstColumn="1" w:lastColumn="0" w:oddVBand="0" w:evenVBand="0" w:oddHBand="0" w:evenHBand="0" w:firstRowFirstColumn="0" w:firstRowLastColumn="0" w:lastRowFirstColumn="0" w:lastRowLastColumn="0"/>
            <w:tcW w:w="811" w:type="pct"/>
            <w:hideMark/>
          </w:tcPr>
          <w:p w14:paraId="2F9E11B4" w14:textId="77777777" w:rsidR="005556DA" w:rsidRPr="007027E0" w:rsidRDefault="005556DA" w:rsidP="001B439C">
            <w:pPr>
              <w:spacing w:before="0" w:after="0"/>
              <w:rPr>
                <w:szCs w:val="20"/>
                <w:lang w:val="en-GB"/>
              </w:rPr>
            </w:pPr>
            <w:r w:rsidRPr="007027E0">
              <w:rPr>
                <w:szCs w:val="20"/>
                <w:lang w:val="en-GB"/>
              </w:rPr>
              <w:t>III</w:t>
            </w:r>
          </w:p>
        </w:tc>
        <w:tc>
          <w:tcPr>
            <w:tcW w:w="811" w:type="pct"/>
            <w:hideMark/>
          </w:tcPr>
          <w:p w14:paraId="5E19F66A" w14:textId="77777777" w:rsidR="005556DA" w:rsidRPr="007027E0" w:rsidRDefault="005556DA" w:rsidP="001B439C">
            <w:pPr>
              <w:spacing w:before="0" w:after="0"/>
              <w:cnfStyle w:val="000000000000" w:firstRow="0" w:lastRow="0" w:firstColumn="0" w:lastColumn="0" w:oddVBand="0" w:evenVBand="0" w:oddHBand="0" w:evenHBand="0" w:firstRowFirstColumn="0" w:firstRowLastColumn="0" w:lastRowFirstColumn="0" w:lastRowLastColumn="0"/>
              <w:rPr>
                <w:szCs w:val="20"/>
                <w:lang w:val="en-GB"/>
              </w:rPr>
            </w:pPr>
            <w:r w:rsidRPr="007027E0">
              <w:rPr>
                <w:szCs w:val="20"/>
                <w:lang w:val="en-GB"/>
              </w:rPr>
              <w:t>Regional</w:t>
            </w:r>
          </w:p>
        </w:tc>
        <w:tc>
          <w:tcPr>
            <w:tcW w:w="3378" w:type="pct"/>
            <w:hideMark/>
          </w:tcPr>
          <w:p w14:paraId="250F1A0D" w14:textId="77777777" w:rsidR="005556DA" w:rsidRPr="007027E0" w:rsidRDefault="005556DA" w:rsidP="001B439C">
            <w:pPr>
              <w:spacing w:before="0" w:after="0"/>
              <w:cnfStyle w:val="000000000000" w:firstRow="0" w:lastRow="0" w:firstColumn="0" w:lastColumn="0" w:oddVBand="0" w:evenVBand="0" w:oddHBand="0" w:evenHBand="0" w:firstRowFirstColumn="0" w:firstRowLastColumn="0" w:lastRowFirstColumn="0" w:lastRowLastColumn="0"/>
              <w:rPr>
                <w:szCs w:val="20"/>
                <w:lang w:val="en-GB"/>
              </w:rPr>
            </w:pPr>
            <w:r w:rsidRPr="007027E0">
              <w:rPr>
                <w:szCs w:val="20"/>
                <w:lang w:val="en-GB"/>
              </w:rPr>
              <w:t>Cancer has spread to at least one lymph node close to the bowel</w:t>
            </w:r>
          </w:p>
        </w:tc>
      </w:tr>
      <w:tr w:rsidR="005556DA" w:rsidRPr="007535BF" w14:paraId="2395A9C7" w14:textId="77777777" w:rsidTr="004667E5">
        <w:trPr>
          <w:trHeight w:val="377"/>
        </w:trPr>
        <w:tc>
          <w:tcPr>
            <w:cnfStyle w:val="001000000000" w:firstRow="0" w:lastRow="0" w:firstColumn="1" w:lastColumn="0" w:oddVBand="0" w:evenVBand="0" w:oddHBand="0" w:evenHBand="0" w:firstRowFirstColumn="0" w:firstRowLastColumn="0" w:lastRowFirstColumn="0" w:lastRowLastColumn="0"/>
            <w:tcW w:w="811" w:type="pct"/>
            <w:hideMark/>
          </w:tcPr>
          <w:p w14:paraId="41714A31" w14:textId="77777777" w:rsidR="005556DA" w:rsidRPr="007027E0" w:rsidRDefault="005556DA" w:rsidP="001B439C">
            <w:pPr>
              <w:spacing w:before="0" w:after="0"/>
              <w:rPr>
                <w:szCs w:val="20"/>
                <w:lang w:val="en-GB"/>
              </w:rPr>
            </w:pPr>
            <w:r w:rsidRPr="007027E0">
              <w:rPr>
                <w:szCs w:val="20"/>
                <w:lang w:val="en-GB"/>
              </w:rPr>
              <w:t>IV</w:t>
            </w:r>
          </w:p>
        </w:tc>
        <w:tc>
          <w:tcPr>
            <w:tcW w:w="811" w:type="pct"/>
            <w:hideMark/>
          </w:tcPr>
          <w:p w14:paraId="32380687" w14:textId="77777777" w:rsidR="005556DA" w:rsidRPr="007027E0" w:rsidRDefault="005556DA" w:rsidP="001B439C">
            <w:pPr>
              <w:spacing w:before="0" w:after="0"/>
              <w:cnfStyle w:val="000000000000" w:firstRow="0" w:lastRow="0" w:firstColumn="0" w:lastColumn="0" w:oddVBand="0" w:evenVBand="0" w:oddHBand="0" w:evenHBand="0" w:firstRowFirstColumn="0" w:firstRowLastColumn="0" w:lastRowFirstColumn="0" w:lastRowLastColumn="0"/>
              <w:rPr>
                <w:szCs w:val="20"/>
                <w:lang w:val="en-GB"/>
              </w:rPr>
            </w:pPr>
            <w:r w:rsidRPr="007027E0">
              <w:rPr>
                <w:szCs w:val="20"/>
                <w:lang w:val="en-GB"/>
              </w:rPr>
              <w:t>Metastatic</w:t>
            </w:r>
          </w:p>
        </w:tc>
        <w:tc>
          <w:tcPr>
            <w:tcW w:w="3378" w:type="pct"/>
            <w:hideMark/>
          </w:tcPr>
          <w:p w14:paraId="2A5F42E2" w14:textId="77777777" w:rsidR="005556DA" w:rsidRPr="007027E0" w:rsidRDefault="005556DA" w:rsidP="001B439C">
            <w:pPr>
              <w:spacing w:before="0" w:after="0"/>
              <w:cnfStyle w:val="000000000000" w:firstRow="0" w:lastRow="0" w:firstColumn="0" w:lastColumn="0" w:oddVBand="0" w:evenVBand="0" w:oddHBand="0" w:evenHBand="0" w:firstRowFirstColumn="0" w:firstRowLastColumn="0" w:lastRowFirstColumn="0" w:lastRowLastColumn="0"/>
              <w:rPr>
                <w:szCs w:val="20"/>
                <w:lang w:val="en-GB"/>
              </w:rPr>
            </w:pPr>
            <w:r w:rsidRPr="007027E0">
              <w:rPr>
                <w:szCs w:val="20"/>
                <w:lang w:val="en-GB"/>
              </w:rPr>
              <w:t>Cancer has spread in the body</w:t>
            </w:r>
          </w:p>
        </w:tc>
      </w:tr>
    </w:tbl>
    <w:p w14:paraId="3F9EEA52" w14:textId="77777777" w:rsidR="005556DA" w:rsidRPr="006C03F9" w:rsidRDefault="005556DA" w:rsidP="006C03F9">
      <w:pPr>
        <w:ind w:left="360"/>
        <w:rPr>
          <w:b/>
          <w:bCs/>
          <w:lang w:val="en-GB"/>
        </w:rPr>
      </w:pPr>
      <w:r w:rsidRPr="006C03F9">
        <w:rPr>
          <w:b/>
          <w:bCs/>
          <w:lang w:val="en-GB"/>
        </w:rPr>
        <w:t>Metastatic colorectal cancer (mCRC)</w:t>
      </w:r>
    </w:p>
    <w:p w14:paraId="4E901A03" w14:textId="336DEAD5" w:rsidR="005556DA" w:rsidRPr="006C03F9" w:rsidRDefault="005556DA" w:rsidP="006C03F9">
      <w:pPr>
        <w:ind w:left="360"/>
        <w:rPr>
          <w:lang w:val="en-GB"/>
        </w:rPr>
      </w:pPr>
      <w:r w:rsidRPr="006C03F9">
        <w:rPr>
          <w:lang w:val="en-GB"/>
        </w:rPr>
        <w:t>Development of metastasis is a concern for patients and clinicians alike as metastasis may be fatal, causing mass-effect and meddling with homeostasis</w:t>
      </w:r>
      <w:r w:rsidRPr="006C03F9">
        <w:footnoteReference w:id="7"/>
      </w:r>
      <w:r w:rsidRPr="006C03F9">
        <w:rPr>
          <w:lang w:val="en-GB"/>
        </w:rPr>
        <w:t xml:space="preserve">.  </w:t>
      </w:r>
      <w:r w:rsidRPr="007535BF">
        <w:rPr>
          <w:lang w:val="en-GB"/>
        </w:rPr>
        <w:t>Approximately 50% of CRC cases are diagnosed at Stage III or IV when cancer has already spread to the lymph nodes or beyond: 20% to 25% are initially diagnosed at metastatic stage; 10 to 25% at the time of the resection of the primary colorectal cancer. The incidence is higher (35%) when a computed tomography (CT) scan is used</w:t>
      </w:r>
      <w:bookmarkStart w:id="5" w:name="_Ref24110908"/>
      <w:r w:rsidR="007027E0">
        <w:rPr>
          <w:lang w:val="en-GB"/>
        </w:rPr>
        <w:t>;</w:t>
      </w:r>
      <w:r w:rsidRPr="006C03F9">
        <w:footnoteReference w:id="8"/>
      </w:r>
      <w:bookmarkEnd w:id="5"/>
      <w:r w:rsidRPr="007535BF">
        <w:rPr>
          <w:lang w:val="en-GB"/>
        </w:rPr>
        <w:t xml:space="preserve"> and 50% of new non-metastatic CRC cases will evolve to a metastatic stage within one year</w:t>
      </w:r>
      <w:r w:rsidRPr="006C03F9">
        <w:footnoteReference w:id="9"/>
      </w:r>
      <w:r w:rsidRPr="007535BF">
        <w:rPr>
          <w:lang w:val="en-GB"/>
        </w:rPr>
        <w:t xml:space="preserve">. </w:t>
      </w:r>
      <w:r w:rsidRPr="006C03F9">
        <w:rPr>
          <w:lang w:val="en-GB"/>
        </w:rPr>
        <w:t xml:space="preserve"> The liver is second only to the lymph nodes as the most common part of the body for bowel cancer cells to spread to. </w:t>
      </w:r>
    </w:p>
    <w:p w14:paraId="0942D736" w14:textId="77777777" w:rsidR="005556DA" w:rsidRPr="006C03F9" w:rsidRDefault="005556DA" w:rsidP="006C03F9">
      <w:pPr>
        <w:ind w:left="360"/>
        <w:rPr>
          <w:b/>
          <w:bCs/>
          <w:lang w:val="en-GB"/>
        </w:rPr>
      </w:pPr>
      <w:r w:rsidRPr="006C03F9">
        <w:rPr>
          <w:b/>
          <w:bCs/>
          <w:lang w:val="en-GB"/>
        </w:rPr>
        <w:t>Burden of mCRC</w:t>
      </w:r>
    </w:p>
    <w:p w14:paraId="6446D83B" w14:textId="2A97B25A" w:rsidR="005556DA" w:rsidRPr="007535BF" w:rsidRDefault="002E2D06" w:rsidP="006C03F9">
      <w:pPr>
        <w:ind w:left="360"/>
        <w:rPr>
          <w:lang w:val="en-GB"/>
        </w:rPr>
      </w:pPr>
      <w:r w:rsidRPr="007535BF">
        <w:rPr>
          <w:lang w:val="en-GB"/>
        </w:rPr>
        <w:t>C</w:t>
      </w:r>
      <w:r>
        <w:rPr>
          <w:lang w:val="en-GB"/>
        </w:rPr>
        <w:t>olorectal cancer</w:t>
      </w:r>
      <w:r w:rsidR="005556DA" w:rsidRPr="006C03F9">
        <w:rPr>
          <w:lang w:val="en-GB"/>
        </w:rPr>
        <w:t xml:space="preserve"> is a major cause of morbidity and mortality throughout the world. It accounts for over 9% of all cancer incidence</w:t>
      </w:r>
      <w:r w:rsidR="008355A5" w:rsidRPr="006C03F9">
        <w:rPr>
          <w:lang w:val="en-GB"/>
        </w:rPr>
        <w:t>s</w:t>
      </w:r>
      <w:r w:rsidR="005556DA" w:rsidRPr="006C03F9">
        <w:rPr>
          <w:lang w:val="en-GB"/>
        </w:rPr>
        <w:t xml:space="preserve">. It </w:t>
      </w:r>
      <w:r w:rsidR="005556DA" w:rsidRPr="007535BF">
        <w:rPr>
          <w:lang w:val="en-GB"/>
        </w:rPr>
        <w:t>has become the world’s fourth most common in terms of cancer mortality with 20-25% of patients diagnosed at the most extended cancer stage (IV)</w:t>
      </w:r>
      <w:r w:rsidR="007027E0">
        <w:rPr>
          <w:lang w:val="en-GB"/>
        </w:rPr>
        <w:t>.</w:t>
      </w:r>
      <w:r w:rsidR="005556DA" w:rsidRPr="006C03F9">
        <w:footnoteReference w:id="10"/>
      </w:r>
      <w:r w:rsidR="005556DA" w:rsidRPr="007535BF">
        <w:rPr>
          <w:lang w:val="en-GB"/>
        </w:rPr>
        <w:t xml:space="preserve"> </w:t>
      </w:r>
      <w:r w:rsidR="005556DA" w:rsidRPr="006C03F9">
        <w:footnoteReference w:id="11"/>
      </w:r>
      <w:r w:rsidR="005556DA" w:rsidRPr="006C03F9">
        <w:rPr>
          <w:lang w:val="en-GB"/>
        </w:rPr>
        <w:t xml:space="preserve">  </w:t>
      </w:r>
      <w:r w:rsidR="005556DA" w:rsidRPr="007535BF">
        <w:rPr>
          <w:lang w:val="en-GB"/>
        </w:rPr>
        <w:t xml:space="preserve">CRC is the second most common cancer in both men and women in Australia and is more common in people over the age of 50 and has a five-year survival rate of 69%. In 2016, there were 5,375 </w:t>
      </w:r>
      <w:r w:rsidR="005556DA" w:rsidRPr="007535BF">
        <w:rPr>
          <w:lang w:val="en-GB"/>
        </w:rPr>
        <w:lastRenderedPageBreak/>
        <w:t>deaths caused by bowel cancer in Australia.  This represents the second highest number of cancer deaths in Australia</w:t>
      </w:r>
      <w:r w:rsidR="007027E0">
        <w:rPr>
          <w:lang w:val="en-GB"/>
        </w:rPr>
        <w:t>.</w:t>
      </w:r>
      <w:r w:rsidR="005556DA" w:rsidRPr="006C03F9">
        <w:footnoteReference w:id="12"/>
      </w:r>
    </w:p>
    <w:p w14:paraId="0CE23052" w14:textId="023891B7" w:rsidR="005556DA" w:rsidRPr="007535BF" w:rsidRDefault="002E2D06" w:rsidP="006C03F9">
      <w:pPr>
        <w:ind w:left="360"/>
        <w:rPr>
          <w:lang w:val="en-GB"/>
        </w:rPr>
      </w:pPr>
      <w:r>
        <w:rPr>
          <w:lang w:val="en-GB"/>
        </w:rPr>
        <w:t xml:space="preserve">A total of </w:t>
      </w:r>
      <w:r w:rsidR="005556DA" w:rsidRPr="007535BF">
        <w:rPr>
          <w:lang w:val="en-GB"/>
        </w:rPr>
        <w:t>11% of cancer costs are due to CRC - the 2</w:t>
      </w:r>
      <w:r w:rsidR="005556DA" w:rsidRPr="006C03F9">
        <w:rPr>
          <w:lang w:val="en-GB"/>
        </w:rPr>
        <w:t>nd</w:t>
      </w:r>
      <w:r w:rsidR="005556DA" w:rsidRPr="007535BF">
        <w:rPr>
          <w:lang w:val="en-GB"/>
        </w:rPr>
        <w:t xml:space="preserve"> most expensive cancer in the EU and the 1</w:t>
      </w:r>
      <w:r w:rsidR="005556DA" w:rsidRPr="006C03F9">
        <w:rPr>
          <w:lang w:val="en-GB"/>
        </w:rPr>
        <w:t>st</w:t>
      </w:r>
      <w:r w:rsidR="005556DA" w:rsidRPr="007535BF">
        <w:rPr>
          <w:lang w:val="en-GB"/>
        </w:rPr>
        <w:t xml:space="preserve"> in Australia in that CRC costs in excess of €10 billion in the EU and $283 million in Australia</w:t>
      </w:r>
      <w:r w:rsidR="007027E0">
        <w:rPr>
          <w:lang w:val="en-GB"/>
        </w:rPr>
        <w:t>.</w:t>
      </w:r>
      <w:r w:rsidR="005556DA" w:rsidRPr="006C03F9">
        <w:footnoteReference w:id="13"/>
      </w:r>
    </w:p>
    <w:p w14:paraId="5C6467F2" w14:textId="77777777" w:rsidR="005556DA" w:rsidRPr="006C03F9" w:rsidRDefault="005556DA" w:rsidP="006C03F9">
      <w:pPr>
        <w:ind w:left="360"/>
        <w:rPr>
          <w:lang w:val="en-GB"/>
        </w:rPr>
      </w:pPr>
      <w:r w:rsidRPr="006C03F9">
        <w:rPr>
          <w:lang w:val="en-GB"/>
        </w:rPr>
        <w:t>In the last decades, a significant increase in the life expectancy of patients with CRC has been achieved with different diagnostic and treatment programs. Despite these improvements, the presence of metastasis, disease recurrence, and advanced local tumours continue to remain poor prognostic factors.</w:t>
      </w:r>
    </w:p>
    <w:p w14:paraId="12F4848F" w14:textId="77777777" w:rsidR="005556DA" w:rsidRPr="007535BF" w:rsidRDefault="002E2D06" w:rsidP="006C03F9">
      <w:pPr>
        <w:ind w:left="360"/>
        <w:rPr>
          <w:lang w:val="en-GB"/>
        </w:rPr>
      </w:pPr>
      <w:r>
        <w:rPr>
          <w:lang w:val="en-GB"/>
        </w:rPr>
        <w:t xml:space="preserve">Statistics from the </w:t>
      </w:r>
      <w:r w:rsidR="005556DA" w:rsidRPr="007535BF">
        <w:rPr>
          <w:lang w:val="en-GB"/>
        </w:rPr>
        <w:t xml:space="preserve">US show that the five-year survival rate of people with localised stage CRC is 90%. </w:t>
      </w:r>
      <w:r w:rsidR="008355A5">
        <w:rPr>
          <w:lang w:val="en-GB"/>
        </w:rPr>
        <w:t xml:space="preserve"> </w:t>
      </w:r>
      <w:r w:rsidR="005556DA" w:rsidRPr="007535BF">
        <w:rPr>
          <w:lang w:val="en-GB"/>
        </w:rPr>
        <w:t>If the cancer has spread to surrounding tissues or organs and/or the regional lymph nodes, the five-year survival rate is 71%.  If the cancer has spread to distant parts of the body and is therefore considered as metastatic cancer, the five-year survival rate significantly decreases to 13%.  Approximately 20% of CRC patients present with synchronous distant metastases at the initial diagnosis, and about 50% of the patients without metastases at presentation develop distant metastases within three years of diagnosis.</w:t>
      </w:r>
      <w:bookmarkStart w:id="6" w:name="_Ref24642341"/>
      <w:r w:rsidR="005556DA" w:rsidRPr="006C03F9">
        <w:footnoteReference w:id="14"/>
      </w:r>
      <w:bookmarkEnd w:id="6"/>
      <w:r w:rsidR="005556DA" w:rsidRPr="007535BF">
        <w:rPr>
          <w:lang w:val="en-GB"/>
        </w:rPr>
        <w:t xml:space="preserve"> </w:t>
      </w:r>
    </w:p>
    <w:p w14:paraId="498E2D07" w14:textId="5A9361A0" w:rsidR="005556DA" w:rsidRPr="006C03F9" w:rsidRDefault="005556DA" w:rsidP="006C03F9">
      <w:pPr>
        <w:ind w:left="360"/>
        <w:rPr>
          <w:lang w:val="en-GB"/>
        </w:rPr>
      </w:pPr>
      <w:r w:rsidRPr="006C03F9">
        <w:rPr>
          <w:lang w:val="en-GB"/>
        </w:rPr>
        <w:t xml:space="preserve">Median survival without treatment is </w:t>
      </w:r>
      <w:r w:rsidR="008355A5" w:rsidRPr="006C03F9">
        <w:rPr>
          <w:lang w:val="en-GB"/>
        </w:rPr>
        <w:t xml:space="preserve">less than </w:t>
      </w:r>
      <w:r w:rsidRPr="006C03F9">
        <w:rPr>
          <w:lang w:val="en-GB"/>
        </w:rPr>
        <w:t xml:space="preserve">8 months from the moment of its presentation, and a survival rate at 5 years of 11% is the best prognosis for those who present with local metastasis. Even in patients with limited metastatic disease, 5-year survival is exceptional. </w:t>
      </w:r>
      <w:r w:rsidR="008355A5" w:rsidRPr="006C03F9">
        <w:rPr>
          <w:lang w:val="en-GB"/>
        </w:rPr>
        <w:t xml:space="preserve"> </w:t>
      </w:r>
      <w:r w:rsidRPr="006C03F9">
        <w:rPr>
          <w:lang w:val="en-GB"/>
        </w:rPr>
        <w:t>Patients with hepatic metastasis of colorectal cancer have a median survival of 5 to 20 months with no treatment.</w:t>
      </w:r>
      <w:r w:rsidR="008355A5" w:rsidRPr="006C03F9">
        <w:rPr>
          <w:lang w:val="en-GB"/>
        </w:rPr>
        <w:t xml:space="preserve"> </w:t>
      </w:r>
      <w:r w:rsidRPr="006C03F9">
        <w:rPr>
          <w:lang w:val="en-GB"/>
        </w:rPr>
        <w:t xml:space="preserve"> Approximately 20 to 30% of patients with colorectal metastasis have disease confined to the liver, and this can be managed with surgery. Modern surgical strategies at the main hepatobiliary centres have proved that hepatectomy of 70% of the liver can be performed, with a mortality rate of </w:t>
      </w:r>
      <w:r w:rsidR="008355A5" w:rsidRPr="006C03F9">
        <w:rPr>
          <w:lang w:val="en-GB"/>
        </w:rPr>
        <w:t xml:space="preserve">less than </w:t>
      </w:r>
      <w:r w:rsidRPr="006C03F9">
        <w:rPr>
          <w:lang w:val="en-GB"/>
        </w:rPr>
        <w:t>5%.</w:t>
      </w:r>
    </w:p>
    <w:p w14:paraId="4A2C2404" w14:textId="77777777" w:rsidR="005556DA" w:rsidRPr="00FC430E" w:rsidRDefault="005556DA" w:rsidP="00255615">
      <w:pPr>
        <w:pStyle w:val="Heading2"/>
        <w:ind w:left="284" w:hanging="284"/>
        <w:jc w:val="both"/>
        <w:rPr>
          <w:lang w:val="en-GB"/>
        </w:rPr>
      </w:pPr>
      <w:r w:rsidRPr="00FC430E">
        <w:rPr>
          <w:lang w:val="en-GB"/>
        </w:rPr>
        <w:t>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w:t>
      </w:r>
      <w:r w:rsidRPr="00FC430E">
        <w:rPr>
          <w:lang w:val="en-GB"/>
        </w:rPr>
        <w:tab/>
      </w:r>
    </w:p>
    <w:p w14:paraId="1A6E7E9A" w14:textId="77777777" w:rsidR="005556DA" w:rsidRPr="006C03F9" w:rsidRDefault="005556DA" w:rsidP="006C03F9">
      <w:pPr>
        <w:ind w:left="360"/>
        <w:rPr>
          <w:b/>
          <w:bCs/>
          <w:lang w:val="en-GB"/>
        </w:rPr>
      </w:pPr>
      <w:r w:rsidRPr="006C03F9">
        <w:rPr>
          <w:b/>
          <w:bCs/>
          <w:lang w:val="en-GB"/>
        </w:rPr>
        <w:lastRenderedPageBreak/>
        <w:t>Specific patient characteristics</w:t>
      </w:r>
    </w:p>
    <w:p w14:paraId="1BFBA8EC" w14:textId="649A076F" w:rsidR="005556DA" w:rsidRPr="008355A5" w:rsidRDefault="005556DA" w:rsidP="006C03F9">
      <w:pPr>
        <w:ind w:left="360"/>
        <w:rPr>
          <w:lang w:val="en-GB"/>
        </w:rPr>
      </w:pPr>
      <w:r w:rsidRPr="008355A5">
        <w:rPr>
          <w:lang w:val="en-GB"/>
        </w:rPr>
        <w:t>Approximately 55% of mCRC patients are RAS wild type and 45% have the RAS mutation.  BRAF mutations are estimated to occur in around 10% of patients with mCRC; RAS and RAF mutations are nearly always mutually exclusive.</w:t>
      </w:r>
    </w:p>
    <w:p w14:paraId="208C2A72" w14:textId="6BA0997D" w:rsidR="005556DA" w:rsidRPr="008355A5" w:rsidRDefault="005556DA" w:rsidP="006C03F9">
      <w:pPr>
        <w:ind w:left="360"/>
        <w:rPr>
          <w:lang w:val="en-GB"/>
        </w:rPr>
      </w:pPr>
      <w:r w:rsidRPr="008355A5">
        <w:rPr>
          <w:lang w:val="en-GB"/>
        </w:rPr>
        <w:t xml:space="preserve">The BRAF mutation identifies a distinct subtype of </w:t>
      </w:r>
      <w:r w:rsidR="002E2D06">
        <w:rPr>
          <w:lang w:val="en-GB"/>
        </w:rPr>
        <w:t>mCRC</w:t>
      </w:r>
      <w:r w:rsidRPr="008355A5">
        <w:rPr>
          <w:lang w:val="en-GB"/>
        </w:rPr>
        <w:t xml:space="preserve"> that has a poor prognosis with no targeted therapies currently available.  BRAF positivity in CRC may influence choice and timing of therapy more effectively than therapies allocated on the basis of RAS mutation status alone and highlights the importance of testing for BRAF concurrently to identify these patients with poorer prognosis</w:t>
      </w:r>
      <w:r w:rsidR="007027E0">
        <w:rPr>
          <w:lang w:val="en-GB"/>
        </w:rPr>
        <w:t>.</w:t>
      </w:r>
      <w:r w:rsidR="008D74AB" w:rsidRPr="006C03F9">
        <w:footnoteReference w:id="15"/>
      </w:r>
    </w:p>
    <w:p w14:paraId="3C45208B" w14:textId="69102B55" w:rsidR="005556DA" w:rsidRDefault="005556DA" w:rsidP="006C03F9">
      <w:pPr>
        <w:ind w:left="360"/>
        <w:rPr>
          <w:lang w:val="en-GB"/>
        </w:rPr>
      </w:pPr>
      <w:r w:rsidRPr="008355A5">
        <w:rPr>
          <w:lang w:val="en-GB"/>
        </w:rPr>
        <w:t>The V600 mutation is the most common BRAF mutation and the risk of mortality in the patients with these patients is higher than those with wild-type BRAF</w:t>
      </w:r>
      <w:bookmarkStart w:id="7" w:name="_Ref24655117"/>
      <w:r w:rsidR="0099753A" w:rsidRPr="006C03F9">
        <w:footnoteReference w:id="16"/>
      </w:r>
      <w:bookmarkEnd w:id="7"/>
      <w:r w:rsidRPr="008355A5">
        <w:rPr>
          <w:lang w:val="en-GB"/>
        </w:rPr>
        <w:t>.  Studies with irinotecan-based chemotherapy have poor outcomes and expected median OS with 2nd and 3rd-line irinotecan-based chemotherapy standard of care is 5.9 months, median PFS of 4 months, and ORR of 4%</w:t>
      </w:r>
      <w:r w:rsidR="00AC1EAA" w:rsidRPr="006C03F9">
        <w:rPr>
          <w:lang w:val="en-GB"/>
        </w:rPr>
        <w:t>.</w:t>
      </w:r>
      <w:r w:rsidRPr="008355A5">
        <w:rPr>
          <w:lang w:val="en-GB"/>
        </w:rPr>
        <w:t xml:space="preserve">  BRAF inhibitors are not effective alone due to the feedback activation of EGFR in BRAF-mutant CRC, leading to continued cell proliferation, and hence the rationale for the combination of binimetinib + encorafenib and cetuximab</w:t>
      </w:r>
      <w:r w:rsidR="007027E0">
        <w:rPr>
          <w:lang w:val="en-GB"/>
        </w:rPr>
        <w:t>.</w:t>
      </w:r>
      <w:r w:rsidR="00841A75" w:rsidRPr="006C03F9">
        <w:rPr>
          <w:lang w:val="en-GB"/>
        </w:rPr>
        <w:fldChar w:fldCharType="begin"/>
      </w:r>
      <w:r w:rsidR="00841A75" w:rsidRPr="006C03F9">
        <w:rPr>
          <w:lang w:val="en-GB"/>
        </w:rPr>
        <w:instrText xml:space="preserve"> NOTEREF _Ref24655117 \h  \* MERGEFORMAT </w:instrText>
      </w:r>
      <w:r w:rsidR="00841A75" w:rsidRPr="006C03F9">
        <w:rPr>
          <w:lang w:val="en-GB"/>
        </w:rPr>
      </w:r>
      <w:r w:rsidR="00841A75" w:rsidRPr="006C03F9">
        <w:rPr>
          <w:lang w:val="en-GB"/>
        </w:rPr>
        <w:fldChar w:fldCharType="separate"/>
      </w:r>
      <w:r w:rsidR="000E7575">
        <w:rPr>
          <w:lang w:val="en-GB"/>
        </w:rPr>
        <w:t>16</w:t>
      </w:r>
      <w:r w:rsidR="00841A75" w:rsidRPr="006C03F9">
        <w:rPr>
          <w:lang w:val="en-GB"/>
        </w:rPr>
        <w:fldChar w:fldCharType="end"/>
      </w:r>
    </w:p>
    <w:p w14:paraId="32ADF84B" w14:textId="77777777" w:rsidR="005556DA" w:rsidRPr="006C03F9" w:rsidRDefault="005556DA" w:rsidP="006C03F9">
      <w:pPr>
        <w:ind w:left="360"/>
        <w:rPr>
          <w:b/>
          <w:bCs/>
          <w:lang w:val="en-GB"/>
        </w:rPr>
      </w:pPr>
      <w:r w:rsidRPr="006C03F9">
        <w:rPr>
          <w:b/>
          <w:bCs/>
          <w:lang w:val="en-GB"/>
        </w:rPr>
        <w:t>Investigation, referral and management</w:t>
      </w:r>
    </w:p>
    <w:p w14:paraId="4627107A" w14:textId="4D4A45BC" w:rsidR="005556DA" w:rsidRPr="006C03F9" w:rsidRDefault="005556DA" w:rsidP="006C03F9">
      <w:pPr>
        <w:ind w:left="360"/>
        <w:rPr>
          <w:lang w:val="en-GB"/>
        </w:rPr>
      </w:pPr>
      <w:r w:rsidRPr="006C03F9">
        <w:rPr>
          <w:lang w:val="en-GB"/>
        </w:rPr>
        <w:t>Patients may present to a G</w:t>
      </w:r>
      <w:r w:rsidR="0099753A" w:rsidRPr="006C03F9">
        <w:rPr>
          <w:lang w:val="en-GB"/>
        </w:rPr>
        <w:t xml:space="preserve">eneral Practitioner </w:t>
      </w:r>
      <w:r w:rsidRPr="006C03F9">
        <w:rPr>
          <w:lang w:val="en-GB"/>
        </w:rPr>
        <w:t xml:space="preserve">and subsequently </w:t>
      </w:r>
      <w:r w:rsidR="002E2D06" w:rsidRPr="006C03F9">
        <w:rPr>
          <w:lang w:val="en-GB"/>
        </w:rPr>
        <w:t xml:space="preserve">are </w:t>
      </w:r>
      <w:r w:rsidRPr="006C03F9">
        <w:rPr>
          <w:lang w:val="en-GB"/>
        </w:rPr>
        <w:t xml:space="preserve">referred to a specialist oncology centre or </w:t>
      </w:r>
      <w:r w:rsidR="002E2D06" w:rsidRPr="006C03F9">
        <w:rPr>
          <w:lang w:val="en-GB"/>
        </w:rPr>
        <w:t>physician</w:t>
      </w:r>
      <w:r w:rsidRPr="006C03F9">
        <w:rPr>
          <w:lang w:val="en-GB"/>
        </w:rPr>
        <w:t xml:space="preserve">. The optimal treatment strategy for patients with mCRC </w:t>
      </w:r>
      <w:r w:rsidR="002E2D06" w:rsidRPr="006C03F9">
        <w:rPr>
          <w:lang w:val="en-GB"/>
        </w:rPr>
        <w:t>is generally</w:t>
      </w:r>
      <w:r w:rsidRPr="006C03F9">
        <w:rPr>
          <w:lang w:val="en-GB"/>
        </w:rPr>
        <w:t xml:space="preserve"> discussed in a multidisciplinary expert team.</w:t>
      </w:r>
    </w:p>
    <w:p w14:paraId="63B0020B" w14:textId="77777777" w:rsidR="005556DA" w:rsidRPr="006C03F9" w:rsidRDefault="005556DA" w:rsidP="006C03F9">
      <w:pPr>
        <w:ind w:left="360"/>
        <w:rPr>
          <w:lang w:val="en-GB"/>
        </w:rPr>
      </w:pPr>
      <w:r w:rsidRPr="006C03F9">
        <w:rPr>
          <w:lang w:val="en-GB"/>
        </w:rPr>
        <w:t xml:space="preserve">Clinical or biochemical suspicion of metastatic disease is confirmed by adequate radiological imaging [usually a computed tomography (CT) scan or, alternatively, magnetic resonance imaging (MRI) or ultrasonography]. A PET scan can be useful in determining the malignant characteristics of tumoural lesions, especially when combined with a CT scan or in the case of elevated tumour markers without indications of the location of relapse on CT scan in the surveillance of CRC. </w:t>
      </w:r>
    </w:p>
    <w:p w14:paraId="4CA8A4E3" w14:textId="77777777" w:rsidR="005556DA" w:rsidRPr="006C03F9" w:rsidRDefault="005556DA" w:rsidP="006C03F9">
      <w:pPr>
        <w:ind w:left="360"/>
        <w:rPr>
          <w:lang w:val="en-GB"/>
        </w:rPr>
      </w:pPr>
      <w:r w:rsidRPr="006C03F9">
        <w:rPr>
          <w:lang w:val="en-GB"/>
        </w:rPr>
        <w:t xml:space="preserve">A PET scan is also especially useful to characterise the extent of metastatic disease and to look for extrahepatic metastases (or extrapulmonary metastases) when the metastases are potentially resectable.  </w:t>
      </w:r>
    </w:p>
    <w:p w14:paraId="7C3CBB44" w14:textId="77777777" w:rsidR="005556DA" w:rsidRPr="006C03F9" w:rsidRDefault="005556DA" w:rsidP="006C03F9">
      <w:pPr>
        <w:ind w:left="360"/>
        <w:rPr>
          <w:lang w:val="en-GB"/>
        </w:rPr>
      </w:pPr>
      <w:r w:rsidRPr="006C03F9">
        <w:rPr>
          <w:lang w:val="en-GB"/>
        </w:rPr>
        <w:lastRenderedPageBreak/>
        <w:t xml:space="preserve">Histology of the primary tumour or metastases is always necessary before chemotherapy is started.  For metachronous metastases, histopathological or cytological confirmation of metastases should be obtained, if the clinical or radiological presentation is atypical or very late (e.g. later than 3 years) after the initial diagnosis of the primary tumour. </w:t>
      </w:r>
    </w:p>
    <w:p w14:paraId="488B6F46" w14:textId="77777777" w:rsidR="005556DA" w:rsidRPr="006C03F9" w:rsidRDefault="005556DA" w:rsidP="006C03F9">
      <w:pPr>
        <w:ind w:left="360"/>
        <w:rPr>
          <w:lang w:val="en-GB"/>
        </w:rPr>
      </w:pPr>
      <w:r w:rsidRPr="006C03F9">
        <w:rPr>
          <w:lang w:val="en-GB"/>
        </w:rPr>
        <w:t>All patients with mCRC undergo a test of tumour tissue to determine their gene status and hence eligibility for PBS subsidised treatment with cetuximab or panitumumab.  Currently, item 73338 provides for testing of RAS mutations to limit subsidy of anti-EGFR antibodies to only those patients demonstrated to have no RAS mutations:</w:t>
      </w:r>
    </w:p>
    <w:p w14:paraId="28389CB5" w14:textId="0E2FD620" w:rsidR="002E2D06" w:rsidRPr="006C03F9" w:rsidRDefault="002E2D06" w:rsidP="006C03F9">
      <w:pPr>
        <w:ind w:left="360"/>
        <w:rPr>
          <w:i/>
          <w:iCs/>
          <w:lang w:val="en-GB"/>
        </w:rPr>
      </w:pPr>
      <w:r w:rsidRPr="006C03F9">
        <w:rPr>
          <w:i/>
          <w:iCs/>
          <w:lang w:val="en-GB"/>
        </w:rPr>
        <w:t>Item 73338</w:t>
      </w:r>
    </w:p>
    <w:p w14:paraId="1EE0A226" w14:textId="77777777" w:rsidR="005556DA" w:rsidRPr="006C03F9" w:rsidRDefault="005556DA" w:rsidP="006C03F9">
      <w:pPr>
        <w:ind w:left="360"/>
        <w:rPr>
          <w:i/>
          <w:iCs/>
          <w:lang w:val="en-GB"/>
        </w:rPr>
      </w:pPr>
      <w:r w:rsidRPr="006C03F9">
        <w:rPr>
          <w:i/>
          <w:iCs/>
          <w:lang w:val="en-GB"/>
        </w:rPr>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(PBS) are fulfilled, if:</w:t>
      </w:r>
    </w:p>
    <w:p w14:paraId="2AB94FD7" w14:textId="77777777" w:rsidR="005556DA" w:rsidRPr="006C03F9" w:rsidRDefault="005556DA" w:rsidP="006C03F9">
      <w:pPr>
        <w:ind w:left="720"/>
        <w:rPr>
          <w:i/>
          <w:iCs/>
          <w:lang w:val="en-GB"/>
        </w:rPr>
      </w:pPr>
      <w:r w:rsidRPr="006C03F9">
        <w:rPr>
          <w:i/>
          <w:iCs/>
          <w:lang w:val="en-GB"/>
        </w:rPr>
        <w:t>(a) the test is conducted for all clinically relevant mutations on KRAS exons 2, 3 and 4 and NRAS exons 2, 3, and 4; or</w:t>
      </w:r>
    </w:p>
    <w:p w14:paraId="2238C240" w14:textId="77777777" w:rsidR="005556DA" w:rsidRPr="006C03F9" w:rsidRDefault="005556DA" w:rsidP="006C03F9">
      <w:pPr>
        <w:ind w:left="720"/>
        <w:rPr>
          <w:i/>
          <w:iCs/>
          <w:lang w:val="en-GB"/>
        </w:rPr>
      </w:pPr>
      <w:r w:rsidRPr="006C03F9">
        <w:rPr>
          <w:i/>
          <w:iCs/>
          <w:lang w:val="en-GB"/>
        </w:rPr>
        <w:t>(b) a RAS mutation is found.</w:t>
      </w:r>
    </w:p>
    <w:p w14:paraId="4674F4D1" w14:textId="77777777" w:rsidR="005556DA" w:rsidRPr="006C03F9" w:rsidRDefault="005556DA" w:rsidP="006C03F9">
      <w:pPr>
        <w:ind w:left="360"/>
        <w:rPr>
          <w:lang w:val="en-GB"/>
        </w:rPr>
      </w:pPr>
      <w:r w:rsidRPr="006C03F9">
        <w:rPr>
          <w:lang w:val="en-GB"/>
        </w:rPr>
        <w:t xml:space="preserve">Importantly in Australia, most of the colorectal RAS testing is done with next generation sequencing panels, and BRAF is </w:t>
      </w:r>
      <w:r w:rsidR="002E2D06" w:rsidRPr="006C03F9">
        <w:rPr>
          <w:lang w:val="en-GB"/>
        </w:rPr>
        <w:t xml:space="preserve">routinely </w:t>
      </w:r>
      <w:r w:rsidRPr="006C03F9">
        <w:rPr>
          <w:lang w:val="en-GB"/>
        </w:rPr>
        <w:t>reported along with RAS</w:t>
      </w:r>
      <w:r w:rsidR="002E2D06" w:rsidRPr="006C03F9">
        <w:rPr>
          <w:lang w:val="en-GB"/>
        </w:rPr>
        <w:t xml:space="preserve"> under item 73338</w:t>
      </w:r>
      <w:r w:rsidRPr="006C03F9">
        <w:rPr>
          <w:lang w:val="en-GB"/>
        </w:rPr>
        <w:t>.</w:t>
      </w:r>
    </w:p>
    <w:p w14:paraId="408F0CDB" w14:textId="3C5CA483" w:rsidR="005556DA" w:rsidRPr="006C03F9" w:rsidRDefault="005829A9" w:rsidP="006C03F9">
      <w:pPr>
        <w:ind w:left="360"/>
        <w:rPr>
          <w:lang w:val="en-GB"/>
        </w:rPr>
      </w:pPr>
      <w:r>
        <w:rPr>
          <w:lang w:val="en-GB"/>
        </w:rPr>
        <w:t>REDACTED</w:t>
      </w:r>
    </w:p>
    <w:p w14:paraId="4AED024D" w14:textId="7126A11E" w:rsidR="005556DA" w:rsidRPr="005A22FD" w:rsidRDefault="005556DA" w:rsidP="006C03F9">
      <w:pPr>
        <w:ind w:left="360"/>
        <w:rPr>
          <w:lang w:val="en-GB"/>
        </w:rPr>
      </w:pPr>
      <w:r w:rsidRPr="006C03F9">
        <w:rPr>
          <w:lang w:val="en-GB"/>
        </w:rPr>
        <w:t xml:space="preserve">Larger hospitals have their own pathology testing and some have their own next generation sequencing panels.  </w:t>
      </w:r>
      <w:r w:rsidR="005829A9">
        <w:rPr>
          <w:lang w:val="en-GB"/>
        </w:rPr>
        <w:t>REDACTED</w:t>
      </w:r>
    </w:p>
    <w:p w14:paraId="017E2E86" w14:textId="77777777" w:rsidR="005556DA" w:rsidRPr="005A22FD" w:rsidRDefault="005556DA" w:rsidP="006C03F9">
      <w:pPr>
        <w:ind w:left="360"/>
        <w:rPr>
          <w:lang w:val="en-GB"/>
        </w:rPr>
      </w:pPr>
      <w:r w:rsidRPr="006C03F9">
        <w:rPr>
          <w:lang w:val="en-GB"/>
        </w:rPr>
        <w:t xml:space="preserve">The use of somatic gene panels minimises the cost of testing for multiple tumour markers and decreases the risk of treatment with inappropriate therapies.  </w:t>
      </w:r>
      <w:r w:rsidRPr="005A22FD">
        <w:rPr>
          <w:lang w:val="en-GB"/>
        </w:rPr>
        <w:t>BRAF positivity in CRC may influence choice and timing of therapy more effectively than therapies allocated on the basis of RAS mutation status alone and highlights the importance of testing for BRAF concurrently to identify these patients with poorer prognosi</w:t>
      </w:r>
      <w:r w:rsidR="002E2D06">
        <w:rPr>
          <w:lang w:val="en-GB"/>
        </w:rPr>
        <w:t>s</w:t>
      </w:r>
      <w:r w:rsidRPr="005A22FD">
        <w:rPr>
          <w:lang w:val="en-GB"/>
        </w:rPr>
        <w:t>.</w:t>
      </w:r>
    </w:p>
    <w:p w14:paraId="7B62C2CD" w14:textId="77777777" w:rsidR="005556DA" w:rsidRPr="007535BF" w:rsidRDefault="005556DA" w:rsidP="00255615">
      <w:pPr>
        <w:pStyle w:val="Heading2"/>
        <w:ind w:left="284" w:hanging="284"/>
        <w:rPr>
          <w:lang w:val="en-GB"/>
        </w:rPr>
      </w:pPr>
      <w:r w:rsidRPr="007535BF">
        <w:rPr>
          <w:lang w:val="en-GB"/>
        </w:rPr>
        <w:t xml:space="preserve">Define and summarise </w:t>
      </w:r>
      <w:bookmarkStart w:id="8" w:name="_Hlk24462066"/>
      <w:r w:rsidRPr="007535BF">
        <w:rPr>
          <w:lang w:val="en-GB"/>
        </w:rPr>
        <w:t xml:space="preserve">the current clinical management pathway </w:t>
      </w:r>
      <w:r w:rsidRPr="007535BF">
        <w:rPr>
          <w:i/>
          <w:lang w:val="en-GB"/>
        </w:rPr>
        <w:t>before</w:t>
      </w:r>
      <w:r w:rsidRPr="007535BF">
        <w:rPr>
          <w:lang w:val="en-GB"/>
        </w:rPr>
        <w:t xml:space="preserve"> patients would be eligible for the proposed medical service</w:t>
      </w:r>
      <w:bookmarkEnd w:id="8"/>
      <w:r w:rsidRPr="007535BF">
        <w:rPr>
          <w:lang w:val="en-GB"/>
        </w:rPr>
        <w:t xml:space="preserve"> (supplement this summary with an easy to follow flowchart [</w:t>
      </w:r>
      <w:r w:rsidRPr="009A0F6D">
        <w:rPr>
          <w:lang w:val="en-GB"/>
        </w:rPr>
        <w:t>as an attachment to the Application Form</w:t>
      </w:r>
      <w:r w:rsidRPr="007535BF">
        <w:rPr>
          <w:lang w:val="en-GB"/>
        </w:rPr>
        <w:t>] depicting the current clinical management pathway up to this point):</w:t>
      </w:r>
    </w:p>
    <w:p w14:paraId="16D83959" w14:textId="77777777" w:rsidR="005556DA" w:rsidRPr="008355A5" w:rsidRDefault="005556DA" w:rsidP="006C03F9">
      <w:pPr>
        <w:ind w:left="360"/>
        <w:rPr>
          <w:lang w:val="en-GB"/>
        </w:rPr>
      </w:pPr>
      <w:r w:rsidRPr="008355A5">
        <w:rPr>
          <w:lang w:val="en-GB"/>
        </w:rPr>
        <w:t xml:space="preserve">The clinical management pathway would be identical to current mCRC investigation and treatment: </w:t>
      </w:r>
    </w:p>
    <w:p w14:paraId="001CBD04" w14:textId="77777777" w:rsidR="005556DA" w:rsidRPr="006C03F9" w:rsidRDefault="005556DA" w:rsidP="006C03F9">
      <w:pPr>
        <w:pStyle w:val="ListParagraph"/>
        <w:numPr>
          <w:ilvl w:val="0"/>
          <w:numId w:val="43"/>
        </w:numPr>
        <w:rPr>
          <w:lang w:val="en-GB"/>
        </w:rPr>
      </w:pPr>
      <w:r w:rsidRPr="006C03F9">
        <w:rPr>
          <w:lang w:val="en-GB"/>
        </w:rPr>
        <w:t xml:space="preserve">Patient presents to specialist medical practitioner with evidence of cancer </w:t>
      </w:r>
    </w:p>
    <w:p w14:paraId="698BDFF9" w14:textId="77777777" w:rsidR="005556DA" w:rsidRPr="006C03F9" w:rsidRDefault="005556DA" w:rsidP="006C03F9">
      <w:pPr>
        <w:pStyle w:val="ListParagraph"/>
        <w:numPr>
          <w:ilvl w:val="0"/>
          <w:numId w:val="43"/>
        </w:numPr>
        <w:rPr>
          <w:lang w:val="en-GB"/>
        </w:rPr>
      </w:pPr>
      <w:r w:rsidRPr="006C03F9">
        <w:rPr>
          <w:lang w:val="en-GB"/>
        </w:rPr>
        <w:lastRenderedPageBreak/>
        <w:t xml:space="preserve">Patient is referred for biopsy for pathological investigation </w:t>
      </w:r>
    </w:p>
    <w:p w14:paraId="361C4307" w14:textId="77777777" w:rsidR="005556DA" w:rsidRPr="006C03F9" w:rsidRDefault="005556DA" w:rsidP="006C03F9">
      <w:pPr>
        <w:pStyle w:val="ListParagraph"/>
        <w:numPr>
          <w:ilvl w:val="0"/>
          <w:numId w:val="43"/>
        </w:numPr>
        <w:rPr>
          <w:lang w:val="en-GB"/>
        </w:rPr>
      </w:pPr>
      <w:r w:rsidRPr="006C03F9">
        <w:rPr>
          <w:lang w:val="en-GB"/>
        </w:rPr>
        <w:t xml:space="preserve">Diagnosis of </w:t>
      </w:r>
      <w:r w:rsidR="009A0F6D" w:rsidRPr="006C03F9">
        <w:rPr>
          <w:lang w:val="en-GB"/>
        </w:rPr>
        <w:t>m</w:t>
      </w:r>
      <w:r w:rsidRPr="006C03F9">
        <w:rPr>
          <w:lang w:val="en-GB"/>
        </w:rPr>
        <w:t xml:space="preserve">CRC is reported </w:t>
      </w:r>
    </w:p>
    <w:p w14:paraId="75443729" w14:textId="3E9190DD" w:rsidR="005556DA" w:rsidRPr="006C03F9" w:rsidRDefault="005556DA" w:rsidP="006C03F9">
      <w:pPr>
        <w:pStyle w:val="ListParagraph"/>
        <w:numPr>
          <w:ilvl w:val="0"/>
          <w:numId w:val="43"/>
        </w:numPr>
        <w:rPr>
          <w:lang w:val="en-GB"/>
        </w:rPr>
      </w:pPr>
      <w:r w:rsidRPr="006C03F9">
        <w:rPr>
          <w:lang w:val="en-GB"/>
        </w:rPr>
        <w:t>The treating specialist requests further pathological investigations on the biopsy material to identify genomic alterations to the RAS and BRAF genes to determine appropriate PBS subsidised therapy</w:t>
      </w:r>
    </w:p>
    <w:p w14:paraId="716F34DD" w14:textId="77777777" w:rsidR="007027E0" w:rsidRPr="007027E0" w:rsidRDefault="007027E0" w:rsidP="006C03F9">
      <w:pPr>
        <w:ind w:left="360"/>
        <w:rPr>
          <w:lang w:val="en-GB"/>
        </w:rPr>
      </w:pPr>
    </w:p>
    <w:p w14:paraId="0E81DD8F" w14:textId="77777777" w:rsidR="005556DA" w:rsidRDefault="005556DA" w:rsidP="008355A5">
      <w:pPr>
        <w:pStyle w:val="Subtitle"/>
        <w:ind w:hanging="357"/>
        <w:rPr>
          <w:lang w:val="en-GB"/>
        </w:rPr>
      </w:pPr>
      <w:r w:rsidRPr="007535BF">
        <w:rPr>
          <w:lang w:val="en-GB"/>
        </w:rPr>
        <w:t>PART 6b – INFORMATION ABOUT THE INTERVENTION</w:t>
      </w:r>
    </w:p>
    <w:p w14:paraId="271D6FF9" w14:textId="77777777" w:rsidR="005556DA" w:rsidRPr="007535BF" w:rsidRDefault="005556DA" w:rsidP="007027E0">
      <w:pPr>
        <w:rPr>
          <w:lang w:val="en-GB"/>
        </w:rPr>
      </w:pPr>
      <w:r w:rsidRPr="007535BF">
        <w:rPr>
          <w:lang w:val="en-GB"/>
        </w:rPr>
        <w:t>The test is intended for patients with mCRC to determine eligibility for BRAF targeted treatment with encora</w:t>
      </w:r>
      <w:r>
        <w:rPr>
          <w:lang w:val="en-GB"/>
        </w:rPr>
        <w:t>f</w:t>
      </w:r>
      <w:r w:rsidRPr="007535BF">
        <w:rPr>
          <w:lang w:val="en-GB"/>
        </w:rPr>
        <w:t>enib.</w:t>
      </w:r>
    </w:p>
    <w:p w14:paraId="2F5D5FB3" w14:textId="77777777" w:rsidR="005556DA" w:rsidRPr="007535BF" w:rsidRDefault="005556DA" w:rsidP="007027E0">
      <w:pPr>
        <w:rPr>
          <w:lang w:val="en-GB"/>
        </w:rPr>
      </w:pPr>
      <w:r w:rsidRPr="007535BF">
        <w:rPr>
          <w:lang w:val="en-GB"/>
        </w:rPr>
        <w:t xml:space="preserve">Currently, all patients in Australia with mCRC undergo a test of tumour tissue to ascertain the gene mutation status of the tumour.  This is used to determine both prognostics for the patient and their targeted treatment. The MBS code 73338 allows for testing to determine </w:t>
      </w:r>
      <w:r>
        <w:rPr>
          <w:lang w:val="en-GB"/>
        </w:rPr>
        <w:t>RAS</w:t>
      </w:r>
      <w:r w:rsidRPr="007535BF">
        <w:rPr>
          <w:lang w:val="en-GB"/>
        </w:rPr>
        <w:t xml:space="preserve"> mutation status of a patient to determent their eligibility for panitumumab or cetuximab.  </w:t>
      </w:r>
    </w:p>
    <w:p w14:paraId="2C2D315E" w14:textId="77777777" w:rsidR="005556DA" w:rsidRPr="008355A5" w:rsidRDefault="005556DA" w:rsidP="007027E0">
      <w:pPr>
        <w:rPr>
          <w:rFonts w:cs="Segoe UI"/>
          <w:bdr w:val="none" w:sz="0" w:space="0" w:color="auto" w:frame="1"/>
          <w:lang w:val="en-GB"/>
        </w:rPr>
      </w:pPr>
      <w:r w:rsidRPr="007535BF">
        <w:rPr>
          <w:lang w:val="en-GB"/>
        </w:rPr>
        <w:t>In Australia, m</w:t>
      </w:r>
      <w:r w:rsidRPr="007535BF">
        <w:rPr>
          <w:rFonts w:cs="Segoe UI"/>
          <w:bdr w:val="none" w:sz="0" w:space="0" w:color="auto" w:frame="1"/>
          <w:lang w:val="en-GB"/>
        </w:rPr>
        <w:t xml:space="preserve">ost of the colorectal </w:t>
      </w:r>
      <w:r>
        <w:rPr>
          <w:rFonts w:cs="Segoe UI"/>
          <w:bdr w:val="none" w:sz="0" w:space="0" w:color="auto" w:frame="1"/>
          <w:lang w:val="en-GB"/>
        </w:rPr>
        <w:t>RAS</w:t>
      </w:r>
      <w:r w:rsidRPr="007535BF">
        <w:rPr>
          <w:rFonts w:cs="Segoe UI"/>
          <w:bdr w:val="none" w:sz="0" w:space="0" w:color="auto" w:frame="1"/>
          <w:lang w:val="en-GB"/>
        </w:rPr>
        <w:t xml:space="preserve"> testing is done with next generation sequencing panels, and </w:t>
      </w:r>
      <w:r w:rsidRPr="008355A5">
        <w:rPr>
          <w:rFonts w:cs="Segoe UI"/>
          <w:bdr w:val="none" w:sz="0" w:space="0" w:color="auto" w:frame="1"/>
          <w:lang w:val="en-GB"/>
        </w:rPr>
        <w:t>BRAF is reported routinely along with RAS in these panels.</w:t>
      </w:r>
    </w:p>
    <w:p w14:paraId="5CCBA6BB" w14:textId="77777777" w:rsidR="008355A5" w:rsidRPr="008355A5" w:rsidRDefault="008355A5" w:rsidP="007027E0">
      <w:pPr>
        <w:rPr>
          <w:lang w:val="en-GB"/>
        </w:rPr>
      </w:pPr>
      <w:r w:rsidRPr="008355A5">
        <w:rPr>
          <w:lang w:val="en-GB"/>
        </w:rPr>
        <w:t xml:space="preserve">These tests are well established in Australia, with a number of validated and TGA approved methodologies.  Validation of the test used in the key encorafenib clinical trial (BEACON) </w:t>
      </w:r>
      <w:r w:rsidRPr="008355A5">
        <w:rPr>
          <w:rFonts w:ascii="Calibri" w:hAnsi="Calibri"/>
          <w:color w:val="201F1E"/>
          <w:shd w:val="clear" w:color="auto" w:fill="FFFFFF"/>
        </w:rPr>
        <w:t>vs the test(s) commonly used in Australia will be presented in the submission</w:t>
      </w:r>
      <w:r w:rsidR="009A0F6D">
        <w:rPr>
          <w:rFonts w:ascii="Calibri" w:hAnsi="Calibri"/>
          <w:color w:val="201F1E"/>
          <w:shd w:val="clear" w:color="auto" w:fill="FFFFFF"/>
        </w:rPr>
        <w:t>,</w:t>
      </w:r>
      <w:r w:rsidRPr="008355A5">
        <w:rPr>
          <w:rFonts w:ascii="Calibri" w:hAnsi="Calibri"/>
          <w:color w:val="201F1E"/>
          <w:shd w:val="clear" w:color="auto" w:fill="FFFFFF"/>
        </w:rPr>
        <w:t xml:space="preserve"> if necessary.</w:t>
      </w:r>
    </w:p>
    <w:p w14:paraId="0BC84DFF" w14:textId="77777777" w:rsidR="005556DA" w:rsidRPr="007535BF" w:rsidRDefault="005556DA" w:rsidP="007027E0">
      <w:pPr>
        <w:rPr>
          <w:lang w:val="en-GB"/>
        </w:rPr>
      </w:pPr>
      <w:r w:rsidRPr="008355A5">
        <w:rPr>
          <w:lang w:val="en-GB"/>
        </w:rPr>
        <w:t xml:space="preserve">This application therefore does not request any change to either the number of tests performed or additional tests on the tissue samples, but rather that the current routine testing which includes BRAF be explicitly </w:t>
      </w:r>
      <w:r w:rsidR="009A0F6D">
        <w:rPr>
          <w:lang w:val="en-GB"/>
        </w:rPr>
        <w:t>identified</w:t>
      </w:r>
      <w:r w:rsidR="009A0F6D" w:rsidRPr="008355A5">
        <w:rPr>
          <w:lang w:val="en-GB"/>
        </w:rPr>
        <w:t xml:space="preserve"> </w:t>
      </w:r>
      <w:r w:rsidRPr="008355A5">
        <w:rPr>
          <w:lang w:val="en-GB"/>
        </w:rPr>
        <w:t xml:space="preserve">in the MBS </w:t>
      </w:r>
      <w:r w:rsidR="009A0F6D">
        <w:rPr>
          <w:lang w:val="en-GB"/>
        </w:rPr>
        <w:t>item descriptor for item</w:t>
      </w:r>
      <w:r w:rsidR="009A0F6D" w:rsidRPr="008355A5">
        <w:rPr>
          <w:lang w:val="en-GB"/>
        </w:rPr>
        <w:t xml:space="preserve"> </w:t>
      </w:r>
      <w:r w:rsidRPr="008355A5">
        <w:rPr>
          <w:lang w:val="en-GB"/>
        </w:rPr>
        <w:t>7333</w:t>
      </w:r>
      <w:r w:rsidR="009A0F6D">
        <w:rPr>
          <w:lang w:val="en-GB"/>
        </w:rPr>
        <w:t>8</w:t>
      </w:r>
      <w:r w:rsidRPr="007535BF">
        <w:rPr>
          <w:lang w:val="en-GB"/>
        </w:rPr>
        <w:t>.</w:t>
      </w:r>
    </w:p>
    <w:p w14:paraId="1ECB8853" w14:textId="77777777" w:rsidR="005556DA" w:rsidRPr="007535BF" w:rsidRDefault="005556DA" w:rsidP="005556DA">
      <w:pPr>
        <w:pStyle w:val="Heading2"/>
        <w:rPr>
          <w:lang w:val="en-GB"/>
        </w:rPr>
      </w:pPr>
      <w:r w:rsidRPr="007535BF">
        <w:rPr>
          <w:lang w:val="en-GB"/>
        </w:rPr>
        <w:t>Describe the key components and clinical steps involved in delivering the proposed medical service:</w:t>
      </w:r>
    </w:p>
    <w:p w14:paraId="013987A9" w14:textId="77777777" w:rsidR="005556DA" w:rsidRPr="00BE140F" w:rsidRDefault="005556DA" w:rsidP="00255615">
      <w:pPr>
        <w:ind w:left="360"/>
        <w:rPr>
          <w:lang w:val="en-GB"/>
        </w:rPr>
      </w:pPr>
      <w:r w:rsidRPr="007535BF">
        <w:rPr>
          <w:lang w:val="en-GB"/>
        </w:rPr>
        <w:t xml:space="preserve">This is the same </w:t>
      </w:r>
      <w:r w:rsidR="00CA64D6">
        <w:rPr>
          <w:lang w:val="en-GB"/>
        </w:rPr>
        <w:t xml:space="preserve">procedure using the same sample </w:t>
      </w:r>
      <w:r w:rsidRPr="007535BF">
        <w:rPr>
          <w:lang w:val="en-GB"/>
        </w:rPr>
        <w:t>test as currently occurs for MBS item 7333</w:t>
      </w:r>
      <w:r w:rsidR="00CA64D6">
        <w:rPr>
          <w:lang w:val="en-GB"/>
        </w:rPr>
        <w:t>8</w:t>
      </w:r>
      <w:r w:rsidRPr="007535BF">
        <w:rPr>
          <w:lang w:val="en-GB"/>
        </w:rPr>
        <w:t xml:space="preserve">, i.e., </w:t>
      </w:r>
      <w:r w:rsidRPr="00BE140F">
        <w:rPr>
          <w:lang w:val="en-GB"/>
        </w:rPr>
        <w:t xml:space="preserve">a test of tumour tissue from a patient diagnosed with </w:t>
      </w:r>
      <w:r w:rsidR="009A0F6D" w:rsidRPr="00BE140F">
        <w:rPr>
          <w:lang w:val="en-GB"/>
        </w:rPr>
        <w:t xml:space="preserve">mCRC </w:t>
      </w:r>
      <w:r w:rsidRPr="00BE140F">
        <w:rPr>
          <w:lang w:val="en-GB"/>
        </w:rPr>
        <w:t xml:space="preserve">to </w:t>
      </w:r>
      <w:r w:rsidR="009A0F6D" w:rsidRPr="00BE140F">
        <w:rPr>
          <w:lang w:val="en-GB"/>
        </w:rPr>
        <w:t xml:space="preserve">identify </w:t>
      </w:r>
      <w:r w:rsidRPr="00BE140F">
        <w:rPr>
          <w:lang w:val="en-GB"/>
        </w:rPr>
        <w:t>genomic alterations in cancer cells. Testing methods include In situ hybridization (ISH), polymerase chain reaction (PCR) and next generation sequencing (NGS) methodologies among others.</w:t>
      </w:r>
    </w:p>
    <w:p w14:paraId="17161804" w14:textId="77777777" w:rsidR="00CA64D6" w:rsidRPr="00BE140F" w:rsidRDefault="00CA64D6" w:rsidP="00255615">
      <w:pPr>
        <w:ind w:left="360"/>
        <w:rPr>
          <w:lang w:val="en-GB"/>
        </w:rPr>
      </w:pPr>
      <w:r w:rsidRPr="00BE140F">
        <w:rPr>
          <w:lang w:val="en-GB"/>
        </w:rPr>
        <w:t xml:space="preserve">As previously outlined, diagnosis and tumour staging are made from biopsy samples which are expected to provide sufficient tumour material to also carry out BRAF </w:t>
      </w:r>
      <w:r w:rsidR="00BE140F">
        <w:rPr>
          <w:lang w:val="en-GB"/>
        </w:rPr>
        <w:t>V</w:t>
      </w:r>
      <w:r w:rsidRPr="00BE140F">
        <w:rPr>
          <w:lang w:val="en-GB"/>
        </w:rPr>
        <w:t>600 testing, consistent with current practice for RAS testing in patients with mCRC.</w:t>
      </w:r>
    </w:p>
    <w:p w14:paraId="45A41F14" w14:textId="77777777" w:rsidR="00CA64D6" w:rsidRPr="00BE140F" w:rsidRDefault="00CA64D6" w:rsidP="00255615">
      <w:pPr>
        <w:ind w:left="360"/>
        <w:rPr>
          <w:lang w:val="en-GB"/>
        </w:rPr>
      </w:pPr>
      <w:r w:rsidRPr="00BE140F">
        <w:rPr>
          <w:lang w:val="en-GB"/>
        </w:rPr>
        <w:t xml:space="preserve">BRAF V600 testing would ordinarily be ordered by the patient’s surgeon or oncologist once a diagnosis of mCRC is made.  A surgeon or oncologist is typically responsible for the collection of a biopsy or cytological sample from the patient. Tissue samples are normally processed into FFPE tissue blocks which are then sectioned, stained and </w:t>
      </w:r>
      <w:r w:rsidRPr="00BE140F">
        <w:rPr>
          <w:lang w:val="en-GB"/>
        </w:rPr>
        <w:lastRenderedPageBreak/>
        <w:t xml:space="preserve">mounted onto glass slides. Following mounting, samples are subsequently examined by a suitably qualified pathologist. </w:t>
      </w:r>
    </w:p>
    <w:p w14:paraId="44492E80" w14:textId="77777777" w:rsidR="00CA64D6" w:rsidRPr="00BE140F" w:rsidRDefault="00CA64D6" w:rsidP="00255615">
      <w:pPr>
        <w:ind w:left="360"/>
        <w:rPr>
          <w:lang w:val="en-GB"/>
        </w:rPr>
      </w:pPr>
      <w:r w:rsidRPr="00BE140F">
        <w:rPr>
          <w:lang w:val="en-GB"/>
        </w:rPr>
        <w:t>Once the tissue sample has been retrieved by the testing laboratory, an anatomical pathologist would mark the tumour; and a scientist would subsequently perform a dissection of the tumour cells (sample enrichment) so that an appropriate sample is available for DNA extraction and an assay would be performed by a molecular scientist or technician, under the supervision of a senior scientist or pathologist in accordance with NPAAC laboratory supervision standards.</w:t>
      </w:r>
    </w:p>
    <w:p w14:paraId="4689B9C5" w14:textId="77777777" w:rsidR="00CA64D6" w:rsidRPr="00BE140F" w:rsidRDefault="00CA64D6" w:rsidP="00255615">
      <w:pPr>
        <w:ind w:left="360"/>
        <w:rPr>
          <w:lang w:val="en-GB"/>
        </w:rPr>
      </w:pPr>
      <w:r w:rsidRPr="00BE140F">
        <w:rPr>
          <w:lang w:val="en-GB"/>
        </w:rPr>
        <w:t>All BRAF mutation tests must occur in NATA accredited laboratories. Competence to perform the test is already being monitored through an RCPA quality assurance program (QAP). As the test is already being performed in the metastatic melanoma setting, no further investment in equipment is expected. Since BRAF testing is already being performed in the colorectal gene testing panels, no significant change in the number of tests being performed is expected as outlined later in this application.</w:t>
      </w:r>
    </w:p>
    <w:p w14:paraId="58A2FEDA" w14:textId="77777777" w:rsidR="005556DA" w:rsidRPr="007535BF" w:rsidRDefault="005556DA" w:rsidP="005556DA">
      <w:pPr>
        <w:pStyle w:val="Heading2"/>
        <w:rPr>
          <w:lang w:val="en-GB"/>
        </w:rPr>
      </w:pPr>
      <w:r w:rsidRPr="007535BF">
        <w:rPr>
          <w:lang w:val="en-GB"/>
        </w:rPr>
        <w:t>Does the proposed medical service include a registered trademark component with characteristics that distinguishes it from other similar health components?</w:t>
      </w:r>
    </w:p>
    <w:p w14:paraId="0017CEEF" w14:textId="77777777" w:rsidR="005556DA" w:rsidRPr="008355A5" w:rsidRDefault="005556DA" w:rsidP="00255615">
      <w:pPr>
        <w:ind w:firstLine="360"/>
        <w:rPr>
          <w:lang w:val="en-GB"/>
        </w:rPr>
      </w:pPr>
      <w:r w:rsidRPr="008355A5">
        <w:rPr>
          <w:lang w:val="en-GB"/>
        </w:rPr>
        <w:t>No.</w:t>
      </w:r>
    </w:p>
    <w:p w14:paraId="086D1E43" w14:textId="77777777" w:rsidR="005556DA" w:rsidRPr="007535BF" w:rsidRDefault="005556DA" w:rsidP="005556DA">
      <w:pPr>
        <w:pStyle w:val="Heading2"/>
        <w:rPr>
          <w:lang w:val="en-GB"/>
        </w:rPr>
      </w:pPr>
      <w:r w:rsidRPr="007535BF">
        <w:rPr>
          <w:lang w:val="en-GB"/>
        </w:rPr>
        <w:t>If the proposed medical service has a prosthesis or device component to it, does it involve a new approach towards managing a particular sub-group of the population with the specific medical condition?</w:t>
      </w:r>
      <w:r w:rsidRPr="007535BF">
        <w:rPr>
          <w:lang w:val="en-GB"/>
        </w:rPr>
        <w:tab/>
      </w:r>
    </w:p>
    <w:p w14:paraId="5D2E92F5" w14:textId="77777777" w:rsidR="005556DA" w:rsidRPr="00BE140F" w:rsidRDefault="005556DA" w:rsidP="00255615">
      <w:pPr>
        <w:ind w:firstLine="360"/>
        <w:rPr>
          <w:lang w:val="en-GB"/>
        </w:rPr>
      </w:pPr>
      <w:r w:rsidRPr="00BE140F">
        <w:rPr>
          <w:lang w:val="en-GB"/>
        </w:rPr>
        <w:t>Not applicable.</w:t>
      </w:r>
    </w:p>
    <w:p w14:paraId="50706792" w14:textId="77777777" w:rsidR="005556DA" w:rsidRDefault="005556DA" w:rsidP="005556DA">
      <w:pPr>
        <w:pStyle w:val="Heading2"/>
        <w:ind w:left="426"/>
        <w:jc w:val="both"/>
        <w:rPr>
          <w:lang w:val="en-GB"/>
        </w:rPr>
      </w:pPr>
      <w:r w:rsidRPr="00FC430E">
        <w:rPr>
          <w:lang w:val="en-GB"/>
        </w:rPr>
        <w:t xml:space="preserve">If applicable, are there any limitations on the provision of the proposed medical service delivered to the patient (i.e. accessibility, dosage, quantity, duration or frequency): </w:t>
      </w:r>
    </w:p>
    <w:p w14:paraId="03423910" w14:textId="77777777" w:rsidR="00CA64D6" w:rsidRPr="00BE140F" w:rsidRDefault="00CA64D6" w:rsidP="00255615">
      <w:pPr>
        <w:ind w:left="360"/>
        <w:rPr>
          <w:lang w:val="en-GB"/>
        </w:rPr>
      </w:pPr>
      <w:r w:rsidRPr="00BE140F">
        <w:rPr>
          <w:lang w:val="en-GB"/>
        </w:rPr>
        <w:t>It is anticipated that most patients would require only one test per lifetime. Re-testing may be required</w:t>
      </w:r>
      <w:r w:rsidR="00BE140F" w:rsidRPr="00BE140F">
        <w:rPr>
          <w:lang w:val="en-GB"/>
        </w:rPr>
        <w:t xml:space="preserve"> </w:t>
      </w:r>
      <w:r w:rsidRPr="00BE140F">
        <w:rPr>
          <w:lang w:val="en-GB"/>
        </w:rPr>
        <w:t xml:space="preserve">in a small minority of patients if insufficient DNA is retrievable from biopsy cells, if the biopsy sample is not considered satisfactory (due to deterioration or formalin associated artefacts) or if DNA testing is inconclusive. </w:t>
      </w:r>
    </w:p>
    <w:p w14:paraId="29044B8C" w14:textId="77777777" w:rsidR="005556DA" w:rsidRPr="008355A5" w:rsidRDefault="005556DA" w:rsidP="005556DA">
      <w:pPr>
        <w:pStyle w:val="Heading2"/>
        <w:jc w:val="both"/>
        <w:rPr>
          <w:lang w:val="en-GB"/>
        </w:rPr>
      </w:pPr>
      <w:r w:rsidRPr="007535BF">
        <w:rPr>
          <w:lang w:val="en-GB"/>
        </w:rPr>
        <w:t xml:space="preserve">If applicable, identify any healthcare resources or other medical services that would need to be </w:t>
      </w:r>
      <w:r w:rsidRPr="008355A5">
        <w:rPr>
          <w:lang w:val="en-GB"/>
        </w:rPr>
        <w:t xml:space="preserve">delivered </w:t>
      </w:r>
      <w:r w:rsidRPr="008355A5">
        <w:rPr>
          <w:u w:val="single"/>
          <w:lang w:val="en-GB"/>
        </w:rPr>
        <w:t>at the same time</w:t>
      </w:r>
      <w:r w:rsidRPr="008355A5">
        <w:rPr>
          <w:lang w:val="en-GB"/>
        </w:rPr>
        <w:t xml:space="preserve"> as the proposed medical service:</w:t>
      </w:r>
    </w:p>
    <w:p w14:paraId="24D30BE8" w14:textId="77777777" w:rsidR="005556DA" w:rsidRDefault="005556DA" w:rsidP="00255615">
      <w:pPr>
        <w:ind w:firstLine="360"/>
        <w:rPr>
          <w:lang w:val="en-GB"/>
        </w:rPr>
      </w:pPr>
      <w:r w:rsidRPr="008355A5">
        <w:rPr>
          <w:lang w:val="en-GB"/>
        </w:rPr>
        <w:t>Not applicable.</w:t>
      </w:r>
    </w:p>
    <w:p w14:paraId="7A0C26C9" w14:textId="77777777" w:rsidR="005556DA" w:rsidRPr="007535BF" w:rsidRDefault="005556DA" w:rsidP="005556DA">
      <w:pPr>
        <w:pStyle w:val="Heading2"/>
        <w:jc w:val="both"/>
        <w:rPr>
          <w:lang w:val="en-GB"/>
        </w:rPr>
      </w:pPr>
      <w:r w:rsidRPr="007535BF">
        <w:rPr>
          <w:lang w:val="en-GB"/>
        </w:rPr>
        <w:t>If applicable, advise which health professionals will primarily deliver the proposed service:</w:t>
      </w:r>
      <w:r w:rsidRPr="007535BF">
        <w:rPr>
          <w:lang w:val="en-GB"/>
        </w:rPr>
        <w:tab/>
      </w:r>
    </w:p>
    <w:p w14:paraId="3F38E102" w14:textId="77777777" w:rsidR="005556DA" w:rsidRPr="007535BF" w:rsidRDefault="005556DA" w:rsidP="00255615">
      <w:pPr>
        <w:ind w:left="360"/>
        <w:rPr>
          <w:lang w:val="en-GB"/>
        </w:rPr>
      </w:pPr>
      <w:r w:rsidRPr="007535BF">
        <w:rPr>
          <w:lang w:val="en-GB"/>
        </w:rPr>
        <w:t xml:space="preserve">Testing would be delivered by Approved Pathology Practitioners in Accredited Pathology Laboratories (as defined in MBS Pathology table) </w:t>
      </w:r>
      <w:r w:rsidRPr="007535BF">
        <w:rPr>
          <w:lang w:val="en-GB"/>
        </w:rPr>
        <w:lastRenderedPageBreak/>
        <w:t>by referral only by registered Medical Practitioners (non-pathologists) in line with other tests in the MBS Pathology Table.</w:t>
      </w:r>
    </w:p>
    <w:p w14:paraId="645B7773" w14:textId="77777777" w:rsidR="005556DA" w:rsidRPr="007535BF" w:rsidRDefault="005556DA" w:rsidP="005556DA">
      <w:pPr>
        <w:pStyle w:val="Heading2"/>
        <w:jc w:val="both"/>
        <w:rPr>
          <w:lang w:val="en-GB"/>
        </w:rPr>
      </w:pPr>
      <w:r w:rsidRPr="007535BF">
        <w:rPr>
          <w:lang w:val="en-GB"/>
        </w:rPr>
        <w:t>If applicable, advise whether the proposed medical service could be delegated or referred to another professional for delivery:</w:t>
      </w:r>
    </w:p>
    <w:p w14:paraId="240254AA" w14:textId="77777777" w:rsidR="005556DA" w:rsidRPr="007535BF" w:rsidRDefault="005556DA" w:rsidP="00255615">
      <w:pPr>
        <w:ind w:firstLine="360"/>
        <w:rPr>
          <w:lang w:val="en-GB"/>
        </w:rPr>
      </w:pPr>
      <w:r w:rsidRPr="007535BF">
        <w:rPr>
          <w:lang w:val="en-GB"/>
        </w:rPr>
        <w:t>Not applicable.</w:t>
      </w:r>
    </w:p>
    <w:p w14:paraId="4FE6D506" w14:textId="77777777" w:rsidR="005556DA" w:rsidRPr="007535BF" w:rsidRDefault="005556DA" w:rsidP="005556DA">
      <w:pPr>
        <w:pStyle w:val="Heading2"/>
        <w:jc w:val="both"/>
        <w:rPr>
          <w:lang w:val="en-GB"/>
        </w:rPr>
      </w:pPr>
      <w:r w:rsidRPr="007535BF">
        <w:rPr>
          <w:lang w:val="en-GB"/>
        </w:rPr>
        <w:t>If applicable, specify any proposed limitations on who might deliver the proposed medical service, or who might provide a referral for it:</w:t>
      </w:r>
    </w:p>
    <w:p w14:paraId="658729A2" w14:textId="77777777" w:rsidR="005556DA" w:rsidRPr="007535BF" w:rsidRDefault="005556DA" w:rsidP="00255615">
      <w:pPr>
        <w:ind w:left="360"/>
        <w:rPr>
          <w:lang w:val="en-GB"/>
        </w:rPr>
      </w:pPr>
      <w:r w:rsidRPr="007535BF">
        <w:rPr>
          <w:lang w:val="en-GB"/>
        </w:rPr>
        <w:t>Testing would continue to be delivered by Approved Pathology Practitioners in Accredited Pathology Laboratories (as defined in MBS Pathology table) by referral only by registered Medical Practitioners (non-pathologists) in line with other tests in the MBS Pathology Table.</w:t>
      </w:r>
    </w:p>
    <w:p w14:paraId="15AABC3B" w14:textId="77777777" w:rsidR="005556DA" w:rsidRPr="007535BF" w:rsidRDefault="005556DA" w:rsidP="005556DA">
      <w:pPr>
        <w:pStyle w:val="Heading2"/>
        <w:jc w:val="both"/>
        <w:rPr>
          <w:lang w:val="en-GB"/>
        </w:rPr>
      </w:pPr>
      <w:r w:rsidRPr="007535BF">
        <w:rPr>
          <w:lang w:val="en-GB"/>
        </w:rPr>
        <w:t xml:space="preserve">If applicable, advise what type of training or qualifications would be required to perform the proposed service as well as any accreditation requirements to support service delivery: </w:t>
      </w:r>
    </w:p>
    <w:p w14:paraId="5203D004" w14:textId="77777777" w:rsidR="005556DA" w:rsidRPr="007535BF" w:rsidRDefault="005556DA" w:rsidP="00255615">
      <w:pPr>
        <w:ind w:left="360"/>
        <w:rPr>
          <w:lang w:val="en-GB"/>
        </w:rPr>
      </w:pPr>
      <w:r w:rsidRPr="007535BF">
        <w:rPr>
          <w:lang w:val="en-GB"/>
        </w:rPr>
        <w:t>Testing would continue to be delivered only by Approved Pathology Practitioners in Accredited Pathology Laboratories (as defined in MBS Pathology table).</w:t>
      </w:r>
    </w:p>
    <w:p w14:paraId="540B40E0" w14:textId="77777777" w:rsidR="005556DA" w:rsidRPr="007535BF" w:rsidRDefault="005556DA" w:rsidP="005556DA">
      <w:pPr>
        <w:pStyle w:val="Heading2"/>
        <w:jc w:val="both"/>
        <w:rPr>
          <w:lang w:val="en-GB"/>
        </w:rPr>
      </w:pPr>
      <w:r w:rsidRPr="007535BF">
        <w:rPr>
          <w:lang w:val="en-GB"/>
        </w:rPr>
        <w:t>(a) Indicate the proposed setting(s) in which the proposed medical service will be delivered (select all relevant settings):</w:t>
      </w:r>
    </w:p>
    <w:p w14:paraId="4EC4A392"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Inpatient private hospital</w:t>
      </w:r>
    </w:p>
    <w:p w14:paraId="68C3FBD7"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Inpatient public hospital</w:t>
      </w:r>
    </w:p>
    <w:p w14:paraId="41A16536"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Outpatient clinic</w:t>
      </w:r>
    </w:p>
    <w:p w14:paraId="67B496FD"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Emergency Department</w:t>
      </w:r>
    </w:p>
    <w:p w14:paraId="161167F7"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Consulting rooms</w:t>
      </w:r>
    </w:p>
    <w:p w14:paraId="34CE3277"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Day surgery centre</w:t>
      </w:r>
    </w:p>
    <w:p w14:paraId="6572E0DC"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Residential aged care facility</w:t>
      </w:r>
    </w:p>
    <w:p w14:paraId="03294BC4"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Patient’s home</w:t>
      </w:r>
    </w:p>
    <w:p w14:paraId="624C4AA2"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1"/>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Laboratory</w:t>
      </w:r>
    </w:p>
    <w:p w14:paraId="23D81E0B"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Check1"/>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Other – please specify below</w:t>
      </w:r>
    </w:p>
    <w:p w14:paraId="350559C6" w14:textId="77777777" w:rsidR="005556DA" w:rsidRPr="007535BF" w:rsidRDefault="005556DA" w:rsidP="005556DA">
      <w:pPr>
        <w:pStyle w:val="ListParagraph"/>
        <w:numPr>
          <w:ilvl w:val="0"/>
          <w:numId w:val="29"/>
        </w:numPr>
        <w:jc w:val="both"/>
        <w:rPr>
          <w:b/>
          <w:szCs w:val="20"/>
          <w:lang w:val="en-GB"/>
        </w:rPr>
      </w:pPr>
      <w:r w:rsidRPr="007535BF">
        <w:rPr>
          <w:b/>
          <w:szCs w:val="20"/>
          <w:lang w:val="en-GB"/>
        </w:rPr>
        <w:t>Where the proposed medical service is provided in more than one setting, please describe the rationale related to each:</w:t>
      </w:r>
    </w:p>
    <w:p w14:paraId="2951C93D" w14:textId="77777777" w:rsidR="005556DA" w:rsidRPr="007535BF" w:rsidRDefault="005556DA" w:rsidP="00255615">
      <w:pPr>
        <w:ind w:firstLine="360"/>
        <w:rPr>
          <w:lang w:val="en-GB"/>
        </w:rPr>
      </w:pPr>
      <w:r w:rsidRPr="007535BF">
        <w:rPr>
          <w:lang w:val="en-GB"/>
        </w:rPr>
        <w:t>Not applicable.</w:t>
      </w:r>
    </w:p>
    <w:p w14:paraId="7B3AF822" w14:textId="77777777" w:rsidR="005556DA" w:rsidRPr="007535BF" w:rsidRDefault="005556DA" w:rsidP="005556DA">
      <w:pPr>
        <w:pStyle w:val="Heading2"/>
        <w:jc w:val="both"/>
        <w:rPr>
          <w:lang w:val="en-GB"/>
        </w:rPr>
      </w:pPr>
      <w:r w:rsidRPr="007535BF">
        <w:rPr>
          <w:lang w:val="en-GB"/>
        </w:rPr>
        <w:t>Is the proposed medical service intended to be entirely rendered in Australia?</w:t>
      </w:r>
    </w:p>
    <w:p w14:paraId="204E1A01" w14:textId="77777777" w:rsidR="005556DA" w:rsidRPr="00255615" w:rsidRDefault="00382D7A" w:rsidP="005556DA">
      <w:pPr>
        <w:spacing w:before="0" w:after="0"/>
        <w:ind w:left="426"/>
        <w:jc w:val="both"/>
        <w:rPr>
          <w:szCs w:val="20"/>
          <w:lang w:val="en-GB"/>
        </w:rPr>
      </w:pPr>
      <w:r w:rsidRPr="00255615">
        <w:rPr>
          <w:szCs w:val="20"/>
          <w:lang w:val="en-GB"/>
        </w:rPr>
        <w:fldChar w:fldCharType="begin">
          <w:ffData>
            <w:name w:val=""/>
            <w:enabled/>
            <w:calcOnExit w:val="0"/>
            <w:checkBox>
              <w:sizeAuto/>
              <w:default w:val="1"/>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Yes</w:t>
      </w:r>
    </w:p>
    <w:p w14:paraId="7392A173" w14:textId="623EE755" w:rsidR="007027E0" w:rsidRPr="00255615" w:rsidRDefault="00382D7A" w:rsidP="007027E0">
      <w:pPr>
        <w:spacing w:before="0" w:after="0"/>
        <w:ind w:left="426"/>
        <w:jc w:val="both"/>
        <w:rPr>
          <w:szCs w:val="20"/>
          <w:lang w:val="en-GB"/>
        </w:rPr>
      </w:pPr>
      <w:r w:rsidRPr="00255615">
        <w:rPr>
          <w:szCs w:val="20"/>
          <w:lang w:val="en-GB"/>
        </w:rPr>
        <w:fldChar w:fldCharType="begin">
          <w:ffData>
            <w:name w:val="Check2"/>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No – please specify below</w:t>
      </w:r>
    </w:p>
    <w:p w14:paraId="223D8C23" w14:textId="77777777" w:rsidR="007027E0" w:rsidRPr="00255615" w:rsidRDefault="007027E0" w:rsidP="007027E0">
      <w:pPr>
        <w:rPr>
          <w:sz w:val="18"/>
          <w:szCs w:val="20"/>
          <w:lang w:val="en-GB"/>
        </w:rPr>
      </w:pPr>
    </w:p>
    <w:p w14:paraId="367FA546" w14:textId="77777777" w:rsidR="005556DA" w:rsidRPr="00FC430E" w:rsidRDefault="005556DA" w:rsidP="005556DA">
      <w:pPr>
        <w:pStyle w:val="Subtitle"/>
        <w:rPr>
          <w:lang w:val="en-GB"/>
        </w:rPr>
      </w:pPr>
      <w:r w:rsidRPr="00FC430E">
        <w:rPr>
          <w:lang w:val="en-GB"/>
        </w:rPr>
        <w:t>PART 6c – INFORMATION ABOUT THE COMPARATOR(S)</w:t>
      </w:r>
    </w:p>
    <w:p w14:paraId="59F43AB5" w14:textId="77777777" w:rsidR="005556DA" w:rsidRPr="00F41FF5" w:rsidRDefault="005556DA" w:rsidP="005556DA">
      <w:pPr>
        <w:pStyle w:val="Heading2"/>
        <w:rPr>
          <w:lang w:val="en-GB"/>
        </w:rPr>
      </w:pPr>
      <w:r w:rsidRPr="00F41FF5">
        <w:rPr>
          <w:lang w:val="en-GB"/>
        </w:rPr>
        <w:t xml:space="preserve">Nominate the appropriate comparator(s) for the proposed medical service, i.e. how is the proposed population currently managed in the absence of the proposed medical service being available in the </w:t>
      </w:r>
      <w:r w:rsidRPr="00F41FF5">
        <w:rPr>
          <w:lang w:val="en-GB"/>
        </w:rPr>
        <w:lastRenderedPageBreak/>
        <w:t>Australian health care system (including identifying health care resources that are needed to be delivered at the same time as the comparator service):</w:t>
      </w:r>
    </w:p>
    <w:p w14:paraId="097D0826" w14:textId="77777777" w:rsidR="00BD486B" w:rsidRDefault="005556DA" w:rsidP="00255615">
      <w:pPr>
        <w:ind w:left="360"/>
        <w:rPr>
          <w:lang w:val="en-GB"/>
        </w:rPr>
      </w:pPr>
      <w:r w:rsidRPr="007535BF">
        <w:rPr>
          <w:lang w:val="en-GB"/>
        </w:rPr>
        <w:t xml:space="preserve">Testing for BRAF mutation status in mCRC is </w:t>
      </w:r>
      <w:r w:rsidR="006B6AA7">
        <w:rPr>
          <w:lang w:val="en-GB"/>
        </w:rPr>
        <w:t>proposed as</w:t>
      </w:r>
      <w:r w:rsidR="006B6AA7" w:rsidRPr="007535BF">
        <w:rPr>
          <w:lang w:val="en-GB"/>
        </w:rPr>
        <w:t xml:space="preserve"> </w:t>
      </w:r>
      <w:r w:rsidRPr="007535BF">
        <w:rPr>
          <w:lang w:val="en-GB"/>
        </w:rPr>
        <w:t xml:space="preserve">an </w:t>
      </w:r>
      <w:r w:rsidR="006B6AA7" w:rsidRPr="007535BF">
        <w:rPr>
          <w:lang w:val="en-GB"/>
        </w:rPr>
        <w:t>a</w:t>
      </w:r>
      <w:r w:rsidR="006B6AA7">
        <w:rPr>
          <w:lang w:val="en-GB"/>
        </w:rPr>
        <w:t>mendment</w:t>
      </w:r>
      <w:r w:rsidR="006B6AA7" w:rsidRPr="007535BF">
        <w:rPr>
          <w:lang w:val="en-GB"/>
        </w:rPr>
        <w:t xml:space="preserve"> </w:t>
      </w:r>
      <w:r w:rsidRPr="007535BF">
        <w:rPr>
          <w:lang w:val="en-GB"/>
        </w:rPr>
        <w:t xml:space="preserve">to </w:t>
      </w:r>
      <w:r w:rsidR="006B6AA7">
        <w:rPr>
          <w:lang w:val="en-GB"/>
        </w:rPr>
        <w:t xml:space="preserve">the </w:t>
      </w:r>
      <w:r w:rsidRPr="007535BF">
        <w:rPr>
          <w:lang w:val="en-GB"/>
        </w:rPr>
        <w:t xml:space="preserve">current MBS item </w:t>
      </w:r>
      <w:r w:rsidR="006B6AA7">
        <w:rPr>
          <w:lang w:val="en-GB"/>
        </w:rPr>
        <w:t>descriptor for item</w:t>
      </w:r>
      <w:r w:rsidRPr="007535BF">
        <w:rPr>
          <w:lang w:val="en-GB"/>
        </w:rPr>
        <w:t xml:space="preserve"> 73338</w:t>
      </w:r>
      <w:r w:rsidR="006B6AA7">
        <w:rPr>
          <w:lang w:val="en-GB"/>
        </w:rPr>
        <w:t>, to align with current clinical practice</w:t>
      </w:r>
      <w:r w:rsidRPr="007535BF">
        <w:rPr>
          <w:lang w:val="en-GB"/>
        </w:rPr>
        <w:t xml:space="preserve">.  </w:t>
      </w:r>
      <w:r w:rsidR="00F41FF5">
        <w:rPr>
          <w:lang w:val="en-GB"/>
        </w:rPr>
        <w:t xml:space="preserve">The ‘comparator’ is therefore </w:t>
      </w:r>
      <w:r w:rsidR="006B6AA7">
        <w:rPr>
          <w:lang w:val="en-GB"/>
        </w:rPr>
        <w:t xml:space="preserve">MBS item </w:t>
      </w:r>
      <w:r w:rsidR="00F41FF5">
        <w:rPr>
          <w:lang w:val="en-GB"/>
        </w:rPr>
        <w:t>73338</w:t>
      </w:r>
      <w:r w:rsidR="006B6AA7">
        <w:rPr>
          <w:lang w:val="en-GB"/>
        </w:rPr>
        <w:t>, with its current item descriptor.</w:t>
      </w:r>
      <w:r w:rsidR="00F41FF5">
        <w:rPr>
          <w:lang w:val="en-GB"/>
        </w:rPr>
        <w:t xml:space="preserve"> </w:t>
      </w:r>
    </w:p>
    <w:p w14:paraId="1CAE5DD8" w14:textId="77777777" w:rsidR="005556DA" w:rsidRPr="007535BF" w:rsidRDefault="005556DA" w:rsidP="00255615">
      <w:pPr>
        <w:ind w:left="360"/>
        <w:rPr>
          <w:rFonts w:cs="Segoe UI"/>
          <w:lang w:val="en-GB"/>
        </w:rPr>
      </w:pPr>
      <w:r w:rsidRPr="007535BF">
        <w:rPr>
          <w:lang w:val="en-GB"/>
        </w:rPr>
        <w:t xml:space="preserve">As shown in </w:t>
      </w:r>
      <w:r w:rsidR="00BD486B">
        <w:rPr>
          <w:lang w:val="en-GB"/>
        </w:rPr>
        <w:t>Part 2</w:t>
      </w:r>
      <w:r w:rsidRPr="007535BF">
        <w:rPr>
          <w:lang w:val="en-GB"/>
        </w:rPr>
        <w:t xml:space="preserve"> a</w:t>
      </w:r>
      <w:r w:rsidRPr="00BD486B">
        <w:rPr>
          <w:lang w:val="en-GB"/>
        </w:rPr>
        <w:t>b</w:t>
      </w:r>
      <w:r w:rsidRPr="007535BF">
        <w:rPr>
          <w:lang w:val="en-GB"/>
        </w:rPr>
        <w:t xml:space="preserve">ove, the current MBS code 73338 allows for testing to determine </w:t>
      </w:r>
      <w:r>
        <w:rPr>
          <w:lang w:val="en-GB"/>
        </w:rPr>
        <w:t>RAS</w:t>
      </w:r>
      <w:r w:rsidRPr="007535BF">
        <w:rPr>
          <w:lang w:val="en-GB"/>
        </w:rPr>
        <w:t xml:space="preserve"> mutation status of a patient to determent their eligibility for panitumumab or cetuximab.  Currently, m</w:t>
      </w:r>
      <w:r w:rsidRPr="007535BF">
        <w:rPr>
          <w:rFonts w:cs="Segoe UI"/>
          <w:bdr w:val="none" w:sz="0" w:space="0" w:color="auto" w:frame="1"/>
          <w:lang w:val="en-GB"/>
        </w:rPr>
        <w:t xml:space="preserve">ost of the colorectal </w:t>
      </w:r>
      <w:r>
        <w:rPr>
          <w:rFonts w:cs="Segoe UI"/>
          <w:bdr w:val="none" w:sz="0" w:space="0" w:color="auto" w:frame="1"/>
          <w:lang w:val="en-GB"/>
        </w:rPr>
        <w:t>RAS</w:t>
      </w:r>
      <w:r w:rsidRPr="007535BF">
        <w:rPr>
          <w:rFonts w:cs="Segoe UI"/>
          <w:bdr w:val="none" w:sz="0" w:space="0" w:color="auto" w:frame="1"/>
          <w:lang w:val="en-GB"/>
        </w:rPr>
        <w:t xml:space="preserve"> testing is done with next generation sequencing panels, and BRAF is reported routinely along with RAS in these panels.</w:t>
      </w:r>
    </w:p>
    <w:p w14:paraId="6852D83F" w14:textId="77777777" w:rsidR="005556DA" w:rsidRPr="007535BF" w:rsidRDefault="005556DA" w:rsidP="00255615">
      <w:pPr>
        <w:ind w:left="360"/>
        <w:rPr>
          <w:lang w:val="en-GB"/>
        </w:rPr>
      </w:pPr>
      <w:r w:rsidRPr="007535BF">
        <w:rPr>
          <w:lang w:val="en-GB"/>
        </w:rPr>
        <w:t>This application therefore does not request any change to either the number of tests performed or an</w:t>
      </w:r>
      <w:r w:rsidR="001F4D1D">
        <w:rPr>
          <w:lang w:val="en-GB"/>
        </w:rPr>
        <w:t>y</w:t>
      </w:r>
      <w:r w:rsidRPr="007535BF">
        <w:rPr>
          <w:lang w:val="en-GB"/>
        </w:rPr>
        <w:t xml:space="preserve"> additional tests on the tissue samples</w:t>
      </w:r>
      <w:r w:rsidR="001F4D1D">
        <w:rPr>
          <w:lang w:val="en-GB"/>
        </w:rPr>
        <w:t>.</w:t>
      </w:r>
      <w:r w:rsidRPr="007535BF">
        <w:rPr>
          <w:lang w:val="en-GB"/>
        </w:rPr>
        <w:t xml:space="preserve"> </w:t>
      </w:r>
      <w:r w:rsidR="001F4D1D">
        <w:rPr>
          <w:lang w:val="en-GB"/>
        </w:rPr>
        <w:t>R</w:t>
      </w:r>
      <w:r w:rsidRPr="007535BF">
        <w:rPr>
          <w:lang w:val="en-GB"/>
        </w:rPr>
        <w:t>ather</w:t>
      </w:r>
      <w:r w:rsidR="001F4D1D">
        <w:rPr>
          <w:lang w:val="en-GB"/>
        </w:rPr>
        <w:t>, the application proposes</w:t>
      </w:r>
      <w:r w:rsidRPr="007535BF">
        <w:rPr>
          <w:lang w:val="en-GB"/>
        </w:rPr>
        <w:t xml:space="preserve"> that the current routine testing</w:t>
      </w:r>
      <w:r w:rsidR="001F4D1D">
        <w:rPr>
          <w:lang w:val="en-GB"/>
        </w:rPr>
        <w:t>,</w:t>
      </w:r>
      <w:r w:rsidRPr="007535BF">
        <w:rPr>
          <w:lang w:val="en-GB"/>
        </w:rPr>
        <w:t xml:space="preserve"> which includes BRAF</w:t>
      </w:r>
      <w:r w:rsidR="001F4D1D">
        <w:rPr>
          <w:lang w:val="en-GB"/>
        </w:rPr>
        <w:t>,</w:t>
      </w:r>
      <w:r w:rsidRPr="007535BF">
        <w:rPr>
          <w:lang w:val="en-GB"/>
        </w:rPr>
        <w:t xml:space="preserve"> be explicitly stated in the </w:t>
      </w:r>
      <w:r w:rsidR="001F4D1D">
        <w:rPr>
          <w:lang w:val="en-GB"/>
        </w:rPr>
        <w:t xml:space="preserve">item descriptor for </w:t>
      </w:r>
      <w:r w:rsidRPr="007535BF">
        <w:rPr>
          <w:lang w:val="en-GB"/>
        </w:rPr>
        <w:t xml:space="preserve">MBS </w:t>
      </w:r>
      <w:r w:rsidR="001F4D1D">
        <w:rPr>
          <w:lang w:val="en-GB"/>
        </w:rPr>
        <w:t>item</w:t>
      </w:r>
      <w:r w:rsidRPr="007535BF">
        <w:rPr>
          <w:lang w:val="en-GB"/>
        </w:rPr>
        <w:t xml:space="preserve"> 73338 to </w:t>
      </w:r>
      <w:r w:rsidR="001F4D1D" w:rsidRPr="001F4D1D">
        <w:rPr>
          <w:lang w:val="en-GB"/>
        </w:rPr>
        <w:t xml:space="preserve">fulfil the requirements </w:t>
      </w:r>
      <w:r w:rsidR="001F4D1D" w:rsidRPr="00C3781D">
        <w:t>relating to BRAF V600 gene mutation status for access to encorafenib under the PBS.</w:t>
      </w:r>
    </w:p>
    <w:p w14:paraId="7D2E3AD0" w14:textId="77777777" w:rsidR="005556DA" w:rsidRPr="007535BF" w:rsidRDefault="005556DA" w:rsidP="005556DA">
      <w:pPr>
        <w:pStyle w:val="Heading2"/>
        <w:rPr>
          <w:lang w:val="en-GB"/>
        </w:rPr>
      </w:pPr>
      <w:r w:rsidRPr="007535BF">
        <w:rPr>
          <w:lang w:val="en-GB"/>
        </w:rPr>
        <w:t>Does the medical service that has been nominated as the comparator have an existing MBS item number(s)?</w:t>
      </w:r>
    </w:p>
    <w:p w14:paraId="71934B06" w14:textId="77777777" w:rsidR="005556DA" w:rsidRPr="00255615" w:rsidRDefault="00382D7A" w:rsidP="00255615">
      <w:pPr>
        <w:spacing w:before="0" w:after="0"/>
        <w:ind w:left="360"/>
        <w:rPr>
          <w:szCs w:val="20"/>
          <w:lang w:val="en-GB"/>
        </w:rPr>
      </w:pPr>
      <w:r w:rsidRPr="00255615">
        <w:rPr>
          <w:szCs w:val="20"/>
          <w:lang w:val="en-GB"/>
        </w:rPr>
        <w:fldChar w:fldCharType="begin">
          <w:ffData>
            <w:name w:val=""/>
            <w:enabled/>
            <w:calcOnExit w:val="0"/>
            <w:checkBox>
              <w:sizeAuto/>
              <w:default w:val="1"/>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Yes (please provide all relevant MBS item numbers below)</w:t>
      </w:r>
    </w:p>
    <w:p w14:paraId="5EF4F67C" w14:textId="7D1996CA" w:rsidR="005556DA" w:rsidRPr="00255615" w:rsidRDefault="00382D7A" w:rsidP="00AA02A6">
      <w:pPr>
        <w:spacing w:before="0" w:after="0"/>
        <w:ind w:left="360"/>
        <w:rPr>
          <w:szCs w:val="20"/>
          <w:lang w:val="en-GB"/>
        </w:rPr>
      </w:pPr>
      <w:r w:rsidRPr="00255615">
        <w:rPr>
          <w:szCs w:val="20"/>
          <w:lang w:val="en-GB"/>
        </w:rPr>
        <w:fldChar w:fldCharType="begin">
          <w:ffData>
            <w:name w:val="Check2"/>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No</w:t>
      </w:r>
    </w:p>
    <w:p w14:paraId="317B4459" w14:textId="77777777" w:rsidR="00AA02A6" w:rsidRDefault="00AA02A6" w:rsidP="00255615">
      <w:pPr>
        <w:spacing w:before="0" w:after="0"/>
        <w:ind w:left="360"/>
        <w:rPr>
          <w:szCs w:val="20"/>
          <w:lang w:val="en-GB"/>
        </w:rPr>
      </w:pPr>
    </w:p>
    <w:p w14:paraId="76A0E430" w14:textId="5C3D29D9" w:rsidR="005556DA" w:rsidRPr="00255615" w:rsidRDefault="005556DA" w:rsidP="00255615">
      <w:pPr>
        <w:spacing w:before="0" w:after="0"/>
        <w:ind w:left="360"/>
        <w:rPr>
          <w:szCs w:val="20"/>
          <w:lang w:val="en-GB"/>
        </w:rPr>
      </w:pPr>
      <w:r w:rsidRPr="00255615">
        <w:rPr>
          <w:szCs w:val="20"/>
          <w:lang w:val="en-GB"/>
        </w:rPr>
        <w:t xml:space="preserve">The application is to specify BRAF </w:t>
      </w:r>
      <w:r w:rsidR="0099753A" w:rsidRPr="00255615">
        <w:rPr>
          <w:szCs w:val="20"/>
          <w:lang w:val="en-GB"/>
        </w:rPr>
        <w:t xml:space="preserve">V600 </w:t>
      </w:r>
      <w:r w:rsidRPr="00255615">
        <w:rPr>
          <w:szCs w:val="20"/>
          <w:lang w:val="en-GB"/>
        </w:rPr>
        <w:t xml:space="preserve">testing in the existing </w:t>
      </w:r>
      <w:r w:rsidR="001F4D1D" w:rsidRPr="00255615">
        <w:rPr>
          <w:szCs w:val="20"/>
          <w:lang w:val="en-GB"/>
        </w:rPr>
        <w:t xml:space="preserve">item descriptor for </w:t>
      </w:r>
      <w:r w:rsidRPr="00255615">
        <w:rPr>
          <w:szCs w:val="20"/>
          <w:lang w:val="en-GB"/>
        </w:rPr>
        <w:t xml:space="preserve">MBS item 73338. </w:t>
      </w:r>
    </w:p>
    <w:p w14:paraId="7540A62C" w14:textId="77777777" w:rsidR="005556DA" w:rsidRPr="007535BF" w:rsidRDefault="005556DA" w:rsidP="00255615">
      <w:pPr>
        <w:pStyle w:val="Heading2"/>
        <w:keepNext/>
        <w:ind w:left="284" w:hanging="284"/>
        <w:rPr>
          <w:lang w:val="en-GB"/>
        </w:rPr>
      </w:pPr>
      <w:r w:rsidRPr="007535BF">
        <w:rPr>
          <w:lang w:val="en-GB"/>
        </w:rPr>
        <w:t xml:space="preserve">Define and summarise the current clinical management pathways that patients may follow </w:t>
      </w:r>
      <w:r w:rsidRPr="007535BF">
        <w:rPr>
          <w:i/>
          <w:lang w:val="en-GB"/>
        </w:rPr>
        <w:t>after</w:t>
      </w:r>
      <w:r w:rsidRPr="007535BF">
        <w:rPr>
          <w:lang w:val="en-GB"/>
        </w:rPr>
        <w:t xml:space="preserve"> 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 resources):</w:t>
      </w:r>
    </w:p>
    <w:p w14:paraId="4C33E2F7" w14:textId="77777777" w:rsidR="005556DA" w:rsidRPr="00802CC2" w:rsidRDefault="005556DA" w:rsidP="00255615">
      <w:pPr>
        <w:ind w:left="284"/>
        <w:rPr>
          <w:lang w:val="en-GB"/>
        </w:rPr>
      </w:pPr>
      <w:r w:rsidRPr="00802CC2">
        <w:rPr>
          <w:lang w:val="en-GB"/>
        </w:rPr>
        <w:t xml:space="preserve">Currently, the panel test reports on a number of mutations, but the MBS explicitly funds testing to determine RAS mutation status in order for the patient to be eligible for </w:t>
      </w:r>
      <w:r w:rsidRPr="00802CC2">
        <w:rPr>
          <w:rFonts w:eastAsia="Times New Roman" w:cs="Helvetica"/>
          <w:lang w:val="en-GB" w:eastAsia="en-AU"/>
        </w:rPr>
        <w:t>cetuximab or panitumumab.</w:t>
      </w:r>
    </w:p>
    <w:p w14:paraId="7D96F6AB" w14:textId="77777777" w:rsidR="005556DA" w:rsidRPr="00802CC2" w:rsidRDefault="005556DA" w:rsidP="00255615">
      <w:pPr>
        <w:ind w:left="284"/>
        <w:rPr>
          <w:lang w:val="en-GB"/>
        </w:rPr>
      </w:pPr>
      <w:r w:rsidRPr="00802CC2">
        <w:rPr>
          <w:lang w:val="en-GB"/>
        </w:rPr>
        <w:t xml:space="preserve">The tumour gene panel tests run under MBS code 73338 also provide information on BRAF mutation status which is used by clinicians for prognostic indicators, but there are currently no treatments on the PBS specifically for patients with the BRAF mutation.  </w:t>
      </w:r>
    </w:p>
    <w:p w14:paraId="2381EF44" w14:textId="41A0B747" w:rsidR="00AC1EAA" w:rsidRPr="00802CC2" w:rsidRDefault="005556DA" w:rsidP="00255615">
      <w:pPr>
        <w:ind w:left="284"/>
      </w:pPr>
      <w:r w:rsidRPr="00802CC2">
        <w:rPr>
          <w:lang w:val="en-GB"/>
        </w:rPr>
        <w:t>BRAF testing is currently not funded for patients with mCRC, but is funded under MBS item 73336 to determine eligibility for PBS funded dabrafenib or vemurafenib to treat metastatic melanoma</w:t>
      </w:r>
      <w:r w:rsidR="00AC1EAA" w:rsidRPr="00802CC2">
        <w:rPr>
          <w:lang w:val="en-GB"/>
        </w:rPr>
        <w:t xml:space="preserve"> (refer to successful minor application to add treatment with encorafenib and binimetinib in the descriptor for MBS item 733</w:t>
      </w:r>
      <w:r w:rsidR="0099753A">
        <w:rPr>
          <w:lang w:val="en-GB"/>
        </w:rPr>
        <w:t>3</w:t>
      </w:r>
      <w:r w:rsidR="00AC1EAA" w:rsidRPr="00802CC2">
        <w:rPr>
          <w:lang w:val="en-GB"/>
        </w:rPr>
        <w:t>6)</w:t>
      </w:r>
      <w:r w:rsidRPr="00802CC2">
        <w:rPr>
          <w:lang w:val="en-GB"/>
        </w:rPr>
        <w:t xml:space="preserve">.  </w:t>
      </w:r>
      <w:r w:rsidR="00AA0369">
        <w:t>REDACTED</w:t>
      </w:r>
      <w:r w:rsidR="00AC1EAA" w:rsidRPr="00802CC2">
        <w:t xml:space="preserve">  </w:t>
      </w:r>
    </w:p>
    <w:p w14:paraId="79521EC2" w14:textId="77777777" w:rsidR="005556DA" w:rsidRPr="00802CC2" w:rsidRDefault="005556DA" w:rsidP="00255615">
      <w:pPr>
        <w:ind w:left="284"/>
        <w:rPr>
          <w:lang w:val="en-GB"/>
        </w:rPr>
      </w:pPr>
      <w:r w:rsidRPr="00802CC2">
        <w:rPr>
          <w:lang w:val="en-GB"/>
        </w:rPr>
        <w:lastRenderedPageBreak/>
        <w:t xml:space="preserve">BRAF positive </w:t>
      </w:r>
      <w:r w:rsidR="001F4D1D" w:rsidRPr="00802CC2">
        <w:rPr>
          <w:lang w:val="en-GB"/>
        </w:rPr>
        <w:t>CRC</w:t>
      </w:r>
      <w:r w:rsidRPr="00802CC2">
        <w:rPr>
          <w:lang w:val="en-GB"/>
        </w:rPr>
        <w:t xml:space="preserve"> may not be best treated with therapies allocated on the basis of RAS mutation status alone and therefore results may influence the choice and timing of treatment.  Inclusion of BRAF reporting in the existing panel tests would allow for targeted treatment with encorafenib.</w:t>
      </w:r>
    </w:p>
    <w:p w14:paraId="5E72E63F" w14:textId="77777777" w:rsidR="00CA64D6" w:rsidRPr="00802CC2" w:rsidRDefault="00CA64D6" w:rsidP="00255615">
      <w:pPr>
        <w:ind w:left="284"/>
        <w:rPr>
          <w:lang w:val="en-GB"/>
        </w:rPr>
      </w:pPr>
      <w:r w:rsidRPr="00802CC2">
        <w:rPr>
          <w:lang w:val="en-GB"/>
        </w:rPr>
        <w:t>The current clinical algorithm is as follows:</w:t>
      </w:r>
    </w:p>
    <w:p w14:paraId="78F7DCC5" w14:textId="3FD034DC" w:rsidR="00CA64D6" w:rsidRPr="00802CC2" w:rsidRDefault="00DB6EFC" w:rsidP="00CA64D6">
      <w:pPr>
        <w:pStyle w:val="Caption"/>
        <w:keepNext/>
        <w:rPr>
          <w:color w:val="auto"/>
          <w:sz w:val="22"/>
          <w:lang w:val="en-GB"/>
        </w:rPr>
      </w:pPr>
      <w:r>
        <w:rPr>
          <w:noProof/>
          <w:color w:val="auto"/>
          <w:lang w:eastAsia="en-AU"/>
        </w:rPr>
        <w:drawing>
          <wp:anchor distT="0" distB="0" distL="114300" distR="114300" simplePos="0" relativeHeight="251659264" behindDoc="0" locked="0" layoutInCell="1" allowOverlap="1" wp14:anchorId="7AC91D80" wp14:editId="59868B9C">
            <wp:simplePos x="0" y="0"/>
            <wp:positionH relativeFrom="column">
              <wp:posOffset>0</wp:posOffset>
            </wp:positionH>
            <wp:positionV relativeFrom="paragraph">
              <wp:posOffset>396240</wp:posOffset>
            </wp:positionV>
            <wp:extent cx="6318250" cy="3329940"/>
            <wp:effectExtent l="0" t="0" r="6350" b="3810"/>
            <wp:wrapTopAndBottom/>
            <wp:docPr id="4" name="Picture 4" descr="Flow chart"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18250" cy="3329940"/>
                    </a:xfrm>
                    <a:prstGeom prst="rect">
                      <a:avLst/>
                    </a:prstGeom>
                    <a:noFill/>
                    <a:ln>
                      <a:noFill/>
                    </a:ln>
                  </pic:spPr>
                </pic:pic>
              </a:graphicData>
            </a:graphic>
          </wp:anchor>
        </w:drawing>
      </w:r>
      <w:r w:rsidR="00CA64D6" w:rsidRPr="00802CC2">
        <w:rPr>
          <w:color w:val="auto"/>
        </w:rPr>
        <w:t xml:space="preserve">Figure </w:t>
      </w:r>
      <w:r w:rsidR="00CA64D6" w:rsidRPr="00802CC2">
        <w:rPr>
          <w:color w:val="auto"/>
        </w:rPr>
        <w:fldChar w:fldCharType="begin"/>
      </w:r>
      <w:r w:rsidR="00CA64D6" w:rsidRPr="00802CC2">
        <w:rPr>
          <w:color w:val="auto"/>
        </w:rPr>
        <w:instrText xml:space="preserve"> SEQ Figure \* ARABIC </w:instrText>
      </w:r>
      <w:r w:rsidR="00CA64D6" w:rsidRPr="00802CC2">
        <w:rPr>
          <w:color w:val="auto"/>
        </w:rPr>
        <w:fldChar w:fldCharType="separate"/>
      </w:r>
      <w:r w:rsidR="000E7575">
        <w:rPr>
          <w:noProof/>
          <w:color w:val="auto"/>
        </w:rPr>
        <w:t>1</w:t>
      </w:r>
      <w:r w:rsidR="00CA64D6" w:rsidRPr="00802CC2">
        <w:rPr>
          <w:color w:val="auto"/>
        </w:rPr>
        <w:fldChar w:fldCharType="end"/>
      </w:r>
      <w:r w:rsidR="00CA64D6" w:rsidRPr="00802CC2">
        <w:rPr>
          <w:color w:val="auto"/>
        </w:rPr>
        <w:t xml:space="preserve"> Current gene mutation testing and treatment pathway for patients diagnosed with mCRC</w:t>
      </w:r>
    </w:p>
    <w:p w14:paraId="57DD6242" w14:textId="77777777" w:rsidR="00CA64D6" w:rsidRDefault="00CA64D6" w:rsidP="004D4B7D">
      <w:pPr>
        <w:jc w:val="both"/>
        <w:rPr>
          <w:sz w:val="22"/>
          <w:lang w:val="en-GB"/>
        </w:rPr>
      </w:pPr>
    </w:p>
    <w:p w14:paraId="630F5F02" w14:textId="77777777" w:rsidR="005556DA" w:rsidRPr="007535BF" w:rsidRDefault="005556DA" w:rsidP="00802CC2">
      <w:pPr>
        <w:rPr>
          <w:rFonts w:ascii="Arial"/>
          <w:lang w:val="en-GB"/>
        </w:rPr>
      </w:pPr>
    </w:p>
    <w:p w14:paraId="5FBCB22E" w14:textId="77777777" w:rsidR="005556DA" w:rsidRPr="007535BF" w:rsidRDefault="005556DA" w:rsidP="005556DA">
      <w:pPr>
        <w:pStyle w:val="Heading2"/>
        <w:rPr>
          <w:lang w:val="en-GB"/>
        </w:rPr>
      </w:pPr>
      <w:r w:rsidRPr="007535BF">
        <w:rPr>
          <w:lang w:val="en-GB"/>
        </w:rPr>
        <w:t>(a) Will the proposed medical service be used in addition to, or instead of, the nominated comparator(s)?</w:t>
      </w:r>
    </w:p>
    <w:p w14:paraId="650C8279" w14:textId="77777777" w:rsidR="005556DA" w:rsidRPr="00255615" w:rsidRDefault="00382D7A" w:rsidP="005556DA">
      <w:pPr>
        <w:spacing w:before="0" w:after="0"/>
        <w:ind w:left="426"/>
        <w:rPr>
          <w:szCs w:val="20"/>
          <w:lang w:val="en-GB"/>
        </w:rPr>
      </w:pPr>
      <w:r w:rsidRPr="00255615">
        <w:rPr>
          <w:szCs w:val="20"/>
          <w:lang w:val="en-GB"/>
        </w:rPr>
        <w:fldChar w:fldCharType="begin">
          <w:ffData>
            <w:name w:val=""/>
            <w:enabled/>
            <w:calcOnExit w:val="0"/>
            <w:checkBox>
              <w:sizeAuto/>
              <w:default w:val="1"/>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Yes </w:t>
      </w:r>
    </w:p>
    <w:p w14:paraId="2320DAC1" w14:textId="35E39434" w:rsidR="00CA64D6" w:rsidRPr="00255615" w:rsidRDefault="00382D7A" w:rsidP="00AA02A6">
      <w:pPr>
        <w:spacing w:before="0" w:after="0"/>
        <w:ind w:left="426"/>
        <w:rPr>
          <w:szCs w:val="20"/>
          <w:lang w:val="en-GB"/>
        </w:rPr>
      </w:pPr>
      <w:r w:rsidRPr="00255615">
        <w:rPr>
          <w:szCs w:val="20"/>
          <w:lang w:val="en-GB"/>
        </w:rPr>
        <w:fldChar w:fldCharType="begin">
          <w:ffData>
            <w:name w:val="Check2"/>
            <w:enabled/>
            <w:calcOnExit w:val="0"/>
            <w:checkBox>
              <w:sizeAuto/>
              <w:default w:val="0"/>
            </w:checkBox>
          </w:ffData>
        </w:fldChar>
      </w:r>
      <w:r w:rsidR="005556DA" w:rsidRPr="00255615">
        <w:rPr>
          <w:szCs w:val="20"/>
          <w:lang w:val="en-GB"/>
        </w:rPr>
        <w:instrText xml:space="preserve"> FORMCHECKBOX </w:instrText>
      </w:r>
      <w:r w:rsidR="00427E3A">
        <w:rPr>
          <w:szCs w:val="20"/>
          <w:lang w:val="en-GB"/>
        </w:rPr>
      </w:r>
      <w:r w:rsidR="00427E3A">
        <w:rPr>
          <w:szCs w:val="20"/>
          <w:lang w:val="en-GB"/>
        </w:rPr>
        <w:fldChar w:fldCharType="separate"/>
      </w:r>
      <w:r w:rsidRPr="00255615">
        <w:rPr>
          <w:szCs w:val="20"/>
          <w:lang w:val="en-GB"/>
        </w:rPr>
        <w:fldChar w:fldCharType="end"/>
      </w:r>
      <w:r w:rsidR="005556DA" w:rsidRPr="00255615">
        <w:rPr>
          <w:szCs w:val="20"/>
          <w:lang w:val="en-GB"/>
        </w:rPr>
        <w:t xml:space="preserve"> No</w:t>
      </w:r>
    </w:p>
    <w:p w14:paraId="3E74D483" w14:textId="6B6CFD7D" w:rsidR="00CA64D6" w:rsidRPr="00255615" w:rsidRDefault="00CA64D6" w:rsidP="00255615">
      <w:pPr>
        <w:ind w:left="360"/>
        <w:rPr>
          <w:szCs w:val="20"/>
          <w:lang w:val="en-GB"/>
        </w:rPr>
      </w:pPr>
      <w:bookmarkStart w:id="9" w:name="_GoBack"/>
      <w:bookmarkEnd w:id="9"/>
      <w:r w:rsidRPr="00255615">
        <w:rPr>
          <w:szCs w:val="20"/>
          <w:lang w:val="en-GB"/>
        </w:rPr>
        <w:t xml:space="preserve">Noting that BRAF testing is performed routinely in the colorectal gene panel tests which are used to determine RAS mutation status under MBS item 73338.  </w:t>
      </w:r>
      <w:r w:rsidR="00AA0369" w:rsidRPr="00255615">
        <w:rPr>
          <w:szCs w:val="20"/>
          <w:lang w:val="en-GB"/>
        </w:rPr>
        <w:t>Therefore,</w:t>
      </w:r>
      <w:r w:rsidRPr="00255615">
        <w:rPr>
          <w:szCs w:val="20"/>
          <w:lang w:val="en-GB"/>
        </w:rPr>
        <w:t xml:space="preserve"> no significant change to the current testing practices is expected in response to this application</w:t>
      </w:r>
      <w:r w:rsidR="00255615" w:rsidRPr="00255615">
        <w:rPr>
          <w:szCs w:val="20"/>
          <w:lang w:val="en-GB"/>
        </w:rPr>
        <w:t>.</w:t>
      </w:r>
    </w:p>
    <w:p w14:paraId="3DACB92B" w14:textId="77777777" w:rsidR="005556DA" w:rsidRPr="007535BF" w:rsidRDefault="005556DA" w:rsidP="005556DA">
      <w:pPr>
        <w:pStyle w:val="Heading2"/>
        <w:numPr>
          <w:ilvl w:val="0"/>
          <w:numId w:val="30"/>
        </w:numPr>
        <w:rPr>
          <w:lang w:val="en-GB"/>
        </w:rPr>
      </w:pPr>
      <w:r w:rsidRPr="007535BF">
        <w:rPr>
          <w:lang w:val="en-GB"/>
        </w:rPr>
        <w:t>If yes, please outline the extent of which the current service/comparator is expected to be substituted:</w:t>
      </w:r>
    </w:p>
    <w:p w14:paraId="26488376" w14:textId="77777777" w:rsidR="005556DA" w:rsidRPr="00BD486B" w:rsidRDefault="005556DA" w:rsidP="00255615">
      <w:pPr>
        <w:ind w:firstLine="360"/>
        <w:rPr>
          <w:lang w:val="en-GB"/>
        </w:rPr>
      </w:pPr>
      <w:r w:rsidRPr="00BD486B">
        <w:rPr>
          <w:lang w:val="en-GB"/>
        </w:rPr>
        <w:t>Not applicable.</w:t>
      </w:r>
    </w:p>
    <w:p w14:paraId="46E7FB5E" w14:textId="77777777" w:rsidR="005556DA" w:rsidRPr="007535BF" w:rsidRDefault="005556DA" w:rsidP="005556DA">
      <w:pPr>
        <w:pStyle w:val="Heading2"/>
        <w:rPr>
          <w:lang w:val="en-GB"/>
        </w:rPr>
      </w:pPr>
      <w:r w:rsidRPr="007535BF">
        <w:rPr>
          <w:lang w:val="en-GB"/>
        </w:rPr>
        <w:t>Define and summarise how current clinical management pathways (from the point of service delivery onwards) are expected to change as a consequence of introducing the proposed medical service including variation in health care resources (Refer to Question 39 as baseline):</w:t>
      </w:r>
    </w:p>
    <w:p w14:paraId="4CA31326" w14:textId="13F19A6B" w:rsidR="005556DA" w:rsidRDefault="005556DA" w:rsidP="00255615">
      <w:pPr>
        <w:ind w:left="360"/>
        <w:rPr>
          <w:lang w:val="en-GB"/>
        </w:rPr>
      </w:pPr>
      <w:r w:rsidRPr="007535BF">
        <w:rPr>
          <w:lang w:val="en-GB"/>
        </w:rPr>
        <w:t xml:space="preserve">The delivery pathways for the MBS will not change, </w:t>
      </w:r>
      <w:r w:rsidR="00AA0369">
        <w:rPr>
          <w:lang w:val="en-GB"/>
        </w:rPr>
        <w:t>REDACTED</w:t>
      </w:r>
      <w:r w:rsidRPr="007535BF">
        <w:rPr>
          <w:lang w:val="en-GB"/>
        </w:rPr>
        <w:t xml:space="preserve">, ostensibly for RAS mutation status but </w:t>
      </w:r>
      <w:r w:rsidR="001F4D1D">
        <w:rPr>
          <w:lang w:val="en-GB"/>
        </w:rPr>
        <w:t>also</w:t>
      </w:r>
      <w:r w:rsidR="008109D5">
        <w:rPr>
          <w:lang w:val="en-GB"/>
        </w:rPr>
        <w:t>,</w:t>
      </w:r>
      <w:r w:rsidR="001F4D1D">
        <w:rPr>
          <w:lang w:val="en-GB"/>
        </w:rPr>
        <w:t xml:space="preserve"> </w:t>
      </w:r>
      <w:r w:rsidRPr="007535BF">
        <w:rPr>
          <w:lang w:val="en-GB"/>
        </w:rPr>
        <w:t>as shown in the sections above, these tests already report on a raft of genetic results</w:t>
      </w:r>
      <w:r w:rsidR="001F4D1D">
        <w:rPr>
          <w:lang w:val="en-GB"/>
        </w:rPr>
        <w:t xml:space="preserve">, </w:t>
      </w:r>
      <w:r w:rsidRPr="007535BF">
        <w:rPr>
          <w:lang w:val="en-GB"/>
        </w:rPr>
        <w:t>including BRAF.</w:t>
      </w:r>
    </w:p>
    <w:p w14:paraId="27227604" w14:textId="77777777" w:rsidR="005556DA" w:rsidRPr="007535BF" w:rsidRDefault="005556DA" w:rsidP="00255615">
      <w:pPr>
        <w:ind w:left="360"/>
        <w:rPr>
          <w:lang w:val="en-GB"/>
        </w:rPr>
      </w:pPr>
    </w:p>
    <w:p w14:paraId="70164FCA" w14:textId="0703381E" w:rsidR="005556DA" w:rsidRDefault="005556DA" w:rsidP="00255615">
      <w:pPr>
        <w:ind w:left="360"/>
        <w:rPr>
          <w:lang w:val="en-GB"/>
        </w:rPr>
      </w:pPr>
      <w:r>
        <w:rPr>
          <w:lang w:val="en-GB"/>
        </w:rPr>
        <w:lastRenderedPageBreak/>
        <w:t>The clinical benefit of establishing BRAF mutation status for patients with mCRC derives from the change in pharmaceutical management of patients, once the co-dependent technology is funded by the PBS.</w:t>
      </w:r>
    </w:p>
    <w:p w14:paraId="51D37A19" w14:textId="77777777" w:rsidR="005556DA" w:rsidRDefault="005556DA" w:rsidP="00255615">
      <w:pPr>
        <w:ind w:left="360"/>
        <w:rPr>
          <w:lang w:val="en-GB"/>
        </w:rPr>
      </w:pPr>
      <w:r>
        <w:rPr>
          <w:lang w:val="en-GB"/>
        </w:rPr>
        <w:t xml:space="preserve">Currently, standard treatment for patients determined not to harbour the RAS gene mutation (RAS </w:t>
      </w:r>
      <w:r w:rsidR="00C1373A">
        <w:rPr>
          <w:lang w:val="en-GB"/>
        </w:rPr>
        <w:t>wild type</w:t>
      </w:r>
      <w:r>
        <w:rPr>
          <w:lang w:val="en-GB"/>
        </w:rPr>
        <w:t>) is an anti-EGFR</w:t>
      </w:r>
      <w:r w:rsidR="00BD486B">
        <w:rPr>
          <w:lang w:val="en-GB"/>
        </w:rPr>
        <w:t xml:space="preserve"> </w:t>
      </w:r>
      <w:r>
        <w:rPr>
          <w:lang w:val="en-GB"/>
        </w:rPr>
        <w:t>+</w:t>
      </w:r>
      <w:r w:rsidR="00BD486B">
        <w:rPr>
          <w:lang w:val="en-GB"/>
        </w:rPr>
        <w:t xml:space="preserve"> </w:t>
      </w:r>
      <w:r>
        <w:rPr>
          <w:lang w:val="en-GB"/>
        </w:rPr>
        <w:t>chemotherapy doublet.  In patients who are determined to harbour the BRAF mutation (through the current colorectal gene panel testing), an anti-VEGFR</w:t>
      </w:r>
      <w:r w:rsidR="00BD486B">
        <w:rPr>
          <w:lang w:val="en-GB"/>
        </w:rPr>
        <w:t xml:space="preserve"> </w:t>
      </w:r>
      <w:r>
        <w:rPr>
          <w:lang w:val="en-GB"/>
        </w:rPr>
        <w:t>+</w:t>
      </w:r>
      <w:r w:rsidR="00BD486B">
        <w:rPr>
          <w:lang w:val="en-GB"/>
        </w:rPr>
        <w:t xml:space="preserve"> </w:t>
      </w:r>
      <w:r>
        <w:rPr>
          <w:lang w:val="en-GB"/>
        </w:rPr>
        <w:t>chemotherapy doublet OR chemotherapy triplet (</w:t>
      </w:r>
      <w:r w:rsidR="00C1373A">
        <w:rPr>
          <w:lang w:val="en-GB"/>
        </w:rPr>
        <w:t>e.g.</w:t>
      </w:r>
      <w:r>
        <w:rPr>
          <w:lang w:val="en-GB"/>
        </w:rPr>
        <w:t xml:space="preserve"> FOLFOXIRI) would be trialled, however these treatments are associated with modest clinical benefit in patients harbouring the BRAF</w:t>
      </w:r>
      <w:r w:rsidR="008109D5">
        <w:rPr>
          <w:lang w:val="en-GB"/>
        </w:rPr>
        <w:t xml:space="preserve"> </w:t>
      </w:r>
      <w:r>
        <w:rPr>
          <w:lang w:val="en-GB"/>
        </w:rPr>
        <w:t>V600 mutation.</w:t>
      </w:r>
    </w:p>
    <w:p w14:paraId="4C1DDA54" w14:textId="77777777" w:rsidR="005556DA" w:rsidRDefault="005556DA" w:rsidP="00255615">
      <w:pPr>
        <w:ind w:left="360"/>
        <w:rPr>
          <w:lang w:val="en-GB"/>
        </w:rPr>
      </w:pPr>
      <w:r>
        <w:rPr>
          <w:lang w:val="en-GB"/>
        </w:rPr>
        <w:t>Compared to standard of care, the Phase 3 BEACON clinical trial demonstrates a significant clinical benefit of triplet therapy (encorafenib</w:t>
      </w:r>
      <w:r w:rsidR="00BD486B">
        <w:rPr>
          <w:lang w:val="en-GB"/>
        </w:rPr>
        <w:t xml:space="preserve"> </w:t>
      </w:r>
      <w:r>
        <w:rPr>
          <w:lang w:val="en-GB"/>
        </w:rPr>
        <w:t>+</w:t>
      </w:r>
      <w:r w:rsidR="00BD486B">
        <w:rPr>
          <w:lang w:val="en-GB"/>
        </w:rPr>
        <w:t xml:space="preserve"> </w:t>
      </w:r>
      <w:r>
        <w:rPr>
          <w:lang w:val="en-GB"/>
        </w:rPr>
        <w:t>binimetinib and cetuximab) in patients with BRAF</w:t>
      </w:r>
      <w:r w:rsidR="008109D5">
        <w:rPr>
          <w:lang w:val="en-GB"/>
        </w:rPr>
        <w:t xml:space="preserve"> </w:t>
      </w:r>
      <w:r>
        <w:rPr>
          <w:lang w:val="en-GB"/>
        </w:rPr>
        <w:t>V600 mutated disease.</w:t>
      </w:r>
    </w:p>
    <w:p w14:paraId="2FA79438" w14:textId="75FB0F5B" w:rsidR="00CA64D6" w:rsidRPr="00802CC2" w:rsidRDefault="00DB6EFC" w:rsidP="00CA64D6">
      <w:pPr>
        <w:pStyle w:val="Caption"/>
        <w:rPr>
          <w:color w:val="auto"/>
          <w:szCs w:val="20"/>
          <w:lang w:val="en-GB"/>
        </w:rPr>
      </w:pPr>
      <w:r>
        <w:rPr>
          <w:noProof/>
          <w:color w:val="auto"/>
          <w:lang w:eastAsia="en-AU"/>
        </w:rPr>
        <w:drawing>
          <wp:anchor distT="0" distB="0" distL="114300" distR="114300" simplePos="0" relativeHeight="251661312" behindDoc="0" locked="0" layoutInCell="1" allowOverlap="1" wp14:anchorId="432558E4" wp14:editId="27406365">
            <wp:simplePos x="0" y="0"/>
            <wp:positionH relativeFrom="column">
              <wp:posOffset>-635</wp:posOffset>
            </wp:positionH>
            <wp:positionV relativeFrom="paragraph">
              <wp:posOffset>556260</wp:posOffset>
            </wp:positionV>
            <wp:extent cx="6188075" cy="3261360"/>
            <wp:effectExtent l="0" t="0" r="3175" b="0"/>
            <wp:wrapTopAndBottom/>
            <wp:docPr id="2" name="Picture 2" descr="Flow chart"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88075" cy="3261360"/>
                    </a:xfrm>
                    <a:prstGeom prst="rect">
                      <a:avLst/>
                    </a:prstGeom>
                    <a:noFill/>
                    <a:ln>
                      <a:noFill/>
                    </a:ln>
                  </pic:spPr>
                </pic:pic>
              </a:graphicData>
            </a:graphic>
          </wp:anchor>
        </w:drawing>
      </w:r>
      <w:r w:rsidR="00CA64D6" w:rsidRPr="00802CC2">
        <w:rPr>
          <w:color w:val="auto"/>
        </w:rPr>
        <w:t xml:space="preserve">Figure </w:t>
      </w:r>
      <w:r w:rsidR="00CA64D6" w:rsidRPr="00802CC2">
        <w:rPr>
          <w:color w:val="auto"/>
        </w:rPr>
        <w:fldChar w:fldCharType="begin"/>
      </w:r>
      <w:r w:rsidR="00CA64D6" w:rsidRPr="00802CC2">
        <w:rPr>
          <w:color w:val="auto"/>
        </w:rPr>
        <w:instrText xml:space="preserve"> SEQ Figure \* ARABIC </w:instrText>
      </w:r>
      <w:r w:rsidR="00CA64D6" w:rsidRPr="00802CC2">
        <w:rPr>
          <w:color w:val="auto"/>
        </w:rPr>
        <w:fldChar w:fldCharType="separate"/>
      </w:r>
      <w:r w:rsidR="000E7575">
        <w:rPr>
          <w:noProof/>
          <w:color w:val="auto"/>
        </w:rPr>
        <w:t>2</w:t>
      </w:r>
      <w:r w:rsidR="00CA64D6" w:rsidRPr="00802CC2">
        <w:rPr>
          <w:color w:val="auto"/>
        </w:rPr>
        <w:fldChar w:fldCharType="end"/>
      </w:r>
      <w:r w:rsidR="00CA64D6" w:rsidRPr="00802CC2">
        <w:rPr>
          <w:color w:val="auto"/>
        </w:rPr>
        <w:t xml:space="preserve"> Proposed gene mutation testing and treatment pathway for mCRC patients following MSAC approval of BRAF testing and PBAC approval of treatment with encorafenib (+binimetinib and cetuximab)</w:t>
      </w:r>
    </w:p>
    <w:p w14:paraId="4AEE00E9" w14:textId="77777777" w:rsidR="00CA64D6" w:rsidRDefault="00CA64D6" w:rsidP="00BD486B">
      <w:pPr>
        <w:pStyle w:val="ListParagraph"/>
        <w:ind w:left="0"/>
        <w:jc w:val="both"/>
        <w:rPr>
          <w:sz w:val="22"/>
          <w:lang w:val="en-GB"/>
        </w:rPr>
      </w:pPr>
    </w:p>
    <w:p w14:paraId="27A5B8F2" w14:textId="1B376FAF" w:rsidR="005556DA" w:rsidRPr="007535BF" w:rsidRDefault="005556DA" w:rsidP="00255615">
      <w:pPr>
        <w:rPr>
          <w:lang w:val="en-GB"/>
        </w:rPr>
      </w:pPr>
    </w:p>
    <w:p w14:paraId="1BB4EEA3" w14:textId="77777777" w:rsidR="005556DA" w:rsidRPr="007535BF" w:rsidRDefault="005556DA" w:rsidP="005556DA">
      <w:pPr>
        <w:pStyle w:val="Subtitle"/>
        <w:rPr>
          <w:lang w:val="en-GB"/>
        </w:rPr>
      </w:pPr>
      <w:r w:rsidRPr="007535BF">
        <w:rPr>
          <w:lang w:val="en-GB"/>
        </w:rPr>
        <w:t>PART 6d – INFORMATION ABOUT THE CLINICAL OUTCOME</w:t>
      </w:r>
    </w:p>
    <w:p w14:paraId="0733AB13" w14:textId="77777777" w:rsidR="005556DA" w:rsidRPr="007535BF" w:rsidRDefault="005556DA" w:rsidP="005556DA">
      <w:pPr>
        <w:pStyle w:val="Heading2"/>
        <w:rPr>
          <w:lang w:val="en-GB"/>
        </w:rPr>
      </w:pPr>
      <w:r w:rsidRPr="007535BF">
        <w:rPr>
          <w:lang w:val="en-GB"/>
        </w:rPr>
        <w:t>Summarise the clinical claims for the proposed medical service against the appropriate comparator(s), in terms of consequences for health outcomes (comparative benefits and harms):</w:t>
      </w:r>
    </w:p>
    <w:p w14:paraId="49836F03" w14:textId="77777777" w:rsidR="00C83547" w:rsidRDefault="005556DA" w:rsidP="00C83547">
      <w:pPr>
        <w:ind w:left="360"/>
        <w:rPr>
          <w:lang w:val="en-GB"/>
        </w:rPr>
      </w:pPr>
      <w:r w:rsidRPr="007C2693">
        <w:rPr>
          <w:lang w:val="en-GB"/>
        </w:rPr>
        <w:t>The clinical claims are entirely due to the change in pharmaceutical management of patients with BR</w:t>
      </w:r>
      <w:r w:rsidR="007C2693">
        <w:rPr>
          <w:lang w:val="en-GB"/>
        </w:rPr>
        <w:t>AF</w:t>
      </w:r>
      <w:r w:rsidRPr="007C2693">
        <w:rPr>
          <w:lang w:val="en-GB"/>
        </w:rPr>
        <w:t xml:space="preserve"> mutated mCRC and will be expanded in the associated PBAC submission.  </w:t>
      </w:r>
    </w:p>
    <w:p w14:paraId="48E1AC36" w14:textId="46D737C6" w:rsidR="005556DA" w:rsidRPr="007535BF" w:rsidRDefault="005556DA" w:rsidP="00C83547">
      <w:pPr>
        <w:ind w:left="360"/>
        <w:rPr>
          <w:lang w:val="en-GB"/>
        </w:rPr>
      </w:pPr>
      <w:r w:rsidRPr="007535BF">
        <w:rPr>
          <w:lang w:val="en-GB"/>
        </w:rPr>
        <w:t>Please advise if the overall clinical claim is for:</w:t>
      </w:r>
    </w:p>
    <w:p w14:paraId="14986092" w14:textId="77777777" w:rsidR="005556DA" w:rsidRPr="007535BF" w:rsidRDefault="00382D7A" w:rsidP="005556DA">
      <w:pPr>
        <w:spacing w:before="0" w:after="0"/>
        <w:ind w:left="426"/>
        <w:rPr>
          <w:szCs w:val="20"/>
          <w:lang w:val="en-GB"/>
        </w:rPr>
      </w:pPr>
      <w:r>
        <w:rPr>
          <w:szCs w:val="20"/>
          <w:lang w:val="en-GB"/>
        </w:rPr>
        <w:fldChar w:fldCharType="begin">
          <w:ffData>
            <w:name w:val=""/>
            <w:enabled/>
            <w:calcOnExit w:val="0"/>
            <w:checkBox>
              <w:sizeAuto/>
              <w:default w:val="1"/>
            </w:checkBox>
          </w:ffData>
        </w:fldChar>
      </w:r>
      <w:r w:rsidR="005556DA">
        <w:rPr>
          <w:szCs w:val="20"/>
          <w:lang w:val="en-GB"/>
        </w:rPr>
        <w:instrText xml:space="preserve"> FORMCHECKBOX </w:instrText>
      </w:r>
      <w:r w:rsidR="00427E3A">
        <w:rPr>
          <w:szCs w:val="20"/>
          <w:lang w:val="en-GB"/>
        </w:rPr>
      </w:r>
      <w:r w:rsidR="00427E3A">
        <w:rPr>
          <w:szCs w:val="20"/>
          <w:lang w:val="en-GB"/>
        </w:rPr>
        <w:fldChar w:fldCharType="separate"/>
      </w:r>
      <w:r>
        <w:rPr>
          <w:szCs w:val="20"/>
          <w:lang w:val="en-GB"/>
        </w:rPr>
        <w:fldChar w:fldCharType="end"/>
      </w:r>
      <w:r w:rsidR="005556DA" w:rsidRPr="007535BF">
        <w:rPr>
          <w:szCs w:val="20"/>
          <w:lang w:val="en-GB"/>
        </w:rPr>
        <w:t xml:space="preserve"> Superiority</w:t>
      </w:r>
      <w:r w:rsidR="005556DA" w:rsidRPr="007535BF">
        <w:rPr>
          <w:szCs w:val="20"/>
          <w:lang w:val="en-GB"/>
        </w:rPr>
        <w:tab/>
      </w:r>
    </w:p>
    <w:p w14:paraId="34BD896C" w14:textId="77777777" w:rsidR="005556DA" w:rsidRDefault="00382D7A" w:rsidP="005556DA">
      <w:pPr>
        <w:spacing w:before="0" w:after="0"/>
        <w:ind w:left="426"/>
        <w:rPr>
          <w:szCs w:val="20"/>
          <w:lang w:val="en-GB"/>
        </w:rPr>
      </w:pPr>
      <w:r w:rsidRPr="007535BF">
        <w:rPr>
          <w:szCs w:val="20"/>
          <w:lang w:val="en-GB"/>
        </w:rPr>
        <w:fldChar w:fldCharType="begin">
          <w:ffData>
            <w:name w:val="Check1"/>
            <w:enabled/>
            <w:calcOnExit w:val="0"/>
            <w:checkBox>
              <w:sizeAuto/>
              <w:default w:val="0"/>
            </w:checkBox>
          </w:ffData>
        </w:fldChar>
      </w:r>
      <w:r w:rsidR="005556DA" w:rsidRPr="007535BF">
        <w:rPr>
          <w:szCs w:val="20"/>
          <w:lang w:val="en-GB"/>
        </w:rPr>
        <w:instrText xml:space="preserve"> FORMCHECKBOX </w:instrText>
      </w:r>
      <w:r w:rsidR="00427E3A">
        <w:rPr>
          <w:szCs w:val="20"/>
          <w:lang w:val="en-GB"/>
        </w:rPr>
      </w:r>
      <w:r w:rsidR="00427E3A">
        <w:rPr>
          <w:szCs w:val="20"/>
          <w:lang w:val="en-GB"/>
        </w:rPr>
        <w:fldChar w:fldCharType="separate"/>
      </w:r>
      <w:r w:rsidRPr="007535BF">
        <w:rPr>
          <w:szCs w:val="20"/>
          <w:lang w:val="en-GB"/>
        </w:rPr>
        <w:fldChar w:fldCharType="end"/>
      </w:r>
      <w:r w:rsidR="005556DA" w:rsidRPr="007535BF">
        <w:rPr>
          <w:szCs w:val="20"/>
          <w:lang w:val="en-GB"/>
        </w:rPr>
        <w:t xml:space="preserve"> Non-inferiority</w:t>
      </w:r>
      <w:r w:rsidR="005556DA" w:rsidRPr="007535BF">
        <w:rPr>
          <w:szCs w:val="20"/>
          <w:lang w:val="en-GB"/>
        </w:rPr>
        <w:tab/>
      </w:r>
    </w:p>
    <w:p w14:paraId="664DB98B" w14:textId="77777777" w:rsidR="007C2693" w:rsidRPr="007535BF" w:rsidRDefault="007C2693" w:rsidP="005556DA">
      <w:pPr>
        <w:spacing w:before="0" w:after="0"/>
        <w:ind w:left="426"/>
        <w:rPr>
          <w:szCs w:val="20"/>
          <w:lang w:val="en-GB"/>
        </w:rPr>
      </w:pPr>
    </w:p>
    <w:p w14:paraId="4ED3E402" w14:textId="77777777" w:rsidR="005556DA" w:rsidRPr="007535BF" w:rsidRDefault="005556DA" w:rsidP="00255615">
      <w:pPr>
        <w:pStyle w:val="Heading2"/>
        <w:keepNext/>
        <w:ind w:left="357" w:hanging="357"/>
        <w:rPr>
          <w:lang w:val="en-GB"/>
        </w:rPr>
      </w:pPr>
      <w:r w:rsidRPr="007535BF">
        <w:rPr>
          <w:lang w:val="en-GB"/>
        </w:rPr>
        <w:lastRenderedPageBreak/>
        <w:t>Below, list the key health outcomes (major and minor – prioritising major key health outcomes first) that will need to be specifically measured in assessing the clinical claim of the proposed medical service versus the comparator:</w:t>
      </w:r>
    </w:p>
    <w:p w14:paraId="31DF0AC0"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
          <w:szCs w:val="20"/>
          <w:lang w:val="en-GB"/>
        </w:rPr>
      </w:pPr>
      <w:r w:rsidRPr="006C03F9">
        <w:rPr>
          <w:b/>
          <w:szCs w:val="20"/>
          <w:lang w:val="en-GB"/>
        </w:rPr>
        <w:t xml:space="preserve">Safety Outcomes: </w:t>
      </w:r>
    </w:p>
    <w:p w14:paraId="54AC426A"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Cs/>
          <w:szCs w:val="20"/>
          <w:lang w:val="en-GB"/>
        </w:rPr>
      </w:pPr>
      <w:r w:rsidRPr="006C03F9">
        <w:rPr>
          <w:bCs/>
          <w:szCs w:val="20"/>
          <w:lang w:val="en-GB"/>
        </w:rPr>
        <w:t>Toxic effects from subsequent treatment</w:t>
      </w:r>
    </w:p>
    <w:p w14:paraId="6F7CAE1A"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Cs/>
          <w:szCs w:val="20"/>
          <w:lang w:val="en-GB"/>
        </w:rPr>
      </w:pPr>
      <w:r w:rsidRPr="006C03F9">
        <w:rPr>
          <w:bCs/>
          <w:szCs w:val="20"/>
          <w:lang w:val="en-GB"/>
        </w:rPr>
        <w:t>Adverse events associated with biopsy</w:t>
      </w:r>
    </w:p>
    <w:p w14:paraId="1D30143B"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Cs/>
          <w:szCs w:val="20"/>
          <w:lang w:val="en-GB"/>
        </w:rPr>
      </w:pPr>
      <w:r w:rsidRPr="006C03F9">
        <w:rPr>
          <w:bCs/>
          <w:szCs w:val="20"/>
          <w:lang w:val="en-GB"/>
        </w:rPr>
        <w:t xml:space="preserve">Rate of re-biopsy </w:t>
      </w:r>
    </w:p>
    <w:p w14:paraId="5884EDC7"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Cs/>
          <w:szCs w:val="20"/>
          <w:lang w:val="en-GB"/>
        </w:rPr>
      </w:pPr>
      <w:r w:rsidRPr="006C03F9">
        <w:rPr>
          <w:bCs/>
          <w:szCs w:val="20"/>
          <w:lang w:val="en-GB"/>
        </w:rPr>
        <w:t>Impact on patients of false positive and false negative test results</w:t>
      </w:r>
    </w:p>
    <w:p w14:paraId="7EA2DD08"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szCs w:val="20"/>
          <w:lang w:val="en-GB"/>
        </w:rPr>
      </w:pPr>
      <w:r w:rsidRPr="006C03F9">
        <w:rPr>
          <w:b/>
          <w:szCs w:val="20"/>
          <w:lang w:val="en-GB"/>
        </w:rPr>
        <w:t xml:space="preserve">Clinical Effectiveness Outcomes: </w:t>
      </w:r>
    </w:p>
    <w:p w14:paraId="490671C5"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Cs/>
          <w:szCs w:val="20"/>
          <w:lang w:val="en-GB"/>
        </w:rPr>
      </w:pPr>
      <w:r w:rsidRPr="006C03F9">
        <w:rPr>
          <w:bCs/>
          <w:szCs w:val="20"/>
          <w:lang w:val="en-GB"/>
        </w:rPr>
        <w:t>Overall survival (OS)</w:t>
      </w:r>
    </w:p>
    <w:p w14:paraId="174761C5"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Cs/>
          <w:szCs w:val="20"/>
          <w:lang w:val="en-GB"/>
        </w:rPr>
      </w:pPr>
      <w:r w:rsidRPr="006C03F9">
        <w:rPr>
          <w:bCs/>
          <w:szCs w:val="20"/>
          <w:lang w:val="en-GB"/>
        </w:rPr>
        <w:t>Objective response rate (ORR)</w:t>
      </w:r>
    </w:p>
    <w:p w14:paraId="287E75D2"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Cs/>
          <w:szCs w:val="20"/>
          <w:lang w:val="en-GB"/>
        </w:rPr>
      </w:pPr>
      <w:r w:rsidRPr="006C03F9">
        <w:rPr>
          <w:bCs/>
          <w:szCs w:val="20"/>
          <w:lang w:val="en-GB"/>
        </w:rPr>
        <w:t>Progression free survival (PFS)</w:t>
      </w:r>
    </w:p>
    <w:p w14:paraId="167AB60F" w14:textId="77777777" w:rsidR="005556DA" w:rsidRPr="006C03F9" w:rsidRDefault="005556DA" w:rsidP="006C03F9">
      <w:pPr>
        <w:pBdr>
          <w:top w:val="single" w:sz="4" w:space="1" w:color="auto"/>
          <w:left w:val="single" w:sz="4" w:space="4" w:color="auto"/>
          <w:bottom w:val="single" w:sz="4" w:space="1" w:color="auto"/>
          <w:right w:val="single" w:sz="4" w:space="4" w:color="auto"/>
        </w:pBdr>
        <w:ind w:left="357"/>
        <w:rPr>
          <w:b/>
          <w:szCs w:val="20"/>
          <w:lang w:val="en-GB"/>
        </w:rPr>
      </w:pPr>
      <w:r w:rsidRPr="006C03F9">
        <w:rPr>
          <w:b/>
          <w:szCs w:val="20"/>
          <w:lang w:val="en-GB"/>
        </w:rPr>
        <w:t>Analytic validity</w:t>
      </w:r>
    </w:p>
    <w:p w14:paraId="320A3135" w14:textId="329BD3DB" w:rsidR="007C2693" w:rsidRPr="006C03F9" w:rsidRDefault="005556DA" w:rsidP="006C03F9">
      <w:pPr>
        <w:pBdr>
          <w:top w:val="single" w:sz="4" w:space="1" w:color="auto"/>
          <w:left w:val="single" w:sz="4" w:space="4" w:color="auto"/>
          <w:bottom w:val="single" w:sz="4" w:space="1" w:color="auto"/>
          <w:right w:val="single" w:sz="4" w:space="4" w:color="auto"/>
        </w:pBdr>
        <w:ind w:left="357"/>
        <w:rPr>
          <w:bCs/>
          <w:szCs w:val="20"/>
          <w:lang w:val="en-GB"/>
        </w:rPr>
      </w:pPr>
      <w:r w:rsidRPr="006C03F9">
        <w:rPr>
          <w:bCs/>
          <w:szCs w:val="20"/>
          <w:lang w:val="en-GB"/>
        </w:rPr>
        <w:t>It is anticipated that data will be presented to demonstrate the analytic accuracy of Australian tests in colorectal specimens and a comparison of the test methodology between Australian laboratories and the test methodology used in the Phase 3 pivotal clinical trial (BEACON).</w:t>
      </w:r>
    </w:p>
    <w:p w14:paraId="4C0E94A5" w14:textId="77777777" w:rsidR="005556DA" w:rsidRDefault="005556DA" w:rsidP="005556DA">
      <w:pPr>
        <w:rPr>
          <w:lang w:val="en-GB"/>
        </w:rPr>
      </w:pPr>
    </w:p>
    <w:p w14:paraId="66696856" w14:textId="77777777" w:rsidR="00751615" w:rsidRDefault="00751615">
      <w:pPr>
        <w:spacing w:before="0" w:after="200" w:line="276" w:lineRule="auto"/>
        <w:rPr>
          <w:bCs/>
          <w:color w:val="4472C4" w:themeColor="accent1"/>
          <w:sz w:val="40"/>
          <w:szCs w:val="32"/>
        </w:rPr>
      </w:pPr>
      <w:r>
        <w:br w:type="page"/>
      </w:r>
    </w:p>
    <w:p w14:paraId="74D4A8BF" w14:textId="77777777" w:rsidR="00751615" w:rsidRPr="00C776B1" w:rsidRDefault="00751615" w:rsidP="00751615">
      <w:pPr>
        <w:pStyle w:val="Heading1"/>
      </w:pPr>
      <w:r>
        <w:lastRenderedPageBreak/>
        <w:t xml:space="preserve">PART 7 – </w:t>
      </w:r>
      <w:r w:rsidRPr="00C776B1">
        <w:t>INFORMATION ABOUT ESTIMATED UTILISATION</w:t>
      </w:r>
    </w:p>
    <w:p w14:paraId="1D5A8ABE" w14:textId="77777777" w:rsidR="00751615" w:rsidRPr="00092580" w:rsidRDefault="00751615" w:rsidP="00751615">
      <w:pPr>
        <w:pStyle w:val="Heading2"/>
      </w:pPr>
      <w:r w:rsidRPr="00092580">
        <w:t xml:space="preserve">Estimate the prevalence and/or incidence of </w:t>
      </w:r>
      <w:r>
        <w:t>the proposed population:</w:t>
      </w:r>
    </w:p>
    <w:p w14:paraId="35896F78" w14:textId="77777777" w:rsidR="00751615" w:rsidRPr="00751615" w:rsidRDefault="00751615" w:rsidP="004E20FB">
      <w:pPr>
        <w:ind w:left="360"/>
      </w:pPr>
      <w:bookmarkStart w:id="10" w:name="_Hlk24402949"/>
      <w:r w:rsidRPr="00751615">
        <w:t xml:space="preserve">The proposed population are patients with </w:t>
      </w:r>
      <w:r w:rsidR="008109D5">
        <w:t>mCRC (</w:t>
      </w:r>
      <w:r w:rsidRPr="00751615">
        <w:t>Stage IV</w:t>
      </w:r>
      <w:r w:rsidR="008109D5">
        <w:t>)</w:t>
      </w:r>
      <w:r w:rsidRPr="00751615">
        <w:t xml:space="preserve">. In 2015, there were 15,604 new cases of </w:t>
      </w:r>
      <w:r w:rsidR="008109D5">
        <w:t>CRC</w:t>
      </w:r>
      <w:r w:rsidRPr="00751615">
        <w:t xml:space="preserve"> diagnosed in Australia (</w:t>
      </w:r>
      <w:r w:rsidRPr="00751615">
        <w:rPr>
          <w:iCs/>
        </w:rPr>
        <w:t>AIHW 2018, AIHW 2019</w:t>
      </w:r>
      <w:r w:rsidRPr="00751615">
        <w:t xml:space="preserve">). In 2019, it is estimated that 16,398 new cases of colorectal cancer will be diagnosed in Australia. </w:t>
      </w:r>
    </w:p>
    <w:p w14:paraId="581DAF44" w14:textId="62A3EABA" w:rsidR="001971E5" w:rsidRPr="00587236" w:rsidRDefault="00751615" w:rsidP="004E20FB">
      <w:pPr>
        <w:ind w:left="360"/>
        <w:rPr>
          <w:rFonts w:cs="Arial"/>
        </w:rPr>
      </w:pPr>
      <w:r w:rsidRPr="001971E5">
        <w:t xml:space="preserve">Although large numbers of new cases of </w:t>
      </w:r>
      <w:r w:rsidR="008109D5" w:rsidRPr="001971E5">
        <w:t>CRC</w:t>
      </w:r>
      <w:r w:rsidRPr="001971E5">
        <w:t xml:space="preserve"> are diagnosed each year, a smaller proportion of patients </w:t>
      </w:r>
      <w:r w:rsidR="004D4B7D" w:rsidRPr="001971E5">
        <w:t xml:space="preserve">will have mCRC that is not resectable, and so a smaller number will undergo </w:t>
      </w:r>
      <w:r w:rsidRPr="001971E5">
        <w:t xml:space="preserve">testing for genomic alterations to determine eligibility for specific targeted therapies. </w:t>
      </w:r>
      <w:r w:rsidR="00A45245" w:rsidRPr="001971E5">
        <w:t xml:space="preserve"> </w:t>
      </w:r>
      <w:r w:rsidR="00A45245" w:rsidRPr="00B124EC">
        <w:t xml:space="preserve">An Australian </w:t>
      </w:r>
      <w:r w:rsidR="001971E5" w:rsidRPr="00B124EC">
        <w:t xml:space="preserve">population </w:t>
      </w:r>
      <w:r w:rsidR="00A45245" w:rsidRPr="00B124EC">
        <w:t xml:space="preserve">study </w:t>
      </w:r>
      <w:r w:rsidR="001971E5" w:rsidRPr="00B124EC">
        <w:t xml:space="preserve">of the NSW </w:t>
      </w:r>
      <w:r w:rsidR="00A45245" w:rsidRPr="00B124EC">
        <w:rPr>
          <w:rFonts w:cs="Arial"/>
        </w:rPr>
        <w:t xml:space="preserve">Cancer Registry </w:t>
      </w:r>
      <w:r w:rsidR="001971E5" w:rsidRPr="00B124EC">
        <w:rPr>
          <w:rFonts w:cs="Arial"/>
        </w:rPr>
        <w:t xml:space="preserve">of patients </w:t>
      </w:r>
      <w:r w:rsidR="00A45245" w:rsidRPr="00B124EC">
        <w:rPr>
          <w:rFonts w:cs="Arial"/>
        </w:rPr>
        <w:t>diagnosed during 2000-2007 were followed to December 2011 for subsequent metastases</w:t>
      </w:r>
      <w:r w:rsidR="001971E5" w:rsidRPr="00B124EC">
        <w:rPr>
          <w:rFonts w:cs="Arial"/>
        </w:rPr>
        <w:t>:</w:t>
      </w:r>
      <w:r w:rsidR="00A45245" w:rsidRPr="00B124EC">
        <w:rPr>
          <w:rFonts w:cs="Arial"/>
        </w:rPr>
        <w:t xml:space="preserve"> 26.4% of the cases initially diagnosed with localised or regional colon cancer had developed metastatic disease, as had 29.5% of the rectal cancer cases</w:t>
      </w:r>
      <w:r w:rsidR="004E20FB">
        <w:rPr>
          <w:rFonts w:cs="Arial"/>
        </w:rPr>
        <w:t>.</w:t>
      </w:r>
      <w:r w:rsidR="001971E5" w:rsidRPr="00B124EC">
        <w:rPr>
          <w:rStyle w:val="FootnoteReference"/>
          <w:rFonts w:cs="Arial"/>
          <w:sz w:val="22"/>
        </w:rPr>
        <w:footnoteReference w:id="17"/>
      </w:r>
      <w:r w:rsidR="000A4F47" w:rsidRPr="00B124EC">
        <w:rPr>
          <w:rFonts w:cs="Arial"/>
        </w:rPr>
        <w:t xml:space="preserve">  </w:t>
      </w:r>
      <w:r w:rsidR="000A4F47" w:rsidRPr="00587236">
        <w:rPr>
          <w:rFonts w:cs="Arial"/>
        </w:rPr>
        <w:t>Anoth</w:t>
      </w:r>
      <w:r w:rsidR="009D519C" w:rsidRPr="00587236">
        <w:rPr>
          <w:rFonts w:cs="Arial"/>
        </w:rPr>
        <w:t>e</w:t>
      </w:r>
      <w:r w:rsidR="000A4F47" w:rsidRPr="00587236">
        <w:rPr>
          <w:rFonts w:cs="Arial"/>
        </w:rPr>
        <w:t xml:space="preserve">r study </w:t>
      </w:r>
      <w:r w:rsidR="009D519C" w:rsidRPr="00587236">
        <w:rPr>
          <w:rFonts w:cs="Arial"/>
        </w:rPr>
        <w:t xml:space="preserve">states that </w:t>
      </w:r>
      <w:r w:rsidR="009D519C" w:rsidRPr="00587236">
        <w:rPr>
          <w:rFonts w:cs="Lucida Sans Unicode"/>
          <w:shd w:val="clear" w:color="auto" w:fill="FFFFFF"/>
        </w:rPr>
        <w:t>20% (to possibly 50%)</w:t>
      </w:r>
      <w:r w:rsidR="0099753A" w:rsidRPr="00587236">
        <w:rPr>
          <w:rFonts w:cs="Lucida Sans Unicode"/>
          <w:shd w:val="clear" w:color="auto" w:fill="FFFFFF"/>
        </w:rPr>
        <w:t xml:space="preserve"> of patients</w:t>
      </w:r>
      <w:r w:rsidR="009D519C" w:rsidRPr="00587236">
        <w:rPr>
          <w:rFonts w:cs="Lucida Sans Unicode"/>
          <w:shd w:val="clear" w:color="auto" w:fill="FFFFFF"/>
        </w:rPr>
        <w:t xml:space="preserve"> with stage II or III disease will progress to stage IV at some point during the course of their disease</w:t>
      </w:r>
      <w:r w:rsidR="004E20FB">
        <w:rPr>
          <w:rFonts w:cs="Lucida Sans Unicode"/>
          <w:shd w:val="clear" w:color="auto" w:fill="FFFFFF"/>
        </w:rPr>
        <w:t>.</w:t>
      </w:r>
      <w:r w:rsidR="009D519C" w:rsidRPr="00587236">
        <w:rPr>
          <w:rStyle w:val="FootnoteReference"/>
          <w:rFonts w:cs="Lucida Sans Unicode"/>
          <w:sz w:val="22"/>
          <w:shd w:val="clear" w:color="auto" w:fill="FFFFFF"/>
        </w:rPr>
        <w:footnoteReference w:id="18"/>
      </w:r>
      <w:r w:rsidR="009D519C" w:rsidRPr="00587236">
        <w:rPr>
          <w:rFonts w:cs="Lucida Sans Unicode"/>
          <w:shd w:val="clear" w:color="auto" w:fill="FFFFFF"/>
        </w:rPr>
        <w:t xml:space="preserve">  </w:t>
      </w:r>
      <w:r w:rsidR="009D519C" w:rsidRPr="00587236">
        <w:rPr>
          <w:rFonts w:cs="Arial"/>
        </w:rPr>
        <w:t>Therefore, a rough average of 20 - 26% of CRC will develop into metastatic disease, or approximately 3,200 to 4,160 cases.</w:t>
      </w:r>
    </w:p>
    <w:p w14:paraId="0877EF6E" w14:textId="77777777" w:rsidR="00751615" w:rsidRPr="00751615" w:rsidRDefault="00751615" w:rsidP="004E20FB">
      <w:pPr>
        <w:ind w:left="360"/>
      </w:pPr>
      <w:r w:rsidRPr="001971E5">
        <w:t>The subset of cancer patients to be included in the proposed population can be determined from</w:t>
      </w:r>
      <w:r w:rsidRPr="00751615">
        <w:t xml:space="preserve"> services currently undertaken for MBS item 73338 as BRAF testing is routinely performed with RAS testing (under item 73338), utilising next generation sequence panels. </w:t>
      </w:r>
    </w:p>
    <w:tbl>
      <w:tblPr>
        <w:tblStyle w:val="TableGrid"/>
        <w:tblW w:w="4845" w:type="pct"/>
        <w:tblInd w:w="279" w:type="dxa"/>
        <w:tblLook w:val="04A0" w:firstRow="1" w:lastRow="0" w:firstColumn="1" w:lastColumn="0" w:noHBand="0" w:noVBand="1"/>
        <w:tblCaption w:val="Table"/>
        <w:tblDescription w:val="Number of services"/>
      </w:tblPr>
      <w:tblGrid>
        <w:gridCol w:w="4613"/>
        <w:gridCol w:w="4124"/>
      </w:tblGrid>
      <w:tr w:rsidR="00751615" w:rsidRPr="00DC172E" w14:paraId="66381C9D" w14:textId="77777777" w:rsidTr="00AA02A6">
        <w:trPr>
          <w:trHeight w:val="300"/>
          <w:tblHeader/>
        </w:trPr>
        <w:tc>
          <w:tcPr>
            <w:tcW w:w="2640" w:type="pct"/>
            <w:shd w:val="clear" w:color="auto" w:fill="D9D9D9" w:themeFill="background1" w:themeFillShade="D9"/>
            <w:hideMark/>
          </w:tcPr>
          <w:p w14:paraId="4D7A46E9" w14:textId="77777777" w:rsidR="00751615" w:rsidRPr="004E20FB" w:rsidRDefault="00751615" w:rsidP="00AF066D">
            <w:pPr>
              <w:pStyle w:val="Default"/>
              <w:rPr>
                <w:rFonts w:asciiTheme="minorHAnsi" w:hAnsiTheme="minorHAnsi" w:cstheme="minorHAnsi"/>
                <w:b/>
                <w:bCs/>
                <w:sz w:val="20"/>
                <w:szCs w:val="16"/>
              </w:rPr>
            </w:pPr>
            <w:r w:rsidRPr="004E20FB">
              <w:rPr>
                <w:rFonts w:asciiTheme="minorHAnsi" w:hAnsiTheme="minorHAnsi" w:cstheme="minorHAnsi"/>
                <w:b/>
                <w:bCs/>
                <w:sz w:val="20"/>
                <w:szCs w:val="16"/>
              </w:rPr>
              <w:t> Year</w:t>
            </w:r>
          </w:p>
        </w:tc>
        <w:tc>
          <w:tcPr>
            <w:tcW w:w="2360" w:type="pct"/>
            <w:shd w:val="clear" w:color="auto" w:fill="D9D9D9" w:themeFill="background1" w:themeFillShade="D9"/>
            <w:hideMark/>
          </w:tcPr>
          <w:p w14:paraId="66FF2B97" w14:textId="77777777" w:rsidR="00751615" w:rsidRPr="004E20FB" w:rsidRDefault="00751615" w:rsidP="00AF066D">
            <w:pPr>
              <w:pStyle w:val="Default"/>
              <w:jc w:val="center"/>
              <w:rPr>
                <w:rFonts w:asciiTheme="minorHAnsi" w:hAnsiTheme="minorHAnsi" w:cstheme="minorHAnsi"/>
                <w:b/>
                <w:bCs/>
                <w:sz w:val="20"/>
                <w:szCs w:val="16"/>
              </w:rPr>
            </w:pPr>
            <w:r w:rsidRPr="004E20FB">
              <w:rPr>
                <w:rFonts w:asciiTheme="minorHAnsi" w:hAnsiTheme="minorHAnsi" w:cstheme="minorHAnsi"/>
                <w:b/>
                <w:bCs/>
                <w:sz w:val="20"/>
                <w:szCs w:val="16"/>
              </w:rPr>
              <w:t>Total Services</w:t>
            </w:r>
          </w:p>
        </w:tc>
      </w:tr>
      <w:tr w:rsidR="00751615" w:rsidRPr="00DC172E" w14:paraId="2FAF03FC" w14:textId="77777777" w:rsidTr="006C03F9">
        <w:trPr>
          <w:trHeight w:val="300"/>
        </w:trPr>
        <w:tc>
          <w:tcPr>
            <w:tcW w:w="2640" w:type="pct"/>
            <w:hideMark/>
          </w:tcPr>
          <w:p w14:paraId="11AEAE4C" w14:textId="77777777" w:rsidR="00751615" w:rsidRPr="004E20FB" w:rsidRDefault="00751615" w:rsidP="00AF066D">
            <w:pPr>
              <w:pStyle w:val="Default"/>
              <w:rPr>
                <w:rFonts w:asciiTheme="minorHAnsi" w:hAnsiTheme="minorHAnsi" w:cstheme="minorHAnsi"/>
                <w:b/>
                <w:bCs/>
                <w:sz w:val="20"/>
                <w:szCs w:val="16"/>
              </w:rPr>
            </w:pPr>
            <w:r w:rsidRPr="004E20FB">
              <w:rPr>
                <w:rFonts w:asciiTheme="minorHAnsi" w:hAnsiTheme="minorHAnsi" w:cstheme="minorHAnsi"/>
                <w:b/>
                <w:bCs/>
                <w:sz w:val="20"/>
                <w:szCs w:val="16"/>
              </w:rPr>
              <w:t>2013/2014</w:t>
            </w:r>
          </w:p>
        </w:tc>
        <w:tc>
          <w:tcPr>
            <w:tcW w:w="2360" w:type="pct"/>
            <w:hideMark/>
          </w:tcPr>
          <w:p w14:paraId="7561455D" w14:textId="77777777" w:rsidR="00751615" w:rsidRPr="004E20FB" w:rsidRDefault="00751615" w:rsidP="00AF066D">
            <w:pPr>
              <w:pStyle w:val="Default"/>
              <w:jc w:val="center"/>
              <w:rPr>
                <w:rFonts w:asciiTheme="minorHAnsi" w:hAnsiTheme="minorHAnsi" w:cstheme="minorHAnsi"/>
                <w:sz w:val="20"/>
                <w:szCs w:val="16"/>
              </w:rPr>
            </w:pPr>
            <w:r w:rsidRPr="004E20FB">
              <w:rPr>
                <w:rFonts w:asciiTheme="minorHAnsi" w:hAnsiTheme="minorHAnsi" w:cstheme="minorHAnsi"/>
                <w:sz w:val="20"/>
                <w:szCs w:val="16"/>
              </w:rPr>
              <w:t>52</w:t>
            </w:r>
          </w:p>
        </w:tc>
      </w:tr>
      <w:tr w:rsidR="00751615" w:rsidRPr="00DC172E" w14:paraId="1C17DA8C" w14:textId="77777777" w:rsidTr="006C03F9">
        <w:trPr>
          <w:trHeight w:val="300"/>
        </w:trPr>
        <w:tc>
          <w:tcPr>
            <w:tcW w:w="2640" w:type="pct"/>
            <w:hideMark/>
          </w:tcPr>
          <w:p w14:paraId="6838B67B" w14:textId="77777777" w:rsidR="00751615" w:rsidRPr="004E20FB" w:rsidRDefault="00751615" w:rsidP="00AF066D">
            <w:pPr>
              <w:pStyle w:val="Default"/>
              <w:rPr>
                <w:rFonts w:asciiTheme="minorHAnsi" w:hAnsiTheme="minorHAnsi" w:cstheme="minorHAnsi"/>
                <w:b/>
                <w:bCs/>
                <w:sz w:val="20"/>
                <w:szCs w:val="16"/>
              </w:rPr>
            </w:pPr>
            <w:r w:rsidRPr="004E20FB">
              <w:rPr>
                <w:rFonts w:asciiTheme="minorHAnsi" w:hAnsiTheme="minorHAnsi" w:cstheme="minorHAnsi"/>
                <w:b/>
                <w:bCs/>
                <w:sz w:val="20"/>
                <w:szCs w:val="16"/>
              </w:rPr>
              <w:t>2014/2015</w:t>
            </w:r>
          </w:p>
        </w:tc>
        <w:tc>
          <w:tcPr>
            <w:tcW w:w="2360" w:type="pct"/>
            <w:hideMark/>
          </w:tcPr>
          <w:p w14:paraId="62BD8804" w14:textId="77777777" w:rsidR="00751615" w:rsidRPr="004E20FB" w:rsidRDefault="00751615" w:rsidP="00AF066D">
            <w:pPr>
              <w:pStyle w:val="Default"/>
              <w:jc w:val="center"/>
              <w:rPr>
                <w:rFonts w:asciiTheme="minorHAnsi" w:hAnsiTheme="minorHAnsi" w:cstheme="minorHAnsi"/>
                <w:sz w:val="20"/>
                <w:szCs w:val="16"/>
              </w:rPr>
            </w:pPr>
            <w:r w:rsidRPr="004E20FB">
              <w:rPr>
                <w:rFonts w:asciiTheme="minorHAnsi" w:hAnsiTheme="minorHAnsi" w:cstheme="minorHAnsi"/>
                <w:sz w:val="20"/>
                <w:szCs w:val="16"/>
              </w:rPr>
              <w:t>1,462</w:t>
            </w:r>
          </w:p>
        </w:tc>
      </w:tr>
      <w:tr w:rsidR="00751615" w:rsidRPr="00DC172E" w14:paraId="27CCFA0A" w14:textId="77777777" w:rsidTr="006C03F9">
        <w:trPr>
          <w:trHeight w:val="300"/>
        </w:trPr>
        <w:tc>
          <w:tcPr>
            <w:tcW w:w="2640" w:type="pct"/>
            <w:hideMark/>
          </w:tcPr>
          <w:p w14:paraId="5A27DF36" w14:textId="77777777" w:rsidR="00751615" w:rsidRPr="004E20FB" w:rsidRDefault="00751615" w:rsidP="00AF066D">
            <w:pPr>
              <w:pStyle w:val="Default"/>
              <w:rPr>
                <w:rFonts w:asciiTheme="minorHAnsi" w:hAnsiTheme="minorHAnsi" w:cstheme="minorHAnsi"/>
                <w:b/>
                <w:bCs/>
                <w:sz w:val="20"/>
                <w:szCs w:val="16"/>
              </w:rPr>
            </w:pPr>
            <w:r w:rsidRPr="004E20FB">
              <w:rPr>
                <w:rFonts w:asciiTheme="minorHAnsi" w:hAnsiTheme="minorHAnsi" w:cstheme="minorHAnsi"/>
                <w:b/>
                <w:bCs/>
                <w:sz w:val="20"/>
                <w:szCs w:val="16"/>
              </w:rPr>
              <w:t>2015/2016</w:t>
            </w:r>
          </w:p>
        </w:tc>
        <w:tc>
          <w:tcPr>
            <w:tcW w:w="2360" w:type="pct"/>
            <w:hideMark/>
          </w:tcPr>
          <w:p w14:paraId="46AAF6DB" w14:textId="77777777" w:rsidR="00751615" w:rsidRPr="004E20FB" w:rsidRDefault="00751615" w:rsidP="00AF066D">
            <w:pPr>
              <w:pStyle w:val="Default"/>
              <w:jc w:val="center"/>
              <w:rPr>
                <w:rFonts w:asciiTheme="minorHAnsi" w:hAnsiTheme="minorHAnsi" w:cstheme="minorHAnsi"/>
                <w:sz w:val="20"/>
                <w:szCs w:val="16"/>
              </w:rPr>
            </w:pPr>
            <w:r w:rsidRPr="004E20FB">
              <w:rPr>
                <w:rFonts w:asciiTheme="minorHAnsi" w:hAnsiTheme="minorHAnsi" w:cstheme="minorHAnsi"/>
                <w:sz w:val="20"/>
                <w:szCs w:val="16"/>
              </w:rPr>
              <w:t>2,844</w:t>
            </w:r>
          </w:p>
        </w:tc>
      </w:tr>
      <w:tr w:rsidR="00751615" w:rsidRPr="00DC172E" w14:paraId="2F7BE107" w14:textId="77777777" w:rsidTr="006C03F9">
        <w:trPr>
          <w:trHeight w:val="300"/>
        </w:trPr>
        <w:tc>
          <w:tcPr>
            <w:tcW w:w="2640" w:type="pct"/>
            <w:hideMark/>
          </w:tcPr>
          <w:p w14:paraId="7DA11A3C" w14:textId="77777777" w:rsidR="00751615" w:rsidRPr="004E20FB" w:rsidRDefault="00751615" w:rsidP="00AF066D">
            <w:pPr>
              <w:pStyle w:val="Default"/>
              <w:rPr>
                <w:rFonts w:asciiTheme="minorHAnsi" w:hAnsiTheme="minorHAnsi" w:cstheme="minorHAnsi"/>
                <w:b/>
                <w:bCs/>
                <w:sz w:val="20"/>
                <w:szCs w:val="16"/>
              </w:rPr>
            </w:pPr>
            <w:r w:rsidRPr="004E20FB">
              <w:rPr>
                <w:rFonts w:asciiTheme="minorHAnsi" w:hAnsiTheme="minorHAnsi" w:cstheme="minorHAnsi"/>
                <w:b/>
                <w:bCs/>
                <w:sz w:val="20"/>
                <w:szCs w:val="16"/>
              </w:rPr>
              <w:t>2016/2017</w:t>
            </w:r>
          </w:p>
        </w:tc>
        <w:tc>
          <w:tcPr>
            <w:tcW w:w="2360" w:type="pct"/>
            <w:hideMark/>
          </w:tcPr>
          <w:p w14:paraId="28787060" w14:textId="77777777" w:rsidR="00751615" w:rsidRPr="004E20FB" w:rsidRDefault="00751615" w:rsidP="00AF066D">
            <w:pPr>
              <w:pStyle w:val="Default"/>
              <w:jc w:val="center"/>
              <w:rPr>
                <w:rFonts w:asciiTheme="minorHAnsi" w:hAnsiTheme="minorHAnsi" w:cstheme="minorHAnsi"/>
                <w:sz w:val="20"/>
                <w:szCs w:val="16"/>
              </w:rPr>
            </w:pPr>
            <w:r w:rsidRPr="004E20FB">
              <w:rPr>
                <w:rFonts w:asciiTheme="minorHAnsi" w:hAnsiTheme="minorHAnsi" w:cstheme="minorHAnsi"/>
                <w:sz w:val="20"/>
                <w:szCs w:val="16"/>
              </w:rPr>
              <w:t>2,397</w:t>
            </w:r>
          </w:p>
        </w:tc>
      </w:tr>
      <w:tr w:rsidR="00751615" w:rsidRPr="00DC172E" w14:paraId="40DBF38B" w14:textId="77777777" w:rsidTr="006C03F9">
        <w:trPr>
          <w:trHeight w:val="300"/>
        </w:trPr>
        <w:tc>
          <w:tcPr>
            <w:tcW w:w="2640" w:type="pct"/>
            <w:hideMark/>
          </w:tcPr>
          <w:p w14:paraId="3E748E54" w14:textId="77777777" w:rsidR="00751615" w:rsidRPr="004E20FB" w:rsidRDefault="00751615" w:rsidP="00AF066D">
            <w:pPr>
              <w:pStyle w:val="Default"/>
              <w:rPr>
                <w:rFonts w:asciiTheme="minorHAnsi" w:hAnsiTheme="minorHAnsi" w:cstheme="minorHAnsi"/>
                <w:b/>
                <w:bCs/>
                <w:sz w:val="20"/>
                <w:szCs w:val="16"/>
              </w:rPr>
            </w:pPr>
            <w:r w:rsidRPr="004E20FB">
              <w:rPr>
                <w:rFonts w:asciiTheme="minorHAnsi" w:hAnsiTheme="minorHAnsi" w:cstheme="minorHAnsi"/>
                <w:b/>
                <w:bCs/>
                <w:sz w:val="20"/>
                <w:szCs w:val="16"/>
              </w:rPr>
              <w:t>2017/2018</w:t>
            </w:r>
          </w:p>
        </w:tc>
        <w:tc>
          <w:tcPr>
            <w:tcW w:w="2360" w:type="pct"/>
            <w:hideMark/>
          </w:tcPr>
          <w:p w14:paraId="1884FC9E" w14:textId="77777777" w:rsidR="00751615" w:rsidRPr="004E20FB" w:rsidRDefault="00751615" w:rsidP="00AF066D">
            <w:pPr>
              <w:pStyle w:val="Default"/>
              <w:jc w:val="center"/>
              <w:rPr>
                <w:rFonts w:asciiTheme="minorHAnsi" w:hAnsiTheme="minorHAnsi" w:cstheme="minorHAnsi"/>
                <w:sz w:val="20"/>
                <w:szCs w:val="16"/>
              </w:rPr>
            </w:pPr>
            <w:r w:rsidRPr="004E20FB">
              <w:rPr>
                <w:rFonts w:asciiTheme="minorHAnsi" w:hAnsiTheme="minorHAnsi" w:cstheme="minorHAnsi"/>
                <w:sz w:val="20"/>
                <w:szCs w:val="16"/>
              </w:rPr>
              <w:t>2,187</w:t>
            </w:r>
          </w:p>
        </w:tc>
      </w:tr>
      <w:tr w:rsidR="00751615" w:rsidRPr="00DC172E" w14:paraId="4DAFBE05" w14:textId="77777777" w:rsidTr="006C03F9">
        <w:trPr>
          <w:trHeight w:val="300"/>
        </w:trPr>
        <w:tc>
          <w:tcPr>
            <w:tcW w:w="2640" w:type="pct"/>
            <w:hideMark/>
          </w:tcPr>
          <w:p w14:paraId="511AF389" w14:textId="77777777" w:rsidR="00751615" w:rsidRPr="004E20FB" w:rsidRDefault="00751615" w:rsidP="00AF066D">
            <w:pPr>
              <w:pStyle w:val="Default"/>
              <w:rPr>
                <w:rFonts w:asciiTheme="minorHAnsi" w:hAnsiTheme="minorHAnsi" w:cstheme="minorHAnsi"/>
                <w:b/>
                <w:bCs/>
                <w:sz w:val="20"/>
                <w:szCs w:val="16"/>
              </w:rPr>
            </w:pPr>
            <w:r w:rsidRPr="004E20FB">
              <w:rPr>
                <w:rFonts w:asciiTheme="minorHAnsi" w:hAnsiTheme="minorHAnsi" w:cstheme="minorHAnsi"/>
                <w:b/>
                <w:bCs/>
                <w:sz w:val="20"/>
                <w:szCs w:val="16"/>
              </w:rPr>
              <w:t>2018/2019</w:t>
            </w:r>
          </w:p>
        </w:tc>
        <w:tc>
          <w:tcPr>
            <w:tcW w:w="2360" w:type="pct"/>
            <w:hideMark/>
          </w:tcPr>
          <w:p w14:paraId="11FDB905" w14:textId="77777777" w:rsidR="00751615" w:rsidRPr="004E20FB" w:rsidRDefault="00751615" w:rsidP="00AF066D">
            <w:pPr>
              <w:pStyle w:val="Default"/>
              <w:jc w:val="center"/>
              <w:rPr>
                <w:rFonts w:asciiTheme="minorHAnsi" w:hAnsiTheme="minorHAnsi" w:cstheme="minorHAnsi"/>
                <w:sz w:val="20"/>
                <w:szCs w:val="16"/>
              </w:rPr>
            </w:pPr>
            <w:r w:rsidRPr="004E20FB">
              <w:rPr>
                <w:rFonts w:asciiTheme="minorHAnsi" w:hAnsiTheme="minorHAnsi" w:cstheme="minorHAnsi"/>
                <w:sz w:val="20"/>
                <w:szCs w:val="16"/>
              </w:rPr>
              <w:t>2,434</w:t>
            </w:r>
          </w:p>
        </w:tc>
      </w:tr>
      <w:tr w:rsidR="00751615" w:rsidRPr="00DC172E" w14:paraId="0C59F7DF" w14:textId="77777777" w:rsidTr="006C03F9">
        <w:trPr>
          <w:trHeight w:val="315"/>
        </w:trPr>
        <w:tc>
          <w:tcPr>
            <w:tcW w:w="2640" w:type="pct"/>
            <w:vAlign w:val="center"/>
            <w:hideMark/>
          </w:tcPr>
          <w:p w14:paraId="6A19B169" w14:textId="77777777" w:rsidR="00751615" w:rsidRPr="004E20FB" w:rsidRDefault="00751615" w:rsidP="00AF066D">
            <w:pPr>
              <w:pStyle w:val="Default"/>
              <w:jc w:val="right"/>
              <w:rPr>
                <w:rFonts w:asciiTheme="minorHAnsi" w:hAnsiTheme="minorHAnsi" w:cstheme="minorHAnsi"/>
                <w:b/>
                <w:bCs/>
                <w:sz w:val="20"/>
                <w:szCs w:val="16"/>
              </w:rPr>
            </w:pPr>
            <w:r w:rsidRPr="004E20FB">
              <w:rPr>
                <w:rFonts w:asciiTheme="minorHAnsi" w:hAnsiTheme="minorHAnsi" w:cstheme="minorHAnsi"/>
                <w:b/>
                <w:bCs/>
                <w:sz w:val="20"/>
                <w:szCs w:val="16"/>
              </w:rPr>
              <w:t>Total</w:t>
            </w:r>
          </w:p>
        </w:tc>
        <w:tc>
          <w:tcPr>
            <w:tcW w:w="2360" w:type="pct"/>
            <w:hideMark/>
          </w:tcPr>
          <w:p w14:paraId="76B8030D" w14:textId="77777777" w:rsidR="00751615" w:rsidRPr="004E20FB" w:rsidRDefault="00751615" w:rsidP="00AF066D">
            <w:pPr>
              <w:pStyle w:val="Default"/>
              <w:jc w:val="center"/>
              <w:rPr>
                <w:rFonts w:asciiTheme="minorHAnsi" w:hAnsiTheme="minorHAnsi" w:cstheme="minorHAnsi"/>
                <w:sz w:val="20"/>
                <w:szCs w:val="16"/>
              </w:rPr>
            </w:pPr>
            <w:r w:rsidRPr="004E20FB">
              <w:rPr>
                <w:rFonts w:asciiTheme="minorHAnsi" w:hAnsiTheme="minorHAnsi" w:cstheme="minorHAnsi"/>
                <w:sz w:val="20"/>
                <w:szCs w:val="16"/>
              </w:rPr>
              <w:t>11,376</w:t>
            </w:r>
          </w:p>
        </w:tc>
      </w:tr>
      <w:tr w:rsidR="00751615" w:rsidRPr="00DC172E" w14:paraId="77BCE84A" w14:textId="77777777" w:rsidTr="006C03F9">
        <w:trPr>
          <w:trHeight w:val="315"/>
        </w:trPr>
        <w:tc>
          <w:tcPr>
            <w:tcW w:w="2640" w:type="pct"/>
            <w:vAlign w:val="center"/>
          </w:tcPr>
          <w:p w14:paraId="7286DA16" w14:textId="77777777" w:rsidR="00751615" w:rsidRPr="004E20FB" w:rsidRDefault="00751615" w:rsidP="00AF066D">
            <w:pPr>
              <w:pStyle w:val="Default"/>
              <w:jc w:val="right"/>
              <w:rPr>
                <w:rFonts w:asciiTheme="minorHAnsi" w:hAnsiTheme="minorHAnsi" w:cstheme="minorHAnsi"/>
                <w:b/>
                <w:bCs/>
                <w:sz w:val="20"/>
                <w:szCs w:val="16"/>
              </w:rPr>
            </w:pPr>
            <w:r w:rsidRPr="004E20FB">
              <w:rPr>
                <w:rFonts w:asciiTheme="minorHAnsi" w:hAnsiTheme="minorHAnsi" w:cstheme="minorHAnsi"/>
                <w:b/>
                <w:bCs/>
                <w:sz w:val="20"/>
                <w:szCs w:val="16"/>
              </w:rPr>
              <w:t>Mean (Jul 2015-Jun 2019)</w:t>
            </w:r>
          </w:p>
        </w:tc>
        <w:tc>
          <w:tcPr>
            <w:tcW w:w="2360" w:type="pct"/>
          </w:tcPr>
          <w:p w14:paraId="3A69610C" w14:textId="77777777" w:rsidR="00751615" w:rsidRPr="004E20FB" w:rsidRDefault="00751615" w:rsidP="00AF066D">
            <w:pPr>
              <w:pStyle w:val="Default"/>
              <w:jc w:val="center"/>
              <w:rPr>
                <w:rFonts w:asciiTheme="minorHAnsi" w:hAnsiTheme="minorHAnsi" w:cstheme="minorHAnsi"/>
                <w:sz w:val="20"/>
                <w:szCs w:val="16"/>
              </w:rPr>
            </w:pPr>
            <w:r w:rsidRPr="004E20FB">
              <w:rPr>
                <w:rFonts w:asciiTheme="minorHAnsi" w:hAnsiTheme="minorHAnsi" w:cstheme="minorHAnsi"/>
                <w:sz w:val="20"/>
                <w:szCs w:val="16"/>
              </w:rPr>
              <w:t>2466</w:t>
            </w:r>
          </w:p>
        </w:tc>
      </w:tr>
    </w:tbl>
    <w:p w14:paraId="19A0B7A2" w14:textId="77777777" w:rsidR="00587236" w:rsidRPr="004E20FB" w:rsidRDefault="00751615" w:rsidP="004E20FB">
      <w:pPr>
        <w:ind w:left="360"/>
      </w:pPr>
      <w:r w:rsidRPr="00A64BBF">
        <w:t>In July 2018, MSAC considered the considered real world data</w:t>
      </w:r>
      <w:r w:rsidR="008109D5" w:rsidRPr="00A64BBF">
        <w:t xml:space="preserve"> (RWD)</w:t>
      </w:r>
      <w:r w:rsidRPr="00A64BBF">
        <w:t xml:space="preserve"> on utilisation of item 73338, following Applications 1362 and 1363: RAS mutation testing for eligibility for cetuximab and panitumumab in </w:t>
      </w:r>
      <w:r w:rsidRPr="00A64BBF">
        <w:lastRenderedPageBreak/>
        <w:t xml:space="preserve">previously untreated mCRC patients. </w:t>
      </w:r>
      <w:r w:rsidR="00587236">
        <w:t xml:space="preserve"> </w:t>
      </w:r>
      <w:r w:rsidRPr="00A64BBF">
        <w:t xml:space="preserve">MSAC recalled that it was predicted that item </w:t>
      </w:r>
      <w:r w:rsidRPr="00587236">
        <w:t>73338 would be utilised by 2208 patients in the first year, increasing to 2465 patients by year 5.</w:t>
      </w:r>
      <w:r w:rsidRPr="004E20FB">
        <w:t xml:space="preserve"> </w:t>
      </w:r>
    </w:p>
    <w:p w14:paraId="48195935" w14:textId="77777777" w:rsidR="00751615" w:rsidRPr="00751615" w:rsidRDefault="00751615" w:rsidP="004E20FB">
      <w:pPr>
        <w:ind w:left="360"/>
      </w:pPr>
      <w:r w:rsidRPr="00751615">
        <w:t xml:space="preserve">Updated Medicare statistics indicate that an average of 2,466 services were undertaken for item 73338 from July 2015 to June 2019. </w:t>
      </w:r>
      <w:r w:rsidR="008109D5">
        <w:t xml:space="preserve">This is closely aligned with the numbers presented in Applications 1362 and 1363 and later validated by </w:t>
      </w:r>
      <w:r w:rsidR="00587236">
        <w:t>real world data.</w:t>
      </w:r>
      <w:r w:rsidR="008109D5">
        <w:t xml:space="preserve"> </w:t>
      </w:r>
    </w:p>
    <w:p w14:paraId="42226178" w14:textId="77777777" w:rsidR="00587236" w:rsidRPr="004E20FB" w:rsidRDefault="00587236" w:rsidP="004E20FB">
      <w:pPr>
        <w:ind w:left="360"/>
      </w:pPr>
      <w:r w:rsidRPr="004E20FB">
        <w:t>As there is no clinical rationale for testing for BRAF in the absence of the RAS test, then explicitly including the BRAF test in item 73338 is not likely to increase the number of services delivered; establishing RAS status is a priority in terms of not using EGFRs in RAS mutation patients.</w:t>
      </w:r>
    </w:p>
    <w:p w14:paraId="341A3A10" w14:textId="264A2DFC" w:rsidR="00587236" w:rsidRPr="004E20FB" w:rsidRDefault="00587236" w:rsidP="004E20FB">
      <w:pPr>
        <w:ind w:left="360"/>
      </w:pPr>
      <w:r w:rsidRPr="004E20FB">
        <w:t xml:space="preserve">It </w:t>
      </w:r>
      <w:r w:rsidR="00CA16A8" w:rsidRPr="004E20FB">
        <w:t xml:space="preserve">therefore </w:t>
      </w:r>
      <w:r w:rsidRPr="004E20FB">
        <w:t>follows that the frequency of services for RAS testing informs the number of BRAF tests that will be done (i.e. no change to current rate of testing).</w:t>
      </w:r>
    </w:p>
    <w:bookmarkEnd w:id="10"/>
    <w:p w14:paraId="3A6B53C5" w14:textId="77777777" w:rsidR="00751615" w:rsidRPr="00154B00" w:rsidRDefault="00751615" w:rsidP="004E20FB">
      <w:pPr>
        <w:pStyle w:val="Heading2"/>
        <w:keepNext/>
        <w:ind w:left="357" w:hanging="357"/>
        <w:jc w:val="both"/>
      </w:pPr>
      <w:r w:rsidRPr="00154B00">
        <w:t xml:space="preserve">Estimate the </w:t>
      </w:r>
      <w:r w:rsidRPr="00AE1188">
        <w:t>number</w:t>
      </w:r>
      <w:r w:rsidRPr="00154B00">
        <w:t xml:space="preserve"> of times the proposed medical service</w:t>
      </w:r>
      <w:r>
        <w:t>(s)</w:t>
      </w:r>
      <w:r w:rsidRPr="00154B00">
        <w:t xml:space="preserve"> would be </w:t>
      </w:r>
      <w:r>
        <w:t>delivered to a patient per year:</w:t>
      </w:r>
    </w:p>
    <w:p w14:paraId="42797552" w14:textId="77777777" w:rsidR="00751615" w:rsidRPr="00AB4197" w:rsidRDefault="00751615" w:rsidP="004E20FB">
      <w:pPr>
        <w:ind w:left="357"/>
      </w:pPr>
      <w:r w:rsidRPr="00AB4197">
        <w:t>The medical service would be undertaken to determine eligibility for treatment with encorafenib. It is anticipated that patients would be tested only once</w:t>
      </w:r>
      <w:r w:rsidR="008109D5">
        <w:t xml:space="preserve"> per lifetime</w:t>
      </w:r>
      <w:r w:rsidRPr="00AB4197">
        <w:t xml:space="preserve">, prior to the initiation of treatment. </w:t>
      </w:r>
    </w:p>
    <w:p w14:paraId="4896B2F0" w14:textId="77777777" w:rsidR="00751615" w:rsidRPr="00154B00" w:rsidRDefault="00751615" w:rsidP="00D02AD2">
      <w:pPr>
        <w:pStyle w:val="Heading2"/>
        <w:jc w:val="both"/>
      </w:pPr>
      <w:r w:rsidRPr="00154B00">
        <w:t>How many years would the proposed medical service</w:t>
      </w:r>
      <w:r>
        <w:t>(s)</w:t>
      </w:r>
      <w:r w:rsidRPr="00154B00">
        <w:t xml:space="preserve"> be required for the patient?</w:t>
      </w:r>
    </w:p>
    <w:p w14:paraId="585B8D75" w14:textId="1543613B" w:rsidR="00751615" w:rsidRDefault="00751615" w:rsidP="004E20FB">
      <w:pPr>
        <w:ind w:firstLine="360"/>
      </w:pPr>
      <w:r w:rsidRPr="00AB4197">
        <w:t>N</w:t>
      </w:r>
      <w:r w:rsidR="004E20FB">
        <w:t>ot applicable.</w:t>
      </w:r>
    </w:p>
    <w:p w14:paraId="245F117A" w14:textId="77777777" w:rsidR="00751615" w:rsidRPr="00154B00" w:rsidRDefault="00751615" w:rsidP="00D02AD2">
      <w:pPr>
        <w:pStyle w:val="Heading2"/>
        <w:jc w:val="both"/>
        <w:rPr>
          <w:b w:val="0"/>
        </w:rPr>
      </w:pPr>
      <w:r w:rsidRPr="00154B00">
        <w:t>Estimate the projected number of patients who will utilise the proposed medical ser</w:t>
      </w:r>
      <w:r>
        <w:t>vice(s) for the first full year:</w:t>
      </w:r>
    </w:p>
    <w:p w14:paraId="6E2E2C9D" w14:textId="77777777" w:rsidR="00751615" w:rsidRDefault="00751615" w:rsidP="004E20FB">
      <w:pPr>
        <w:ind w:left="360"/>
      </w:pPr>
      <w:r w:rsidRPr="00AB4197">
        <w:t>It is estimated that approximately 2,466 patients will utilise the medical service in Year 1. This number will be refined and validated in the submission.</w:t>
      </w:r>
    </w:p>
    <w:p w14:paraId="506C498B" w14:textId="77777777" w:rsidR="00751615" w:rsidRPr="00154B00" w:rsidRDefault="00751615" w:rsidP="00D02AD2">
      <w:pPr>
        <w:pStyle w:val="Heading2"/>
        <w:jc w:val="both"/>
        <w:rPr>
          <w:b w:val="0"/>
        </w:rPr>
      </w:pPr>
      <w:r>
        <w:t>Estimate the anticipated upt</w:t>
      </w:r>
      <w:r w:rsidRPr="00154B00">
        <w:t>ake of the proposed medical service over the next three years factoring in any constraints in the health system in meeting the needs of the proposed population (suc</w:t>
      </w:r>
      <w:r>
        <w:t>h as supply and demand factors)</w:t>
      </w:r>
      <w:r w:rsidRPr="00154B00">
        <w:t xml:space="preserve"> as well as provide commentary on risk of ‘leakage’ to populations not targeted by the service</w:t>
      </w:r>
      <w:r>
        <w:t>:</w:t>
      </w:r>
    </w:p>
    <w:p w14:paraId="654E41DF" w14:textId="77777777" w:rsidR="00751615" w:rsidRDefault="00751615" w:rsidP="004E20FB">
      <w:pPr>
        <w:ind w:left="360"/>
      </w:pPr>
      <w:r w:rsidRPr="00AB4197">
        <w:t xml:space="preserve">Uptake of the proposed medical service is estimated to remain relatively constant, as evident by the historical utilisation data presented in question 46.  </w:t>
      </w:r>
    </w:p>
    <w:p w14:paraId="28A79830" w14:textId="77777777" w:rsidR="00AB4197" w:rsidRDefault="00751615" w:rsidP="004E20FB">
      <w:pPr>
        <w:ind w:left="360"/>
      </w:pPr>
      <w:r w:rsidRPr="00AB4197">
        <w:t>Leakage to populations not targeted by the service will be constrained by the MBS item descriptor to ensure testing is applied only where clinically indicated.</w:t>
      </w:r>
    </w:p>
    <w:p w14:paraId="4086339E" w14:textId="77777777" w:rsidR="00751615" w:rsidRPr="00AB4197" w:rsidRDefault="00751615" w:rsidP="00751615">
      <w:pPr>
        <w:pStyle w:val="Default"/>
        <w:rPr>
          <w:sz w:val="22"/>
          <w:szCs w:val="22"/>
        </w:rPr>
      </w:pPr>
      <w:r w:rsidRPr="00AB4197">
        <w:rPr>
          <w:sz w:val="22"/>
          <w:szCs w:val="22"/>
        </w:rPr>
        <w:t xml:space="preserve"> </w:t>
      </w:r>
      <w:r w:rsidRPr="00AB4197">
        <w:rPr>
          <w:b/>
          <w:sz w:val="22"/>
          <w:szCs w:val="22"/>
        </w:rPr>
        <w:br w:type="page"/>
      </w:r>
    </w:p>
    <w:p w14:paraId="7777077E" w14:textId="77777777" w:rsidR="00751615" w:rsidRPr="00C776B1" w:rsidRDefault="00751615" w:rsidP="00751615">
      <w:pPr>
        <w:pStyle w:val="Heading1"/>
      </w:pPr>
      <w:r>
        <w:lastRenderedPageBreak/>
        <w:t>PART 8 – COST</w:t>
      </w:r>
      <w:r w:rsidRPr="00C776B1">
        <w:t xml:space="preserve"> INFORMATION</w:t>
      </w:r>
    </w:p>
    <w:p w14:paraId="2C675779" w14:textId="77777777" w:rsidR="00751615" w:rsidRDefault="00751615" w:rsidP="00751615">
      <w:pPr>
        <w:pStyle w:val="Heading2"/>
      </w:pPr>
      <w:r w:rsidRPr="00AE1188">
        <w:t>Indicate the likely cost of providing the proposed medical service. Where possible, please pro</w:t>
      </w:r>
      <w:r>
        <w:t>vide overall cost and breakdown:</w:t>
      </w:r>
    </w:p>
    <w:p w14:paraId="1393899D" w14:textId="77777777" w:rsidR="00751615" w:rsidRPr="00AB4197" w:rsidRDefault="00751615" w:rsidP="004E20FB">
      <w:pPr>
        <w:ind w:left="360"/>
      </w:pPr>
      <w:r w:rsidRPr="00AB4197">
        <w:t xml:space="preserve">The current fee for item 73338 is as follows: </w:t>
      </w:r>
    </w:p>
    <w:p w14:paraId="1E12F88C" w14:textId="77777777" w:rsidR="00751615" w:rsidRPr="00AB4197" w:rsidRDefault="00751615" w:rsidP="004E20FB">
      <w:pPr>
        <w:ind w:left="360"/>
      </w:pPr>
      <w:r w:rsidRPr="00AB4197">
        <w:t>F</w:t>
      </w:r>
      <w:r w:rsidRPr="00AB4197">
        <w:rPr>
          <w:b/>
          <w:bCs/>
        </w:rPr>
        <w:t>ee:</w:t>
      </w:r>
      <w:r w:rsidR="00D02AD2">
        <w:rPr>
          <w:b/>
          <w:bCs/>
        </w:rPr>
        <w:t xml:space="preserve"> </w:t>
      </w:r>
      <w:r w:rsidRPr="00AB4197">
        <w:t>$362.60</w:t>
      </w:r>
      <w:r w:rsidR="00D02AD2">
        <w:t xml:space="preserve"> </w:t>
      </w:r>
      <w:r w:rsidRPr="00AB4197">
        <w:rPr>
          <w:b/>
          <w:bCs/>
        </w:rPr>
        <w:t>Benefit:</w:t>
      </w:r>
      <w:r w:rsidR="00D02AD2">
        <w:rPr>
          <w:b/>
          <w:bCs/>
        </w:rPr>
        <w:t xml:space="preserve"> </w:t>
      </w:r>
      <w:r w:rsidRPr="00AB4197">
        <w:t>75% = $271.95 85% = $308.25</w:t>
      </w:r>
    </w:p>
    <w:p w14:paraId="58D5C24A" w14:textId="2D44A0E2" w:rsidR="00751615" w:rsidRDefault="00566E60" w:rsidP="004E20FB">
      <w:pPr>
        <w:ind w:left="360"/>
      </w:pPr>
      <w:r>
        <w:t>REDACTED</w:t>
      </w:r>
    </w:p>
    <w:p w14:paraId="4E6A6E4D" w14:textId="77777777" w:rsidR="00751615" w:rsidRPr="00154B00" w:rsidRDefault="00751615" w:rsidP="00D02AD2">
      <w:pPr>
        <w:pStyle w:val="Heading2"/>
        <w:jc w:val="both"/>
      </w:pPr>
      <w:r w:rsidRPr="00154B00">
        <w:t xml:space="preserve">Specify how </w:t>
      </w:r>
      <w:r w:rsidRPr="00AE1188">
        <w:t>long</w:t>
      </w:r>
      <w:r w:rsidRPr="00154B00">
        <w:t xml:space="preserve"> the proposed medical ser</w:t>
      </w:r>
      <w:r>
        <w:t>vice typically takes to perform:</w:t>
      </w:r>
    </w:p>
    <w:p w14:paraId="64166054" w14:textId="77777777" w:rsidR="00751615" w:rsidRDefault="00751615" w:rsidP="004E20FB">
      <w:pPr>
        <w:ind w:firstLine="360"/>
      </w:pPr>
      <w:r w:rsidRPr="00AB4197">
        <w:t xml:space="preserve">It is anticipated that the service will take approximately 7-10 working days. </w:t>
      </w:r>
    </w:p>
    <w:p w14:paraId="77CD9DAC" w14:textId="77777777" w:rsidR="00751615" w:rsidRDefault="00751615" w:rsidP="00D02AD2">
      <w:pPr>
        <w:pStyle w:val="Heading2"/>
        <w:jc w:val="both"/>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2626BE4E" w14:textId="77777777" w:rsidR="00751615" w:rsidRPr="00AB4197" w:rsidRDefault="00751615" w:rsidP="004E20FB">
      <w:pPr>
        <w:ind w:firstLine="360"/>
      </w:pPr>
      <w:r w:rsidRPr="00AB4197">
        <w:t>Proposed additions to the descriptor for item 43338 are italicised below.</w:t>
      </w:r>
    </w:p>
    <w:p w14:paraId="375F82B0" w14:textId="77777777" w:rsidR="00751615" w:rsidRPr="004E20FB" w:rsidRDefault="00751615" w:rsidP="004E20FB">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szCs w:val="20"/>
        </w:rPr>
      </w:pPr>
      <w:r w:rsidRPr="004E20FB">
        <w:rPr>
          <w:szCs w:val="20"/>
        </w:rPr>
        <w:t xml:space="preserve">Category 6 – PATHOLOGY SERVICES </w:t>
      </w:r>
    </w:p>
    <w:p w14:paraId="6625774C" w14:textId="77777777" w:rsidR="00751615" w:rsidRPr="004E20FB" w:rsidRDefault="00751615" w:rsidP="004E20FB">
      <w:pPr>
        <w:pBdr>
          <w:top w:val="single" w:sz="4" w:space="1" w:color="auto"/>
          <w:left w:val="single" w:sz="4" w:space="4" w:color="auto"/>
          <w:bottom w:val="single" w:sz="4" w:space="1" w:color="auto"/>
          <w:right w:val="single" w:sz="4" w:space="4" w:color="auto"/>
        </w:pBdr>
        <w:ind w:left="360"/>
        <w:rPr>
          <w:szCs w:val="20"/>
        </w:rPr>
      </w:pPr>
      <w:r w:rsidRPr="004E20FB">
        <w:rPr>
          <w:szCs w:val="20"/>
        </w:rPr>
        <w:t>73338</w:t>
      </w:r>
    </w:p>
    <w:p w14:paraId="465E84E3" w14:textId="77777777" w:rsidR="00751615" w:rsidRPr="004E20FB" w:rsidRDefault="00751615" w:rsidP="004E20FB">
      <w:pPr>
        <w:pBdr>
          <w:top w:val="single" w:sz="4" w:space="1" w:color="auto"/>
          <w:left w:val="single" w:sz="4" w:space="4" w:color="auto"/>
          <w:bottom w:val="single" w:sz="4" w:space="1" w:color="auto"/>
          <w:right w:val="single" w:sz="4" w:space="4" w:color="auto"/>
        </w:pBdr>
        <w:ind w:left="360"/>
        <w:rPr>
          <w:szCs w:val="20"/>
        </w:rPr>
      </w:pPr>
      <w:r w:rsidRPr="004E20FB">
        <w:rPr>
          <w:szCs w:val="20"/>
        </w:rPr>
        <w:t xml:space="preserve">Proposed item descriptor: </w:t>
      </w:r>
    </w:p>
    <w:p w14:paraId="331CCFFB" w14:textId="77777777" w:rsidR="00751615" w:rsidRPr="004E20FB" w:rsidRDefault="00751615" w:rsidP="004E20FB">
      <w:pPr>
        <w:pBdr>
          <w:top w:val="single" w:sz="4" w:space="1" w:color="auto"/>
          <w:left w:val="single" w:sz="4" w:space="4" w:color="auto"/>
          <w:bottom w:val="single" w:sz="4" w:space="1" w:color="auto"/>
          <w:right w:val="single" w:sz="4" w:space="4" w:color="auto"/>
        </w:pBdr>
        <w:ind w:left="360"/>
        <w:rPr>
          <w:szCs w:val="20"/>
        </w:rPr>
      </w:pPr>
      <w:r w:rsidRPr="004E20FB">
        <w:rPr>
          <w:szCs w:val="20"/>
        </w:rPr>
        <w:t>A test of tumour tissue from a patient with metastatic colorectal cancer (stage IV), requested by a specialist or consultant physician, to determine if:</w:t>
      </w:r>
    </w:p>
    <w:p w14:paraId="7363B004" w14:textId="77777777" w:rsidR="00751615" w:rsidRPr="004E20FB" w:rsidRDefault="00751615" w:rsidP="004E20FB">
      <w:pPr>
        <w:pBdr>
          <w:top w:val="single" w:sz="4" w:space="1" w:color="auto"/>
          <w:left w:val="single" w:sz="4" w:space="4" w:color="auto"/>
          <w:bottom w:val="single" w:sz="4" w:space="1" w:color="auto"/>
          <w:right w:val="single" w:sz="4" w:space="4" w:color="auto"/>
        </w:pBdr>
        <w:ind w:left="360"/>
        <w:rPr>
          <w:szCs w:val="20"/>
        </w:rPr>
      </w:pPr>
      <w:r w:rsidRPr="004E20FB">
        <w:rPr>
          <w:szCs w:val="20"/>
        </w:rPr>
        <w:t>1. the requirements relating to rat sarcoma oncogene (RAS) gene mutation status for access to cetuximab or panitumumab under the Pharmaceutical Benefits Scheme (PBS) are fulfilled, if:</w:t>
      </w:r>
    </w:p>
    <w:p w14:paraId="52646F81" w14:textId="77777777" w:rsidR="00751615" w:rsidRPr="004E20FB" w:rsidRDefault="00751615" w:rsidP="004E20FB">
      <w:pPr>
        <w:pBdr>
          <w:top w:val="single" w:sz="4" w:space="1" w:color="auto"/>
          <w:left w:val="single" w:sz="4" w:space="4" w:color="auto"/>
          <w:bottom w:val="single" w:sz="4" w:space="1" w:color="auto"/>
          <w:right w:val="single" w:sz="4" w:space="4" w:color="auto"/>
        </w:pBdr>
        <w:ind w:left="360"/>
        <w:rPr>
          <w:szCs w:val="20"/>
        </w:rPr>
      </w:pPr>
      <w:r w:rsidRPr="004E20FB">
        <w:rPr>
          <w:szCs w:val="20"/>
        </w:rPr>
        <w:t>(a) the test is conducted for all clinically relevant mutations on KRAS exons 2, 3 and 4 and NRAS exons 2, 3, and 4; or</w:t>
      </w:r>
    </w:p>
    <w:p w14:paraId="721690FC" w14:textId="77777777" w:rsidR="00751615" w:rsidRPr="004E20FB" w:rsidRDefault="00751615" w:rsidP="004E20FB">
      <w:pPr>
        <w:pBdr>
          <w:top w:val="single" w:sz="4" w:space="1" w:color="auto"/>
          <w:left w:val="single" w:sz="4" w:space="4" w:color="auto"/>
          <w:bottom w:val="single" w:sz="4" w:space="1" w:color="auto"/>
          <w:right w:val="single" w:sz="4" w:space="4" w:color="auto"/>
        </w:pBdr>
        <w:ind w:left="360"/>
        <w:rPr>
          <w:szCs w:val="20"/>
        </w:rPr>
      </w:pPr>
      <w:r w:rsidRPr="004E20FB">
        <w:rPr>
          <w:szCs w:val="20"/>
        </w:rPr>
        <w:t>(b) a RAS mutation is found</w:t>
      </w:r>
    </w:p>
    <w:p w14:paraId="2F1F2356" w14:textId="291D4EE4" w:rsidR="00751615" w:rsidRPr="00427E3A" w:rsidRDefault="00751615" w:rsidP="00427E3A">
      <w:pPr>
        <w:pBdr>
          <w:top w:val="single" w:sz="4" w:space="1" w:color="auto"/>
          <w:left w:val="single" w:sz="4" w:space="4" w:color="auto"/>
          <w:bottom w:val="single" w:sz="4" w:space="1" w:color="auto"/>
          <w:right w:val="single" w:sz="4" w:space="4" w:color="auto"/>
        </w:pBdr>
        <w:ind w:left="360"/>
        <w:rPr>
          <w:b/>
          <w:i/>
          <w:iCs/>
          <w:szCs w:val="20"/>
        </w:rPr>
      </w:pPr>
      <w:r w:rsidRPr="004E20FB">
        <w:rPr>
          <w:b/>
          <w:i/>
          <w:iCs/>
          <w:szCs w:val="20"/>
        </w:rPr>
        <w:t>2. the requirements relating to BRAF V600 gene mutation status for access to encorafenib under the Pharmaceutical Benefits Scheme (PBS) are fulfilled</w:t>
      </w:r>
    </w:p>
    <w:sectPr w:rsidR="00751615" w:rsidRPr="00427E3A" w:rsidSect="00F22FE7">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9E595" w14:textId="77777777" w:rsidR="00427E3A" w:rsidRDefault="00427E3A" w:rsidP="00CF2DFA">
      <w:pPr>
        <w:spacing w:after="0"/>
      </w:pPr>
      <w:r>
        <w:separator/>
      </w:r>
    </w:p>
  </w:endnote>
  <w:endnote w:type="continuationSeparator" w:id="0">
    <w:p w14:paraId="7B7C58C4" w14:textId="77777777" w:rsidR="00427E3A" w:rsidRDefault="00427E3A"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A143" w14:textId="77777777" w:rsidR="000E7575" w:rsidRDefault="000E7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36024251"/>
      <w:docPartObj>
        <w:docPartGallery w:val="Page Numbers (Bottom of Page)"/>
        <w:docPartUnique/>
      </w:docPartObj>
    </w:sdtPr>
    <w:sdtEndPr>
      <w:rPr>
        <w:color w:val="808080" w:themeColor="background1" w:themeShade="80"/>
        <w:spacing w:val="60"/>
      </w:rPr>
    </w:sdtEndPr>
    <w:sdtContent>
      <w:p w14:paraId="798485ED" w14:textId="0343CA68" w:rsidR="00427E3A" w:rsidRDefault="00427E3A">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E7575" w:rsidRPr="000E7575">
          <w:rPr>
            <w:b/>
            <w:bCs/>
            <w:noProof/>
            <w:sz w:val="18"/>
            <w:szCs w:val="18"/>
          </w:rPr>
          <w:t>12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C12C3C4" w14:textId="77777777" w:rsidR="00427E3A" w:rsidRPr="003F7CB9" w:rsidRDefault="00427E3A"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8150" w14:textId="77777777" w:rsidR="000E7575" w:rsidRDefault="000E75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130F4DC" w14:textId="5EA3C180" w:rsidR="00427E3A" w:rsidRDefault="00427E3A">
        <w:pPr>
          <w:pStyle w:val="Footer"/>
          <w:pBdr>
            <w:top w:val="single" w:sz="4" w:space="1" w:color="D9D9D9" w:themeColor="background1" w:themeShade="D9"/>
          </w:pBdr>
          <w:rPr>
            <w:color w:val="808080" w:themeColor="background1" w:themeShade="80"/>
            <w:spacing w:val="60"/>
            <w:sz w:val="18"/>
            <w:szCs w:val="18"/>
          </w:rPr>
        </w:pPr>
        <w:r w:rsidRPr="00F22FE7">
          <w:rPr>
            <w:sz w:val="18"/>
            <w:szCs w:val="18"/>
          </w:rPr>
          <w:fldChar w:fldCharType="begin"/>
        </w:r>
        <w:r w:rsidRPr="00F22FE7">
          <w:rPr>
            <w:sz w:val="18"/>
            <w:szCs w:val="18"/>
          </w:rPr>
          <w:instrText xml:space="preserve"> PAGE   \* MERGEFORMAT </w:instrText>
        </w:r>
        <w:r w:rsidRPr="00F22FE7">
          <w:rPr>
            <w:sz w:val="18"/>
            <w:szCs w:val="18"/>
          </w:rPr>
          <w:fldChar w:fldCharType="separate"/>
        </w:r>
        <w:r w:rsidR="000E7575">
          <w:rPr>
            <w:noProof/>
            <w:sz w:val="18"/>
            <w:szCs w:val="18"/>
          </w:rPr>
          <w:t>24</w:t>
        </w:r>
        <w:r w:rsidRPr="00F22FE7">
          <w:rPr>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E2E886A" w14:textId="77777777" w:rsidR="00427E3A" w:rsidRPr="003F7CB9" w:rsidRDefault="00427E3A"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C1FE" w14:textId="77777777" w:rsidR="00427E3A" w:rsidRDefault="00427E3A" w:rsidP="00CF2DFA">
      <w:pPr>
        <w:spacing w:after="0"/>
      </w:pPr>
      <w:r>
        <w:separator/>
      </w:r>
    </w:p>
  </w:footnote>
  <w:footnote w:type="continuationSeparator" w:id="0">
    <w:p w14:paraId="3A5C9B8D" w14:textId="77777777" w:rsidR="00427E3A" w:rsidRDefault="00427E3A" w:rsidP="00CF2DFA">
      <w:pPr>
        <w:spacing w:after="0"/>
      </w:pPr>
      <w:r>
        <w:continuationSeparator/>
      </w:r>
    </w:p>
  </w:footnote>
  <w:footnote w:id="1">
    <w:p w14:paraId="020BC2C6" w14:textId="77777777" w:rsidR="00427E3A" w:rsidRPr="00DF27E7" w:rsidRDefault="00427E3A" w:rsidP="005556DA">
      <w:pPr>
        <w:pStyle w:val="FootnoteText"/>
        <w:rPr>
          <w:rFonts w:asciiTheme="minorHAnsi" w:hAnsiTheme="minorHAnsi"/>
          <w:sz w:val="16"/>
          <w:szCs w:val="16"/>
          <w:lang w:val="en-US"/>
        </w:rPr>
      </w:pPr>
      <w:r w:rsidRPr="00DF27E7">
        <w:rPr>
          <w:rStyle w:val="FootnoteReference"/>
          <w:rFonts w:asciiTheme="minorHAnsi" w:hAnsiTheme="minorHAnsi"/>
          <w:sz w:val="16"/>
          <w:szCs w:val="16"/>
        </w:rPr>
        <w:footnoteRef/>
      </w:r>
      <w:r w:rsidRPr="00DF27E7">
        <w:rPr>
          <w:rFonts w:asciiTheme="minorHAnsi" w:hAnsiTheme="minorHAnsi"/>
          <w:sz w:val="16"/>
          <w:szCs w:val="16"/>
        </w:rPr>
        <w:t xml:space="preserve"> </w:t>
      </w:r>
      <w:r w:rsidRPr="00DF27E7">
        <w:rPr>
          <w:rFonts w:asciiTheme="minorHAnsi" w:hAnsiTheme="minorHAnsi"/>
          <w:sz w:val="16"/>
          <w:szCs w:val="16"/>
          <w:lang w:val="en-US"/>
        </w:rPr>
        <w:t>Goel A, Boland CR. Recent insights into the pathogenesis of colorectal cancer. Current opinion in gastroenterology 2010; 26:47-52</w:t>
      </w:r>
    </w:p>
  </w:footnote>
  <w:footnote w:id="2">
    <w:p w14:paraId="183BCCAC" w14:textId="77777777" w:rsidR="00427E3A" w:rsidRPr="00DF27E7" w:rsidRDefault="00427E3A" w:rsidP="005556DA">
      <w:pPr>
        <w:pStyle w:val="FootnoteText"/>
        <w:rPr>
          <w:rFonts w:asciiTheme="minorHAnsi" w:hAnsiTheme="minorHAnsi"/>
          <w:sz w:val="16"/>
          <w:szCs w:val="16"/>
          <w:lang w:val="en-US"/>
        </w:rPr>
      </w:pPr>
      <w:r w:rsidRPr="00DF27E7">
        <w:rPr>
          <w:rStyle w:val="FootnoteReference"/>
          <w:rFonts w:asciiTheme="minorHAnsi" w:hAnsiTheme="minorHAnsi"/>
          <w:sz w:val="16"/>
          <w:szCs w:val="16"/>
        </w:rPr>
        <w:footnoteRef/>
      </w:r>
      <w:r w:rsidRPr="00DF27E7">
        <w:rPr>
          <w:rFonts w:asciiTheme="minorHAnsi" w:hAnsiTheme="minorHAnsi"/>
          <w:sz w:val="16"/>
          <w:szCs w:val="16"/>
        </w:rPr>
        <w:t xml:space="preserve"> </w:t>
      </w:r>
      <w:r w:rsidRPr="00DF27E7">
        <w:rPr>
          <w:rFonts w:asciiTheme="minorHAnsi" w:hAnsiTheme="minorHAnsi"/>
          <w:noProof/>
          <w:sz w:val="16"/>
          <w:szCs w:val="16"/>
          <w:lang w:val="en-US"/>
        </w:rPr>
        <w:t>Ferlay J, Steliarova-Foucher E, Lortet-Tieulent J, et al. Cancer incidence and mortality patterns in Europe: estimates for 40 countries in 2012. European journal of cancer 2013;49:1374-403</w:t>
      </w:r>
    </w:p>
  </w:footnote>
  <w:footnote w:id="3">
    <w:p w14:paraId="49279271" w14:textId="77777777" w:rsidR="00427E3A" w:rsidRPr="00DF27E7" w:rsidRDefault="00427E3A" w:rsidP="005556DA">
      <w:pPr>
        <w:pStyle w:val="FootnoteText"/>
        <w:rPr>
          <w:rFonts w:asciiTheme="minorHAnsi" w:hAnsiTheme="minorHAnsi"/>
          <w:sz w:val="16"/>
          <w:szCs w:val="16"/>
          <w:lang w:val="en-US"/>
        </w:rPr>
      </w:pPr>
      <w:r w:rsidRPr="00DF27E7">
        <w:rPr>
          <w:rStyle w:val="FootnoteReference"/>
          <w:rFonts w:asciiTheme="minorHAnsi" w:hAnsiTheme="minorHAnsi"/>
          <w:sz w:val="16"/>
          <w:szCs w:val="16"/>
        </w:rPr>
        <w:footnoteRef/>
      </w:r>
      <w:r w:rsidRPr="00DF27E7">
        <w:rPr>
          <w:rFonts w:asciiTheme="minorHAnsi" w:hAnsiTheme="minorHAnsi"/>
          <w:sz w:val="16"/>
          <w:szCs w:val="16"/>
        </w:rPr>
        <w:t xml:space="preserve"> Bardhan K, Liu K. Epigenetics and colorectal cancer pathogenesis. Cancers 2013; 5:676-713</w:t>
      </w:r>
    </w:p>
  </w:footnote>
  <w:footnote w:id="4">
    <w:p w14:paraId="0E29CD20" w14:textId="77777777" w:rsidR="00427E3A" w:rsidRPr="00DF27E7" w:rsidRDefault="00427E3A" w:rsidP="005556DA">
      <w:pPr>
        <w:pStyle w:val="FootnoteText"/>
        <w:rPr>
          <w:rFonts w:asciiTheme="minorHAnsi" w:hAnsiTheme="minorHAnsi"/>
          <w:sz w:val="16"/>
          <w:szCs w:val="16"/>
          <w:lang w:val="en-US"/>
        </w:rPr>
      </w:pPr>
      <w:r w:rsidRPr="00DF27E7">
        <w:rPr>
          <w:rStyle w:val="FootnoteReference"/>
          <w:rFonts w:asciiTheme="minorHAnsi" w:hAnsiTheme="minorHAnsi"/>
          <w:sz w:val="16"/>
          <w:szCs w:val="16"/>
        </w:rPr>
        <w:footnoteRef/>
      </w:r>
      <w:r w:rsidRPr="00DF27E7">
        <w:rPr>
          <w:rFonts w:asciiTheme="minorHAnsi" w:hAnsiTheme="minorHAnsi"/>
          <w:sz w:val="16"/>
          <w:szCs w:val="16"/>
        </w:rPr>
        <w:t xml:space="preserve"> Dekker E, van Gulik T. Colorectal cancer: what the clinician wants to know. Cancer imaging: the official publication of the International Cancer Imaging Society 2005;5 Spec No A:S127-32</w:t>
      </w:r>
    </w:p>
  </w:footnote>
  <w:footnote w:id="5">
    <w:p w14:paraId="74AEF075" w14:textId="77777777" w:rsidR="00427E3A" w:rsidRPr="007027E0" w:rsidRDefault="00427E3A" w:rsidP="005556DA">
      <w:pPr>
        <w:pStyle w:val="FootnoteText"/>
        <w:rPr>
          <w:rFonts w:asciiTheme="minorHAnsi" w:hAnsiTheme="minorHAnsi"/>
          <w:sz w:val="16"/>
          <w:szCs w:val="16"/>
          <w:lang w:val="en-US"/>
        </w:rPr>
      </w:pPr>
      <w:r w:rsidRPr="007027E0">
        <w:rPr>
          <w:rStyle w:val="FootnoteReference"/>
          <w:rFonts w:asciiTheme="minorHAnsi" w:hAnsiTheme="minorHAnsi"/>
          <w:sz w:val="16"/>
          <w:szCs w:val="16"/>
        </w:rPr>
        <w:footnoteRef/>
      </w:r>
      <w:r w:rsidRPr="007027E0">
        <w:rPr>
          <w:rFonts w:asciiTheme="minorHAnsi" w:hAnsiTheme="minorHAnsi"/>
          <w:sz w:val="16"/>
          <w:szCs w:val="16"/>
        </w:rPr>
        <w:t xml:space="preserve"> </w:t>
      </w:r>
      <w:r w:rsidRPr="007027E0">
        <w:rPr>
          <w:rFonts w:asciiTheme="minorHAnsi" w:hAnsiTheme="minorHAnsi"/>
          <w:noProof/>
          <w:sz w:val="16"/>
          <w:szCs w:val="16"/>
          <w:lang w:val="en-US"/>
        </w:rPr>
        <w:t>Bardhan K, Liu K. Epigenetics and colorectal cancer pathogenesis. Cancers 2013;5:676-713</w:t>
      </w:r>
    </w:p>
  </w:footnote>
  <w:footnote w:id="6">
    <w:p w14:paraId="764B9C4E" w14:textId="77777777" w:rsidR="00427E3A" w:rsidRPr="007027E0" w:rsidRDefault="00427E3A" w:rsidP="005556DA">
      <w:pPr>
        <w:spacing w:before="0" w:after="0"/>
        <w:rPr>
          <w:sz w:val="16"/>
          <w:szCs w:val="16"/>
        </w:rPr>
      </w:pPr>
      <w:r w:rsidRPr="007027E0">
        <w:rPr>
          <w:rStyle w:val="FootnoteReference"/>
          <w:rFonts w:eastAsia="Times New Roman" w:cs="Times New Roman"/>
        </w:rPr>
        <w:footnoteRef/>
      </w:r>
      <w:r w:rsidRPr="007027E0">
        <w:rPr>
          <w:sz w:val="16"/>
          <w:szCs w:val="16"/>
        </w:rPr>
        <w:t xml:space="preserve"> </w:t>
      </w:r>
      <w:hyperlink r:id="rId1" w:history="1">
        <w:r w:rsidRPr="007027E0">
          <w:rPr>
            <w:rStyle w:val="Hyperlink"/>
            <w:sz w:val="16"/>
            <w:szCs w:val="16"/>
          </w:rPr>
          <w:t>https://www.cancer.org/cancer/colon-rectal-cancer/detection-diagnosis-staging/signs-and-symptoms.html</w:t>
        </w:r>
      </w:hyperlink>
      <w:r w:rsidRPr="007027E0">
        <w:rPr>
          <w:sz w:val="16"/>
          <w:szCs w:val="16"/>
        </w:rPr>
        <w:t xml:space="preserve">, consulted Sept 2018; 2. </w:t>
      </w:r>
      <w:hyperlink r:id="rId2" w:history="1">
        <w:r w:rsidRPr="007027E0">
          <w:rPr>
            <w:rStyle w:val="Hyperlink"/>
            <w:sz w:val="16"/>
            <w:szCs w:val="16"/>
          </w:rPr>
          <w:t>https://www.cancercenter.com/colorectal-cancer/symptoms/</w:t>
        </w:r>
      </w:hyperlink>
      <w:r w:rsidRPr="007027E0">
        <w:rPr>
          <w:sz w:val="16"/>
          <w:szCs w:val="16"/>
        </w:rPr>
        <w:t>, consulted Sept 2018</w:t>
      </w:r>
    </w:p>
  </w:footnote>
  <w:footnote w:id="7">
    <w:p w14:paraId="4DB85A71" w14:textId="77777777" w:rsidR="00427E3A" w:rsidRPr="00657830" w:rsidRDefault="00427E3A" w:rsidP="005556DA">
      <w:pPr>
        <w:shd w:val="clear" w:color="auto" w:fill="FFFFFF"/>
        <w:spacing w:before="0" w:after="0"/>
        <w:textAlignment w:val="top"/>
        <w:rPr>
          <w:sz w:val="16"/>
          <w:szCs w:val="16"/>
          <w:lang w:val="en-US"/>
        </w:rPr>
      </w:pPr>
      <w:r w:rsidRPr="007027E0">
        <w:rPr>
          <w:rStyle w:val="FootnoteReference"/>
          <w:sz w:val="16"/>
          <w:szCs w:val="16"/>
        </w:rPr>
        <w:footnoteRef/>
      </w:r>
      <w:r w:rsidRPr="007027E0">
        <w:rPr>
          <w:sz w:val="16"/>
          <w:szCs w:val="16"/>
        </w:rPr>
        <w:t xml:space="preserve"> </w:t>
      </w:r>
      <w:hyperlink r:id="rId3" w:history="1">
        <w:r w:rsidRPr="007027E0">
          <w:rPr>
            <w:rStyle w:val="Hyperlink"/>
            <w:rFonts w:cstheme="minorHAnsi"/>
            <w:sz w:val="16"/>
            <w:szCs w:val="16"/>
          </w:rPr>
          <w:t>Sci Rep</w:t>
        </w:r>
      </w:hyperlink>
      <w:r w:rsidRPr="007027E0">
        <w:rPr>
          <w:rStyle w:val="cit"/>
          <w:rFonts w:cstheme="minorHAnsi"/>
          <w:sz w:val="16"/>
          <w:szCs w:val="16"/>
        </w:rPr>
        <w:t xml:space="preserve">. 2016; 6: 29765. </w:t>
      </w:r>
      <w:r w:rsidRPr="007027E0">
        <w:rPr>
          <w:rStyle w:val="fm-vol-iss-date"/>
          <w:rFonts w:cstheme="minorHAnsi"/>
          <w:sz w:val="16"/>
          <w:szCs w:val="16"/>
        </w:rPr>
        <w:t>Published online 2016 Jul 15. </w:t>
      </w:r>
      <w:r w:rsidRPr="007027E0">
        <w:rPr>
          <w:rStyle w:val="doi"/>
          <w:rFonts w:cstheme="minorHAnsi"/>
          <w:sz w:val="16"/>
          <w:szCs w:val="16"/>
        </w:rPr>
        <w:t>doi: </w:t>
      </w:r>
      <w:hyperlink r:id="rId4" w:tgtFrame="pmc_ext" w:history="1">
        <w:r w:rsidRPr="007027E0">
          <w:rPr>
            <w:rStyle w:val="Hyperlink"/>
            <w:rFonts w:cstheme="minorHAnsi"/>
            <w:sz w:val="16"/>
            <w:szCs w:val="16"/>
          </w:rPr>
          <w:t>10.1038/srep29765</w:t>
        </w:r>
      </w:hyperlink>
      <w:r w:rsidRPr="007027E0">
        <w:rPr>
          <w:rStyle w:val="Hyperlink"/>
          <w:rFonts w:cstheme="minorHAnsi"/>
          <w:sz w:val="16"/>
          <w:szCs w:val="16"/>
        </w:rPr>
        <w:t xml:space="preserve">.  </w:t>
      </w:r>
      <w:r w:rsidRPr="007027E0">
        <w:rPr>
          <w:rFonts w:cstheme="minorHAnsi"/>
          <w:sz w:val="16"/>
          <w:szCs w:val="16"/>
        </w:rPr>
        <w:t xml:space="preserve">Patterns of metastasis in colon and rectal cancer.  </w:t>
      </w:r>
      <w:hyperlink r:id="rId5" w:history="1">
        <w:r w:rsidRPr="007027E0">
          <w:rPr>
            <w:rStyle w:val="Hyperlink"/>
            <w:rFonts w:cstheme="minorHAnsi"/>
            <w:sz w:val="16"/>
            <w:szCs w:val="16"/>
          </w:rPr>
          <w:t>Matias Riihimäki</w:t>
        </w:r>
      </w:hyperlink>
      <w:r w:rsidRPr="007027E0">
        <w:rPr>
          <w:rFonts w:cstheme="minorHAnsi"/>
          <w:sz w:val="16"/>
          <w:szCs w:val="16"/>
        </w:rPr>
        <w:t xml:space="preserve">, </w:t>
      </w:r>
      <w:hyperlink r:id="rId6" w:history="1">
        <w:r w:rsidRPr="007027E0">
          <w:rPr>
            <w:rStyle w:val="Hyperlink"/>
            <w:rFonts w:cstheme="minorHAnsi"/>
            <w:sz w:val="16"/>
            <w:szCs w:val="16"/>
          </w:rPr>
          <w:t>Akseli Hemminki</w:t>
        </w:r>
      </w:hyperlink>
      <w:r w:rsidRPr="007027E0">
        <w:rPr>
          <w:rFonts w:cstheme="minorHAnsi"/>
          <w:sz w:val="16"/>
          <w:szCs w:val="16"/>
        </w:rPr>
        <w:t>,</w:t>
      </w:r>
      <w:hyperlink r:id="rId7" w:history="1">
        <w:r w:rsidRPr="007027E0">
          <w:rPr>
            <w:rStyle w:val="Hyperlink"/>
            <w:rFonts w:cstheme="minorHAnsi"/>
            <w:sz w:val="16"/>
            <w:szCs w:val="16"/>
          </w:rPr>
          <w:t>Jan Sundquist</w:t>
        </w:r>
      </w:hyperlink>
      <w:r w:rsidRPr="007027E0">
        <w:rPr>
          <w:rFonts w:cstheme="minorHAnsi"/>
          <w:sz w:val="16"/>
          <w:szCs w:val="16"/>
        </w:rPr>
        <w:t>, and </w:t>
      </w:r>
      <w:hyperlink r:id="rId8" w:history="1">
        <w:r w:rsidRPr="007027E0">
          <w:rPr>
            <w:rStyle w:val="Hyperlink"/>
            <w:rFonts w:cstheme="minorHAnsi"/>
            <w:sz w:val="16"/>
            <w:szCs w:val="16"/>
          </w:rPr>
          <w:t>Kari Hemminki</w:t>
        </w:r>
      </w:hyperlink>
    </w:p>
  </w:footnote>
  <w:footnote w:id="8">
    <w:p w14:paraId="34726F80" w14:textId="77777777" w:rsidR="00427E3A" w:rsidRPr="00657830" w:rsidRDefault="00427E3A" w:rsidP="005556DA">
      <w:pPr>
        <w:shd w:val="clear" w:color="auto" w:fill="FFFFFF"/>
        <w:spacing w:before="0" w:after="0"/>
        <w:textAlignment w:val="top"/>
        <w:rPr>
          <w:sz w:val="16"/>
          <w:szCs w:val="16"/>
          <w:lang w:val="en-US"/>
        </w:rPr>
      </w:pPr>
      <w:r w:rsidRPr="00657830">
        <w:rPr>
          <w:rStyle w:val="FootnoteReference"/>
          <w:sz w:val="16"/>
          <w:szCs w:val="16"/>
        </w:rPr>
        <w:footnoteRef/>
      </w:r>
      <w:r w:rsidRPr="00657830">
        <w:rPr>
          <w:sz w:val="16"/>
          <w:szCs w:val="16"/>
        </w:rPr>
        <w:t xml:space="preserve"> </w:t>
      </w:r>
      <w:hyperlink r:id="rId9" w:history="1">
        <w:r w:rsidRPr="00657830">
          <w:rPr>
            <w:rStyle w:val="Hyperlink"/>
            <w:rFonts w:cs="Arial"/>
            <w:sz w:val="16"/>
            <w:szCs w:val="16"/>
          </w:rPr>
          <w:t>Euroasian J Hepatogastroenterol</w:t>
        </w:r>
      </w:hyperlink>
      <w:r w:rsidRPr="00657830">
        <w:rPr>
          <w:rStyle w:val="cit"/>
          <w:rFonts w:cs="Arial"/>
          <w:sz w:val="16"/>
          <w:szCs w:val="16"/>
        </w:rPr>
        <w:t xml:space="preserve">. 2017 Jul-Dec; 7(2): 166–175.  </w:t>
      </w:r>
      <w:r w:rsidRPr="00657830">
        <w:rPr>
          <w:rStyle w:val="fm-vol-iss-date"/>
          <w:rFonts w:cs="Arial"/>
          <w:sz w:val="16"/>
          <w:szCs w:val="16"/>
        </w:rPr>
        <w:t>Published online 2017 Sep 29. </w:t>
      </w:r>
      <w:r w:rsidRPr="00657830">
        <w:rPr>
          <w:rStyle w:val="doi"/>
          <w:rFonts w:cs="Arial"/>
          <w:sz w:val="16"/>
          <w:szCs w:val="16"/>
        </w:rPr>
        <w:t>doi: </w:t>
      </w:r>
      <w:hyperlink r:id="rId10" w:tgtFrame="pmc_ext" w:history="1">
        <w:r w:rsidRPr="00657830">
          <w:rPr>
            <w:rStyle w:val="Hyperlink"/>
            <w:rFonts w:cs="Arial"/>
            <w:sz w:val="16"/>
            <w:szCs w:val="16"/>
          </w:rPr>
          <w:t>10.5005/jp-journals-10018-1241</w:t>
        </w:r>
      </w:hyperlink>
      <w:r w:rsidRPr="00657830">
        <w:rPr>
          <w:rStyle w:val="Hyperlink"/>
          <w:rFonts w:cs="Arial"/>
          <w:sz w:val="16"/>
          <w:szCs w:val="16"/>
        </w:rPr>
        <w:t xml:space="preserve">.  </w:t>
      </w:r>
      <w:r w:rsidRPr="00657830">
        <w:rPr>
          <w:rFonts w:cs="Arial"/>
          <w:sz w:val="16"/>
          <w:szCs w:val="16"/>
        </w:rPr>
        <w:t xml:space="preserve">Hepatic Metastasis from Colorectal Cancer.  </w:t>
      </w:r>
      <w:hyperlink r:id="rId11" w:history="1">
        <w:r w:rsidRPr="00657830">
          <w:rPr>
            <w:rStyle w:val="Hyperlink"/>
            <w:rFonts w:cs="Arial"/>
            <w:sz w:val="16"/>
            <w:szCs w:val="16"/>
          </w:rPr>
          <w:t>Alan I Valderrama-Treviño</w:t>
        </w:r>
      </w:hyperlink>
      <w:r w:rsidRPr="00657830">
        <w:rPr>
          <w:rFonts w:cs="Arial"/>
          <w:sz w:val="16"/>
          <w:szCs w:val="16"/>
        </w:rPr>
        <w:t>, </w:t>
      </w:r>
      <w:hyperlink r:id="rId12" w:history="1">
        <w:r w:rsidRPr="00657830">
          <w:rPr>
            <w:rStyle w:val="Hyperlink"/>
            <w:rFonts w:cs="Arial"/>
            <w:sz w:val="16"/>
            <w:szCs w:val="16"/>
          </w:rPr>
          <w:t>Baltazar Barrera-Mera</w:t>
        </w:r>
      </w:hyperlink>
      <w:r w:rsidRPr="00657830">
        <w:rPr>
          <w:rFonts w:cs="Arial"/>
          <w:sz w:val="16"/>
          <w:szCs w:val="16"/>
        </w:rPr>
        <w:t>, </w:t>
      </w:r>
      <w:hyperlink r:id="rId13" w:history="1">
        <w:r w:rsidRPr="00657830">
          <w:rPr>
            <w:rStyle w:val="Hyperlink"/>
            <w:rFonts w:cs="Arial"/>
            <w:sz w:val="16"/>
            <w:szCs w:val="16"/>
          </w:rPr>
          <w:t>Jesús C Ceballos-Villalva</w:t>
        </w:r>
      </w:hyperlink>
      <w:r w:rsidRPr="00657830">
        <w:rPr>
          <w:rFonts w:cs="Arial"/>
          <w:sz w:val="16"/>
          <w:szCs w:val="16"/>
        </w:rPr>
        <w:t>, and </w:t>
      </w:r>
      <w:hyperlink r:id="rId14" w:history="1">
        <w:r w:rsidRPr="00657830">
          <w:rPr>
            <w:rStyle w:val="Hyperlink"/>
            <w:rFonts w:cs="Arial"/>
            <w:sz w:val="16"/>
            <w:szCs w:val="16"/>
          </w:rPr>
          <w:t>Eduardo E Montalvo-Javé</w:t>
        </w:r>
      </w:hyperlink>
    </w:p>
  </w:footnote>
  <w:footnote w:id="9">
    <w:p w14:paraId="252C6229" w14:textId="77777777" w:rsidR="00427E3A" w:rsidRPr="00657830" w:rsidRDefault="00427E3A" w:rsidP="005556DA">
      <w:pPr>
        <w:spacing w:before="0" w:after="0"/>
        <w:jc w:val="both"/>
        <w:rPr>
          <w:sz w:val="16"/>
          <w:szCs w:val="16"/>
          <w:lang w:val="en-US"/>
        </w:rPr>
      </w:pPr>
      <w:r w:rsidRPr="00657830">
        <w:rPr>
          <w:rStyle w:val="FootnoteReference"/>
          <w:sz w:val="16"/>
          <w:szCs w:val="16"/>
        </w:rPr>
        <w:footnoteRef/>
      </w:r>
      <w:r w:rsidRPr="00657830">
        <w:rPr>
          <w:sz w:val="16"/>
          <w:szCs w:val="16"/>
        </w:rPr>
        <w:t xml:space="preserve"> </w:t>
      </w:r>
      <w:r w:rsidRPr="00657830">
        <w:rPr>
          <w:sz w:val="16"/>
          <w:szCs w:val="16"/>
          <w:lang w:val="en-US"/>
        </w:rPr>
        <w:t xml:space="preserve">NCCN Guideline: Rectal cancer staging, 2015; 2. Cancer research UK: Bowel cancer incidence by stage at diagnosis, 2018; 3. HAS: Evaluation Vectibix, 2014; 4. HAS: Evaluation Avastin, 2016 </w:t>
      </w:r>
    </w:p>
  </w:footnote>
  <w:footnote w:id="10">
    <w:p w14:paraId="32BE7E83" w14:textId="77777777" w:rsidR="00427E3A" w:rsidRPr="00657830" w:rsidRDefault="00427E3A" w:rsidP="005556DA">
      <w:pPr>
        <w:pStyle w:val="FootnoteText"/>
        <w:rPr>
          <w:rFonts w:asciiTheme="minorHAnsi" w:hAnsiTheme="minorHAnsi"/>
          <w:sz w:val="16"/>
          <w:szCs w:val="16"/>
          <w:lang w:val="en-US"/>
        </w:rPr>
      </w:pPr>
      <w:r w:rsidRPr="00657830">
        <w:rPr>
          <w:rStyle w:val="FootnoteReference"/>
          <w:rFonts w:asciiTheme="minorHAnsi" w:hAnsiTheme="minorHAnsi"/>
          <w:sz w:val="16"/>
          <w:szCs w:val="16"/>
        </w:rPr>
        <w:footnoteRef/>
      </w:r>
      <w:r w:rsidRPr="00657830">
        <w:rPr>
          <w:rFonts w:asciiTheme="minorHAnsi" w:hAnsiTheme="minorHAnsi"/>
          <w:noProof/>
          <w:sz w:val="16"/>
          <w:szCs w:val="16"/>
          <w:lang w:val="en-US"/>
        </w:rPr>
        <w:t>Adam R, de Gramont A, Figueras J, et al. Managing synchronous liver metastases from colorectal cancer: a multidisciplinary international consensus. Cancer treatment reviews 2015;41:729-41</w:t>
      </w:r>
      <w:r w:rsidRPr="00657830">
        <w:rPr>
          <w:rFonts w:asciiTheme="minorHAnsi" w:hAnsiTheme="minorHAnsi"/>
          <w:sz w:val="16"/>
          <w:szCs w:val="16"/>
        </w:rPr>
        <w:t xml:space="preserve"> </w:t>
      </w:r>
    </w:p>
  </w:footnote>
  <w:footnote w:id="11">
    <w:p w14:paraId="5108233B" w14:textId="77777777" w:rsidR="00427E3A" w:rsidRPr="00657830" w:rsidRDefault="00427E3A" w:rsidP="005556DA">
      <w:pPr>
        <w:spacing w:before="0" w:after="0"/>
        <w:rPr>
          <w:sz w:val="16"/>
          <w:szCs w:val="16"/>
          <w:lang w:val="en-US"/>
        </w:rPr>
      </w:pPr>
      <w:r w:rsidRPr="00657830">
        <w:rPr>
          <w:rStyle w:val="FootnoteReference"/>
          <w:sz w:val="16"/>
          <w:szCs w:val="16"/>
        </w:rPr>
        <w:footnoteRef/>
      </w:r>
      <w:r w:rsidRPr="00657830">
        <w:rPr>
          <w:sz w:val="16"/>
          <w:szCs w:val="16"/>
        </w:rPr>
        <w:t xml:space="preserve"> </w:t>
      </w:r>
      <w:hyperlink r:id="rId15" w:history="1">
        <w:r w:rsidRPr="00657830">
          <w:rPr>
            <w:rStyle w:val="Hyperlink"/>
            <w:sz w:val="16"/>
            <w:szCs w:val="16"/>
          </w:rPr>
          <w:t>Clin Colon Rectal Surg</w:t>
        </w:r>
      </w:hyperlink>
      <w:r w:rsidRPr="00657830">
        <w:rPr>
          <w:sz w:val="16"/>
          <w:szCs w:val="16"/>
        </w:rPr>
        <w:t>. 2009 Nov; 22(4): 191–197. doi: </w:t>
      </w:r>
      <w:hyperlink r:id="rId16" w:tgtFrame="pmc_ext" w:history="1">
        <w:r w:rsidRPr="00657830">
          <w:rPr>
            <w:rStyle w:val="Hyperlink"/>
            <w:sz w:val="16"/>
            <w:szCs w:val="16"/>
          </w:rPr>
          <w:t>10.1055/s-0029-1242458</w:t>
        </w:r>
      </w:hyperlink>
      <w:r w:rsidRPr="00657830">
        <w:rPr>
          <w:rStyle w:val="Hyperlink"/>
          <w:sz w:val="16"/>
          <w:szCs w:val="16"/>
        </w:rPr>
        <w:t xml:space="preserve">. </w:t>
      </w:r>
      <w:r w:rsidRPr="00657830">
        <w:rPr>
          <w:sz w:val="16"/>
          <w:szCs w:val="16"/>
        </w:rPr>
        <w:t xml:space="preserve">Colorectal Cancer.  Guest </w:t>
      </w:r>
      <w:r>
        <w:rPr>
          <w:sz w:val="16"/>
          <w:szCs w:val="16"/>
        </w:rPr>
        <w:t>e</w:t>
      </w:r>
      <w:r w:rsidRPr="00657830">
        <w:rPr>
          <w:sz w:val="16"/>
          <w:szCs w:val="16"/>
        </w:rPr>
        <w:t xml:space="preserve">ditor Robin P. Boushey M.D., Ph.D. Colorectal Cancer Epidemiology: Incidence, Mortality, Survival, and Risk Factors. </w:t>
      </w:r>
      <w:hyperlink r:id="rId17" w:history="1">
        <w:r w:rsidRPr="00657830">
          <w:rPr>
            <w:rStyle w:val="Hyperlink"/>
            <w:sz w:val="16"/>
            <w:szCs w:val="16"/>
          </w:rPr>
          <w:t>Fatima A. Haggar</w:t>
        </w:r>
      </w:hyperlink>
      <w:r w:rsidRPr="00657830">
        <w:rPr>
          <w:sz w:val="16"/>
          <w:szCs w:val="16"/>
        </w:rPr>
        <w:t>, M.P.H.1,2 and </w:t>
      </w:r>
      <w:hyperlink r:id="rId18" w:history="1">
        <w:r w:rsidRPr="00657830">
          <w:rPr>
            <w:rStyle w:val="Hyperlink"/>
            <w:sz w:val="16"/>
            <w:szCs w:val="16"/>
          </w:rPr>
          <w:t>Robin P. Boushey</w:t>
        </w:r>
      </w:hyperlink>
      <w:r w:rsidRPr="00657830">
        <w:rPr>
          <w:sz w:val="16"/>
          <w:szCs w:val="16"/>
        </w:rPr>
        <w:t>, M.D., Ph.D.1</w:t>
      </w:r>
    </w:p>
  </w:footnote>
  <w:footnote w:id="12">
    <w:p w14:paraId="403C7EC0" w14:textId="77777777" w:rsidR="00427E3A" w:rsidRPr="00657830" w:rsidRDefault="00427E3A" w:rsidP="005556DA">
      <w:pPr>
        <w:pStyle w:val="FootnoteText"/>
        <w:rPr>
          <w:rFonts w:asciiTheme="minorHAnsi" w:hAnsiTheme="minorHAnsi"/>
          <w:sz w:val="16"/>
          <w:szCs w:val="16"/>
          <w:lang w:val="en-US"/>
        </w:rPr>
      </w:pPr>
      <w:r w:rsidRPr="00657830">
        <w:rPr>
          <w:rStyle w:val="FootnoteReference"/>
          <w:rFonts w:asciiTheme="minorHAnsi" w:hAnsiTheme="minorHAnsi"/>
          <w:sz w:val="16"/>
          <w:szCs w:val="16"/>
        </w:rPr>
        <w:footnoteRef/>
      </w:r>
      <w:r w:rsidRPr="00657830">
        <w:rPr>
          <w:rFonts w:asciiTheme="minorHAnsi" w:hAnsiTheme="minorHAnsi"/>
          <w:sz w:val="16"/>
          <w:szCs w:val="16"/>
        </w:rPr>
        <w:t xml:space="preserve"> </w:t>
      </w:r>
      <w:r w:rsidRPr="00657830">
        <w:rPr>
          <w:rFonts w:asciiTheme="minorHAnsi" w:hAnsiTheme="minorHAnsi"/>
          <w:sz w:val="16"/>
          <w:szCs w:val="16"/>
          <w:lang w:val="en-US"/>
        </w:rPr>
        <w:t xml:space="preserve">Cancer Council Australia </w:t>
      </w:r>
      <w:hyperlink r:id="rId19" w:history="1">
        <w:r w:rsidRPr="00657830">
          <w:rPr>
            <w:rFonts w:asciiTheme="minorHAnsi" w:hAnsiTheme="minorHAnsi"/>
            <w:sz w:val="16"/>
            <w:szCs w:val="16"/>
          </w:rPr>
          <w:t>https://www.cancer.org.au/about-cancer/types-of-cancer/bowel-cancer/</w:t>
        </w:r>
      </w:hyperlink>
    </w:p>
  </w:footnote>
  <w:footnote w:id="13">
    <w:p w14:paraId="6BD7704D" w14:textId="77777777" w:rsidR="00427E3A" w:rsidRPr="00657830" w:rsidRDefault="00427E3A" w:rsidP="005556DA">
      <w:pPr>
        <w:spacing w:before="0" w:after="0"/>
        <w:jc w:val="both"/>
        <w:rPr>
          <w:sz w:val="16"/>
          <w:szCs w:val="16"/>
          <w:lang w:val="en-US"/>
        </w:rPr>
      </w:pPr>
      <w:r w:rsidRPr="00657830">
        <w:rPr>
          <w:rStyle w:val="FootnoteReference"/>
          <w:sz w:val="16"/>
          <w:szCs w:val="16"/>
        </w:rPr>
        <w:footnoteRef/>
      </w:r>
      <w:r w:rsidRPr="00657830">
        <w:rPr>
          <w:sz w:val="16"/>
          <w:szCs w:val="16"/>
        </w:rPr>
        <w:t xml:space="preserve"> </w:t>
      </w:r>
      <w:r w:rsidRPr="00657830">
        <w:rPr>
          <w:sz w:val="16"/>
          <w:szCs w:val="16"/>
          <w:lang w:val="it-IT"/>
        </w:rPr>
        <w:t xml:space="preserve">Luengo-Fernandez R et al., 2013; 2. OHE: Improving Efficiency and Resource Allocation in future Cancer Care, 2016 3. Australian Institue of Health and Welfare: </w:t>
      </w:r>
      <w:r w:rsidRPr="00657830">
        <w:rPr>
          <w:sz w:val="16"/>
          <w:szCs w:val="16"/>
          <w:lang w:val="en-US"/>
        </w:rPr>
        <w:t>Health system expenditure on cancer and other neoplasms in Australia 2008-09, 2013</w:t>
      </w:r>
    </w:p>
  </w:footnote>
  <w:footnote w:id="14">
    <w:p w14:paraId="42FC3109" w14:textId="77777777" w:rsidR="00427E3A" w:rsidRPr="00657830" w:rsidRDefault="00427E3A" w:rsidP="005556DA">
      <w:pPr>
        <w:pStyle w:val="FootnoteText"/>
        <w:rPr>
          <w:rFonts w:asciiTheme="minorHAnsi" w:hAnsiTheme="minorHAnsi"/>
          <w:sz w:val="16"/>
          <w:szCs w:val="16"/>
          <w:lang w:val="en-US"/>
        </w:rPr>
      </w:pPr>
      <w:r w:rsidRPr="00657830">
        <w:rPr>
          <w:rStyle w:val="FootnoteReference"/>
          <w:rFonts w:asciiTheme="minorHAnsi" w:hAnsiTheme="minorHAnsi"/>
          <w:sz w:val="16"/>
          <w:szCs w:val="16"/>
        </w:rPr>
        <w:footnoteRef/>
      </w:r>
      <w:r w:rsidRPr="00657830">
        <w:rPr>
          <w:rFonts w:asciiTheme="minorHAnsi" w:hAnsiTheme="minorHAnsi"/>
          <w:sz w:val="16"/>
          <w:szCs w:val="16"/>
        </w:rPr>
        <w:t xml:space="preserve"> </w:t>
      </w:r>
      <w:r w:rsidRPr="00657830">
        <w:rPr>
          <w:rFonts w:asciiTheme="minorHAnsi" w:hAnsiTheme="minorHAnsi"/>
          <w:sz w:val="16"/>
          <w:szCs w:val="16"/>
          <w:lang w:val="en-US"/>
        </w:rPr>
        <w:t>Cancer.net. Colorectal Cancer Statistics. 2016.</w:t>
      </w:r>
    </w:p>
    <w:p w14:paraId="5FF1F1DF" w14:textId="77777777" w:rsidR="00427E3A" w:rsidRPr="00657830" w:rsidRDefault="00427E3A" w:rsidP="005556DA">
      <w:pPr>
        <w:pStyle w:val="FootnoteText"/>
        <w:rPr>
          <w:sz w:val="16"/>
          <w:szCs w:val="16"/>
          <w:lang w:val="en-US"/>
        </w:rPr>
      </w:pPr>
      <w:r w:rsidRPr="00657830">
        <w:rPr>
          <w:rFonts w:asciiTheme="minorHAnsi" w:hAnsiTheme="minorHAnsi"/>
          <w:sz w:val="16"/>
          <w:szCs w:val="16"/>
          <w:lang w:val="en-US"/>
        </w:rPr>
        <w:t xml:space="preserve"> </w:t>
      </w:r>
      <w:hyperlink r:id="rId20" w:history="1">
        <w:r w:rsidRPr="00657830">
          <w:rPr>
            <w:rStyle w:val="Hyperlink"/>
            <w:rFonts w:asciiTheme="minorHAnsi" w:hAnsiTheme="minorHAnsi"/>
            <w:sz w:val="16"/>
            <w:szCs w:val="16"/>
            <w:lang w:val="en-US"/>
          </w:rPr>
          <w:t>http://www.cancer.net/cancer-types/colorectal-cancer/statistics</w:t>
        </w:r>
      </w:hyperlink>
      <w:r w:rsidRPr="00657830">
        <w:rPr>
          <w:rFonts w:asciiTheme="minorHAnsi" w:hAnsiTheme="minorHAnsi"/>
          <w:sz w:val="16"/>
          <w:szCs w:val="16"/>
          <w:lang w:val="en-US"/>
        </w:rPr>
        <w:t xml:space="preserve"> &amp; National Cancer Institute. Surveillance, Epidemiology and End Results Program. SEER Stat Fact Sheets: Colon and Rectum Cancer. 2016. </w:t>
      </w:r>
      <w:hyperlink r:id="rId21" w:history="1">
        <w:r w:rsidRPr="00657830">
          <w:rPr>
            <w:rStyle w:val="Hyperlink"/>
            <w:rFonts w:asciiTheme="minorHAnsi" w:hAnsiTheme="minorHAnsi"/>
            <w:sz w:val="16"/>
            <w:szCs w:val="16"/>
            <w:lang w:val="en-US"/>
          </w:rPr>
          <w:t>https://seer.cancer.gov/statfacts/html/colorect.html</w:t>
        </w:r>
      </w:hyperlink>
    </w:p>
  </w:footnote>
  <w:footnote w:id="15">
    <w:p w14:paraId="5FD8DC6A" w14:textId="77777777" w:rsidR="00427E3A" w:rsidRDefault="00427E3A" w:rsidP="008D74AB">
      <w:pPr>
        <w:pStyle w:val="Default"/>
      </w:pPr>
      <w:r>
        <w:rPr>
          <w:rStyle w:val="FootnoteReference"/>
        </w:rPr>
        <w:footnoteRef/>
      </w:r>
      <w:r>
        <w:t xml:space="preserve"> </w:t>
      </w:r>
      <w:r w:rsidRPr="00CF1C24">
        <w:rPr>
          <w:rFonts w:asciiTheme="minorHAnsi" w:hAnsiTheme="minorHAnsi"/>
          <w:color w:val="auto"/>
          <w:sz w:val="16"/>
          <w:szCs w:val="16"/>
        </w:rPr>
        <w:t xml:space="preserve">Sepulveda AR, Hamilton SR, Allegra CJ, et al: Molecular Biomarkers for the Evaluation of Colorectal Cancer: Guideline From the American Society for Clinical Pathology, College of American Pathologists, Association for Molecular Pathology, and the American Society of Clinical Oncology. J Clin Oncol:JCO.2016.71.9807, 2017 </w:t>
      </w:r>
    </w:p>
  </w:footnote>
  <w:footnote w:id="16">
    <w:p w14:paraId="1D8CB7A2" w14:textId="77777777" w:rsidR="00427E3A" w:rsidRDefault="00427E3A">
      <w:pPr>
        <w:pStyle w:val="FootnoteText"/>
      </w:pPr>
      <w:r>
        <w:rPr>
          <w:rStyle w:val="FootnoteReference"/>
        </w:rPr>
        <w:footnoteRef/>
      </w:r>
      <w:r>
        <w:t xml:space="preserve"> </w:t>
      </w:r>
      <w:r w:rsidRPr="00CF1C24">
        <w:rPr>
          <w:rFonts w:asciiTheme="minorHAnsi" w:hAnsiTheme="minorHAnsi"/>
          <w:sz w:val="16"/>
          <w:szCs w:val="16"/>
        </w:rPr>
        <w:t>Sorbye et al. High BRAF Mutation Frequency and Marked Survival Differences in Subgroups According to KRAS/BRAF Mutation Status and Tumor Tissue Availability in a Prospective Population-Based Metastatic Colorectal Cancer Cohort, 2015</w:t>
      </w:r>
    </w:p>
  </w:footnote>
  <w:footnote w:id="17">
    <w:p w14:paraId="3A6D959F" w14:textId="77777777" w:rsidR="00427E3A" w:rsidRPr="001971E5" w:rsidRDefault="00427E3A" w:rsidP="001971E5">
      <w:pPr>
        <w:shd w:val="clear" w:color="auto" w:fill="FFFFFF"/>
        <w:spacing w:before="0" w:after="0"/>
      </w:pPr>
      <w:r w:rsidRPr="001971E5">
        <w:rPr>
          <w:rStyle w:val="FootnoteReference"/>
        </w:rPr>
        <w:footnoteRef/>
      </w:r>
      <w:r w:rsidRPr="001971E5">
        <w:t xml:space="preserve"> </w:t>
      </w:r>
      <w:hyperlink r:id="rId22" w:tooltip="Cancer epidemiology." w:history="1">
        <w:r w:rsidRPr="001971E5">
          <w:rPr>
            <w:rStyle w:val="Hyperlink"/>
            <w:color w:val="auto"/>
            <w:sz w:val="16"/>
            <w:szCs w:val="16"/>
            <w:u w:val="none"/>
          </w:rPr>
          <w:t>Cancer Epidemiol.</w:t>
        </w:r>
      </w:hyperlink>
      <w:r w:rsidRPr="001971E5">
        <w:rPr>
          <w:sz w:val="16"/>
          <w:szCs w:val="16"/>
        </w:rPr>
        <w:t xml:space="preserve"> 2017 Aug;49:92-100. doi: 10.1016/j.canep.2017.05.012. Epub 2017 Jun 6. Colorectal cancer metastatic disease progression in Australia: A population-based analysis. </w:t>
      </w:r>
      <w:hyperlink r:id="rId23" w:history="1">
        <w:r w:rsidRPr="001971E5">
          <w:rPr>
            <w:rStyle w:val="Hyperlink"/>
            <w:color w:val="auto"/>
            <w:sz w:val="16"/>
            <w:szCs w:val="16"/>
            <w:u w:val="none"/>
          </w:rPr>
          <w:t>Luo Q</w:t>
        </w:r>
      </w:hyperlink>
      <w:r w:rsidRPr="001971E5">
        <w:rPr>
          <w:sz w:val="16"/>
          <w:szCs w:val="16"/>
        </w:rPr>
        <w:t>, </w:t>
      </w:r>
      <w:hyperlink r:id="rId24" w:history="1">
        <w:r w:rsidRPr="001971E5">
          <w:rPr>
            <w:rStyle w:val="Hyperlink"/>
            <w:color w:val="auto"/>
            <w:sz w:val="16"/>
            <w:szCs w:val="16"/>
            <w:u w:val="none"/>
          </w:rPr>
          <w:t>O'Connell DL</w:t>
        </w:r>
      </w:hyperlink>
      <w:r w:rsidRPr="001971E5">
        <w:rPr>
          <w:sz w:val="16"/>
          <w:szCs w:val="16"/>
        </w:rPr>
        <w:t>, </w:t>
      </w:r>
      <w:hyperlink r:id="rId25" w:history="1">
        <w:r w:rsidRPr="001971E5">
          <w:rPr>
            <w:rStyle w:val="Hyperlink"/>
            <w:color w:val="auto"/>
            <w:sz w:val="16"/>
            <w:szCs w:val="16"/>
            <w:u w:val="none"/>
          </w:rPr>
          <w:t>Kahn C</w:t>
        </w:r>
      </w:hyperlink>
      <w:r w:rsidRPr="001971E5">
        <w:rPr>
          <w:sz w:val="16"/>
          <w:szCs w:val="16"/>
        </w:rPr>
        <w:t>, </w:t>
      </w:r>
      <w:hyperlink r:id="rId26" w:history="1">
        <w:r w:rsidRPr="001971E5">
          <w:rPr>
            <w:rStyle w:val="Hyperlink"/>
            <w:color w:val="auto"/>
            <w:sz w:val="16"/>
            <w:szCs w:val="16"/>
            <w:u w:val="none"/>
          </w:rPr>
          <w:t>Yu XQ</w:t>
        </w:r>
      </w:hyperlink>
      <w:r w:rsidRPr="001971E5">
        <w:rPr>
          <w:rFonts w:ascii="Arial" w:hAnsi="Arial" w:cs="Arial"/>
          <w:sz w:val="22"/>
        </w:rPr>
        <w:t>.</w:t>
      </w:r>
    </w:p>
  </w:footnote>
  <w:footnote w:id="18">
    <w:p w14:paraId="1911D173" w14:textId="77777777" w:rsidR="00427E3A" w:rsidRPr="009D519C" w:rsidRDefault="00427E3A" w:rsidP="009D519C">
      <w:pPr>
        <w:pStyle w:val="Heading1"/>
        <w:shd w:val="clear" w:color="auto" w:fill="FFFFFF"/>
        <w:spacing w:after="0" w:line="240" w:lineRule="auto"/>
        <w:textAlignment w:val="baseline"/>
        <w:rPr>
          <w:color w:val="auto"/>
          <w:sz w:val="16"/>
          <w:szCs w:val="16"/>
        </w:rPr>
      </w:pPr>
      <w:r w:rsidRPr="009D519C">
        <w:rPr>
          <w:rStyle w:val="FootnoteReference"/>
          <w:color w:val="auto"/>
          <w:sz w:val="16"/>
          <w:szCs w:val="16"/>
        </w:rPr>
        <w:footnoteRef/>
      </w:r>
      <w:r w:rsidRPr="009D519C">
        <w:rPr>
          <w:color w:val="auto"/>
          <w:sz w:val="16"/>
          <w:szCs w:val="16"/>
        </w:rPr>
        <w:t xml:space="preserve"> Predictors of Survival in Stage IV Metastatic Colorectal Cancer. </w:t>
      </w:r>
      <w:hyperlink r:id="rId27" w:history="1">
        <w:r w:rsidRPr="009D519C">
          <w:rPr>
            <w:rStyle w:val="Hyperlink"/>
            <w:color w:val="auto"/>
            <w:sz w:val="16"/>
            <w:szCs w:val="16"/>
          </w:rPr>
          <w:t>MICHALIS ZACHARAKIS</w:t>
        </w:r>
      </w:hyperlink>
      <w:r w:rsidRPr="009D519C">
        <w:rPr>
          <w:color w:val="auto"/>
          <w:sz w:val="16"/>
          <w:szCs w:val="16"/>
        </w:rPr>
        <w:t xml:space="preserve"> et al.  Anticancer Research February 2010 vol. 30 no. 2 653-660</w:t>
      </w:r>
      <w:r>
        <w:rPr>
          <w:rStyle w:val="slug-pages"/>
          <w:rFonts w:ascii="Lucida Sans Unicode" w:hAnsi="Lucida Sans Unicode" w:cs="Lucida Sans Unicode"/>
          <w:b/>
          <w:bCs w:val="0"/>
          <w:color w:val="333300"/>
          <w:sz w:val="13"/>
          <w:szCs w:val="13"/>
          <w:bdr w:val="none" w:sz="0" w:space="0" w:color="auto" w:frame="1"/>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91C4" w14:textId="77777777" w:rsidR="000E7575" w:rsidRDefault="000E7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A768" w14:textId="77777777" w:rsidR="000E7575" w:rsidRDefault="000E7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294B" w14:textId="77777777" w:rsidR="000E7575" w:rsidRDefault="000E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806" w:hanging="720"/>
      </w:pPr>
      <w:rPr>
        <w:rFonts w:hint="default"/>
        <w:b w:val="0"/>
      </w:rPr>
    </w:lvl>
    <w:lvl w:ilvl="1" w:tplc="0C090019" w:tentative="1">
      <w:start w:val="1"/>
      <w:numFmt w:val="lowerLetter"/>
      <w:lvlText w:val="%2."/>
      <w:lvlJc w:val="left"/>
      <w:pPr>
        <w:ind w:left="1166" w:hanging="360"/>
      </w:pPr>
    </w:lvl>
    <w:lvl w:ilvl="2" w:tplc="0C09001B" w:tentative="1">
      <w:start w:val="1"/>
      <w:numFmt w:val="lowerRoman"/>
      <w:lvlText w:val="%3."/>
      <w:lvlJc w:val="right"/>
      <w:pPr>
        <w:ind w:left="1886" w:hanging="180"/>
      </w:pPr>
    </w:lvl>
    <w:lvl w:ilvl="3" w:tplc="0C09000F" w:tentative="1">
      <w:start w:val="1"/>
      <w:numFmt w:val="decimal"/>
      <w:lvlText w:val="%4."/>
      <w:lvlJc w:val="left"/>
      <w:pPr>
        <w:ind w:left="2606" w:hanging="360"/>
      </w:pPr>
    </w:lvl>
    <w:lvl w:ilvl="4" w:tplc="0C090019" w:tentative="1">
      <w:start w:val="1"/>
      <w:numFmt w:val="lowerLetter"/>
      <w:lvlText w:val="%5."/>
      <w:lvlJc w:val="left"/>
      <w:pPr>
        <w:ind w:left="3326" w:hanging="360"/>
      </w:pPr>
    </w:lvl>
    <w:lvl w:ilvl="5" w:tplc="0C09001B" w:tentative="1">
      <w:start w:val="1"/>
      <w:numFmt w:val="lowerRoman"/>
      <w:lvlText w:val="%6."/>
      <w:lvlJc w:val="right"/>
      <w:pPr>
        <w:ind w:left="4046" w:hanging="180"/>
      </w:pPr>
    </w:lvl>
    <w:lvl w:ilvl="6" w:tplc="0C09000F" w:tentative="1">
      <w:start w:val="1"/>
      <w:numFmt w:val="decimal"/>
      <w:lvlText w:val="%7."/>
      <w:lvlJc w:val="left"/>
      <w:pPr>
        <w:ind w:left="4766" w:hanging="360"/>
      </w:pPr>
    </w:lvl>
    <w:lvl w:ilvl="7" w:tplc="0C090019" w:tentative="1">
      <w:start w:val="1"/>
      <w:numFmt w:val="lowerLetter"/>
      <w:lvlText w:val="%8."/>
      <w:lvlJc w:val="left"/>
      <w:pPr>
        <w:ind w:left="5486" w:hanging="360"/>
      </w:pPr>
    </w:lvl>
    <w:lvl w:ilvl="8" w:tplc="0C09001B" w:tentative="1">
      <w:start w:val="1"/>
      <w:numFmt w:val="lowerRoman"/>
      <w:lvlText w:val="%9."/>
      <w:lvlJc w:val="right"/>
      <w:pPr>
        <w:ind w:left="6206"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B3E0B"/>
    <w:multiLevelType w:val="hybridMultilevel"/>
    <w:tmpl w:val="F656F866"/>
    <w:lvl w:ilvl="0" w:tplc="00F627E8">
      <w:start w:val="1"/>
      <w:numFmt w:val="bullet"/>
      <w:lvlText w:val="•"/>
      <w:lvlJc w:val="left"/>
      <w:pPr>
        <w:tabs>
          <w:tab w:val="num" w:pos="720"/>
        </w:tabs>
        <w:ind w:left="720" w:hanging="360"/>
      </w:pPr>
      <w:rPr>
        <w:rFonts w:ascii="Arial" w:hAnsi="Arial" w:hint="default"/>
      </w:rPr>
    </w:lvl>
    <w:lvl w:ilvl="1" w:tplc="3878C1AC" w:tentative="1">
      <w:start w:val="1"/>
      <w:numFmt w:val="bullet"/>
      <w:lvlText w:val="•"/>
      <w:lvlJc w:val="left"/>
      <w:pPr>
        <w:tabs>
          <w:tab w:val="num" w:pos="1440"/>
        </w:tabs>
        <w:ind w:left="1440" w:hanging="360"/>
      </w:pPr>
      <w:rPr>
        <w:rFonts w:ascii="Arial" w:hAnsi="Arial" w:hint="default"/>
      </w:rPr>
    </w:lvl>
    <w:lvl w:ilvl="2" w:tplc="731C6186" w:tentative="1">
      <w:start w:val="1"/>
      <w:numFmt w:val="bullet"/>
      <w:lvlText w:val="•"/>
      <w:lvlJc w:val="left"/>
      <w:pPr>
        <w:tabs>
          <w:tab w:val="num" w:pos="2160"/>
        </w:tabs>
        <w:ind w:left="2160" w:hanging="360"/>
      </w:pPr>
      <w:rPr>
        <w:rFonts w:ascii="Arial" w:hAnsi="Arial" w:hint="default"/>
      </w:rPr>
    </w:lvl>
    <w:lvl w:ilvl="3" w:tplc="AD54E250" w:tentative="1">
      <w:start w:val="1"/>
      <w:numFmt w:val="bullet"/>
      <w:lvlText w:val="•"/>
      <w:lvlJc w:val="left"/>
      <w:pPr>
        <w:tabs>
          <w:tab w:val="num" w:pos="2880"/>
        </w:tabs>
        <w:ind w:left="2880" w:hanging="360"/>
      </w:pPr>
      <w:rPr>
        <w:rFonts w:ascii="Arial" w:hAnsi="Arial" w:hint="default"/>
      </w:rPr>
    </w:lvl>
    <w:lvl w:ilvl="4" w:tplc="DC264808" w:tentative="1">
      <w:start w:val="1"/>
      <w:numFmt w:val="bullet"/>
      <w:lvlText w:val="•"/>
      <w:lvlJc w:val="left"/>
      <w:pPr>
        <w:tabs>
          <w:tab w:val="num" w:pos="3600"/>
        </w:tabs>
        <w:ind w:left="3600" w:hanging="360"/>
      </w:pPr>
      <w:rPr>
        <w:rFonts w:ascii="Arial" w:hAnsi="Arial" w:hint="default"/>
      </w:rPr>
    </w:lvl>
    <w:lvl w:ilvl="5" w:tplc="AAACFF20" w:tentative="1">
      <w:start w:val="1"/>
      <w:numFmt w:val="bullet"/>
      <w:lvlText w:val="•"/>
      <w:lvlJc w:val="left"/>
      <w:pPr>
        <w:tabs>
          <w:tab w:val="num" w:pos="4320"/>
        </w:tabs>
        <w:ind w:left="4320" w:hanging="360"/>
      </w:pPr>
      <w:rPr>
        <w:rFonts w:ascii="Arial" w:hAnsi="Arial" w:hint="default"/>
      </w:rPr>
    </w:lvl>
    <w:lvl w:ilvl="6" w:tplc="2C3C427A" w:tentative="1">
      <w:start w:val="1"/>
      <w:numFmt w:val="bullet"/>
      <w:lvlText w:val="•"/>
      <w:lvlJc w:val="left"/>
      <w:pPr>
        <w:tabs>
          <w:tab w:val="num" w:pos="5040"/>
        </w:tabs>
        <w:ind w:left="5040" w:hanging="360"/>
      </w:pPr>
      <w:rPr>
        <w:rFonts w:ascii="Arial" w:hAnsi="Arial" w:hint="default"/>
      </w:rPr>
    </w:lvl>
    <w:lvl w:ilvl="7" w:tplc="C976401E" w:tentative="1">
      <w:start w:val="1"/>
      <w:numFmt w:val="bullet"/>
      <w:lvlText w:val="•"/>
      <w:lvlJc w:val="left"/>
      <w:pPr>
        <w:tabs>
          <w:tab w:val="num" w:pos="5760"/>
        </w:tabs>
        <w:ind w:left="5760" w:hanging="360"/>
      </w:pPr>
      <w:rPr>
        <w:rFonts w:ascii="Arial" w:hAnsi="Arial" w:hint="default"/>
      </w:rPr>
    </w:lvl>
    <w:lvl w:ilvl="8" w:tplc="0C0CAE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F536C1"/>
    <w:multiLevelType w:val="hybridMultilevel"/>
    <w:tmpl w:val="ACC6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806" w:hanging="720"/>
      </w:pPr>
      <w:rPr>
        <w:rFonts w:asciiTheme="minorHAnsi" w:eastAsiaTheme="minorHAnsi" w:hAnsiTheme="minorHAnsi" w:cstheme="minorBidi" w:hint="default"/>
        <w:b w:val="0"/>
      </w:rPr>
    </w:lvl>
    <w:lvl w:ilvl="1" w:tplc="0C090019" w:tentative="1">
      <w:start w:val="1"/>
      <w:numFmt w:val="lowerLetter"/>
      <w:lvlText w:val="%2."/>
      <w:lvlJc w:val="left"/>
      <w:pPr>
        <w:ind w:left="1166" w:hanging="360"/>
      </w:pPr>
    </w:lvl>
    <w:lvl w:ilvl="2" w:tplc="0C09001B" w:tentative="1">
      <w:start w:val="1"/>
      <w:numFmt w:val="lowerRoman"/>
      <w:lvlText w:val="%3."/>
      <w:lvlJc w:val="right"/>
      <w:pPr>
        <w:ind w:left="1886" w:hanging="180"/>
      </w:pPr>
    </w:lvl>
    <w:lvl w:ilvl="3" w:tplc="0C09000F" w:tentative="1">
      <w:start w:val="1"/>
      <w:numFmt w:val="decimal"/>
      <w:lvlText w:val="%4."/>
      <w:lvlJc w:val="left"/>
      <w:pPr>
        <w:ind w:left="2606" w:hanging="360"/>
      </w:pPr>
    </w:lvl>
    <w:lvl w:ilvl="4" w:tplc="0C090019" w:tentative="1">
      <w:start w:val="1"/>
      <w:numFmt w:val="lowerLetter"/>
      <w:lvlText w:val="%5."/>
      <w:lvlJc w:val="left"/>
      <w:pPr>
        <w:ind w:left="3326" w:hanging="360"/>
      </w:pPr>
    </w:lvl>
    <w:lvl w:ilvl="5" w:tplc="0C09001B" w:tentative="1">
      <w:start w:val="1"/>
      <w:numFmt w:val="lowerRoman"/>
      <w:lvlText w:val="%6."/>
      <w:lvlJc w:val="right"/>
      <w:pPr>
        <w:ind w:left="4046" w:hanging="180"/>
      </w:pPr>
    </w:lvl>
    <w:lvl w:ilvl="6" w:tplc="0C09000F" w:tentative="1">
      <w:start w:val="1"/>
      <w:numFmt w:val="decimal"/>
      <w:lvlText w:val="%7."/>
      <w:lvlJc w:val="left"/>
      <w:pPr>
        <w:ind w:left="4766" w:hanging="360"/>
      </w:pPr>
    </w:lvl>
    <w:lvl w:ilvl="7" w:tplc="0C090019" w:tentative="1">
      <w:start w:val="1"/>
      <w:numFmt w:val="lowerLetter"/>
      <w:lvlText w:val="%8."/>
      <w:lvlJc w:val="left"/>
      <w:pPr>
        <w:ind w:left="5486" w:hanging="360"/>
      </w:pPr>
    </w:lvl>
    <w:lvl w:ilvl="8" w:tplc="0C09001B" w:tentative="1">
      <w:start w:val="1"/>
      <w:numFmt w:val="lowerRoman"/>
      <w:lvlText w:val="%9."/>
      <w:lvlJc w:val="right"/>
      <w:pPr>
        <w:ind w:left="6206"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0672098"/>
    <w:multiLevelType w:val="hybridMultilevel"/>
    <w:tmpl w:val="2096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8030879"/>
    <w:multiLevelType w:val="hybridMultilevel"/>
    <w:tmpl w:val="8F288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4A985AB9"/>
    <w:multiLevelType w:val="hybridMultilevel"/>
    <w:tmpl w:val="6598E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AA26954"/>
    <w:multiLevelType w:val="multilevel"/>
    <w:tmpl w:val="03FC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6956AA"/>
    <w:multiLevelType w:val="hybridMultilevel"/>
    <w:tmpl w:val="B796A1FA"/>
    <w:lvl w:ilvl="0" w:tplc="7870D37C">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22"/>
  </w:num>
  <w:num w:numId="26">
    <w:abstractNumId w:val="4"/>
  </w:num>
  <w:num w:numId="27">
    <w:abstractNumId w:val="19"/>
  </w:num>
  <w:num w:numId="28">
    <w:abstractNumId w:val="13"/>
  </w:num>
  <w:num w:numId="29">
    <w:abstractNumId w:val="23"/>
  </w:num>
  <w:num w:numId="30">
    <w:abstractNumId w:val="3"/>
  </w:num>
  <w:num w:numId="31">
    <w:abstractNumId w:val="21"/>
  </w:num>
  <w:num w:numId="32">
    <w:abstractNumId w:val="8"/>
  </w:num>
  <w:num w:numId="33">
    <w:abstractNumId w:val="20"/>
  </w:num>
  <w:num w:numId="34">
    <w:abstractNumId w:val="7"/>
  </w:num>
  <w:num w:numId="35">
    <w:abstractNumId w:val="14"/>
  </w:num>
  <w:num w:numId="36">
    <w:abstractNumId w:val="0"/>
  </w:num>
  <w:num w:numId="37">
    <w:abstractNumId w:val="2"/>
  </w:num>
  <w:num w:numId="38">
    <w:abstractNumId w:val="24"/>
  </w:num>
  <w:num w:numId="39">
    <w:abstractNumId w:val="12"/>
  </w:num>
  <w:num w:numId="40">
    <w:abstractNumId w:val="10"/>
  </w:num>
  <w:num w:numId="41">
    <w:abstractNumId w:val="16"/>
  </w:num>
  <w:num w:numId="42">
    <w:abstractNumId w:val="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1D99"/>
    <w:rsid w:val="00073222"/>
    <w:rsid w:val="000770BA"/>
    <w:rsid w:val="00092580"/>
    <w:rsid w:val="000955E7"/>
    <w:rsid w:val="000A110D"/>
    <w:rsid w:val="000A478F"/>
    <w:rsid w:val="000A4F47"/>
    <w:rsid w:val="000A5B32"/>
    <w:rsid w:val="000B3CD0"/>
    <w:rsid w:val="000D066E"/>
    <w:rsid w:val="000D0831"/>
    <w:rsid w:val="000E2F5F"/>
    <w:rsid w:val="000E47E7"/>
    <w:rsid w:val="000E5439"/>
    <w:rsid w:val="000E7575"/>
    <w:rsid w:val="00102686"/>
    <w:rsid w:val="0011036E"/>
    <w:rsid w:val="001130B0"/>
    <w:rsid w:val="0011369B"/>
    <w:rsid w:val="00116419"/>
    <w:rsid w:val="0011742E"/>
    <w:rsid w:val="00123D10"/>
    <w:rsid w:val="00126B33"/>
    <w:rsid w:val="00154B00"/>
    <w:rsid w:val="001644E9"/>
    <w:rsid w:val="001845D9"/>
    <w:rsid w:val="001862C9"/>
    <w:rsid w:val="0018630F"/>
    <w:rsid w:val="001906CD"/>
    <w:rsid w:val="00191B99"/>
    <w:rsid w:val="0019694B"/>
    <w:rsid w:val="001971E5"/>
    <w:rsid w:val="00197D29"/>
    <w:rsid w:val="001A02E3"/>
    <w:rsid w:val="001A1ADF"/>
    <w:rsid w:val="001A365C"/>
    <w:rsid w:val="001B171D"/>
    <w:rsid w:val="001B29A1"/>
    <w:rsid w:val="001B439C"/>
    <w:rsid w:val="001B5169"/>
    <w:rsid w:val="001B6164"/>
    <w:rsid w:val="001D77ED"/>
    <w:rsid w:val="001E1180"/>
    <w:rsid w:val="001E23EA"/>
    <w:rsid w:val="001E6919"/>
    <w:rsid w:val="001E6958"/>
    <w:rsid w:val="001F4D1D"/>
    <w:rsid w:val="00201924"/>
    <w:rsid w:val="00202473"/>
    <w:rsid w:val="002053F2"/>
    <w:rsid w:val="00206D63"/>
    <w:rsid w:val="0021185D"/>
    <w:rsid w:val="00226777"/>
    <w:rsid w:val="00235BD1"/>
    <w:rsid w:val="00242B0E"/>
    <w:rsid w:val="00247DF0"/>
    <w:rsid w:val="00254813"/>
    <w:rsid w:val="00255615"/>
    <w:rsid w:val="00257FF2"/>
    <w:rsid w:val="00265822"/>
    <w:rsid w:val="0027105F"/>
    <w:rsid w:val="002711FB"/>
    <w:rsid w:val="00271F41"/>
    <w:rsid w:val="00283318"/>
    <w:rsid w:val="00285525"/>
    <w:rsid w:val="002927B8"/>
    <w:rsid w:val="00294CD8"/>
    <w:rsid w:val="002A270B"/>
    <w:rsid w:val="002A50FD"/>
    <w:rsid w:val="002A62D9"/>
    <w:rsid w:val="002A6753"/>
    <w:rsid w:val="002B28D7"/>
    <w:rsid w:val="002B7EB6"/>
    <w:rsid w:val="002C0B61"/>
    <w:rsid w:val="002C15E6"/>
    <w:rsid w:val="002C247D"/>
    <w:rsid w:val="002C3345"/>
    <w:rsid w:val="002D3A3E"/>
    <w:rsid w:val="002D409A"/>
    <w:rsid w:val="002E2D06"/>
    <w:rsid w:val="002F30E7"/>
    <w:rsid w:val="002F7657"/>
    <w:rsid w:val="00300EEB"/>
    <w:rsid w:val="003013A9"/>
    <w:rsid w:val="003020B5"/>
    <w:rsid w:val="003027BB"/>
    <w:rsid w:val="00302E61"/>
    <w:rsid w:val="00310A10"/>
    <w:rsid w:val="00321334"/>
    <w:rsid w:val="00327D25"/>
    <w:rsid w:val="003319A7"/>
    <w:rsid w:val="00334FE3"/>
    <w:rsid w:val="003421AE"/>
    <w:rsid w:val="003433D1"/>
    <w:rsid w:val="00344B24"/>
    <w:rsid w:val="003456B9"/>
    <w:rsid w:val="0035067D"/>
    <w:rsid w:val="00353A16"/>
    <w:rsid w:val="00353B95"/>
    <w:rsid w:val="0035776D"/>
    <w:rsid w:val="00364FD9"/>
    <w:rsid w:val="00367C1B"/>
    <w:rsid w:val="00376B61"/>
    <w:rsid w:val="00377D27"/>
    <w:rsid w:val="00382407"/>
    <w:rsid w:val="00382D7A"/>
    <w:rsid w:val="00386A64"/>
    <w:rsid w:val="00386FA1"/>
    <w:rsid w:val="00390142"/>
    <w:rsid w:val="00392F00"/>
    <w:rsid w:val="00397377"/>
    <w:rsid w:val="003A22DE"/>
    <w:rsid w:val="003A2860"/>
    <w:rsid w:val="003A3C35"/>
    <w:rsid w:val="003A7D30"/>
    <w:rsid w:val="003B2419"/>
    <w:rsid w:val="003B3C5C"/>
    <w:rsid w:val="003C47CA"/>
    <w:rsid w:val="003D6DE1"/>
    <w:rsid w:val="003D795C"/>
    <w:rsid w:val="003E30FB"/>
    <w:rsid w:val="003F2711"/>
    <w:rsid w:val="003F6C70"/>
    <w:rsid w:val="003F7CB9"/>
    <w:rsid w:val="00403333"/>
    <w:rsid w:val="00411735"/>
    <w:rsid w:val="00415C74"/>
    <w:rsid w:val="00427E3A"/>
    <w:rsid w:val="0043654D"/>
    <w:rsid w:val="00451840"/>
    <w:rsid w:val="004569B2"/>
    <w:rsid w:val="00460C9A"/>
    <w:rsid w:val="00464924"/>
    <w:rsid w:val="004667E5"/>
    <w:rsid w:val="0047581D"/>
    <w:rsid w:val="00480289"/>
    <w:rsid w:val="00481279"/>
    <w:rsid w:val="00483368"/>
    <w:rsid w:val="00494011"/>
    <w:rsid w:val="004A0BF4"/>
    <w:rsid w:val="004A263B"/>
    <w:rsid w:val="004A6E43"/>
    <w:rsid w:val="004B68AE"/>
    <w:rsid w:val="004C35B0"/>
    <w:rsid w:val="004C49EF"/>
    <w:rsid w:val="004C4A19"/>
    <w:rsid w:val="004C5570"/>
    <w:rsid w:val="004D00C9"/>
    <w:rsid w:val="004D4B7D"/>
    <w:rsid w:val="004D6C8A"/>
    <w:rsid w:val="004E16F5"/>
    <w:rsid w:val="004E20FB"/>
    <w:rsid w:val="004E3CC7"/>
    <w:rsid w:val="004E5B69"/>
    <w:rsid w:val="004F2A87"/>
    <w:rsid w:val="0050312C"/>
    <w:rsid w:val="00506F30"/>
    <w:rsid w:val="00507C56"/>
    <w:rsid w:val="0052344E"/>
    <w:rsid w:val="00526478"/>
    <w:rsid w:val="00530204"/>
    <w:rsid w:val="00534C5F"/>
    <w:rsid w:val="00535F6D"/>
    <w:rsid w:val="00540257"/>
    <w:rsid w:val="0054192F"/>
    <w:rsid w:val="00544EB3"/>
    <w:rsid w:val="0054594B"/>
    <w:rsid w:val="0054749B"/>
    <w:rsid w:val="00551CC6"/>
    <w:rsid w:val="005526C9"/>
    <w:rsid w:val="005556DA"/>
    <w:rsid w:val="00560541"/>
    <w:rsid w:val="00566E60"/>
    <w:rsid w:val="005672D0"/>
    <w:rsid w:val="00572CEB"/>
    <w:rsid w:val="005829A9"/>
    <w:rsid w:val="005834C9"/>
    <w:rsid w:val="00587236"/>
    <w:rsid w:val="005A22FD"/>
    <w:rsid w:val="005A58BA"/>
    <w:rsid w:val="005A5D30"/>
    <w:rsid w:val="005A6AB9"/>
    <w:rsid w:val="005C333E"/>
    <w:rsid w:val="005C3AE7"/>
    <w:rsid w:val="005C4793"/>
    <w:rsid w:val="005D0677"/>
    <w:rsid w:val="005E294C"/>
    <w:rsid w:val="005E2CE3"/>
    <w:rsid w:val="005F3F07"/>
    <w:rsid w:val="00603D04"/>
    <w:rsid w:val="00606857"/>
    <w:rsid w:val="00615F42"/>
    <w:rsid w:val="00623E26"/>
    <w:rsid w:val="006258C2"/>
    <w:rsid w:val="00626365"/>
    <w:rsid w:val="00630E22"/>
    <w:rsid w:val="0064168C"/>
    <w:rsid w:val="006455D8"/>
    <w:rsid w:val="00657B46"/>
    <w:rsid w:val="0066449F"/>
    <w:rsid w:val="006764EC"/>
    <w:rsid w:val="00682FF1"/>
    <w:rsid w:val="006835FE"/>
    <w:rsid w:val="00691CF1"/>
    <w:rsid w:val="00693BFD"/>
    <w:rsid w:val="00695065"/>
    <w:rsid w:val="006A1038"/>
    <w:rsid w:val="006A649A"/>
    <w:rsid w:val="006B1B49"/>
    <w:rsid w:val="006B40A6"/>
    <w:rsid w:val="006B6390"/>
    <w:rsid w:val="006B6AA7"/>
    <w:rsid w:val="006C0356"/>
    <w:rsid w:val="006C03F9"/>
    <w:rsid w:val="006C0843"/>
    <w:rsid w:val="006C74B1"/>
    <w:rsid w:val="006E57AA"/>
    <w:rsid w:val="006F20CF"/>
    <w:rsid w:val="006F38ED"/>
    <w:rsid w:val="007027E0"/>
    <w:rsid w:val="00707D4D"/>
    <w:rsid w:val="00716FBE"/>
    <w:rsid w:val="00720911"/>
    <w:rsid w:val="00723503"/>
    <w:rsid w:val="00730C04"/>
    <w:rsid w:val="0073597B"/>
    <w:rsid w:val="007378F6"/>
    <w:rsid w:val="0074545D"/>
    <w:rsid w:val="00751615"/>
    <w:rsid w:val="007522E3"/>
    <w:rsid w:val="0075335B"/>
    <w:rsid w:val="00753C44"/>
    <w:rsid w:val="00754383"/>
    <w:rsid w:val="007564D1"/>
    <w:rsid w:val="00757232"/>
    <w:rsid w:val="00760679"/>
    <w:rsid w:val="0076113C"/>
    <w:rsid w:val="00762833"/>
    <w:rsid w:val="00763628"/>
    <w:rsid w:val="00767E99"/>
    <w:rsid w:val="00772E62"/>
    <w:rsid w:val="0077789B"/>
    <w:rsid w:val="00780D29"/>
    <w:rsid w:val="00791C8D"/>
    <w:rsid w:val="00794181"/>
    <w:rsid w:val="00794828"/>
    <w:rsid w:val="007A7F6F"/>
    <w:rsid w:val="007B4C76"/>
    <w:rsid w:val="007C1498"/>
    <w:rsid w:val="007C2260"/>
    <w:rsid w:val="007C2693"/>
    <w:rsid w:val="007D1E52"/>
    <w:rsid w:val="007D2358"/>
    <w:rsid w:val="007E39E4"/>
    <w:rsid w:val="007E6FB3"/>
    <w:rsid w:val="007F21B4"/>
    <w:rsid w:val="00802553"/>
    <w:rsid w:val="00802CC2"/>
    <w:rsid w:val="00803E4B"/>
    <w:rsid w:val="00803EAB"/>
    <w:rsid w:val="008046B5"/>
    <w:rsid w:val="008109D5"/>
    <w:rsid w:val="008127C0"/>
    <w:rsid w:val="00812EDD"/>
    <w:rsid w:val="008139C5"/>
    <w:rsid w:val="0081650F"/>
    <w:rsid w:val="008170E6"/>
    <w:rsid w:val="00832B31"/>
    <w:rsid w:val="008355A5"/>
    <w:rsid w:val="008403E0"/>
    <w:rsid w:val="00841A75"/>
    <w:rsid w:val="0084657B"/>
    <w:rsid w:val="00855944"/>
    <w:rsid w:val="00864A18"/>
    <w:rsid w:val="00870833"/>
    <w:rsid w:val="00870D2D"/>
    <w:rsid w:val="00874571"/>
    <w:rsid w:val="008779DA"/>
    <w:rsid w:val="00881F93"/>
    <w:rsid w:val="00882CB5"/>
    <w:rsid w:val="00883641"/>
    <w:rsid w:val="00884E69"/>
    <w:rsid w:val="00890082"/>
    <w:rsid w:val="008953DD"/>
    <w:rsid w:val="008A48D2"/>
    <w:rsid w:val="008B2610"/>
    <w:rsid w:val="008B28F8"/>
    <w:rsid w:val="008B471D"/>
    <w:rsid w:val="008B49E4"/>
    <w:rsid w:val="008B729C"/>
    <w:rsid w:val="008C4A93"/>
    <w:rsid w:val="008D196C"/>
    <w:rsid w:val="008D74AB"/>
    <w:rsid w:val="008E0E49"/>
    <w:rsid w:val="008E16E6"/>
    <w:rsid w:val="008E35FD"/>
    <w:rsid w:val="008E6227"/>
    <w:rsid w:val="008E78B9"/>
    <w:rsid w:val="0090543D"/>
    <w:rsid w:val="009056C5"/>
    <w:rsid w:val="009262F2"/>
    <w:rsid w:val="00932838"/>
    <w:rsid w:val="0093351C"/>
    <w:rsid w:val="00937791"/>
    <w:rsid w:val="00945B51"/>
    <w:rsid w:val="00951933"/>
    <w:rsid w:val="00954343"/>
    <w:rsid w:val="00955271"/>
    <w:rsid w:val="00963C9C"/>
    <w:rsid w:val="00965B6B"/>
    <w:rsid w:val="00965D1D"/>
    <w:rsid w:val="00971EDB"/>
    <w:rsid w:val="00974D50"/>
    <w:rsid w:val="009755D8"/>
    <w:rsid w:val="00986835"/>
    <w:rsid w:val="00987ABE"/>
    <w:rsid w:val="00991EE4"/>
    <w:rsid w:val="009939DC"/>
    <w:rsid w:val="00993B9C"/>
    <w:rsid w:val="0099753A"/>
    <w:rsid w:val="009A0F6D"/>
    <w:rsid w:val="009B4E1E"/>
    <w:rsid w:val="009C03FB"/>
    <w:rsid w:val="009C4B4F"/>
    <w:rsid w:val="009C65F5"/>
    <w:rsid w:val="009D519C"/>
    <w:rsid w:val="009F0C02"/>
    <w:rsid w:val="009F5758"/>
    <w:rsid w:val="00A0283F"/>
    <w:rsid w:val="00A04F4A"/>
    <w:rsid w:val="00A12E4B"/>
    <w:rsid w:val="00A14374"/>
    <w:rsid w:val="00A237D6"/>
    <w:rsid w:val="00A26343"/>
    <w:rsid w:val="00A408B5"/>
    <w:rsid w:val="00A45245"/>
    <w:rsid w:val="00A529E2"/>
    <w:rsid w:val="00A539F8"/>
    <w:rsid w:val="00A6491A"/>
    <w:rsid w:val="00A64BBF"/>
    <w:rsid w:val="00A6594E"/>
    <w:rsid w:val="00A727B6"/>
    <w:rsid w:val="00A81CC6"/>
    <w:rsid w:val="00A83EC6"/>
    <w:rsid w:val="00A8732C"/>
    <w:rsid w:val="00A9062D"/>
    <w:rsid w:val="00A93F58"/>
    <w:rsid w:val="00A96329"/>
    <w:rsid w:val="00AA02A6"/>
    <w:rsid w:val="00AA0369"/>
    <w:rsid w:val="00AA134B"/>
    <w:rsid w:val="00AA2CFE"/>
    <w:rsid w:val="00AA5FDA"/>
    <w:rsid w:val="00AA6291"/>
    <w:rsid w:val="00AB4197"/>
    <w:rsid w:val="00AB531E"/>
    <w:rsid w:val="00AC0C91"/>
    <w:rsid w:val="00AC1EAA"/>
    <w:rsid w:val="00AC504F"/>
    <w:rsid w:val="00AD37D4"/>
    <w:rsid w:val="00AD7986"/>
    <w:rsid w:val="00AE1188"/>
    <w:rsid w:val="00AE738C"/>
    <w:rsid w:val="00AF066D"/>
    <w:rsid w:val="00AF1046"/>
    <w:rsid w:val="00AF4466"/>
    <w:rsid w:val="00AF5D1E"/>
    <w:rsid w:val="00B040A9"/>
    <w:rsid w:val="00B124EC"/>
    <w:rsid w:val="00B1711E"/>
    <w:rsid w:val="00B17CBE"/>
    <w:rsid w:val="00B17E26"/>
    <w:rsid w:val="00B231A4"/>
    <w:rsid w:val="00B25D20"/>
    <w:rsid w:val="00B31C99"/>
    <w:rsid w:val="00B4289F"/>
    <w:rsid w:val="00B53975"/>
    <w:rsid w:val="00B53BA6"/>
    <w:rsid w:val="00B5731D"/>
    <w:rsid w:val="00B61B1B"/>
    <w:rsid w:val="00B6378B"/>
    <w:rsid w:val="00B63E3A"/>
    <w:rsid w:val="00B6717E"/>
    <w:rsid w:val="00B75965"/>
    <w:rsid w:val="00B771AD"/>
    <w:rsid w:val="00B814CB"/>
    <w:rsid w:val="00B826DB"/>
    <w:rsid w:val="00BA0CF8"/>
    <w:rsid w:val="00BA1ADF"/>
    <w:rsid w:val="00BA51FC"/>
    <w:rsid w:val="00BB003A"/>
    <w:rsid w:val="00BB3358"/>
    <w:rsid w:val="00BB3382"/>
    <w:rsid w:val="00BB3643"/>
    <w:rsid w:val="00BC3DA0"/>
    <w:rsid w:val="00BC403A"/>
    <w:rsid w:val="00BC424B"/>
    <w:rsid w:val="00BD486B"/>
    <w:rsid w:val="00BE0FDE"/>
    <w:rsid w:val="00BE140F"/>
    <w:rsid w:val="00BE2CB5"/>
    <w:rsid w:val="00BF6AC5"/>
    <w:rsid w:val="00C01121"/>
    <w:rsid w:val="00C030A5"/>
    <w:rsid w:val="00C04E00"/>
    <w:rsid w:val="00C05A45"/>
    <w:rsid w:val="00C0796F"/>
    <w:rsid w:val="00C11B34"/>
    <w:rsid w:val="00C12C5C"/>
    <w:rsid w:val="00C1373A"/>
    <w:rsid w:val="00C171FB"/>
    <w:rsid w:val="00C209C2"/>
    <w:rsid w:val="00C2267F"/>
    <w:rsid w:val="00C22AD8"/>
    <w:rsid w:val="00C3557E"/>
    <w:rsid w:val="00C3594B"/>
    <w:rsid w:val="00C3781D"/>
    <w:rsid w:val="00C43102"/>
    <w:rsid w:val="00C4696B"/>
    <w:rsid w:val="00C47788"/>
    <w:rsid w:val="00C50513"/>
    <w:rsid w:val="00C53FBF"/>
    <w:rsid w:val="00C54503"/>
    <w:rsid w:val="00C63055"/>
    <w:rsid w:val="00C73B62"/>
    <w:rsid w:val="00C776B1"/>
    <w:rsid w:val="00C815FE"/>
    <w:rsid w:val="00C83547"/>
    <w:rsid w:val="00C847AE"/>
    <w:rsid w:val="00CA0385"/>
    <w:rsid w:val="00CA04C6"/>
    <w:rsid w:val="00CA16A8"/>
    <w:rsid w:val="00CA26DD"/>
    <w:rsid w:val="00CA3E41"/>
    <w:rsid w:val="00CA64D6"/>
    <w:rsid w:val="00CB12EC"/>
    <w:rsid w:val="00CC09D7"/>
    <w:rsid w:val="00CC12B8"/>
    <w:rsid w:val="00CD22E3"/>
    <w:rsid w:val="00CD4E44"/>
    <w:rsid w:val="00CD5AE4"/>
    <w:rsid w:val="00CD7A7D"/>
    <w:rsid w:val="00CF2D8E"/>
    <w:rsid w:val="00CF2DFA"/>
    <w:rsid w:val="00CF5AD8"/>
    <w:rsid w:val="00D00122"/>
    <w:rsid w:val="00D01D2A"/>
    <w:rsid w:val="00D02AD2"/>
    <w:rsid w:val="00D103D3"/>
    <w:rsid w:val="00D10B47"/>
    <w:rsid w:val="00D11EB1"/>
    <w:rsid w:val="00D17F17"/>
    <w:rsid w:val="00D23597"/>
    <w:rsid w:val="00D30BDC"/>
    <w:rsid w:val="00D45EC8"/>
    <w:rsid w:val="00D57F88"/>
    <w:rsid w:val="00D7105C"/>
    <w:rsid w:val="00D73646"/>
    <w:rsid w:val="00D751FF"/>
    <w:rsid w:val="00D777B4"/>
    <w:rsid w:val="00D77A90"/>
    <w:rsid w:val="00D8360B"/>
    <w:rsid w:val="00D85676"/>
    <w:rsid w:val="00D87C9A"/>
    <w:rsid w:val="00D96ADA"/>
    <w:rsid w:val="00DA2886"/>
    <w:rsid w:val="00DA5E50"/>
    <w:rsid w:val="00DA7D0C"/>
    <w:rsid w:val="00DB311C"/>
    <w:rsid w:val="00DB432D"/>
    <w:rsid w:val="00DB519B"/>
    <w:rsid w:val="00DB6EFC"/>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70D86"/>
    <w:rsid w:val="00E710B4"/>
    <w:rsid w:val="00E75670"/>
    <w:rsid w:val="00E7628E"/>
    <w:rsid w:val="00E82F54"/>
    <w:rsid w:val="00E8649B"/>
    <w:rsid w:val="00E871CD"/>
    <w:rsid w:val="00E90990"/>
    <w:rsid w:val="00E95D3D"/>
    <w:rsid w:val="00EA0E25"/>
    <w:rsid w:val="00EA173C"/>
    <w:rsid w:val="00EC127A"/>
    <w:rsid w:val="00EC1FF9"/>
    <w:rsid w:val="00EC2737"/>
    <w:rsid w:val="00EE2716"/>
    <w:rsid w:val="00EE6450"/>
    <w:rsid w:val="00F01C2C"/>
    <w:rsid w:val="00F10ED8"/>
    <w:rsid w:val="00F139E1"/>
    <w:rsid w:val="00F222BE"/>
    <w:rsid w:val="00F22FE7"/>
    <w:rsid w:val="00F24179"/>
    <w:rsid w:val="00F301F1"/>
    <w:rsid w:val="00F30C22"/>
    <w:rsid w:val="00F33F1A"/>
    <w:rsid w:val="00F41FF5"/>
    <w:rsid w:val="00F43346"/>
    <w:rsid w:val="00F547F7"/>
    <w:rsid w:val="00F54CCF"/>
    <w:rsid w:val="00F61D7A"/>
    <w:rsid w:val="00F637B3"/>
    <w:rsid w:val="00F66CF7"/>
    <w:rsid w:val="00F67BCB"/>
    <w:rsid w:val="00F73F84"/>
    <w:rsid w:val="00F77C57"/>
    <w:rsid w:val="00F813C7"/>
    <w:rsid w:val="00F83566"/>
    <w:rsid w:val="00F83A9D"/>
    <w:rsid w:val="00F906B5"/>
    <w:rsid w:val="00F93784"/>
    <w:rsid w:val="00F971CC"/>
    <w:rsid w:val="00FA2CAA"/>
    <w:rsid w:val="00FA3DA1"/>
    <w:rsid w:val="00FA6554"/>
    <w:rsid w:val="00FE080F"/>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0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472C4"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semiHidden/>
    <w:unhideWhenUsed/>
    <w:qFormat/>
    <w:rsid w:val="00A4524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S Paragraph,PBAC ES Paragraph,BulletPoints"/>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563C1"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472C4"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D103D3"/>
    <w:pPr>
      <w:spacing w:before="0" w:after="0"/>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D103D3"/>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103D3"/>
    <w:rPr>
      <w:vertAlign w:val="superscript"/>
    </w:rPr>
  </w:style>
  <w:style w:type="paragraph" w:customStyle="1" w:styleId="xmsonormal">
    <w:name w:val="x_msonormal"/>
    <w:basedOn w:val="Normal"/>
    <w:rsid w:val="0076113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whichservices">
    <w:name w:val="which services?"/>
    <w:basedOn w:val="Normal"/>
    <w:qFormat/>
    <w:rsid w:val="0076113C"/>
    <w:pPr>
      <w:widowControl w:val="0"/>
      <w:autoSpaceDE w:val="0"/>
      <w:autoSpaceDN w:val="0"/>
      <w:adjustRightInd w:val="0"/>
      <w:spacing w:before="0" w:after="0"/>
      <w:ind w:right="-329"/>
      <w:jc w:val="right"/>
      <w:textAlignment w:val="center"/>
    </w:pPr>
    <w:rPr>
      <w:rFonts w:ascii="Calibri" w:hAnsi="Calibri" w:cs="Calibri"/>
      <w:sz w:val="40"/>
      <w:szCs w:val="40"/>
      <w:lang w:val="en-US"/>
    </w:rPr>
  </w:style>
  <w:style w:type="character" w:customStyle="1" w:styleId="ListParagraphChar">
    <w:name w:val="List Paragraph Char"/>
    <w:aliases w:val="ES Paragraph Char,PBAC ES Paragraph Char,BulletPoints Char"/>
    <w:basedOn w:val="DefaultParagraphFont"/>
    <w:link w:val="ListParagraph"/>
    <w:uiPriority w:val="34"/>
    <w:locked/>
    <w:rsid w:val="005556DA"/>
    <w:rPr>
      <w:sz w:val="20"/>
    </w:rPr>
  </w:style>
  <w:style w:type="paragraph" w:customStyle="1" w:styleId="Default">
    <w:name w:val="Default"/>
    <w:rsid w:val="005556D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556D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it">
    <w:name w:val="cit"/>
    <w:basedOn w:val="DefaultParagraphFont"/>
    <w:rsid w:val="005556DA"/>
  </w:style>
  <w:style w:type="character" w:customStyle="1" w:styleId="doi">
    <w:name w:val="doi"/>
    <w:basedOn w:val="DefaultParagraphFont"/>
    <w:rsid w:val="005556DA"/>
  </w:style>
  <w:style w:type="character" w:customStyle="1" w:styleId="fm-vol-iss-date">
    <w:name w:val="fm-vol-iss-date"/>
    <w:basedOn w:val="DefaultParagraphFont"/>
    <w:rsid w:val="005556DA"/>
  </w:style>
  <w:style w:type="table" w:customStyle="1" w:styleId="GridTable1Light1">
    <w:name w:val="Grid Table 1 Light1"/>
    <w:basedOn w:val="TableNormal"/>
    <w:uiPriority w:val="46"/>
    <w:rsid w:val="005556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5556DA"/>
    <w:pPr>
      <w:widowControl w:val="0"/>
      <w:autoSpaceDE w:val="0"/>
      <w:autoSpaceDN w:val="0"/>
      <w:spacing w:before="0" w:after="0"/>
    </w:pPr>
    <w:rPr>
      <w:rFonts w:ascii="Calibri" w:eastAsia="Calibri" w:hAnsi="Calibri" w:cs="Calibri"/>
      <w:sz w:val="28"/>
      <w:szCs w:val="28"/>
      <w:lang w:eastAsia="en-AU" w:bidi="en-AU"/>
    </w:rPr>
  </w:style>
  <w:style w:type="character" w:customStyle="1" w:styleId="BodyTextChar">
    <w:name w:val="Body Text Char"/>
    <w:basedOn w:val="DefaultParagraphFont"/>
    <w:link w:val="BodyText"/>
    <w:uiPriority w:val="1"/>
    <w:rsid w:val="005556DA"/>
    <w:rPr>
      <w:rFonts w:ascii="Calibri" w:eastAsia="Calibri" w:hAnsi="Calibri" w:cs="Calibri"/>
      <w:sz w:val="28"/>
      <w:szCs w:val="28"/>
      <w:lang w:eastAsia="en-AU" w:bidi="en-AU"/>
    </w:rPr>
  </w:style>
  <w:style w:type="character" w:customStyle="1" w:styleId="UnresolvedMention1">
    <w:name w:val="Unresolved Mention1"/>
    <w:basedOn w:val="DefaultParagraphFont"/>
    <w:uiPriority w:val="99"/>
    <w:semiHidden/>
    <w:unhideWhenUsed/>
    <w:rsid w:val="00B826DB"/>
    <w:rPr>
      <w:color w:val="605E5C"/>
      <w:shd w:val="clear" w:color="auto" w:fill="E1DFDD"/>
    </w:rPr>
  </w:style>
  <w:style w:type="character" w:customStyle="1" w:styleId="Heading4Char">
    <w:name w:val="Heading 4 Char"/>
    <w:basedOn w:val="DefaultParagraphFont"/>
    <w:link w:val="Heading4"/>
    <w:uiPriority w:val="9"/>
    <w:semiHidden/>
    <w:rsid w:val="00A45245"/>
    <w:rPr>
      <w:rFonts w:asciiTheme="majorHAnsi" w:eastAsiaTheme="majorEastAsia" w:hAnsiTheme="majorHAnsi" w:cstheme="majorBidi"/>
      <w:b/>
      <w:bCs/>
      <w:i/>
      <w:iCs/>
      <w:color w:val="4472C4" w:themeColor="accent1"/>
      <w:sz w:val="20"/>
    </w:rPr>
  </w:style>
  <w:style w:type="character" w:customStyle="1" w:styleId="name">
    <w:name w:val="name"/>
    <w:basedOn w:val="DefaultParagraphFont"/>
    <w:rsid w:val="009D519C"/>
  </w:style>
  <w:style w:type="character" w:customStyle="1" w:styleId="slug-pub-date">
    <w:name w:val="slug-pub-date"/>
    <w:basedOn w:val="DefaultParagraphFont"/>
    <w:rsid w:val="009D519C"/>
  </w:style>
  <w:style w:type="character" w:customStyle="1" w:styleId="slug-vol">
    <w:name w:val="slug-vol"/>
    <w:basedOn w:val="DefaultParagraphFont"/>
    <w:rsid w:val="009D519C"/>
  </w:style>
  <w:style w:type="character" w:customStyle="1" w:styleId="slug-issue">
    <w:name w:val="slug-issue"/>
    <w:basedOn w:val="DefaultParagraphFont"/>
    <w:rsid w:val="009D519C"/>
  </w:style>
  <w:style w:type="character" w:customStyle="1" w:styleId="slug-pages">
    <w:name w:val="slug-pages"/>
    <w:basedOn w:val="DefaultParagraphFont"/>
    <w:rsid w:val="009D519C"/>
  </w:style>
  <w:style w:type="paragraph" w:styleId="Caption">
    <w:name w:val="caption"/>
    <w:basedOn w:val="Normal"/>
    <w:next w:val="Normal"/>
    <w:uiPriority w:val="35"/>
    <w:unhideWhenUsed/>
    <w:qFormat/>
    <w:rsid w:val="00CA64D6"/>
    <w:pPr>
      <w:spacing w:before="0" w:after="200"/>
    </w:pPr>
    <w:rPr>
      <w:i/>
      <w:iCs/>
      <w:color w:val="44546A" w:themeColor="text2"/>
      <w:sz w:val="18"/>
      <w:szCs w:val="18"/>
    </w:rPr>
  </w:style>
  <w:style w:type="character" w:customStyle="1" w:styleId="UnresolvedMention">
    <w:name w:val="Unresolved Mention"/>
    <w:basedOn w:val="DefaultParagraphFont"/>
    <w:uiPriority w:val="99"/>
    <w:semiHidden/>
    <w:unhideWhenUsed/>
    <w:rsid w:val="007027E0"/>
    <w:rPr>
      <w:color w:val="605E5C"/>
      <w:shd w:val="clear" w:color="auto" w:fill="E1DFDD"/>
    </w:rPr>
  </w:style>
  <w:style w:type="paragraph" w:customStyle="1" w:styleId="TitleBlue">
    <w:name w:val="Title Blue"/>
    <w:basedOn w:val="Title"/>
    <w:qFormat/>
    <w:rsid w:val="00427E3A"/>
    <w:pPr>
      <w:spacing w:before="360"/>
    </w:pPr>
    <w:rPr>
      <w:color w:val="8496B0"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020">
      <w:bodyDiv w:val="1"/>
      <w:marLeft w:val="0"/>
      <w:marRight w:val="0"/>
      <w:marTop w:val="0"/>
      <w:marBottom w:val="0"/>
      <w:divBdr>
        <w:top w:val="none" w:sz="0" w:space="0" w:color="auto"/>
        <w:left w:val="none" w:sz="0" w:space="0" w:color="auto"/>
        <w:bottom w:val="none" w:sz="0" w:space="0" w:color="auto"/>
        <w:right w:val="none" w:sz="0" w:space="0" w:color="auto"/>
      </w:divBdr>
      <w:divsChild>
        <w:div w:id="1668096576">
          <w:marLeft w:val="446"/>
          <w:marRight w:val="0"/>
          <w:marTop w:val="0"/>
          <w:marBottom w:val="120"/>
          <w:divBdr>
            <w:top w:val="none" w:sz="0" w:space="0" w:color="auto"/>
            <w:left w:val="none" w:sz="0" w:space="0" w:color="auto"/>
            <w:bottom w:val="none" w:sz="0" w:space="0" w:color="auto"/>
            <w:right w:val="none" w:sz="0" w:space="0" w:color="auto"/>
          </w:divBdr>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24035055">
      <w:bodyDiv w:val="1"/>
      <w:marLeft w:val="0"/>
      <w:marRight w:val="0"/>
      <w:marTop w:val="0"/>
      <w:marBottom w:val="0"/>
      <w:divBdr>
        <w:top w:val="none" w:sz="0" w:space="0" w:color="auto"/>
        <w:left w:val="none" w:sz="0" w:space="0" w:color="auto"/>
        <w:bottom w:val="none" w:sz="0" w:space="0" w:color="auto"/>
        <w:right w:val="none" w:sz="0" w:space="0" w:color="auto"/>
      </w:divBdr>
    </w:div>
    <w:div w:id="462045856">
      <w:bodyDiv w:val="1"/>
      <w:marLeft w:val="0"/>
      <w:marRight w:val="0"/>
      <w:marTop w:val="0"/>
      <w:marBottom w:val="0"/>
      <w:divBdr>
        <w:top w:val="none" w:sz="0" w:space="0" w:color="auto"/>
        <w:left w:val="none" w:sz="0" w:space="0" w:color="auto"/>
        <w:bottom w:val="none" w:sz="0" w:space="0" w:color="auto"/>
        <w:right w:val="none" w:sz="0" w:space="0" w:color="auto"/>
      </w:divBdr>
    </w:div>
    <w:div w:id="463929576">
      <w:bodyDiv w:val="1"/>
      <w:marLeft w:val="0"/>
      <w:marRight w:val="0"/>
      <w:marTop w:val="0"/>
      <w:marBottom w:val="0"/>
      <w:divBdr>
        <w:top w:val="none" w:sz="0" w:space="0" w:color="auto"/>
        <w:left w:val="none" w:sz="0" w:space="0" w:color="auto"/>
        <w:bottom w:val="none" w:sz="0" w:space="0" w:color="auto"/>
        <w:right w:val="none" w:sz="0" w:space="0" w:color="auto"/>
      </w:divBdr>
      <w:divsChild>
        <w:div w:id="1802305553">
          <w:marLeft w:val="0"/>
          <w:marRight w:val="0"/>
          <w:marTop w:val="0"/>
          <w:marBottom w:val="120"/>
          <w:divBdr>
            <w:top w:val="none" w:sz="0" w:space="0" w:color="auto"/>
            <w:left w:val="none" w:sz="0" w:space="0" w:color="auto"/>
            <w:bottom w:val="none" w:sz="0" w:space="0" w:color="auto"/>
            <w:right w:val="none" w:sz="0" w:space="0" w:color="auto"/>
          </w:divBdr>
        </w:div>
      </w:divsChild>
    </w:div>
    <w:div w:id="692682228">
      <w:bodyDiv w:val="1"/>
      <w:marLeft w:val="0"/>
      <w:marRight w:val="0"/>
      <w:marTop w:val="0"/>
      <w:marBottom w:val="0"/>
      <w:divBdr>
        <w:top w:val="none" w:sz="0" w:space="0" w:color="auto"/>
        <w:left w:val="none" w:sz="0" w:space="0" w:color="auto"/>
        <w:bottom w:val="none" w:sz="0" w:space="0" w:color="auto"/>
        <w:right w:val="none" w:sz="0" w:space="0" w:color="auto"/>
      </w:divBdr>
    </w:div>
    <w:div w:id="1294292252">
      <w:bodyDiv w:val="1"/>
      <w:marLeft w:val="0"/>
      <w:marRight w:val="0"/>
      <w:marTop w:val="0"/>
      <w:marBottom w:val="0"/>
      <w:divBdr>
        <w:top w:val="none" w:sz="0" w:space="0" w:color="auto"/>
        <w:left w:val="none" w:sz="0" w:space="0" w:color="auto"/>
        <w:bottom w:val="none" w:sz="0" w:space="0" w:color="auto"/>
        <w:right w:val="none" w:sz="0" w:space="0" w:color="auto"/>
      </w:divBdr>
    </w:div>
    <w:div w:id="147301857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ga-search.clients.funnelback.com/s/redirect?collection=tga-artg&amp;url=http%3A%2F%2Ftga-search.clients.funnelback.com%2Fs%2Fsearch.html%3Fcollection%3Dtga-artg%26profile%3Drecord%26meta_i%3D278596&amp;auth=7uY8dqMG%2BMO7lUemL%2FC1Aw&amp;profile=_default&amp;rank=9&amp;query=genetics" TargetMode="External"/><Relationship Id="rId18" Type="http://schemas.openxmlformats.org/officeDocument/2006/relationships/hyperlink" Target="https://tga-search.clients.funnelback.com/s/redirect?collection=tga-artg&amp;url=http%3A%2F%2Ftga-search.clients.funnelback.com%2Fs%2Fsearch.html%3Fcollection%3Dtga-artg%26profile%3Drecord%26meta_i%3D256572&amp;auth=MrxK1E5j4g%2BnLgbyZTW4aA&amp;profile=_default&amp;rank=16&amp;query=genetics" TargetMode="External"/><Relationship Id="rId26" Type="http://schemas.openxmlformats.org/officeDocument/2006/relationships/hyperlink" Target="https://tga-search.clients.funnelback.com/s/redirect?collection=tga-artg&amp;url=http%3A%2F%2Ftga-search.clients.funnelback.com%2Fs%2Fsearch.html%3Fcollection%3Dtga-artg%26profile%3Drecord%26meta_i%3D226453&amp;auth=LeAFjzpXsV%2Fv44fn%2Fujoww&amp;profile=_default&amp;rank=28&amp;query=genetic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tga-search.clients.funnelback.com/s/redirect?collection=tga-artg&amp;url=http%3A%2F%2Ftga-search.clients.funnelback.com%2Fs%2Fsearch.html%3Fcollection%3Dtga-artg%26profile%3Drecord%26meta_i%3D238792&amp;auth=XrDPY4GSoRJ%2B8O7Yo5%2Byww&amp;profile=_default&amp;rank=21&amp;query=genetics" TargetMode="External"/><Relationship Id="rId34" Type="http://schemas.openxmlformats.org/officeDocument/2006/relationships/hyperlink" Target="https://tga-search.clients.funnelback.com/s/redirect?collection=tga-artg&amp;url=http%3A%2F%2Ftga-search.clients.funnelback.com%2Fs%2Fsearch.html%3Fcollection%3Dtga-artg%26profile%3Drecord%26meta_i%3D192395&amp;auth=7td3P5MSfCDihn1muy%2Fzzg&amp;profile=_default&amp;rank=47&amp;query=genetics" TargetMode="External"/><Relationship Id="rId42" Type="http://schemas.openxmlformats.org/officeDocument/2006/relationships/header" Target="header3.xml"/><Relationship Id="rId47" Type="http://schemas.openxmlformats.org/officeDocument/2006/relationships/hyperlink" Target="http://www.clinicaltrials.gov" TargetMode="External"/><Relationship Id="rId50"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tga-search.clients.funnelback.com/s/redirect?collection=tga-artg&amp;url=http%3A%2F%2Ftga-search.clients.funnelback.com%2Fs%2Fsearch.html%3Fcollection%3Dtga-artg%26profile%3Drecord%26meta_i%3D285557&amp;auth=I5xeaBMgSqfegxLl7FNBSw&amp;profile=_default&amp;rank=8&amp;query=genetics" TargetMode="External"/><Relationship Id="rId17" Type="http://schemas.openxmlformats.org/officeDocument/2006/relationships/hyperlink" Target="https://tga-search.clients.funnelback.com/s/redirect?collection=tga-artg&amp;url=http%3A%2F%2Ftga-search.clients.funnelback.com%2Fs%2Fsearch.html%3Fcollection%3Dtga-artg%26profile%3Drecord%26meta_i%3D262298&amp;auth=MRIMdw1MD6MUfXnv3sjikQ&amp;profile=_default&amp;rank=15&amp;query=genetics" TargetMode="External"/><Relationship Id="rId25" Type="http://schemas.openxmlformats.org/officeDocument/2006/relationships/hyperlink" Target="https://tga-search.clients.funnelback.com/s/redirect?collection=tga-artg&amp;url=http%3A%2F%2Ftga-search.clients.funnelback.com%2Fs%2Fsearch.html%3Fcollection%3Dtga-artg%26profile%3Drecord%26meta_i%3D226487&amp;auth=IQYpSOZ%2FDQxc6NiKaqAddg&amp;profile=_default&amp;rank=27&amp;query=genetics" TargetMode="External"/><Relationship Id="rId33" Type="http://schemas.openxmlformats.org/officeDocument/2006/relationships/hyperlink" Target="https://tga-search.clients.funnelback.com/s/redirect?collection=tga-artg&amp;url=http%3A%2F%2Ftga-search.clients.funnelback.com%2Fs%2Fsearch.html%3Fcollection%3Dtga-artg%26profile%3Drecord%26meta_i%3D194319&amp;auth=Ejul85nAKBUccyRmiMZuDA&amp;profile=_default&amp;rank=46&amp;query=genetics" TargetMode="External"/><Relationship Id="rId38" Type="http://schemas.openxmlformats.org/officeDocument/2006/relationships/header" Target="header1.xml"/><Relationship Id="rId46" Type="http://schemas.openxmlformats.org/officeDocument/2006/relationships/hyperlink" Target="https://www.archivesofpathology.org/doi/10.1043/2009-0232-RS.1?url_ver=Z39.88-2003&amp;rfr_id=ori:rid:crossref.org&amp;rfr_dat=cr_pub%3dpubmed" TargetMode="External"/><Relationship Id="rId2" Type="http://schemas.openxmlformats.org/officeDocument/2006/relationships/numbering" Target="numbering.xml"/><Relationship Id="rId16" Type="http://schemas.openxmlformats.org/officeDocument/2006/relationships/hyperlink" Target="https://tga-search.clients.funnelback.com/s/redirect?collection=tga-artg&amp;url=http%3A%2F%2Ftga-search.clients.funnelback.com%2Fs%2Fsearch.html%3Fcollection%3Dtga-artg%26profile%3Drecord%26meta_i%3D264573&amp;auth=TEkiKB93%2B1kXttGCLGkTow&amp;profile=_default&amp;rank=13&amp;query=genetics" TargetMode="External"/><Relationship Id="rId20" Type="http://schemas.openxmlformats.org/officeDocument/2006/relationships/hyperlink" Target="https://tga-search.clients.funnelback.com/s/redirect?collection=tga-artg&amp;url=http%3A%2F%2Ftga-search.clients.funnelback.com%2Fs%2Fsearch.html%3Fcollection%3Dtga-artg%26profile%3Drecord%26meta_i%3D255352&amp;auth=fvnpBLjfjZg4BMjeLLvZwA&amp;profile=_default&amp;rank=18&amp;query=genetics" TargetMode="External"/><Relationship Id="rId29" Type="http://schemas.openxmlformats.org/officeDocument/2006/relationships/hyperlink" Target="https://tga-search.clients.funnelback.com/s/redirect?collection=tga-artg&amp;url=http%3A%2F%2Ftga-search.clients.funnelback.com%2Fs%2Fsearch.html%3Fcollection%3Dtga-artg%26profile%3Drecord%26meta_i%3D214482&amp;auth=Gx7KNl0oLkdgLQuFO2SL9Q&amp;profile=_default&amp;rank=36&amp;query=genetic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a-search.clients.funnelback.com/s/redirect?collection=tga-artg&amp;url=http%3A%2F%2Ftga-search.clients.funnelback.com%2Fs%2Fsearch.html%3Fcollection%3Dtga-artg%26profile%3Drecord%26meta_i%3D312306&amp;auth=l3cQ0F1RVO2pmIQlKC2fqg&amp;profile=_default&amp;rank=3&amp;query=genetics" TargetMode="External"/><Relationship Id="rId24" Type="http://schemas.openxmlformats.org/officeDocument/2006/relationships/hyperlink" Target="https://tga-search.clients.funnelback.com/s/redirect?collection=tga-artg&amp;url=http%3A%2F%2Ftga-search.clients.funnelback.com%2Fs%2Fsearch.html%3Fcollection%3Dtga-artg%26profile%3Drecord%26meta_i%3D226631&amp;auth=ywARux3nRn8fwttvV4w9IQ&amp;profile=_default&amp;rank=26&amp;query=genetics" TargetMode="External"/><Relationship Id="rId32" Type="http://schemas.openxmlformats.org/officeDocument/2006/relationships/hyperlink" Target="https://tga-search.clients.funnelback.com/s/redirect?collection=tga-artg&amp;url=http%3A%2F%2Ftga-search.clients.funnelback.com%2Fs%2Fsearch.html%3Fcollection%3Dtga-artg%26profile%3Drecord%26meta_i%3D196286&amp;auth=V4e9kVxLEMHku7G5w%2BrjnA&amp;profile=_default&amp;rank=45&amp;query=genetics" TargetMode="External"/><Relationship Id="rId37" Type="http://schemas.openxmlformats.org/officeDocument/2006/relationships/hyperlink" Target="https://tga-search.clients.funnelback.com/s/redirect?collection=tga-artg&amp;url=http%3A%2F%2Ftga-search.clients.funnelback.com%2Fs%2Fsearch.html%3Fcollection%3Dtga-artg%26profile%3Drecord%26meta_i%3D180933&amp;auth=SiFre85anHxepeRxnplgng&amp;profile=_default&amp;rank=50&amp;query=genetics" TargetMode="External"/><Relationship Id="rId40" Type="http://schemas.openxmlformats.org/officeDocument/2006/relationships/footer" Target="footer1.xml"/><Relationship Id="rId45" Type="http://schemas.openxmlformats.org/officeDocument/2006/relationships/hyperlink" Target="https://ascopubs.org/doi/full/10.1200/JCO.18.02459?url_ver=Z39.88-2003&amp;rfr_id=ori:rid:crossref.org&amp;rfr_dat=cr_pub%3dpubmed"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ga-search.clients.funnelback.com/s/redirect?collection=tga-artg&amp;url=http%3A%2F%2Ftga-search.clients.funnelback.com%2Fs%2Fsearch.html%3Fcollection%3Dtga-artg%26profile%3Drecord%26meta_i%3D266568&amp;auth=TbRaA71B2Ljy2etVF9bcQw&amp;profile=_default&amp;rank=12&amp;query=genetics" TargetMode="External"/><Relationship Id="rId23" Type="http://schemas.openxmlformats.org/officeDocument/2006/relationships/hyperlink" Target="https://tga-search.clients.funnelback.com/s/redirect?collection=tga-artg&amp;url=http%3A%2F%2Ftga-search.clients.funnelback.com%2Fs%2Fsearch.html%3Fcollection%3Dtga-artg%26profile%3Drecord%26meta_i%3D228024&amp;auth=E3DNHXUqpO5vPvSfnj0P8A&amp;profile=_default&amp;rank=25&amp;query=genetics" TargetMode="External"/><Relationship Id="rId28" Type="http://schemas.openxmlformats.org/officeDocument/2006/relationships/hyperlink" Target="https://tga-search.clients.funnelback.com/s/redirect?collection=tga-artg&amp;url=http%3A%2F%2Ftga-search.clients.funnelback.com%2Fs%2Fsearch.html%3Fcollection%3Dtga-artg%26profile%3Drecord%26meta_i%3D214994&amp;auth=BqtpYzJPEC2q2wF5TE2dhA&amp;profile=_default&amp;rank=35&amp;query=genetics" TargetMode="External"/><Relationship Id="rId36" Type="http://schemas.openxmlformats.org/officeDocument/2006/relationships/hyperlink" Target="https://tga-search.clients.funnelback.com/s/redirect?collection=tga-artg&amp;url=http%3A%2F%2Ftga-search.clients.funnelback.com%2Fs%2Fsearch.html%3Fcollection%3Dtga-artg%26profile%3Drecord%26meta_i%3D191254&amp;auth=i0wtP%2BAPvyW1kQb6YxmW%2Bw&amp;profile=_default&amp;rank=49&amp;query=genetics" TargetMode="External"/><Relationship Id="rId49" Type="http://schemas.openxmlformats.org/officeDocument/2006/relationships/image" Target="media/image2.jpeg"/><Relationship Id="rId10" Type="http://schemas.openxmlformats.org/officeDocument/2006/relationships/hyperlink" Target="https://tga-search.clients.funnelback.com/s/redirect?collection=tga-artg&amp;url=http%3A%2F%2Ftga-search.clients.funnelback.com%2Fs%2Fsearch.html%3Fcollection%3Dtga-artg%26profile%3Drecord%26meta_i%3D315997&amp;auth=OYDsKewp5UYjpIIwX8Z%2Fhw&amp;profile=_default&amp;rank=2&amp;query=genetics" TargetMode="External"/><Relationship Id="rId19" Type="http://schemas.openxmlformats.org/officeDocument/2006/relationships/hyperlink" Target="https://tga-search.clients.funnelback.com/s/redirect?collection=tga-artg&amp;url=http%3A%2F%2Ftga-search.clients.funnelback.com%2Fs%2Fsearch.html%3Fcollection%3Dtga-artg%26profile%3Drecord%26meta_i%3D256113&amp;auth=bMijvxPIdbGWEIhjRyDmdA&amp;profile=_default&amp;rank=17&amp;query=genetics" TargetMode="External"/><Relationship Id="rId31" Type="http://schemas.openxmlformats.org/officeDocument/2006/relationships/hyperlink" Target="https://tga-search.clients.funnelback.com/s/redirect?collection=tga-artg&amp;url=http%3A%2F%2Ftga-search.clients.funnelback.com%2Fs%2Fsearch.html%3Fcollection%3Dtga-artg%26profile%3Drecord%26meta_i%3D196363&amp;auth=R77yMR2biSXItZ3n4DEZBA&amp;profile=_default&amp;rank=44&amp;query=genetics" TargetMode="External"/><Relationship Id="rId44" Type="http://schemas.openxmlformats.org/officeDocument/2006/relationships/hyperlink" Target="https://www.nejm.org/doi/full/10.1056/NEJMoa190807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ga-search.clients.funnelback.com/s/redirect?collection=tga-artg&amp;url=http%3A%2F%2Ftga-search.clients.funnelback.com%2Fs%2Fsearch.html%3Fcollection%3Dtga-artg%26profile%3Drecord%26meta_i%3D316116&amp;auth=0lDf1cY2t06C5sHw6%2FO7Fw&amp;profile=_default&amp;rank=1&amp;query=genetics" TargetMode="External"/><Relationship Id="rId14" Type="http://schemas.openxmlformats.org/officeDocument/2006/relationships/hyperlink" Target="https://tga-search.clients.funnelback.com/s/redirect?collection=tga-artg&amp;url=http%3A%2F%2Ftga-search.clients.funnelback.com%2Fs%2Fsearch.html%3Fcollection%3Dtga-artg%26profile%3Drecord%26meta_i%3D270292&amp;auth=acLoNOJRCOfh%2BF%2B2BKIokQ&amp;profile=_default&amp;rank=11&amp;query=genetics" TargetMode="External"/><Relationship Id="rId22" Type="http://schemas.openxmlformats.org/officeDocument/2006/relationships/hyperlink" Target="https://tga-search.clients.funnelback.com/s/redirect?collection=tga-artg&amp;url=http%3A%2F%2Ftga-search.clients.funnelback.com%2Fs%2Fsearch.html%3Fcollection%3Dtga-artg%26profile%3Drecord%26meta_i%3D235394&amp;auth=Dq2ZsbBo0sXsrCiPutU2hQ&amp;profile=_default&amp;rank=22&amp;query=genetics" TargetMode="External"/><Relationship Id="rId27" Type="http://schemas.openxmlformats.org/officeDocument/2006/relationships/hyperlink" Target="https://tga-search.clients.funnelback.com/s/redirect?collection=tga-artg&amp;url=http%3A%2F%2Ftga-search.clients.funnelback.com%2Fs%2Fsearch.html%3Fcollection%3Dtga-artg%26profile%3Drecord%26meta_i%3D225995&amp;auth=EX9zGp7H5zK4v9tMrj0h9w&amp;profile=_default&amp;rank=29&amp;query=genetics" TargetMode="External"/><Relationship Id="rId30" Type="http://schemas.openxmlformats.org/officeDocument/2006/relationships/hyperlink" Target="https://tga-search.clients.funnelback.com/s/redirect?collection=tga-artg&amp;url=http%3A%2F%2Ftga-search.clients.funnelback.com%2Fs%2Fsearch.html%3Fcollection%3Dtga-artg%26profile%3Drecord%26meta_i%3D197099&amp;auth=i7UxNi4FcUvNzHwGNSaLPw&amp;profile=_default&amp;rank=43&amp;query=genetics" TargetMode="External"/><Relationship Id="rId35" Type="http://schemas.openxmlformats.org/officeDocument/2006/relationships/hyperlink" Target="https://tga-search.clients.funnelback.com/s/redirect?collection=tga-artg&amp;url=http%3A%2F%2Ftga-search.clients.funnelback.com%2Fs%2Fsearch.html%3Fcollection%3Dtga-artg%26profile%3Drecord%26meta_i%3D192394&amp;auth=thSO%2F1D0ND3eE0wMOuVfiQ&amp;profile=_default&amp;rank=48&amp;query=genetics" TargetMode="External"/><Relationship Id="rId43" Type="http://schemas.openxmlformats.org/officeDocument/2006/relationships/footer" Target="footer3.xml"/><Relationship Id="rId48" Type="http://schemas.openxmlformats.org/officeDocument/2006/relationships/hyperlink" Target="http://www.clinicaltrials.gov" TargetMode="External"/><Relationship Id="rId8" Type="http://schemas.openxmlformats.org/officeDocument/2006/relationships/image" Target="media/image1.jpeg"/><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term=Hemminki%20K%5BAuthor%5D&amp;cauthor=true&amp;cauthor_uid=27416752" TargetMode="External"/><Relationship Id="rId13" Type="http://schemas.openxmlformats.org/officeDocument/2006/relationships/hyperlink" Target="https://www.ncbi.nlm.nih.gov/pubmed/?term=C%20Ceballos-Villalva%20J%5BAuthor%5D&amp;cauthor=true&amp;cauthor_uid=29201802" TargetMode="External"/><Relationship Id="rId18" Type="http://schemas.openxmlformats.org/officeDocument/2006/relationships/hyperlink" Target="https://www.ncbi.nlm.nih.gov/pubmed/?term=Boushey%20RP%5BAuthor%5D&amp;cauthor=true&amp;cauthor_uid=21037809" TargetMode="External"/><Relationship Id="rId26" Type="http://schemas.openxmlformats.org/officeDocument/2006/relationships/hyperlink" Target="https://www.ncbi.nlm.nih.gov/pubmed/?term=Yu%20XQ%5BAuthor%5D&amp;cauthor=true&amp;cauthor_uid=28599138" TargetMode="External"/><Relationship Id="rId3" Type="http://schemas.openxmlformats.org/officeDocument/2006/relationships/hyperlink" Target="https://www.ncbi.nlm.nih.gov/pmc/articles/PMC4945942/" TargetMode="External"/><Relationship Id="rId21" Type="http://schemas.openxmlformats.org/officeDocument/2006/relationships/hyperlink" Target="https://seer.cancer.gov/statfacts/html/colorect.html" TargetMode="External"/><Relationship Id="rId7" Type="http://schemas.openxmlformats.org/officeDocument/2006/relationships/hyperlink" Target="https://www.ncbi.nlm.nih.gov/pubmed/?term=Sundquist%20J%5BAuthor%5D&amp;cauthor=true&amp;cauthor_uid=27416752" TargetMode="External"/><Relationship Id="rId12" Type="http://schemas.openxmlformats.org/officeDocument/2006/relationships/hyperlink" Target="https://www.ncbi.nlm.nih.gov/pubmed/?term=Barrera-Mera%20B%5BAuthor%5D&amp;cauthor=true&amp;cauthor_uid=29201802" TargetMode="External"/><Relationship Id="rId17" Type="http://schemas.openxmlformats.org/officeDocument/2006/relationships/hyperlink" Target="https://www.ncbi.nlm.nih.gov/pubmed/?term=Haggar%20FA%5BAuthor%5D&amp;cauthor=true&amp;cauthor_uid=21037809" TargetMode="External"/><Relationship Id="rId25" Type="http://schemas.openxmlformats.org/officeDocument/2006/relationships/hyperlink" Target="https://www.ncbi.nlm.nih.gov/pubmed/?term=Kahn%20C%5BAuthor%5D&amp;cauthor=true&amp;cauthor_uid=28599138" TargetMode="External"/><Relationship Id="rId2" Type="http://schemas.openxmlformats.org/officeDocument/2006/relationships/hyperlink" Target="https://www.cancercenter.com/colorectal-cancer/symptoms/" TargetMode="External"/><Relationship Id="rId16" Type="http://schemas.openxmlformats.org/officeDocument/2006/relationships/hyperlink" Target="https://dx.doi.org/10.1055%2Fs-0029-1242458" TargetMode="External"/><Relationship Id="rId20" Type="http://schemas.openxmlformats.org/officeDocument/2006/relationships/hyperlink" Target="http://www.cancer.net/cancer-types/colorectal-cancer/statistics" TargetMode="External"/><Relationship Id="rId1" Type="http://schemas.openxmlformats.org/officeDocument/2006/relationships/hyperlink" Target="https://www.cancer.org/cancer/colon-rectal-cancer/detection-diagnosis-staging/signs-and-symptoms.html" TargetMode="External"/><Relationship Id="rId6" Type="http://schemas.openxmlformats.org/officeDocument/2006/relationships/hyperlink" Target="https://www.ncbi.nlm.nih.gov/pubmed/?term=Hemminki%20A%5BAuthor%5D&amp;cauthor=true&amp;cauthor_uid=27416752" TargetMode="External"/><Relationship Id="rId11" Type="http://schemas.openxmlformats.org/officeDocument/2006/relationships/hyperlink" Target="https://www.ncbi.nlm.nih.gov/pubmed/?term=Valderrama-Trevi%26%23x000f1%3Bo%20AI%5BAuthor%5D&amp;cauthor=true&amp;cauthor_uid=29201802" TargetMode="External"/><Relationship Id="rId24" Type="http://schemas.openxmlformats.org/officeDocument/2006/relationships/hyperlink" Target="https://www.ncbi.nlm.nih.gov/pubmed/?term=O%27Connell%20DL%5BAuthor%5D&amp;cauthor=true&amp;cauthor_uid=28599138" TargetMode="External"/><Relationship Id="rId5" Type="http://schemas.openxmlformats.org/officeDocument/2006/relationships/hyperlink" Target="https://www.ncbi.nlm.nih.gov/pubmed/?term=Riihim%26%23x000e4%3Bki%20M%5BAuthor%5D&amp;cauthor=true&amp;cauthor_uid=27416752" TargetMode="External"/><Relationship Id="rId15" Type="http://schemas.openxmlformats.org/officeDocument/2006/relationships/hyperlink" Target="https://www.ncbi.nlm.nih.gov/pmc/articles/PMC2796096/" TargetMode="External"/><Relationship Id="rId23" Type="http://schemas.openxmlformats.org/officeDocument/2006/relationships/hyperlink" Target="https://www.ncbi.nlm.nih.gov/pubmed/?term=Luo%20Q%5BAuthor%5D&amp;cauthor=true&amp;cauthor_uid=28599138" TargetMode="External"/><Relationship Id="rId10" Type="http://schemas.openxmlformats.org/officeDocument/2006/relationships/hyperlink" Target="https://dx.doi.org/10.5005%2Fjp-journals-10018-1241" TargetMode="External"/><Relationship Id="rId19" Type="http://schemas.openxmlformats.org/officeDocument/2006/relationships/hyperlink" Target="https://www.cancer.org.au/about-cancer/types-of-cancer/bowel-cancer/" TargetMode="External"/><Relationship Id="rId4" Type="http://schemas.openxmlformats.org/officeDocument/2006/relationships/hyperlink" Target="https://dx.doi.org/10.1038%2Fsrep29765" TargetMode="External"/><Relationship Id="rId9" Type="http://schemas.openxmlformats.org/officeDocument/2006/relationships/hyperlink" Target="https://www.ncbi.nlm.nih.gov/pmc/articles/PMC5670263/" TargetMode="External"/><Relationship Id="rId14" Type="http://schemas.openxmlformats.org/officeDocument/2006/relationships/hyperlink" Target="https://www.ncbi.nlm.nih.gov/pubmed/?term=Montalvo-Jav%26%23x000e9%3B%20EE%5BAuthor%5D&amp;cauthor=true&amp;cauthor_uid=29201802" TargetMode="External"/><Relationship Id="rId22" Type="http://schemas.openxmlformats.org/officeDocument/2006/relationships/hyperlink" Target="https://www.ncbi.nlm.nih.gov/pubmed/28599138" TargetMode="External"/><Relationship Id="rId27" Type="http://schemas.openxmlformats.org/officeDocument/2006/relationships/hyperlink" Target="http://ar.iiarjournals.org/search?author1=MICHALIS+ZACHARAKIS&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E004-7056-4F1A-9205-24D602A1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9652</Words>
  <Characters>55019</Characters>
  <Application>Microsoft Office Word</Application>
  <DocSecurity>0</DocSecurity>
  <Lines>458</Lines>
  <Paragraphs>129</Paragraphs>
  <ScaleCrop>false</ScaleCrop>
  <Company/>
  <LinksUpToDate>false</LinksUpToDate>
  <CharactersWithSpaces>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2020-02-12T03:38:00Z</dcterms:created>
  <dcterms:modified xsi:type="dcterms:W3CDTF">2020-02-12T03:39:00Z</dcterms:modified>
</cp:coreProperties>
</file>