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F99BDE" w14:textId="71A421CC" w:rsidR="00A86BC6" w:rsidRDefault="00A86BC6" w:rsidP="00CB2E78">
      <w:pPr>
        <w:pStyle w:val="Heading1"/>
        <w:numPr>
          <w:ilvl w:val="0"/>
          <w:numId w:val="0"/>
        </w:numPr>
        <w:pBdr>
          <w:bottom w:val="none" w:sz="0" w:space="0" w:color="auto"/>
        </w:pBdr>
        <w:spacing w:before="0" w:after="360"/>
        <w:ind w:left="788"/>
        <w:jc w:val="center"/>
        <w:rPr>
          <w:rFonts w:ascii="Arial" w:hAnsi="Arial" w:cs="Arial"/>
          <w:b/>
          <w:bCs/>
          <w:color w:val="000080"/>
          <w:sz w:val="36"/>
          <w:szCs w:val="36"/>
        </w:rPr>
      </w:pPr>
      <w:r>
        <w:rPr>
          <w:rFonts w:ascii="Arial" w:hAnsi="Arial" w:cs="Arial"/>
          <w:b/>
          <w:bCs/>
          <w:color w:val="000080"/>
          <w:sz w:val="36"/>
          <w:szCs w:val="36"/>
        </w:rPr>
        <w:t>Medical Services Advisory Committee (MSAC)</w:t>
      </w:r>
      <w:r>
        <w:rPr>
          <w:rFonts w:ascii="Arial" w:hAnsi="Arial" w:cs="Arial"/>
          <w:b/>
          <w:bCs/>
          <w:color w:val="000080"/>
          <w:sz w:val="36"/>
          <w:szCs w:val="36"/>
        </w:rPr>
        <w:br/>
      </w:r>
      <w:r w:rsidR="00CB2E78" w:rsidRPr="00CB2E78">
        <w:rPr>
          <w:rFonts w:ascii="Arial" w:hAnsi="Arial" w:cs="Arial"/>
          <w:b/>
          <w:bCs/>
          <w:color w:val="000080"/>
          <w:sz w:val="36"/>
          <w:szCs w:val="36"/>
        </w:rPr>
        <w:t>Public Summary Document</w:t>
      </w:r>
    </w:p>
    <w:p w14:paraId="6AE60D40" w14:textId="4A12C328" w:rsidR="00A86BC6" w:rsidRPr="00CE28E3" w:rsidRDefault="00A86BC6" w:rsidP="00A86BC6">
      <w:pPr>
        <w:pStyle w:val="Subtitle"/>
      </w:pPr>
      <w:r w:rsidRPr="00B5651F">
        <w:t>Application No. 1747 – Permanent Medical Benefits Schedule (MBS) items for COVID-19 nucleic acid testing</w:t>
      </w:r>
    </w:p>
    <w:p w14:paraId="16973807" w14:textId="5B7264DC" w:rsidR="00A86BC6" w:rsidRPr="00A86BC6" w:rsidRDefault="00A86BC6" w:rsidP="00A86BC6">
      <w:pPr>
        <w:tabs>
          <w:tab w:val="left" w:pos="3686"/>
        </w:tabs>
        <w:spacing w:after="240"/>
        <w:ind w:left="3969" w:hanging="3969"/>
        <w:rPr>
          <w:rFonts w:ascii="Arial" w:hAnsi="Arial" w:cs="Arial"/>
          <w:b/>
        </w:rPr>
      </w:pPr>
      <w:r w:rsidRPr="00A86BC6">
        <w:rPr>
          <w:rFonts w:ascii="Arial" w:hAnsi="Arial" w:cs="Arial"/>
          <w:b/>
        </w:rPr>
        <w:t>Applicant:</w:t>
      </w:r>
      <w:r w:rsidRPr="00A86BC6">
        <w:rPr>
          <w:rFonts w:ascii="Arial" w:hAnsi="Arial" w:cs="Arial"/>
          <w:b/>
        </w:rPr>
        <w:tab/>
        <w:t>Department of Health and Aged Care</w:t>
      </w:r>
    </w:p>
    <w:p w14:paraId="61285702" w14:textId="500562C6" w:rsidR="008F6BC2" w:rsidRDefault="008F6BC2" w:rsidP="008F6BC2">
      <w:pPr>
        <w:spacing w:before="320"/>
        <w:rPr>
          <w:rFonts w:ascii="Arial" w:hAnsi="Arial" w:cs="Arial"/>
          <w:b/>
          <w:bCs/>
        </w:rPr>
      </w:pPr>
      <w:r w:rsidRPr="00C85F5C">
        <w:rPr>
          <w:rFonts w:ascii="Arial" w:hAnsi="Arial" w:cs="Arial"/>
          <w:b/>
          <w:bCs/>
        </w:rPr>
        <w:t xml:space="preserve">Date of </w:t>
      </w:r>
      <w:r w:rsidR="00CB2E78">
        <w:rPr>
          <w:rFonts w:ascii="Arial" w:hAnsi="Arial" w:cs="Arial"/>
          <w:b/>
          <w:bCs/>
        </w:rPr>
        <w:t>MSAC</w:t>
      </w:r>
      <w:r w:rsidRPr="00C85F5C">
        <w:rPr>
          <w:rFonts w:ascii="Arial" w:hAnsi="Arial" w:cs="Arial"/>
          <w:b/>
          <w:bCs/>
        </w:rPr>
        <w:t xml:space="preserve"> consideration:</w:t>
      </w:r>
      <w:r w:rsidRPr="00C85F5C">
        <w:rPr>
          <w:rFonts w:ascii="Arial" w:hAnsi="Arial" w:cs="Arial"/>
          <w:b/>
          <w:bCs/>
        </w:rPr>
        <w:tab/>
      </w:r>
      <w:r w:rsidR="00B3622E">
        <w:rPr>
          <w:rFonts w:ascii="Arial" w:hAnsi="Arial" w:cs="Arial"/>
          <w:b/>
          <w:bCs/>
        </w:rPr>
        <w:t>27 July</w:t>
      </w:r>
      <w:r w:rsidRPr="00C85F5C">
        <w:rPr>
          <w:rFonts w:ascii="Arial" w:hAnsi="Arial" w:cs="Arial"/>
          <w:b/>
          <w:bCs/>
        </w:rPr>
        <w:t xml:space="preserve"> 2023</w:t>
      </w:r>
    </w:p>
    <w:p w14:paraId="21E3329D" w14:textId="77777777" w:rsidR="00CB2E78" w:rsidRPr="00775E8C" w:rsidRDefault="00CB2E78" w:rsidP="00CB2E78">
      <w:pPr>
        <w:spacing w:after="240"/>
        <w:rPr>
          <w:color w:val="0000FF"/>
          <w:szCs w:val="24"/>
          <w:u w:val="single"/>
        </w:rPr>
      </w:pPr>
      <w:r w:rsidRPr="00F715D1">
        <w:rPr>
          <w:szCs w:val="24"/>
        </w:rPr>
        <w:t>Context for decision: MSAC makes its advice in accordance wit</w:t>
      </w:r>
      <w:r>
        <w:rPr>
          <w:szCs w:val="24"/>
        </w:rPr>
        <w:t>h its Terms of Reference,</w:t>
      </w:r>
      <w:r w:rsidRPr="00F715D1">
        <w:rPr>
          <w:szCs w:val="24"/>
        </w:rPr>
        <w:t xml:space="preserve"> </w:t>
      </w:r>
      <w:hyperlink r:id="rId8" w:tooltip="Link to Medical Services Advisory Committee website" w:history="1">
        <w:r w:rsidRPr="00F715D1">
          <w:rPr>
            <w:rStyle w:val="Hyperlink"/>
            <w:szCs w:val="24"/>
          </w:rPr>
          <w:t>visit the MSAC website</w:t>
        </w:r>
      </w:hyperlink>
    </w:p>
    <w:p w14:paraId="0D9F356A" w14:textId="3BD28B67" w:rsidR="0071047D" w:rsidRDefault="0071047D" w:rsidP="0071047D">
      <w:pPr>
        <w:pStyle w:val="ESHeading1"/>
        <w:ind w:left="714" w:hanging="714"/>
      </w:pPr>
      <w:bookmarkStart w:id="0" w:name="_Toc133832612"/>
      <w:r>
        <w:t>Purpose of application</w:t>
      </w:r>
      <w:bookmarkEnd w:id="0"/>
    </w:p>
    <w:p w14:paraId="2FD0CA66" w14:textId="10769119" w:rsidR="0071047D" w:rsidRPr="00CA65C1" w:rsidRDefault="0071047D" w:rsidP="00CA65C1">
      <w:r w:rsidRPr="00CA65C1">
        <w:rPr>
          <w:shd w:val="clear" w:color="auto" w:fill="FFFFFF"/>
        </w:rPr>
        <w:t xml:space="preserve">This application </w:t>
      </w:r>
      <w:r w:rsidR="002F601F">
        <w:rPr>
          <w:shd w:val="clear" w:color="auto" w:fill="FFFFFF"/>
        </w:rPr>
        <w:t>sought</w:t>
      </w:r>
      <w:r w:rsidR="002F601F" w:rsidRPr="00CA65C1">
        <w:rPr>
          <w:shd w:val="clear" w:color="auto" w:fill="FFFFFF"/>
        </w:rPr>
        <w:t xml:space="preserve"> </w:t>
      </w:r>
      <w:r w:rsidRPr="00CA65C1">
        <w:rPr>
          <w:shd w:val="clear" w:color="auto" w:fill="FFFFFF"/>
        </w:rPr>
        <w:t>the advice of the Medical Services Advisory Committee (MSAC) in relation to permanent Medicare Benefits Schedule (MBS) items for</w:t>
      </w:r>
      <w:r w:rsidR="00CA65C1" w:rsidRPr="00CA65C1">
        <w:t xml:space="preserve"> the use and public funding of </w:t>
      </w:r>
      <w:r w:rsidR="006D5A72">
        <w:t>nucleic acid</w:t>
      </w:r>
      <w:r w:rsidR="00CA65C1" w:rsidRPr="00CA65C1">
        <w:t xml:space="preserve"> testing for </w:t>
      </w:r>
      <w:r w:rsidR="00BB7FF9" w:rsidRPr="00BB7FF9">
        <w:t>severe acute respiratory syndrome coronavirus 2</w:t>
      </w:r>
      <w:r w:rsidR="00BB7FF9">
        <w:t xml:space="preserve"> (</w:t>
      </w:r>
      <w:r w:rsidR="00CA65C1" w:rsidRPr="00CA65C1">
        <w:t>SARS-CoV-2</w:t>
      </w:r>
      <w:r w:rsidR="00BB7FF9">
        <w:t>)</w:t>
      </w:r>
      <w:r w:rsidR="00CA65C1" w:rsidRPr="00CA65C1">
        <w:t>, including the use and utility of multiplex testing for SARS-CoV-2 and other respiratory pathogens</w:t>
      </w:r>
      <w:r w:rsidRPr="00CA65C1">
        <w:rPr>
          <w:shd w:val="clear" w:color="auto" w:fill="FFFFFF"/>
        </w:rPr>
        <w:t>, on behalf of the Minister for Health and Aged Care.</w:t>
      </w:r>
    </w:p>
    <w:p w14:paraId="0315AB3C" w14:textId="2DC6EABE" w:rsidR="00CB2E78" w:rsidRDefault="00C36633" w:rsidP="002A18BE">
      <w:pPr>
        <w:pStyle w:val="Heading2"/>
        <w:numPr>
          <w:ilvl w:val="0"/>
          <w:numId w:val="0"/>
        </w:numPr>
      </w:pPr>
      <w:bookmarkStart w:id="1" w:name="_Toc133832613"/>
      <w:r>
        <w:t>2.</w:t>
      </w:r>
      <w:r>
        <w:tab/>
      </w:r>
      <w:r w:rsidR="00CB2E78">
        <w:t>MSAC’s advice to the Minister</w:t>
      </w:r>
    </w:p>
    <w:p w14:paraId="08AC5D1D" w14:textId="7E346F50" w:rsidR="00102C2F" w:rsidRDefault="00CB2E78" w:rsidP="00102C2F">
      <w:pPr>
        <w:rPr>
          <w:rFonts w:eastAsia="Calibri"/>
        </w:rPr>
      </w:pPr>
      <w:r w:rsidRPr="00D81A81">
        <w:t>After considering the strength of the available evidence in relation to comparative safety, clinical effectiveness</w:t>
      </w:r>
      <w:r>
        <w:t xml:space="preserve">, </w:t>
      </w:r>
      <w:proofErr w:type="gramStart"/>
      <w:r w:rsidRPr="00D81A81">
        <w:t>cost-effectiveness</w:t>
      </w:r>
      <w:proofErr w:type="gramEnd"/>
      <w:r>
        <w:t xml:space="preserve"> and total cost</w:t>
      </w:r>
      <w:r w:rsidRPr="00D81A81">
        <w:t xml:space="preserve">, </w:t>
      </w:r>
      <w:r w:rsidR="00102C2F" w:rsidRPr="4ADB9664">
        <w:t xml:space="preserve">MSAC supported the creation of two new MBS items for </w:t>
      </w:r>
      <w:r w:rsidR="00102C2F" w:rsidRPr="4ADB9664">
        <w:rPr>
          <w:rFonts w:eastAsia="Calibri"/>
        </w:rPr>
        <w:t xml:space="preserve">nucleic acid testing for 4 and 5 or more respiratory pathogens, </w:t>
      </w:r>
      <w:r w:rsidR="00102C2F">
        <w:rPr>
          <w:rFonts w:eastAsia="Calibri"/>
        </w:rPr>
        <w:t xml:space="preserve">which may </w:t>
      </w:r>
      <w:r w:rsidR="00102C2F" w:rsidRPr="4ADB9664">
        <w:rPr>
          <w:rFonts w:eastAsia="Calibri"/>
        </w:rPr>
        <w:t>includ</w:t>
      </w:r>
      <w:r w:rsidR="00102C2F">
        <w:rPr>
          <w:rFonts w:eastAsia="Calibri"/>
        </w:rPr>
        <w:t>e</w:t>
      </w:r>
      <w:r w:rsidR="00102C2F" w:rsidRPr="4ADB9664">
        <w:rPr>
          <w:rFonts w:eastAsia="Calibri"/>
        </w:rPr>
        <w:t xml:space="preserve"> SARS-CoV-2</w:t>
      </w:r>
      <w:r w:rsidR="00102C2F">
        <w:rPr>
          <w:rFonts w:eastAsia="Calibri"/>
        </w:rPr>
        <w:t>,</w:t>
      </w:r>
      <w:r w:rsidR="00102C2F" w:rsidRPr="4ADB9664">
        <w:rPr>
          <w:rFonts w:eastAsia="Calibri"/>
        </w:rPr>
        <w:t xml:space="preserve"> in </w:t>
      </w:r>
      <w:r w:rsidR="00102C2F">
        <w:rPr>
          <w:rFonts w:eastAsia="Calibri"/>
        </w:rPr>
        <w:t>patients with suspected respiratory infection</w:t>
      </w:r>
      <w:r w:rsidR="00102C2F" w:rsidRPr="4ADB9664">
        <w:rPr>
          <w:rFonts w:eastAsia="Calibri"/>
        </w:rPr>
        <w:t xml:space="preserve">. </w:t>
      </w:r>
    </w:p>
    <w:p w14:paraId="688C4236" w14:textId="58CA0DB2" w:rsidR="00102C2F" w:rsidRDefault="00102C2F" w:rsidP="00102C2F">
      <w:pPr>
        <w:rPr>
          <w:rFonts w:eastAsia="Franklin Gothic Book" w:cs="Franklin Gothic Book"/>
        </w:rPr>
      </w:pPr>
      <w:r w:rsidRPr="44FDBDD6">
        <w:rPr>
          <w:rFonts w:eastAsia="Calibri"/>
        </w:rPr>
        <w:t>MSAC considered that upfront testing for multiple respiratory pathogens is best clinical practice for patients with suspected respiratory infection because various pathogens have a similar presentation, and despite limitations in the evidence base</w:t>
      </w:r>
      <w:r w:rsidR="001F1B4E">
        <w:rPr>
          <w:rFonts w:eastAsia="Calibri"/>
        </w:rPr>
        <w:t>,</w:t>
      </w:r>
      <w:r w:rsidRPr="44FDBDD6">
        <w:rPr>
          <w:rFonts w:eastAsia="Calibri"/>
        </w:rPr>
        <w:t xml:space="preserve"> advised that upfront multi-pathogen testing is likely </w:t>
      </w:r>
      <w:r w:rsidR="001F1B4E">
        <w:rPr>
          <w:rFonts w:eastAsia="Calibri"/>
        </w:rPr>
        <w:t xml:space="preserve">to be </w:t>
      </w:r>
      <w:r w:rsidRPr="44FDBDD6">
        <w:rPr>
          <w:rFonts w:eastAsia="Calibri"/>
        </w:rPr>
        <w:t xml:space="preserve">associated with incremental clinical effectiveness through reducing the number of tests requested per patient to ascertain the diagnosis, allowing earlier </w:t>
      </w:r>
      <w:r>
        <w:rPr>
          <w:rFonts w:eastAsia="Calibri"/>
        </w:rPr>
        <w:t xml:space="preserve">changes in </w:t>
      </w:r>
      <w:r w:rsidRPr="44FDBDD6">
        <w:rPr>
          <w:rFonts w:eastAsia="Calibri"/>
        </w:rPr>
        <w:t>patient management</w:t>
      </w:r>
      <w:r w:rsidR="001F1B4E">
        <w:rPr>
          <w:rFonts w:eastAsia="Calibri"/>
        </w:rPr>
        <w:t>,</w:t>
      </w:r>
      <w:r w:rsidRPr="44FDBDD6">
        <w:rPr>
          <w:rFonts w:eastAsia="Calibri"/>
        </w:rPr>
        <w:t xml:space="preserve"> including </w:t>
      </w:r>
      <w:r w:rsidR="00855DDF">
        <w:rPr>
          <w:rFonts w:eastAsia="Calibri"/>
        </w:rPr>
        <w:t xml:space="preserve">allowing </w:t>
      </w:r>
      <w:r w:rsidR="00765105">
        <w:rPr>
          <w:rFonts w:eastAsia="Calibri"/>
        </w:rPr>
        <w:t xml:space="preserve">appropriate </w:t>
      </w:r>
      <w:r w:rsidRPr="44FDBDD6">
        <w:rPr>
          <w:rFonts w:eastAsia="Calibri"/>
        </w:rPr>
        <w:t>PBS-listed treatments</w:t>
      </w:r>
      <w:r w:rsidR="00855DDF">
        <w:rPr>
          <w:rFonts w:eastAsia="Calibri"/>
        </w:rPr>
        <w:t xml:space="preserve"> and</w:t>
      </w:r>
      <w:r w:rsidR="00855DDF" w:rsidRPr="00855DDF">
        <w:rPr>
          <w:rFonts w:eastAsia="Calibri"/>
        </w:rPr>
        <w:t xml:space="preserve"> </w:t>
      </w:r>
      <w:r w:rsidR="00855DDF">
        <w:rPr>
          <w:rFonts w:eastAsia="Calibri"/>
        </w:rPr>
        <w:t>reducing inappropriate antibiotic prescribing</w:t>
      </w:r>
      <w:r w:rsidRPr="44FDBDD6">
        <w:rPr>
          <w:rFonts w:eastAsia="Calibri"/>
        </w:rPr>
        <w:t xml:space="preserve">, improving clinical management </w:t>
      </w:r>
      <w:r w:rsidR="00992E44">
        <w:rPr>
          <w:rFonts w:eastAsia="Calibri"/>
        </w:rPr>
        <w:t>by</w:t>
      </w:r>
      <w:r w:rsidRPr="44FDBDD6">
        <w:rPr>
          <w:rFonts w:eastAsia="Calibri"/>
        </w:rPr>
        <w:t xml:space="preserve"> enabling patient </w:t>
      </w:r>
      <w:proofErr w:type="spellStart"/>
      <w:r w:rsidRPr="44FDBDD6">
        <w:rPr>
          <w:rFonts w:eastAsia="Calibri"/>
        </w:rPr>
        <w:t>cohorting</w:t>
      </w:r>
      <w:proofErr w:type="spellEnd"/>
      <w:r w:rsidRPr="44FDBDD6">
        <w:rPr>
          <w:rFonts w:eastAsia="Calibri"/>
        </w:rPr>
        <w:t xml:space="preserve"> and/or quarantining, and </w:t>
      </w:r>
      <w:r w:rsidR="00855DDF">
        <w:rPr>
          <w:rFonts w:eastAsia="Calibri"/>
        </w:rPr>
        <w:t xml:space="preserve">also </w:t>
      </w:r>
      <w:r w:rsidRPr="44FDBDD6">
        <w:rPr>
          <w:rFonts w:eastAsia="Calibri"/>
        </w:rPr>
        <w:t xml:space="preserve">providing ‘value of knowing’ the cause of the patient’s symptoms. MSAC considered respiratory pathogen testing was comparatively safe. Because of its qualitative judgement that respiratory pathogen testing had incremental effectiveness, and despite the limitations in the economic evaluation, MSAC advised that upfront testing for multiple respiratory pathogens was acceptably cost-effective compared with the </w:t>
      </w:r>
      <w:r w:rsidRPr="44FDBDD6">
        <w:t xml:space="preserve">generic permanent MBS items for pathogen nucleic acid testing. MSAC considered the cost to the MBS was high and uncertain because of the lack of long-term utilisation data, but that utilisation would more likely be about half that estimated by the assessment report, which would have an acceptable financial cost to the MBS. </w:t>
      </w:r>
      <w:r w:rsidRPr="44FDBDD6">
        <w:rPr>
          <w:rFonts w:eastAsia="Franklin Gothic Book" w:cs="Franklin Gothic Book"/>
        </w:rPr>
        <w:t>MSAC advised that utilisation should be reviewed after 3 years.</w:t>
      </w:r>
    </w:p>
    <w:p w14:paraId="4328353E" w14:textId="2209752C" w:rsidR="00CB2E78" w:rsidRPr="0089282C" w:rsidRDefault="00102C2F" w:rsidP="00CB2E78">
      <w:pPr>
        <w:rPr>
          <w:rFonts w:eastAsia="Franklin Gothic Book" w:cs="Franklin Gothic Book"/>
        </w:rPr>
      </w:pPr>
      <w:r w:rsidRPr="3A726802">
        <w:rPr>
          <w:rFonts w:eastAsia="Franklin Gothic Book" w:cs="Franklin Gothic Book"/>
        </w:rPr>
        <w:t>MSAC supported a</w:t>
      </w:r>
      <w:r w:rsidRPr="3A726802">
        <w:t xml:space="preserve"> two-item multi-pathogen testing ladder, with </w:t>
      </w:r>
      <w:r w:rsidR="001F1B4E">
        <w:t xml:space="preserve">separate </w:t>
      </w:r>
      <w:r w:rsidRPr="3A726802">
        <w:t xml:space="preserve">items for 4 pathogens and 5 or more pathogens to replace the current temporary items. MSAC advised </w:t>
      </w:r>
      <w:r w:rsidRPr="3A726802">
        <w:rPr>
          <w:rFonts w:eastAsia="Franklin Gothic Book" w:cs="Franklin Gothic Book"/>
        </w:rPr>
        <w:t>the MBS items should state ‘respiratory pathogens’ rather than naming SARS-CoV-2 and other pathogens specifically, to future proof the item</w:t>
      </w:r>
      <w:r w:rsidR="00D8615F">
        <w:rPr>
          <w:rFonts w:eastAsia="Franklin Gothic Book" w:cs="Franklin Gothic Book"/>
        </w:rPr>
        <w:t>s</w:t>
      </w:r>
      <w:r w:rsidRPr="3A726802">
        <w:rPr>
          <w:rFonts w:eastAsia="Franklin Gothic Book" w:cs="Franklin Gothic Book"/>
        </w:rPr>
        <w:t xml:space="preserve">. MSAC considered that the patient’s clinical signs and symptoms should be included in the referral request to allow the testing to be better targeted to </w:t>
      </w:r>
      <w:r w:rsidRPr="3A726802">
        <w:rPr>
          <w:rFonts w:eastAsia="Franklin Gothic Book" w:cs="Franklin Gothic Book"/>
        </w:rPr>
        <w:lastRenderedPageBreak/>
        <w:t xml:space="preserve">appropriate pathogens. MSAC advised </w:t>
      </w:r>
      <w:r>
        <w:rPr>
          <w:rFonts w:eastAsia="Franklin Gothic Book" w:cs="Franklin Gothic Book"/>
        </w:rPr>
        <w:t xml:space="preserve">that while prompt testing and treatment is important, </w:t>
      </w:r>
      <w:r w:rsidRPr="3A726802">
        <w:rPr>
          <w:rFonts w:eastAsia="Franklin Gothic Book" w:cs="Franklin Gothic Book"/>
        </w:rPr>
        <w:t>a test for SARS</w:t>
      </w:r>
      <w:r>
        <w:rPr>
          <w:rFonts w:eastAsia="Franklin Gothic Book" w:cs="Franklin Gothic Book"/>
        </w:rPr>
        <w:t>-</w:t>
      </w:r>
      <w:r w:rsidRPr="3A726802">
        <w:rPr>
          <w:rFonts w:eastAsia="Franklin Gothic Book" w:cs="Franklin Gothic Book"/>
        </w:rPr>
        <w:t>CoV</w:t>
      </w:r>
      <w:r>
        <w:rPr>
          <w:rFonts w:eastAsia="Franklin Gothic Book" w:cs="Franklin Gothic Book"/>
        </w:rPr>
        <w:t>-</w:t>
      </w:r>
      <w:r w:rsidRPr="3A726802">
        <w:rPr>
          <w:rFonts w:eastAsia="Franklin Gothic Book" w:cs="Franklin Gothic Book"/>
        </w:rPr>
        <w:t>2 alone was not appropriate because the prior probability of a positive result is low outside an epidemic, and in a post-epidemic setting testing for SARS-CoV-2 alone is not best clinical practice.</w:t>
      </w:r>
      <w:r w:rsidR="004B2F51" w:rsidRPr="004B2F51">
        <w:rPr>
          <w:rFonts w:eastAsia="Calibri"/>
        </w:rPr>
        <w:t xml:space="preserve"> </w:t>
      </w:r>
      <w:r w:rsidR="004B2F51" w:rsidRPr="44FDBDD6">
        <w:rPr>
          <w:rFonts w:eastAsia="Calibri"/>
        </w:rPr>
        <w:t>MSAC considered the fees proposed for testing 4 and 5 or more pathogens were reasonable and would cover the cost to provide this testing, but that the fees for the existing permanent generic items should be reviewed</w:t>
      </w:r>
      <w:r w:rsidR="004B2F51">
        <w:rPr>
          <w:rFonts w:eastAsia="Calibri"/>
        </w:rPr>
        <w:t xml:space="preserve"> against bulk billing rates and for consistency with the supported fees</w:t>
      </w:r>
      <w:r w:rsidR="004B2F51" w:rsidRPr="44FDBDD6">
        <w:rPr>
          <w:rFonts w:eastAsia="Calibri"/>
        </w:rPr>
        <w:t>.</w:t>
      </w:r>
    </w:p>
    <w:p w14:paraId="1EA8BC14" w14:textId="0A4E68CF" w:rsidR="0084039D" w:rsidRPr="0089282C" w:rsidRDefault="0084039D" w:rsidP="0089282C">
      <w:pPr>
        <w:rPr>
          <w:rFonts w:ascii="Segoe UI" w:hAnsi="Segoe UI" w:cs="Segoe UI"/>
          <w:sz w:val="18"/>
          <w:szCs w:val="18"/>
          <w:lang w:eastAsia="ja-JP"/>
        </w:rPr>
      </w:pPr>
      <w:r>
        <w:rPr>
          <w:lang w:val="en-US" w:eastAsia="ja-JP"/>
        </w:rPr>
        <w:t xml:space="preserve">MSAC </w:t>
      </w:r>
      <w:r w:rsidR="004B2F51">
        <w:rPr>
          <w:lang w:val="en-US" w:eastAsia="ja-JP"/>
        </w:rPr>
        <w:t xml:space="preserve">supported </w:t>
      </w:r>
      <w:r>
        <w:rPr>
          <w:lang w:val="en-US" w:eastAsia="ja-JP"/>
        </w:rPr>
        <w:t>the following MBS item descriptor</w:t>
      </w:r>
      <w:r w:rsidR="004B2F51">
        <w:rPr>
          <w:lang w:val="en-US" w:eastAsia="ja-JP"/>
        </w:rPr>
        <w:t>s (</w:t>
      </w:r>
      <w:r w:rsidR="004B2F51">
        <w:rPr>
          <w:lang w:val="en-US" w:eastAsia="ja-JP"/>
        </w:rPr>
        <w:fldChar w:fldCharType="begin"/>
      </w:r>
      <w:r w:rsidR="004B2F51">
        <w:rPr>
          <w:lang w:val="en-US" w:eastAsia="ja-JP"/>
        </w:rPr>
        <w:instrText xml:space="preserve"> REF _Ref142551562 </w:instrText>
      </w:r>
      <w:r w:rsidR="004B2F51">
        <w:rPr>
          <w:lang w:val="en-US" w:eastAsia="ja-JP"/>
        </w:rPr>
        <w:fldChar w:fldCharType="separate"/>
      </w:r>
      <w:r w:rsidR="00525416">
        <w:t xml:space="preserve">Table </w:t>
      </w:r>
      <w:r w:rsidR="00525416">
        <w:rPr>
          <w:noProof/>
        </w:rPr>
        <w:t>1</w:t>
      </w:r>
      <w:r w:rsidR="004B2F51">
        <w:rPr>
          <w:lang w:val="en-US" w:eastAsia="ja-JP"/>
        </w:rPr>
        <w:fldChar w:fldCharType="end"/>
      </w:r>
      <w:r w:rsidR="004B2F51">
        <w:rPr>
          <w:lang w:val="en-US" w:eastAsia="ja-JP"/>
        </w:rPr>
        <w:t>)</w:t>
      </w:r>
      <w:r>
        <w:rPr>
          <w:lang w:val="en-US" w:eastAsia="ja-JP"/>
        </w:rPr>
        <w:t>.</w:t>
      </w:r>
      <w:r w:rsidRPr="00577C69">
        <w:rPr>
          <w:lang w:eastAsia="ja-JP"/>
        </w:rPr>
        <w:t> </w:t>
      </w:r>
    </w:p>
    <w:p w14:paraId="1E30BCF8" w14:textId="0EDF2C99" w:rsidR="004B2F51" w:rsidRDefault="004B2F51" w:rsidP="009746CA">
      <w:pPr>
        <w:pStyle w:val="Caption"/>
      </w:pPr>
      <w:bookmarkStart w:id="2" w:name="_Ref142551562"/>
      <w:r>
        <w:t xml:space="preserve">Table </w:t>
      </w:r>
      <w:fldSimple w:instr=" SEQ Table \* ARABIC ">
        <w:r w:rsidR="00525416">
          <w:rPr>
            <w:noProof/>
          </w:rPr>
          <w:t>1</w:t>
        </w:r>
      </w:fldSimple>
      <w:bookmarkEnd w:id="2"/>
      <w:r>
        <w:tab/>
        <w:t xml:space="preserve">MSAC’s supported MBS item </w:t>
      </w:r>
      <w:proofErr w:type="gramStart"/>
      <w:r>
        <w:t>descriptors</w:t>
      </w:r>
      <w:proofErr w:type="gramEnd"/>
    </w:p>
    <w:tbl>
      <w:tblPr>
        <w:tblStyle w:val="TableGrid1"/>
        <w:tblW w:w="9010" w:type="dxa"/>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499"/>
        <w:gridCol w:w="4511"/>
      </w:tblGrid>
      <w:tr w:rsidR="0084039D" w:rsidRPr="00577C69" w14:paraId="248DA225" w14:textId="77777777" w:rsidTr="009746CA">
        <w:trPr>
          <w:cnfStyle w:val="100000000000" w:firstRow="1" w:lastRow="0" w:firstColumn="0" w:lastColumn="0" w:oddVBand="0" w:evenVBand="0" w:oddHBand="0" w:evenHBand="0" w:firstRowFirstColumn="0" w:firstRowLastColumn="0" w:lastRowFirstColumn="0" w:lastRowLastColumn="0"/>
          <w:trHeight w:val="345"/>
        </w:trPr>
        <w:tc>
          <w:tcPr>
            <w:tcW w:w="4499" w:type="dxa"/>
            <w:tcBorders>
              <w:top w:val="single" w:sz="6" w:space="0" w:color="auto"/>
              <w:left w:val="single" w:sz="6" w:space="0" w:color="auto"/>
              <w:bottom w:val="single" w:sz="6" w:space="0" w:color="auto"/>
              <w:right w:val="nil"/>
            </w:tcBorders>
            <w:shd w:val="clear" w:color="auto" w:fill="auto"/>
            <w:hideMark/>
          </w:tcPr>
          <w:p w14:paraId="4A441538" w14:textId="1ADEA12C" w:rsidR="0084039D" w:rsidRPr="00577C69" w:rsidRDefault="0084039D" w:rsidP="008007DA">
            <w:pPr>
              <w:spacing w:before="0" w:after="0"/>
              <w:textAlignment w:val="baseline"/>
              <w:rPr>
                <w:rFonts w:ascii="Times New Roman" w:hAnsi="Times New Roman"/>
                <w:b/>
                <w:bCs/>
                <w:sz w:val="24"/>
                <w:szCs w:val="24"/>
                <w:lang w:eastAsia="ja-JP"/>
              </w:rPr>
            </w:pPr>
          </w:p>
        </w:tc>
        <w:tc>
          <w:tcPr>
            <w:tcW w:w="4511" w:type="dxa"/>
            <w:tcBorders>
              <w:top w:val="single" w:sz="6" w:space="0" w:color="auto"/>
              <w:left w:val="nil"/>
              <w:bottom w:val="single" w:sz="6" w:space="0" w:color="auto"/>
              <w:right w:val="single" w:sz="6" w:space="0" w:color="auto"/>
            </w:tcBorders>
            <w:shd w:val="clear" w:color="auto" w:fill="auto"/>
            <w:hideMark/>
          </w:tcPr>
          <w:p w14:paraId="30EEE9E6" w14:textId="77777777" w:rsidR="0084039D" w:rsidRPr="00577C69" w:rsidRDefault="0084039D" w:rsidP="007B74B9">
            <w:pPr>
              <w:spacing w:before="0" w:after="0"/>
              <w:jc w:val="right"/>
              <w:textAlignment w:val="baseline"/>
              <w:rPr>
                <w:rFonts w:ascii="Times New Roman" w:hAnsi="Times New Roman"/>
                <w:b/>
                <w:bCs/>
                <w:sz w:val="24"/>
                <w:szCs w:val="24"/>
                <w:lang w:eastAsia="ja-JP"/>
              </w:rPr>
            </w:pPr>
            <w:r w:rsidRPr="00577C69">
              <w:rPr>
                <w:rFonts w:ascii="Arial Narrow" w:hAnsi="Arial Narrow"/>
                <w:b/>
                <w:bCs/>
                <w:lang w:eastAsia="ja-JP"/>
              </w:rPr>
              <w:t>Category 6 – PATHOLOGY SERVICES </w:t>
            </w:r>
          </w:p>
          <w:p w14:paraId="588FED40" w14:textId="77777777" w:rsidR="0084039D" w:rsidRPr="00577C69" w:rsidRDefault="0084039D" w:rsidP="007B74B9">
            <w:pPr>
              <w:spacing w:before="0" w:after="0"/>
              <w:jc w:val="right"/>
              <w:textAlignment w:val="baseline"/>
              <w:rPr>
                <w:rFonts w:ascii="Times New Roman" w:hAnsi="Times New Roman"/>
                <w:b/>
                <w:bCs/>
                <w:sz w:val="24"/>
                <w:szCs w:val="24"/>
                <w:lang w:eastAsia="ja-JP"/>
              </w:rPr>
            </w:pPr>
            <w:r w:rsidRPr="00577C69">
              <w:rPr>
                <w:rFonts w:ascii="Arial Narrow" w:hAnsi="Arial Narrow"/>
                <w:b/>
                <w:bCs/>
                <w:lang w:eastAsia="ja-JP"/>
              </w:rPr>
              <w:t>Group P3 - Microbiology </w:t>
            </w:r>
          </w:p>
        </w:tc>
      </w:tr>
      <w:tr w:rsidR="0084039D" w:rsidRPr="00577C69" w14:paraId="2F0D29FE" w14:textId="77777777" w:rsidTr="009746CA">
        <w:trPr>
          <w:trHeight w:val="300"/>
        </w:trPr>
        <w:tc>
          <w:tcPr>
            <w:tcW w:w="9010" w:type="dxa"/>
            <w:gridSpan w:val="2"/>
            <w:tcBorders>
              <w:top w:val="single" w:sz="6" w:space="0" w:color="auto"/>
              <w:left w:val="single" w:sz="6" w:space="0" w:color="auto"/>
              <w:bottom w:val="single" w:sz="6" w:space="0" w:color="auto"/>
              <w:right w:val="single" w:sz="6" w:space="0" w:color="auto"/>
            </w:tcBorders>
            <w:shd w:val="clear" w:color="auto" w:fill="auto"/>
            <w:hideMark/>
          </w:tcPr>
          <w:p w14:paraId="485CBAD6" w14:textId="48B590D9" w:rsidR="0084039D" w:rsidRPr="00577C69" w:rsidRDefault="0084039D" w:rsidP="007B74B9">
            <w:pPr>
              <w:spacing w:before="0" w:after="0"/>
              <w:jc w:val="both"/>
              <w:textAlignment w:val="baseline"/>
              <w:rPr>
                <w:rFonts w:ascii="Times New Roman" w:hAnsi="Times New Roman"/>
                <w:sz w:val="24"/>
                <w:szCs w:val="24"/>
                <w:lang w:eastAsia="ja-JP"/>
              </w:rPr>
            </w:pPr>
            <w:r w:rsidRPr="00577C69">
              <w:rPr>
                <w:rFonts w:ascii="Arial Narrow" w:hAnsi="Arial Narrow"/>
                <w:lang w:val="en-US" w:eastAsia="ja-JP"/>
              </w:rPr>
              <w:t>MBS item XXXX</w:t>
            </w:r>
            <w:r w:rsidRPr="00577C69">
              <w:rPr>
                <w:rFonts w:ascii="Arial Narrow" w:hAnsi="Arial Narrow"/>
                <w:lang w:eastAsia="ja-JP"/>
              </w:rPr>
              <w:t> </w:t>
            </w:r>
          </w:p>
          <w:p w14:paraId="307F59ED" w14:textId="54C06163" w:rsidR="0084039D" w:rsidRPr="00577C69" w:rsidRDefault="0084039D" w:rsidP="008007DA">
            <w:pPr>
              <w:spacing w:after="0"/>
              <w:textAlignment w:val="baseline"/>
              <w:rPr>
                <w:rFonts w:ascii="Times New Roman" w:hAnsi="Times New Roman"/>
                <w:sz w:val="24"/>
                <w:szCs w:val="24"/>
                <w:lang w:eastAsia="ja-JP"/>
              </w:rPr>
            </w:pPr>
            <w:r w:rsidRPr="00577C69">
              <w:rPr>
                <w:rFonts w:ascii="Arial Narrow" w:hAnsi="Arial Narrow"/>
                <w:lang w:eastAsia="ja-JP"/>
              </w:rPr>
              <w:t xml:space="preserve">Detection of respiratory </w:t>
            </w:r>
            <w:r w:rsidRPr="009746CA">
              <w:rPr>
                <w:rFonts w:ascii="Arial Narrow" w:hAnsi="Arial Narrow"/>
                <w:lang w:eastAsia="ja-JP"/>
              </w:rPr>
              <w:t>pathogen</w:t>
            </w:r>
            <w:r w:rsidRPr="00577C69">
              <w:rPr>
                <w:rFonts w:ascii="Arial Narrow" w:hAnsi="Arial Narrow"/>
                <w:lang w:eastAsia="ja-JP"/>
              </w:rPr>
              <w:t xml:space="preserve"> nucleic acid from a nasal swab, throat swab, nasopharyngeal aspirate and/or lower respiratory tract sample </w:t>
            </w:r>
          </w:p>
          <w:p w14:paraId="24D02613" w14:textId="5A633E3C" w:rsidR="0084039D" w:rsidRPr="00577C69" w:rsidRDefault="0084039D" w:rsidP="008007DA">
            <w:pPr>
              <w:spacing w:after="0"/>
              <w:jc w:val="both"/>
              <w:textAlignment w:val="baseline"/>
              <w:rPr>
                <w:rFonts w:ascii="Times New Roman" w:hAnsi="Times New Roman"/>
                <w:sz w:val="24"/>
                <w:szCs w:val="24"/>
                <w:lang w:eastAsia="ja-JP"/>
              </w:rPr>
            </w:pPr>
            <w:r w:rsidRPr="00577C69">
              <w:rPr>
                <w:rFonts w:ascii="Arial Narrow" w:hAnsi="Arial Narrow"/>
                <w:lang w:eastAsia="ja-JP"/>
              </w:rPr>
              <w:t>4 pathogens </w:t>
            </w:r>
          </w:p>
          <w:p w14:paraId="60516E9B" w14:textId="77777777" w:rsidR="0084039D" w:rsidRPr="00577C69" w:rsidRDefault="0084039D" w:rsidP="008007DA">
            <w:pPr>
              <w:spacing w:after="0"/>
              <w:jc w:val="both"/>
              <w:textAlignment w:val="baseline"/>
              <w:rPr>
                <w:rFonts w:ascii="Times New Roman" w:hAnsi="Times New Roman"/>
                <w:sz w:val="24"/>
                <w:szCs w:val="24"/>
                <w:lang w:eastAsia="ja-JP"/>
              </w:rPr>
            </w:pPr>
            <w:r w:rsidRPr="00577C69">
              <w:rPr>
                <w:rFonts w:ascii="Arial Narrow" w:hAnsi="Arial Narrow"/>
                <w:shd w:val="clear" w:color="auto" w:fill="FBFBFB"/>
                <w:lang w:eastAsia="ja-JP"/>
              </w:rPr>
              <w:t>Fee:</w:t>
            </w:r>
            <w:r w:rsidRPr="00577C69">
              <w:rPr>
                <w:rFonts w:ascii="Arial" w:hAnsi="Arial" w:cs="Arial"/>
                <w:shd w:val="clear" w:color="auto" w:fill="FBFBFB"/>
                <w:lang w:eastAsia="ja-JP"/>
              </w:rPr>
              <w:t> </w:t>
            </w:r>
            <w:r w:rsidRPr="00577C69">
              <w:rPr>
                <w:rFonts w:ascii="Arial Narrow" w:hAnsi="Arial Narrow"/>
                <w:shd w:val="clear" w:color="auto" w:fill="FBFBFB"/>
                <w:lang w:eastAsia="ja-JP"/>
              </w:rPr>
              <w:t>$78.25</w:t>
            </w:r>
            <w:r w:rsidRPr="00577C69">
              <w:rPr>
                <w:rFonts w:ascii="Arial" w:hAnsi="Arial" w:cs="Arial"/>
                <w:shd w:val="clear" w:color="auto" w:fill="FBFBFB"/>
                <w:lang w:eastAsia="ja-JP"/>
              </w:rPr>
              <w:t> </w:t>
            </w:r>
            <w:r w:rsidRPr="00577C69">
              <w:rPr>
                <w:rFonts w:ascii="Arial Narrow" w:hAnsi="Arial Narrow"/>
                <w:shd w:val="clear" w:color="auto" w:fill="FBFBFB"/>
                <w:lang w:eastAsia="ja-JP"/>
              </w:rPr>
              <w:t>Benefit:</w:t>
            </w:r>
            <w:r w:rsidRPr="00577C69">
              <w:rPr>
                <w:rFonts w:ascii="Arial" w:hAnsi="Arial" w:cs="Arial"/>
                <w:shd w:val="clear" w:color="auto" w:fill="FBFBFB"/>
                <w:lang w:eastAsia="ja-JP"/>
              </w:rPr>
              <w:t> </w:t>
            </w:r>
            <w:r w:rsidRPr="00577C69">
              <w:rPr>
                <w:rFonts w:ascii="Arial Narrow" w:hAnsi="Arial Narrow"/>
                <w:shd w:val="clear" w:color="auto" w:fill="FBFBFB"/>
                <w:lang w:eastAsia="ja-JP"/>
              </w:rPr>
              <w:t>75% = $58.69 85% = $66.51</w:t>
            </w:r>
            <w:r w:rsidRPr="00577C69">
              <w:rPr>
                <w:rFonts w:ascii="Arial Narrow" w:hAnsi="Arial Narrow"/>
                <w:lang w:eastAsia="ja-JP"/>
              </w:rPr>
              <w:t> </w:t>
            </w:r>
          </w:p>
        </w:tc>
      </w:tr>
      <w:tr w:rsidR="0084039D" w:rsidRPr="00577C69" w14:paraId="31D46D8C" w14:textId="77777777" w:rsidTr="009746CA">
        <w:trPr>
          <w:trHeight w:val="345"/>
        </w:trPr>
        <w:tc>
          <w:tcPr>
            <w:tcW w:w="4499" w:type="dxa"/>
            <w:tcBorders>
              <w:top w:val="single" w:sz="6" w:space="0" w:color="auto"/>
              <w:left w:val="single" w:sz="6" w:space="0" w:color="auto"/>
              <w:bottom w:val="single" w:sz="6" w:space="0" w:color="auto"/>
              <w:right w:val="nil"/>
            </w:tcBorders>
            <w:shd w:val="clear" w:color="auto" w:fill="auto"/>
            <w:hideMark/>
          </w:tcPr>
          <w:p w14:paraId="2710CE84" w14:textId="62BDD71C" w:rsidR="0084039D" w:rsidRPr="00577C69" w:rsidRDefault="0084039D" w:rsidP="008007DA">
            <w:pPr>
              <w:spacing w:before="0" w:after="0"/>
              <w:textAlignment w:val="baseline"/>
              <w:rPr>
                <w:rFonts w:ascii="Times New Roman" w:hAnsi="Times New Roman"/>
                <w:b/>
                <w:bCs/>
                <w:sz w:val="24"/>
                <w:szCs w:val="24"/>
                <w:lang w:eastAsia="ja-JP"/>
              </w:rPr>
            </w:pPr>
          </w:p>
        </w:tc>
        <w:tc>
          <w:tcPr>
            <w:tcW w:w="4511" w:type="dxa"/>
            <w:tcBorders>
              <w:top w:val="single" w:sz="6" w:space="0" w:color="auto"/>
              <w:left w:val="nil"/>
              <w:bottom w:val="single" w:sz="6" w:space="0" w:color="auto"/>
              <w:right w:val="single" w:sz="6" w:space="0" w:color="auto"/>
            </w:tcBorders>
            <w:shd w:val="clear" w:color="auto" w:fill="auto"/>
            <w:hideMark/>
          </w:tcPr>
          <w:p w14:paraId="4ACF5E3E" w14:textId="77777777" w:rsidR="0084039D" w:rsidRPr="00577C69" w:rsidRDefault="0084039D" w:rsidP="007B74B9">
            <w:pPr>
              <w:spacing w:before="0" w:after="0"/>
              <w:jc w:val="right"/>
              <w:textAlignment w:val="baseline"/>
              <w:rPr>
                <w:rFonts w:ascii="Times New Roman" w:hAnsi="Times New Roman"/>
                <w:b/>
                <w:bCs/>
                <w:sz w:val="24"/>
                <w:szCs w:val="24"/>
                <w:lang w:eastAsia="ja-JP"/>
              </w:rPr>
            </w:pPr>
            <w:r w:rsidRPr="00577C69">
              <w:rPr>
                <w:rFonts w:ascii="Arial Narrow" w:hAnsi="Arial Narrow"/>
                <w:b/>
                <w:bCs/>
                <w:lang w:eastAsia="ja-JP"/>
              </w:rPr>
              <w:t>Category 6 – PATHOLOGY SERVICES </w:t>
            </w:r>
          </w:p>
          <w:p w14:paraId="105F4485" w14:textId="77777777" w:rsidR="0084039D" w:rsidRPr="00577C69" w:rsidRDefault="0084039D" w:rsidP="007B74B9">
            <w:pPr>
              <w:spacing w:before="0" w:after="0"/>
              <w:jc w:val="right"/>
              <w:textAlignment w:val="baseline"/>
              <w:rPr>
                <w:rFonts w:ascii="Times New Roman" w:hAnsi="Times New Roman"/>
                <w:b/>
                <w:bCs/>
                <w:sz w:val="24"/>
                <w:szCs w:val="24"/>
                <w:lang w:eastAsia="ja-JP"/>
              </w:rPr>
            </w:pPr>
            <w:r w:rsidRPr="00577C69">
              <w:rPr>
                <w:rFonts w:ascii="Arial Narrow" w:hAnsi="Arial Narrow"/>
                <w:b/>
                <w:bCs/>
                <w:lang w:eastAsia="ja-JP"/>
              </w:rPr>
              <w:t>Group P3 - Microbiology </w:t>
            </w:r>
          </w:p>
        </w:tc>
      </w:tr>
      <w:tr w:rsidR="0084039D" w:rsidRPr="00577C69" w14:paraId="3F076B4F" w14:textId="77777777" w:rsidTr="009746CA">
        <w:trPr>
          <w:trHeight w:val="300"/>
        </w:trPr>
        <w:tc>
          <w:tcPr>
            <w:tcW w:w="9010" w:type="dxa"/>
            <w:gridSpan w:val="2"/>
            <w:tcBorders>
              <w:top w:val="single" w:sz="6" w:space="0" w:color="auto"/>
              <w:left w:val="single" w:sz="6" w:space="0" w:color="auto"/>
              <w:bottom w:val="single" w:sz="6" w:space="0" w:color="auto"/>
              <w:right w:val="single" w:sz="6" w:space="0" w:color="auto"/>
            </w:tcBorders>
            <w:shd w:val="clear" w:color="auto" w:fill="auto"/>
            <w:hideMark/>
          </w:tcPr>
          <w:p w14:paraId="3F88E79A" w14:textId="7CC4034D" w:rsidR="0084039D" w:rsidRPr="00577C69" w:rsidRDefault="0084039D" w:rsidP="007B74B9">
            <w:pPr>
              <w:spacing w:before="0" w:after="0"/>
              <w:textAlignment w:val="baseline"/>
              <w:rPr>
                <w:rFonts w:ascii="Times New Roman" w:hAnsi="Times New Roman"/>
                <w:sz w:val="24"/>
                <w:szCs w:val="24"/>
                <w:lang w:eastAsia="ja-JP"/>
              </w:rPr>
            </w:pPr>
            <w:r w:rsidRPr="00577C69">
              <w:rPr>
                <w:rFonts w:ascii="Arial Narrow" w:hAnsi="Arial Narrow"/>
                <w:lang w:eastAsia="ja-JP"/>
              </w:rPr>
              <w:t>MBS item YYYY </w:t>
            </w:r>
          </w:p>
          <w:p w14:paraId="193DB667" w14:textId="4A6836EB" w:rsidR="0084039D" w:rsidRPr="00577C69" w:rsidRDefault="0084039D" w:rsidP="008007DA">
            <w:pPr>
              <w:spacing w:after="0"/>
              <w:textAlignment w:val="baseline"/>
              <w:rPr>
                <w:rFonts w:ascii="Times New Roman" w:hAnsi="Times New Roman"/>
                <w:sz w:val="24"/>
                <w:szCs w:val="24"/>
                <w:lang w:eastAsia="ja-JP"/>
              </w:rPr>
            </w:pPr>
            <w:r w:rsidRPr="00577C69">
              <w:rPr>
                <w:rFonts w:ascii="Arial Narrow" w:hAnsi="Arial Narrow"/>
                <w:lang w:eastAsia="ja-JP"/>
              </w:rPr>
              <w:t xml:space="preserve">Detection of </w:t>
            </w:r>
            <w:r w:rsidRPr="009746CA">
              <w:rPr>
                <w:rFonts w:ascii="Arial Narrow" w:hAnsi="Arial Narrow"/>
                <w:lang w:eastAsia="ja-JP"/>
              </w:rPr>
              <w:t>respiratory</w:t>
            </w:r>
            <w:r w:rsidRPr="00577C69">
              <w:rPr>
                <w:rFonts w:ascii="Arial Narrow" w:hAnsi="Arial Narrow"/>
                <w:lang w:eastAsia="ja-JP"/>
              </w:rPr>
              <w:t xml:space="preserve"> pathogen nucleic acid from a nasal swab, throat swab, nasopharyngeal aspirate and/or lower respiratory tract sample including a service described in Item XXXX </w:t>
            </w:r>
          </w:p>
          <w:p w14:paraId="4E6D6109" w14:textId="1D51B5F2" w:rsidR="0084039D" w:rsidRPr="00577C69" w:rsidRDefault="0084039D" w:rsidP="008007DA">
            <w:pPr>
              <w:spacing w:after="0"/>
              <w:textAlignment w:val="baseline"/>
              <w:rPr>
                <w:rFonts w:ascii="Times New Roman" w:hAnsi="Times New Roman"/>
                <w:sz w:val="24"/>
                <w:szCs w:val="24"/>
                <w:lang w:eastAsia="ja-JP"/>
              </w:rPr>
            </w:pPr>
            <w:r w:rsidRPr="00577C69">
              <w:rPr>
                <w:rFonts w:ascii="Arial Narrow" w:hAnsi="Arial Narrow"/>
                <w:lang w:eastAsia="ja-JP"/>
              </w:rPr>
              <w:t>5 or more pathogens </w:t>
            </w:r>
          </w:p>
          <w:p w14:paraId="5530750E" w14:textId="77777777" w:rsidR="0084039D" w:rsidRPr="00577C69" w:rsidRDefault="0084039D" w:rsidP="008007DA">
            <w:pPr>
              <w:spacing w:after="0"/>
              <w:textAlignment w:val="baseline"/>
              <w:rPr>
                <w:rFonts w:ascii="Times New Roman" w:hAnsi="Times New Roman"/>
                <w:sz w:val="24"/>
                <w:szCs w:val="24"/>
                <w:lang w:eastAsia="ja-JP"/>
              </w:rPr>
            </w:pPr>
            <w:r w:rsidRPr="00577C69">
              <w:rPr>
                <w:rFonts w:ascii="Arial Narrow" w:hAnsi="Arial Narrow"/>
                <w:lang w:eastAsia="ja-JP"/>
              </w:rPr>
              <w:t>Fee:</w:t>
            </w:r>
            <w:r w:rsidRPr="00577C69">
              <w:rPr>
                <w:rFonts w:ascii="Arial" w:hAnsi="Arial" w:cs="Arial"/>
                <w:lang w:eastAsia="ja-JP"/>
              </w:rPr>
              <w:t> </w:t>
            </w:r>
            <w:r w:rsidRPr="00577C69">
              <w:rPr>
                <w:rFonts w:ascii="Arial Narrow" w:hAnsi="Arial Narrow"/>
                <w:lang w:eastAsia="ja-JP"/>
              </w:rPr>
              <w:t>$85.56</w:t>
            </w:r>
            <w:r w:rsidRPr="00577C69">
              <w:rPr>
                <w:rFonts w:ascii="Arial" w:hAnsi="Arial" w:cs="Arial"/>
                <w:lang w:eastAsia="ja-JP"/>
              </w:rPr>
              <w:t> </w:t>
            </w:r>
            <w:r w:rsidRPr="00577C69">
              <w:rPr>
                <w:rFonts w:ascii="Arial Narrow" w:hAnsi="Arial Narrow"/>
                <w:lang w:eastAsia="ja-JP"/>
              </w:rPr>
              <w:t>Benefit:</w:t>
            </w:r>
            <w:r w:rsidRPr="00577C69">
              <w:rPr>
                <w:rFonts w:ascii="Arial" w:hAnsi="Arial" w:cs="Arial"/>
                <w:lang w:eastAsia="ja-JP"/>
              </w:rPr>
              <w:t> </w:t>
            </w:r>
            <w:r w:rsidRPr="00577C69">
              <w:rPr>
                <w:rFonts w:ascii="Arial Narrow" w:hAnsi="Arial Narrow"/>
                <w:lang w:eastAsia="ja-JP"/>
              </w:rPr>
              <w:t>75% = $64.17 85% = $72.73 </w:t>
            </w:r>
          </w:p>
        </w:tc>
      </w:tr>
    </w:tbl>
    <w:p w14:paraId="0D53620E" w14:textId="77777777" w:rsidR="00F06F19" w:rsidRDefault="00F06F19" w:rsidP="00CB2E78">
      <w:pPr>
        <w:rPr>
          <w:szCs w:val="24"/>
        </w:rPr>
      </w:pPr>
    </w:p>
    <w:tbl>
      <w:tblPr>
        <w:tblStyle w:val="TableGrid"/>
        <w:tblW w:w="0" w:type="auto"/>
        <w:tblLook w:val="04A0" w:firstRow="1" w:lastRow="0" w:firstColumn="1" w:lastColumn="0" w:noHBand="0" w:noVBand="1"/>
        <w:tblDescription w:val="Consumer summary of MSAC consideration"/>
      </w:tblPr>
      <w:tblGrid>
        <w:gridCol w:w="9016"/>
      </w:tblGrid>
      <w:tr w:rsidR="00CB2E78" w:rsidRPr="00AF46D8" w14:paraId="253937F7" w14:textId="77777777" w:rsidTr="007B74B9">
        <w:trPr>
          <w:tblHeader/>
        </w:trPr>
        <w:tc>
          <w:tcPr>
            <w:tcW w:w="9016" w:type="dxa"/>
          </w:tcPr>
          <w:p w14:paraId="0BE32CC5" w14:textId="77777777" w:rsidR="00CB2E78" w:rsidRPr="00AF46D8" w:rsidRDefault="00CB2E78" w:rsidP="007B74B9">
            <w:pPr>
              <w:pStyle w:val="Heading3"/>
              <w:spacing w:before="120" w:after="120"/>
              <w:ind w:left="720" w:hanging="720"/>
              <w:rPr>
                <w:rFonts w:eastAsiaTheme="minorHAnsi" w:cstheme="minorBidi"/>
                <w:iCs/>
              </w:rPr>
            </w:pPr>
            <w:r w:rsidRPr="00AF46D8">
              <w:t>Consumer summary</w:t>
            </w:r>
          </w:p>
        </w:tc>
      </w:tr>
      <w:tr w:rsidR="00CB2E78" w:rsidRPr="00AF46D8" w14:paraId="1E590ADE" w14:textId="77777777" w:rsidTr="007B74B9">
        <w:tc>
          <w:tcPr>
            <w:tcW w:w="9016" w:type="dxa"/>
          </w:tcPr>
          <w:p w14:paraId="5C9AC52C" w14:textId="1423B812" w:rsidR="001217E4" w:rsidRPr="006A3E0E" w:rsidRDefault="00780763" w:rsidP="001217E4">
            <w:r>
              <w:t>F</w:t>
            </w:r>
            <w:r w:rsidR="002A2823">
              <w:t>or this application t</w:t>
            </w:r>
            <w:r w:rsidR="002A2823" w:rsidRPr="006A3E0E">
              <w:t xml:space="preserve">he Department of Health and Aged Care </w:t>
            </w:r>
            <w:r w:rsidR="002A2823">
              <w:t>wa</w:t>
            </w:r>
            <w:r w:rsidR="002A2823" w:rsidRPr="006A3E0E">
              <w:t xml:space="preserve">s seeking advice from MSAC </w:t>
            </w:r>
            <w:r w:rsidR="005E0BFB">
              <w:t xml:space="preserve">on permanent MBS items for SARS-CoV-2 nucleic acid testing </w:t>
            </w:r>
            <w:r w:rsidR="002A2823" w:rsidRPr="006A3E0E">
              <w:t>on</w:t>
            </w:r>
            <w:r w:rsidR="002A2823">
              <w:t xml:space="preserve"> behalf of the Minister</w:t>
            </w:r>
            <w:r>
              <w:t xml:space="preserve"> for Health and Aged Care</w:t>
            </w:r>
            <w:r w:rsidR="002A2823">
              <w:t>.</w:t>
            </w:r>
          </w:p>
          <w:p w14:paraId="388B0539" w14:textId="5A70849E" w:rsidR="001217E4" w:rsidRPr="006A3E0E" w:rsidRDefault="001217E4" w:rsidP="001217E4">
            <w:r w:rsidRPr="006A3E0E">
              <w:t xml:space="preserve">COVID-19 </w:t>
            </w:r>
            <w:r w:rsidR="00587C12">
              <w:t xml:space="preserve">(coronavirus disease 2019) </w:t>
            </w:r>
            <w:r w:rsidRPr="006A3E0E">
              <w:t>is a</w:t>
            </w:r>
            <w:r w:rsidR="00AA58C7">
              <w:t>n infectious</w:t>
            </w:r>
            <w:r w:rsidR="001B6ADF">
              <w:t xml:space="preserve"> </w:t>
            </w:r>
            <w:r w:rsidRPr="006A3E0E">
              <w:t>disease that spread worldwide in the COVID-19 pandemic.</w:t>
            </w:r>
            <w:r w:rsidR="0035318A">
              <w:t xml:space="preserve"> </w:t>
            </w:r>
            <w:r w:rsidR="00A5634C">
              <w:t>It usually spreads when tiny, aerosolised virus particles breathed out by a person who is infectious are breathed in by someone else, and p</w:t>
            </w:r>
            <w:r w:rsidRPr="006A3E0E">
              <w:t xml:space="preserve">eople who are infected do not </w:t>
            </w:r>
            <w:r w:rsidR="00D8615F">
              <w:t xml:space="preserve">always </w:t>
            </w:r>
            <w:r w:rsidRPr="006A3E0E">
              <w:t xml:space="preserve">develop noticeable symptoms. Of those who </w:t>
            </w:r>
            <w:r w:rsidR="001F1B4E">
              <w:t>get sick</w:t>
            </w:r>
            <w:r w:rsidR="001B6ADF">
              <w:t xml:space="preserve"> </w:t>
            </w:r>
            <w:r w:rsidRPr="006A3E0E">
              <w:t xml:space="preserve">most </w:t>
            </w:r>
            <w:r w:rsidR="00216CAF">
              <w:t>illness is mild to moderate.</w:t>
            </w:r>
            <w:r w:rsidR="001B6ADF">
              <w:t xml:space="preserve"> </w:t>
            </w:r>
            <w:r w:rsidR="00F72633">
              <w:t>S</w:t>
            </w:r>
            <w:r>
              <w:t>ome people</w:t>
            </w:r>
            <w:r w:rsidRPr="006A3E0E">
              <w:t xml:space="preserve"> </w:t>
            </w:r>
            <w:r w:rsidR="00F72633">
              <w:t>do</w:t>
            </w:r>
            <w:r w:rsidRPr="006A3E0E">
              <w:t xml:space="preserve"> develop severe symptoms</w:t>
            </w:r>
            <w:r w:rsidR="009D4BF0">
              <w:t>,</w:t>
            </w:r>
            <w:r w:rsidRPr="006A3E0E">
              <w:t xml:space="preserve"> and a small proportion </w:t>
            </w:r>
            <w:r>
              <w:t xml:space="preserve">of people </w:t>
            </w:r>
            <w:r w:rsidRPr="006A3E0E">
              <w:t xml:space="preserve">develop critical symptoms </w:t>
            </w:r>
            <w:r>
              <w:t xml:space="preserve">such as </w:t>
            </w:r>
            <w:r w:rsidRPr="006A3E0E">
              <w:t xml:space="preserve">respiratory failure, shock or multiorgan </w:t>
            </w:r>
            <w:r w:rsidR="001F1B4E">
              <w:t>failure</w:t>
            </w:r>
            <w:r w:rsidR="00B95FAF">
              <w:t>, and s</w:t>
            </w:r>
            <w:r w:rsidR="00E401AF">
              <w:t>ome die</w:t>
            </w:r>
            <w:r w:rsidRPr="006A3E0E">
              <w:t xml:space="preserve">. </w:t>
            </w:r>
            <w:r w:rsidR="00D8615F">
              <w:t xml:space="preserve">Some people’s symptoms can last a long </w:t>
            </w:r>
            <w:proofErr w:type="gramStart"/>
            <w:r w:rsidR="00D8615F">
              <w:t>time</w:t>
            </w:r>
            <w:proofErr w:type="gramEnd"/>
            <w:r w:rsidR="00D8615F">
              <w:t xml:space="preserve"> </w:t>
            </w:r>
            <w:r w:rsidR="004C3F51">
              <w:t xml:space="preserve">or they can develop post-COVID syndrome </w:t>
            </w:r>
            <w:r w:rsidR="00D8615F">
              <w:t xml:space="preserve">(“long COVID”), </w:t>
            </w:r>
            <w:r w:rsidR="006E1E65" w:rsidRPr="006E1E65">
              <w:t>which can present differently in different people and persist beyond 3 months</w:t>
            </w:r>
            <w:r w:rsidR="006E1E65">
              <w:t xml:space="preserve">, </w:t>
            </w:r>
            <w:r w:rsidR="00D8615F">
              <w:t>although not much is known about the long-term health consequences</w:t>
            </w:r>
            <w:r w:rsidR="00472474">
              <w:t xml:space="preserve"> because COVID-19 is a new disease</w:t>
            </w:r>
            <w:r w:rsidR="00D8615F">
              <w:t>.</w:t>
            </w:r>
          </w:p>
          <w:p w14:paraId="48542630" w14:textId="59EF4254" w:rsidR="001217E4" w:rsidRPr="006A3E0E" w:rsidRDefault="001217E4" w:rsidP="001217E4">
            <w:r w:rsidRPr="006A3E0E">
              <w:t>Severe acute respiratory syndrome coronavirus 2 (SARS</w:t>
            </w:r>
            <w:r w:rsidRPr="006A3E0E">
              <w:rPr>
                <w:rFonts w:ascii="Cambria Math" w:hAnsi="Cambria Math" w:cs="Cambria Math"/>
              </w:rPr>
              <w:t>‑</w:t>
            </w:r>
            <w:r w:rsidRPr="006A3E0E">
              <w:t>CoV</w:t>
            </w:r>
            <w:r w:rsidRPr="006A3E0E">
              <w:rPr>
                <w:rFonts w:ascii="Cambria Math" w:hAnsi="Cambria Math" w:cs="Cambria Math"/>
              </w:rPr>
              <w:t>‑</w:t>
            </w:r>
            <w:r w:rsidRPr="006A3E0E">
              <w:t xml:space="preserve">2) is </w:t>
            </w:r>
            <w:r>
              <w:t>the</w:t>
            </w:r>
            <w:r w:rsidRPr="006A3E0E">
              <w:t xml:space="preserve"> virus that causes COVID-19.</w:t>
            </w:r>
            <w:r w:rsidR="00281219">
              <w:t xml:space="preserve"> </w:t>
            </w:r>
            <w:r w:rsidR="00F01DBD">
              <w:t xml:space="preserve">Nucleic acids </w:t>
            </w:r>
            <w:r w:rsidR="00707F6E">
              <w:t xml:space="preserve">are </w:t>
            </w:r>
            <w:r w:rsidR="00281219">
              <w:t>an organism’s</w:t>
            </w:r>
            <w:r w:rsidR="00707F6E">
              <w:t xml:space="preserve"> </w:t>
            </w:r>
            <w:r w:rsidR="00A82B0A">
              <w:t xml:space="preserve">genetic material. </w:t>
            </w:r>
            <w:r w:rsidRPr="006A3E0E">
              <w:t>SARS-CoV-2 nucleic acid</w:t>
            </w:r>
            <w:r>
              <w:t xml:space="preserve"> testing involves </w:t>
            </w:r>
            <w:r w:rsidRPr="006A3E0E">
              <w:t>collect</w:t>
            </w:r>
            <w:r>
              <w:t xml:space="preserve">ing a </w:t>
            </w:r>
            <w:r w:rsidR="00BD1D9E">
              <w:t>nasal</w:t>
            </w:r>
            <w:r>
              <w:t xml:space="preserve"> </w:t>
            </w:r>
            <w:r w:rsidRPr="006A3E0E">
              <w:t>swab,</w:t>
            </w:r>
            <w:r>
              <w:t xml:space="preserve"> and then testing </w:t>
            </w:r>
            <w:r w:rsidR="00472474">
              <w:t>the</w:t>
            </w:r>
            <w:r w:rsidRPr="006A3E0E">
              <w:t xml:space="preserve"> </w:t>
            </w:r>
            <w:r>
              <w:t>nucleic acid</w:t>
            </w:r>
            <w:r w:rsidR="00472474">
              <w:t>s</w:t>
            </w:r>
            <w:r>
              <w:t xml:space="preserve"> </w:t>
            </w:r>
            <w:r w:rsidR="00472474">
              <w:t>in the sample</w:t>
            </w:r>
            <w:r w:rsidRPr="006A3E0E">
              <w:t xml:space="preserve">. </w:t>
            </w:r>
            <w:r>
              <w:t>This method detects whether someone has genetic material from SARS-CoV-2 in the</w:t>
            </w:r>
            <w:r w:rsidR="00780763">
              <w:t xml:space="preserve">ir nose, to work out </w:t>
            </w:r>
            <w:r w:rsidR="00281219">
              <w:t>whether</w:t>
            </w:r>
            <w:r w:rsidR="00780763">
              <w:t xml:space="preserve"> they</w:t>
            </w:r>
            <w:r w:rsidR="00281219">
              <w:t xml:space="preserve"> </w:t>
            </w:r>
            <w:r w:rsidR="005C77E4">
              <w:t>are infected with</w:t>
            </w:r>
            <w:r w:rsidR="00780763">
              <w:t xml:space="preserve"> COVID-19</w:t>
            </w:r>
            <w:r>
              <w:t xml:space="preserve">. </w:t>
            </w:r>
          </w:p>
          <w:p w14:paraId="5F49C80B" w14:textId="5AFEE83F" w:rsidR="001217E4" w:rsidRDefault="00AB0727" w:rsidP="001217E4">
            <w:r>
              <w:t xml:space="preserve">Viruses and </w:t>
            </w:r>
            <w:r w:rsidR="00FE0398">
              <w:t xml:space="preserve">other </w:t>
            </w:r>
            <w:r w:rsidR="00C80CF8">
              <w:t>germs</w:t>
            </w:r>
            <w:r w:rsidR="00281219">
              <w:t xml:space="preserve"> (such as bacteria</w:t>
            </w:r>
            <w:r>
              <w:t xml:space="preserve"> and fungi</w:t>
            </w:r>
            <w:r w:rsidR="00281219">
              <w:t>)</w:t>
            </w:r>
            <w:r w:rsidR="00281219" w:rsidRPr="006A3E0E">
              <w:t xml:space="preserve"> </w:t>
            </w:r>
            <w:r w:rsidR="00281219">
              <w:t xml:space="preserve">that can cause illness in humans are called pathogens. </w:t>
            </w:r>
            <w:r w:rsidR="00472474">
              <w:t>T</w:t>
            </w:r>
            <w:r w:rsidR="001217E4">
              <w:t xml:space="preserve">he MBS </w:t>
            </w:r>
            <w:r w:rsidR="00780763">
              <w:t>has included</w:t>
            </w:r>
            <w:r w:rsidR="001217E4">
              <w:t xml:space="preserve"> items that </w:t>
            </w:r>
            <w:r>
              <w:t xml:space="preserve">publicly </w:t>
            </w:r>
            <w:r w:rsidR="00780763">
              <w:t xml:space="preserve">fund </w:t>
            </w:r>
            <w:r w:rsidR="001217E4">
              <w:t>test</w:t>
            </w:r>
            <w:r w:rsidR="00780763">
              <w:t xml:space="preserve">ing for any pathogen </w:t>
            </w:r>
            <w:r w:rsidR="1FA8D23C" w:rsidRPr="2E59519C">
              <w:rPr>
                <w:rFonts w:eastAsia="Franklin Gothic Book" w:cs="Franklin Gothic Book"/>
              </w:rPr>
              <w:t xml:space="preserve">since well before the COVID-19 pandemic. These MBS items are </w:t>
            </w:r>
            <w:r w:rsidR="00780763">
              <w:t>called “</w:t>
            </w:r>
            <w:r w:rsidR="001217E4" w:rsidRPr="006A3E0E">
              <w:t>generic</w:t>
            </w:r>
            <w:r w:rsidR="00780763">
              <w:t>”</w:t>
            </w:r>
            <w:r w:rsidR="00281219">
              <w:t xml:space="preserve"> </w:t>
            </w:r>
            <w:proofErr w:type="gramStart"/>
            <w:r w:rsidR="00281219">
              <w:t>items</w:t>
            </w:r>
            <w:r w:rsidR="00780763">
              <w:t xml:space="preserve">, </w:t>
            </w:r>
            <w:r w:rsidR="00780763">
              <w:lastRenderedPageBreak/>
              <w:t>because</w:t>
            </w:r>
            <w:proofErr w:type="gramEnd"/>
            <w:r w:rsidR="00780763">
              <w:t xml:space="preserve"> they</w:t>
            </w:r>
            <w:r w:rsidR="004D0F9A">
              <w:t xml:space="preserve"> </w:t>
            </w:r>
            <w:r w:rsidR="004D0F9A" w:rsidRPr="00577C69">
              <w:t>do not specif</w:t>
            </w:r>
            <w:r w:rsidR="00587C12">
              <w:t>y</w:t>
            </w:r>
            <w:r w:rsidR="004D0F9A" w:rsidRPr="00577C69">
              <w:t xml:space="preserve"> </w:t>
            </w:r>
            <w:r w:rsidR="00FE0398">
              <w:t>which</w:t>
            </w:r>
            <w:r w:rsidR="00666A0A">
              <w:t xml:space="preserve"> pathogen</w:t>
            </w:r>
            <w:r w:rsidR="00587C12">
              <w:t xml:space="preserve"> or pathogens</w:t>
            </w:r>
            <w:r w:rsidR="00666A0A">
              <w:t xml:space="preserve"> </w:t>
            </w:r>
            <w:r w:rsidR="00780763">
              <w:t>must be</w:t>
            </w:r>
            <w:r w:rsidR="00666A0A">
              <w:t xml:space="preserve"> test</w:t>
            </w:r>
            <w:r w:rsidR="00780763">
              <w:t>ed</w:t>
            </w:r>
            <w:r w:rsidR="001217E4">
              <w:t xml:space="preserve">. </w:t>
            </w:r>
            <w:r w:rsidR="00780763">
              <w:t>E</w:t>
            </w:r>
            <w:r w:rsidR="001217E4">
              <w:t xml:space="preserve">arly in the pandemic </w:t>
            </w:r>
            <w:r w:rsidR="00780763">
              <w:t xml:space="preserve">the Government </w:t>
            </w:r>
            <w:r w:rsidR="00587C12">
              <w:t>created</w:t>
            </w:r>
            <w:r w:rsidR="00780763">
              <w:t xml:space="preserve"> </w:t>
            </w:r>
            <w:r w:rsidR="001217E4">
              <w:t>t</w:t>
            </w:r>
            <w:r w:rsidR="001217E4" w:rsidRPr="006A3E0E">
              <w:t xml:space="preserve">emporary MBS items </w:t>
            </w:r>
            <w:r>
              <w:t>to provide</w:t>
            </w:r>
            <w:r w:rsidR="00780763">
              <w:t xml:space="preserve"> publicly funded COVID testing</w:t>
            </w:r>
            <w:r>
              <w:t xml:space="preserve"> in Australia</w:t>
            </w:r>
            <w:r w:rsidR="00780763">
              <w:t>.</w:t>
            </w:r>
            <w:r w:rsidR="14503B36">
              <w:t xml:space="preserve"> </w:t>
            </w:r>
            <w:r w:rsidR="0051316D">
              <w:t>T</w:t>
            </w:r>
            <w:r w:rsidR="001217E4">
              <w:t>he</w:t>
            </w:r>
            <w:r w:rsidR="00780763">
              <w:t xml:space="preserve"> </w:t>
            </w:r>
            <w:r w:rsidR="001217E4" w:rsidRPr="006A3E0E">
              <w:t xml:space="preserve">temporary MBS items </w:t>
            </w:r>
            <w:r w:rsidR="00281219">
              <w:t xml:space="preserve">for SARS-CoV-2 testing </w:t>
            </w:r>
            <w:r w:rsidR="66694F88">
              <w:t xml:space="preserve">are </w:t>
            </w:r>
            <w:r w:rsidR="0051316D">
              <w:t xml:space="preserve">currently </w:t>
            </w:r>
            <w:r w:rsidR="66694F88">
              <w:t>scheduled to cease</w:t>
            </w:r>
            <w:r w:rsidR="00587C12" w:rsidRPr="006A3E0E">
              <w:t xml:space="preserve"> </w:t>
            </w:r>
            <w:r w:rsidR="001217E4" w:rsidRPr="006A3E0E">
              <w:t>on 31 December 2023</w:t>
            </w:r>
            <w:r w:rsidR="00780763">
              <w:t xml:space="preserve">, </w:t>
            </w:r>
            <w:r w:rsidR="2BA7ECC0">
              <w:t>and</w:t>
            </w:r>
            <w:r w:rsidR="0051316D">
              <w:t xml:space="preserve"> </w:t>
            </w:r>
            <w:r w:rsidR="00780763">
              <w:t xml:space="preserve">the Government asked the Minister to seek MSAC’s advice on </w:t>
            </w:r>
            <w:r w:rsidR="00780763" w:rsidRPr="006A3E0E">
              <w:t xml:space="preserve">permanent </w:t>
            </w:r>
            <w:r w:rsidR="00780763">
              <w:t>public funding for</w:t>
            </w:r>
            <w:r w:rsidR="00780763" w:rsidRPr="006A3E0E">
              <w:t xml:space="preserve"> </w:t>
            </w:r>
            <w:r w:rsidR="00281219">
              <w:t xml:space="preserve">SARS-CoV-2 </w:t>
            </w:r>
            <w:r w:rsidR="00780763" w:rsidRPr="006A3E0E">
              <w:t>testing</w:t>
            </w:r>
            <w:r w:rsidR="001217E4">
              <w:t>.</w:t>
            </w:r>
          </w:p>
          <w:p w14:paraId="30EAF0FC" w14:textId="017CEB1F" w:rsidR="00A07BB2" w:rsidRDefault="00780763" w:rsidP="001217E4">
            <w:r>
              <w:t xml:space="preserve">MSAC considered whether to make the current temporary </w:t>
            </w:r>
            <w:r w:rsidR="00281219">
              <w:t xml:space="preserve">MBS </w:t>
            </w:r>
            <w:r>
              <w:t>items permanent, or to create new</w:t>
            </w:r>
            <w:r w:rsidR="00281219">
              <w:t xml:space="preserve"> MBS</w:t>
            </w:r>
            <w:r>
              <w:t xml:space="preserve"> items, or to let the temporary items </w:t>
            </w:r>
            <w:r w:rsidR="00281219">
              <w:t>expire without making any permanent MBS items (meaning COVID</w:t>
            </w:r>
            <w:r>
              <w:t xml:space="preserve"> testing </w:t>
            </w:r>
            <w:r w:rsidR="00281219">
              <w:t>would use</w:t>
            </w:r>
            <w:r>
              <w:t xml:space="preserve"> the </w:t>
            </w:r>
            <w:r w:rsidR="006808C4">
              <w:t xml:space="preserve">old </w:t>
            </w:r>
            <w:r>
              <w:t>generic items</w:t>
            </w:r>
            <w:r w:rsidRPr="006A3E0E">
              <w:t xml:space="preserve"> </w:t>
            </w:r>
            <w:r w:rsidR="00281219">
              <w:t>again)</w:t>
            </w:r>
            <w:r>
              <w:t xml:space="preserve">. MSAC considered that </w:t>
            </w:r>
            <w:r w:rsidR="00A07BB2">
              <w:t xml:space="preserve">when a person has the symptoms of a respiratory virus, it is better to test them </w:t>
            </w:r>
            <w:r w:rsidR="001F1B4E">
              <w:t xml:space="preserve">upfront </w:t>
            </w:r>
            <w:r w:rsidR="00A07BB2">
              <w:t xml:space="preserve">for </w:t>
            </w:r>
            <w:r w:rsidR="001F1B4E">
              <w:t>the most lik</w:t>
            </w:r>
            <w:r w:rsidR="00FB2B78">
              <w:t>e</w:t>
            </w:r>
            <w:r w:rsidR="001F1B4E">
              <w:t>ly</w:t>
            </w:r>
            <w:r w:rsidR="00A07BB2">
              <w:t xml:space="preserve"> viruses </w:t>
            </w:r>
            <w:r w:rsidR="00281219">
              <w:t xml:space="preserve">that could be causing their illness, </w:t>
            </w:r>
            <w:r w:rsidR="00A07BB2">
              <w:t xml:space="preserve">than </w:t>
            </w:r>
            <w:r w:rsidR="00472474">
              <w:t>to</w:t>
            </w:r>
            <w:r w:rsidR="00A07BB2">
              <w:t xml:space="preserve"> only </w:t>
            </w:r>
            <w:r w:rsidR="00281219">
              <w:t xml:space="preserve">test them for </w:t>
            </w:r>
            <w:r w:rsidR="00A07BB2">
              <w:t>SARS-CoV-2</w:t>
            </w:r>
            <w:r w:rsidR="00472474">
              <w:t xml:space="preserve"> and </w:t>
            </w:r>
            <w:r w:rsidR="00285A5E">
              <w:t xml:space="preserve">if </w:t>
            </w:r>
            <w:r w:rsidR="001F1B4E">
              <w:t xml:space="preserve">that test is </w:t>
            </w:r>
            <w:r w:rsidR="00472474">
              <w:t xml:space="preserve">negative </w:t>
            </w:r>
            <w:r w:rsidR="00285A5E">
              <w:t>potentially</w:t>
            </w:r>
            <w:r w:rsidR="00FF1D89">
              <w:t xml:space="preserve"> </w:t>
            </w:r>
            <w:proofErr w:type="gramStart"/>
            <w:r w:rsidR="00472474">
              <w:t>have to</w:t>
            </w:r>
            <w:proofErr w:type="gramEnd"/>
            <w:r w:rsidR="00472474">
              <w:t xml:space="preserve"> test again</w:t>
            </w:r>
            <w:r w:rsidR="00FB2B78">
              <w:t xml:space="preserve"> for other respiratory viruses</w:t>
            </w:r>
            <w:r w:rsidR="00A07BB2">
              <w:t xml:space="preserve">. Testing for multiple respiratory pathogens in the first </w:t>
            </w:r>
            <w:r w:rsidR="00472474">
              <w:t>test</w:t>
            </w:r>
            <w:r w:rsidR="00A07BB2">
              <w:t xml:space="preserve"> </w:t>
            </w:r>
            <w:r w:rsidR="00281219">
              <w:t>is best</w:t>
            </w:r>
            <w:r w:rsidR="00A07BB2" w:rsidRPr="006A3E0E">
              <w:t xml:space="preserve"> clinical practice in a post-pandemic environment</w:t>
            </w:r>
            <w:r w:rsidR="00A07BB2">
              <w:t xml:space="preserve"> </w:t>
            </w:r>
            <w:r w:rsidR="00472474">
              <w:t>– these days a person with a respiratory infection could well have the flu or another illness rather than COVID</w:t>
            </w:r>
            <w:r w:rsidR="007669FF">
              <w:t>-19</w:t>
            </w:r>
            <w:r w:rsidR="00A07BB2" w:rsidRPr="006A3E0E">
              <w:rPr>
                <w:rFonts w:ascii="Arial" w:hAnsi="Arial" w:cs="Arial"/>
              </w:rPr>
              <w:t>​</w:t>
            </w:r>
            <w:r w:rsidR="00A07BB2" w:rsidRPr="006A3E0E">
              <w:t xml:space="preserve">. </w:t>
            </w:r>
            <w:r w:rsidR="00A07BB2">
              <w:t>Testing for multiple pathogens</w:t>
            </w:r>
            <w:r w:rsidR="00A07BB2" w:rsidRPr="006A3E0E">
              <w:t xml:space="preserve"> </w:t>
            </w:r>
            <w:r w:rsidR="00472474">
              <w:t xml:space="preserve">in the first test </w:t>
            </w:r>
            <w:r w:rsidR="00A07BB2">
              <w:t xml:space="preserve">means </w:t>
            </w:r>
            <w:r w:rsidR="00281219">
              <w:t xml:space="preserve">it will be quicker to work out what is causing </w:t>
            </w:r>
            <w:r w:rsidR="00472474">
              <w:t>a patient’s</w:t>
            </w:r>
            <w:r w:rsidR="00281219">
              <w:t xml:space="preserve"> illness</w:t>
            </w:r>
            <w:r w:rsidR="00A07BB2">
              <w:t xml:space="preserve">, </w:t>
            </w:r>
            <w:r w:rsidR="00B10B3E">
              <w:t xml:space="preserve">be it </w:t>
            </w:r>
            <w:r w:rsidR="00241F5C">
              <w:t>flu</w:t>
            </w:r>
            <w:r w:rsidR="00B10B3E">
              <w:t xml:space="preserve">, COVID-19 or another respiratory infection, </w:t>
            </w:r>
            <w:r w:rsidR="00A07BB2">
              <w:t>and potentially</w:t>
            </w:r>
            <w:r w:rsidR="00281219">
              <w:t xml:space="preserve"> help </w:t>
            </w:r>
            <w:r w:rsidR="00472474">
              <w:t>them</w:t>
            </w:r>
            <w:r w:rsidR="00A07BB2">
              <w:t xml:space="preserve"> get </w:t>
            </w:r>
            <w:r w:rsidR="00472474">
              <w:t xml:space="preserve">appropriate </w:t>
            </w:r>
            <w:r w:rsidR="00A07BB2">
              <w:t xml:space="preserve">treatment more quickly. It will also make it easier for hospitals, </w:t>
            </w:r>
            <w:proofErr w:type="gramStart"/>
            <w:r w:rsidR="00A07BB2">
              <w:t>clinicians</w:t>
            </w:r>
            <w:proofErr w:type="gramEnd"/>
            <w:r w:rsidR="00A07BB2">
              <w:t xml:space="preserve"> and patients to </w:t>
            </w:r>
            <w:r w:rsidR="009C63CC">
              <w:t xml:space="preserve">determine the </w:t>
            </w:r>
            <w:r w:rsidR="0072640D">
              <w:t>appropriate</w:t>
            </w:r>
            <w:r w:rsidR="009C63CC">
              <w:t xml:space="preserve"> infection control practices to use to avoi</w:t>
            </w:r>
            <w:r w:rsidR="00A61CD5">
              <w:t xml:space="preserve">d transmission from people </w:t>
            </w:r>
            <w:r w:rsidR="00281219">
              <w:t>who have</w:t>
            </w:r>
            <w:r w:rsidR="00A07BB2">
              <w:t xml:space="preserve"> a respiratory infection </w:t>
            </w:r>
            <w:r w:rsidR="0072640D">
              <w:t>to</w:t>
            </w:r>
            <w:r w:rsidR="00A07BB2">
              <w:t xml:space="preserve"> </w:t>
            </w:r>
            <w:r w:rsidR="00A61CD5">
              <w:t xml:space="preserve">people </w:t>
            </w:r>
            <w:r w:rsidR="00A07BB2">
              <w:t xml:space="preserve">who don’t have a respiratory infection. MSAC therefore advised an MBS item for SARS-CoV-2 alone was not appropriate, and supported </w:t>
            </w:r>
            <w:r w:rsidR="00281219">
              <w:t xml:space="preserve">permanent </w:t>
            </w:r>
            <w:r w:rsidR="00A07BB2">
              <w:t xml:space="preserve">MBS items to fund testing for 4 pathogens, and 5 or more pathogens. </w:t>
            </w:r>
          </w:p>
          <w:p w14:paraId="5DCDE7F6" w14:textId="4BED99CA" w:rsidR="00780763" w:rsidRPr="006A3E0E" w:rsidRDefault="00A07BB2" w:rsidP="001217E4">
            <w:r>
              <w:t>It was not necessary to name SARS-CoV-2 and other respiratory pathogens</w:t>
            </w:r>
            <w:r w:rsidR="00281219">
              <w:t xml:space="preserve"> </w:t>
            </w:r>
            <w:r>
              <w:t>in the MBS item descriptors, because which respiratory pathogens are most common changes over time</w:t>
            </w:r>
            <w:r w:rsidR="00281219">
              <w:t>, and laboratories need to consider which pathogens are best to test for at the time</w:t>
            </w:r>
            <w:r>
              <w:t>.</w:t>
            </w:r>
            <w:r w:rsidR="00281219">
              <w:t xml:space="preserve"> To help laboratories with this, MSAC considered it was important that the </w:t>
            </w:r>
            <w:r w:rsidR="004A58DA">
              <w:t xml:space="preserve">health professional </w:t>
            </w:r>
            <w:r w:rsidR="00281219">
              <w:t>requesting the respiratory pathogen</w:t>
            </w:r>
            <w:r w:rsidR="00472474">
              <w:t xml:space="preserve"> test provide as much information as possible about the patient’s signs and symptoms in the request.</w:t>
            </w:r>
          </w:p>
          <w:p w14:paraId="2C8C2836" w14:textId="506D6150" w:rsidR="001217E4" w:rsidRPr="006A3E0E" w:rsidRDefault="001217E4" w:rsidP="001217E4">
            <w:r w:rsidRPr="006A3E0E">
              <w:t xml:space="preserve">MSAC </w:t>
            </w:r>
            <w:r w:rsidR="00A07BB2">
              <w:t>considered</w:t>
            </w:r>
            <w:r w:rsidR="00A07BB2" w:rsidRPr="006A3E0E">
              <w:t xml:space="preserve"> </w:t>
            </w:r>
            <w:r w:rsidRPr="006A3E0E">
              <w:t xml:space="preserve">that </w:t>
            </w:r>
            <w:r w:rsidR="00A07BB2">
              <w:t xml:space="preserve">upfront testing for multiple </w:t>
            </w:r>
            <w:r>
              <w:t>respiratory pathogen</w:t>
            </w:r>
            <w:r w:rsidR="00A07BB2">
              <w:t>s</w:t>
            </w:r>
            <w:r>
              <w:t xml:space="preserve"> </w:t>
            </w:r>
            <w:r w:rsidRPr="006A3E0E">
              <w:t xml:space="preserve">is </w:t>
            </w:r>
            <w:r w:rsidR="00F21DBD">
              <w:t xml:space="preserve">comparatively </w:t>
            </w:r>
            <w:r w:rsidRPr="006A3E0E">
              <w:t>safe</w:t>
            </w:r>
            <w:r>
              <w:t>,</w:t>
            </w:r>
            <w:r w:rsidRPr="006A3E0E">
              <w:t xml:space="preserve"> </w:t>
            </w:r>
            <w:proofErr w:type="gramStart"/>
            <w:r w:rsidRPr="006A3E0E">
              <w:t>effective</w:t>
            </w:r>
            <w:proofErr w:type="gramEnd"/>
            <w:r w:rsidRPr="006A3E0E">
              <w:t xml:space="preserve"> and </w:t>
            </w:r>
            <w:r>
              <w:t xml:space="preserve">good value for money, and </w:t>
            </w:r>
            <w:r w:rsidR="00A07BB2">
              <w:t>would have an acceptable financial cost</w:t>
            </w:r>
            <w:r w:rsidR="00472474">
              <w:t xml:space="preserve"> to the MBS</w:t>
            </w:r>
            <w:r w:rsidR="00A07BB2">
              <w:t>. MSAC supported</w:t>
            </w:r>
            <w:r>
              <w:t xml:space="preserve"> </w:t>
            </w:r>
            <w:r w:rsidRPr="006A3E0E">
              <w:t>fund</w:t>
            </w:r>
            <w:r w:rsidR="00A07BB2">
              <w:t>ing</w:t>
            </w:r>
            <w:r>
              <w:t xml:space="preserve"> </w:t>
            </w:r>
            <w:r w:rsidR="00A07BB2">
              <w:t xml:space="preserve">this </w:t>
            </w:r>
            <w:r>
              <w:t>test</w:t>
            </w:r>
            <w:r w:rsidR="00A07BB2">
              <w:t>ing</w:t>
            </w:r>
            <w:r w:rsidRPr="006A3E0E">
              <w:t xml:space="preserve"> permanently on the MBS.</w:t>
            </w:r>
            <w:r>
              <w:t xml:space="preserve"> </w:t>
            </w:r>
          </w:p>
          <w:p w14:paraId="5C682C15" w14:textId="07069F15" w:rsidR="00CB2E78" w:rsidRPr="00AF46D8" w:rsidRDefault="00CB2E78" w:rsidP="007B74B9">
            <w:pPr>
              <w:pStyle w:val="Heading3"/>
              <w:spacing w:before="240" w:after="120"/>
              <w:ind w:left="720" w:hanging="720"/>
            </w:pPr>
            <w:r w:rsidRPr="00AF46D8">
              <w:t xml:space="preserve">MSAC’s advice to the </w:t>
            </w:r>
            <w:proofErr w:type="gramStart"/>
            <w:r w:rsidRPr="00AF46D8">
              <w:t>Commonwealth Minister</w:t>
            </w:r>
            <w:proofErr w:type="gramEnd"/>
            <w:r w:rsidRPr="00AF46D8">
              <w:t xml:space="preserve"> for Health</w:t>
            </w:r>
            <w:r>
              <w:t xml:space="preserve"> and Aged Care</w:t>
            </w:r>
          </w:p>
          <w:p w14:paraId="23701818" w14:textId="596166DC" w:rsidR="00CB2E78" w:rsidRPr="00AF46D8" w:rsidRDefault="00AE71AE" w:rsidP="007B74B9">
            <w:pPr>
              <w:spacing w:after="120"/>
            </w:pPr>
            <w:r w:rsidRPr="00AF46D8">
              <w:t>MSAC supported</w:t>
            </w:r>
            <w:r>
              <w:t xml:space="preserve"> </w:t>
            </w:r>
            <w:r w:rsidR="00A07BB2">
              <w:t xml:space="preserve">creating new </w:t>
            </w:r>
            <w:r>
              <w:t xml:space="preserve">permanent </w:t>
            </w:r>
            <w:r w:rsidR="00A07BB2">
              <w:t>MBS items for testing for multiple respiratory pathogens</w:t>
            </w:r>
            <w:r w:rsidR="00472474">
              <w:t>, to replace the current temporary SARS-CoV-2 items when they expire</w:t>
            </w:r>
            <w:r>
              <w:t xml:space="preserve">. MSAC considered </w:t>
            </w:r>
            <w:r w:rsidR="00A07BB2">
              <w:t xml:space="preserve">this </w:t>
            </w:r>
            <w:r>
              <w:t>test</w:t>
            </w:r>
            <w:r w:rsidR="00A07BB2">
              <w:t>ing</w:t>
            </w:r>
            <w:r>
              <w:t xml:space="preserve"> to be </w:t>
            </w:r>
            <w:r w:rsidR="004E0470">
              <w:t>comparatively</w:t>
            </w:r>
            <w:r w:rsidR="00D63A1D">
              <w:t xml:space="preserve"> </w:t>
            </w:r>
            <w:r>
              <w:t>safe, effective</w:t>
            </w:r>
            <w:r w:rsidR="00472474">
              <w:t>,</w:t>
            </w:r>
            <w:r>
              <w:t xml:space="preserve"> good value for money</w:t>
            </w:r>
            <w:r w:rsidR="00472474">
              <w:t>, and to have an acceptable financial cost</w:t>
            </w:r>
            <w:r>
              <w:t>.</w:t>
            </w:r>
          </w:p>
        </w:tc>
      </w:tr>
    </w:tbl>
    <w:p w14:paraId="621F32A5" w14:textId="428E5086" w:rsidR="00CB2E78" w:rsidRDefault="00CB2E78" w:rsidP="00CB2E78">
      <w:pPr>
        <w:pStyle w:val="Heading2"/>
        <w:numPr>
          <w:ilvl w:val="0"/>
          <w:numId w:val="0"/>
        </w:numPr>
      </w:pPr>
      <w:r w:rsidRPr="00CB2E78">
        <w:lastRenderedPageBreak/>
        <w:t>3.</w:t>
      </w:r>
      <w:r>
        <w:tab/>
        <w:t>Summary of consideration and rationale for MSAC’s advice</w:t>
      </w:r>
    </w:p>
    <w:p w14:paraId="6560C292" w14:textId="1529D740" w:rsidR="00681AA7" w:rsidRDefault="00681AA7" w:rsidP="00681AA7">
      <w:pPr>
        <w:rPr>
          <w:rFonts w:ascii="Arial" w:hAnsi="Arial" w:cs="Arial"/>
        </w:rPr>
      </w:pPr>
      <w:r>
        <w:t>MSAC noted that the purpose of t</w:t>
      </w:r>
      <w:r w:rsidRPr="002666D7">
        <w:t xml:space="preserve">his application </w:t>
      </w:r>
      <w:r>
        <w:t xml:space="preserve">from the </w:t>
      </w:r>
      <w:r w:rsidRPr="006A3E0E">
        <w:t xml:space="preserve">Department of Health and Aged Care </w:t>
      </w:r>
      <w:r>
        <w:t>was to seek its</w:t>
      </w:r>
      <w:r w:rsidRPr="002666D7">
        <w:t xml:space="preserve"> advice on permanent MBS items for SARS-CoV-2</w:t>
      </w:r>
      <w:r w:rsidR="00A07BB2">
        <w:t xml:space="preserve"> testing</w:t>
      </w:r>
      <w:r w:rsidRPr="002666D7">
        <w:t xml:space="preserve"> on behalf of the Minister for Health and Aged Care. </w:t>
      </w:r>
    </w:p>
    <w:p w14:paraId="78589DDF" w14:textId="67328534" w:rsidR="00A53C42" w:rsidRDefault="00A07BB2" w:rsidP="00681AA7">
      <w:r>
        <w:t>MSAC noted that SARS-CoV-2 is the virus that causes COVID-19,</w:t>
      </w:r>
      <w:r w:rsidR="00587C12">
        <w:t xml:space="preserve"> a</w:t>
      </w:r>
      <w:r w:rsidR="004E3499">
        <w:t>n infectious</w:t>
      </w:r>
      <w:r w:rsidR="00587C12">
        <w:t xml:space="preserve"> and potentially severe respiratory illness.</w:t>
      </w:r>
      <w:r>
        <w:t xml:space="preserve"> MSAC noted that</w:t>
      </w:r>
      <w:r w:rsidR="00587C12">
        <w:t xml:space="preserve"> following the onset of the COVID-19 pandemic, the Australian Government had created temporary MBS items to immediately publicly fund SARS-CoV-2 testing in response to the pandemic emergency. The temporary items were updated during the pandemic, and the</w:t>
      </w:r>
      <w:r>
        <w:t xml:space="preserve"> c</w:t>
      </w:r>
      <w:r w:rsidR="00681AA7" w:rsidRPr="00577C69">
        <w:t>urrent</w:t>
      </w:r>
      <w:r w:rsidR="00587C12">
        <w:t xml:space="preserve"> temporary MBS items </w:t>
      </w:r>
      <w:r w:rsidR="43828E48">
        <w:t xml:space="preserve">at the time of </w:t>
      </w:r>
      <w:r w:rsidR="006E272F">
        <w:t>MSAC consideration</w:t>
      </w:r>
      <w:r w:rsidR="43828E48">
        <w:t xml:space="preserve"> </w:t>
      </w:r>
      <w:r w:rsidR="00587C12">
        <w:t>consist</w:t>
      </w:r>
      <w:r w:rsidR="006E272F">
        <w:t>ed</w:t>
      </w:r>
      <w:r w:rsidR="00587C12">
        <w:t xml:space="preserve"> of two 5-item ladders (for public and private sectors). The current temporary items</w:t>
      </w:r>
      <w:r w:rsidR="00E17B19">
        <w:t xml:space="preserve"> fund one </w:t>
      </w:r>
      <w:r w:rsidR="00681AA7" w:rsidRPr="00577C69">
        <w:t xml:space="preserve">test for </w:t>
      </w:r>
      <w:r w:rsidR="00587C12">
        <w:t>SARS-CoV-2 alone,</w:t>
      </w:r>
      <w:r w:rsidR="00681AA7" w:rsidRPr="00577C69">
        <w:t xml:space="preserve"> as well as simultaneous testing for </w:t>
      </w:r>
      <w:r w:rsidR="00587C12">
        <w:t>SARS-CoV-2</w:t>
      </w:r>
      <w:r w:rsidR="00681AA7" w:rsidRPr="00577C69">
        <w:t xml:space="preserve"> and 1</w:t>
      </w:r>
      <w:r w:rsidR="00681AA7">
        <w:t>–</w:t>
      </w:r>
      <w:r w:rsidR="00681AA7" w:rsidRPr="00577C69">
        <w:t>3, 4</w:t>
      </w:r>
      <w:r w:rsidR="00681AA7">
        <w:t>–</w:t>
      </w:r>
      <w:r w:rsidR="00681AA7" w:rsidRPr="00577C69">
        <w:t>7, 8</w:t>
      </w:r>
      <w:r w:rsidR="00681AA7">
        <w:t>–</w:t>
      </w:r>
      <w:r w:rsidR="00681AA7" w:rsidRPr="00577C69">
        <w:lastRenderedPageBreak/>
        <w:t xml:space="preserve">11, and 12 or more additional </w:t>
      </w:r>
      <w:r w:rsidR="00587C12">
        <w:t>tests for detection of a viral, fungal, atypical pneumonia pathogen or Bordetella species nucleic acid</w:t>
      </w:r>
      <w:r w:rsidR="00681AA7" w:rsidRPr="00577C69">
        <w:t>.</w:t>
      </w:r>
    </w:p>
    <w:p w14:paraId="7421095A" w14:textId="0EA70F20" w:rsidR="00395448" w:rsidRDefault="00681AA7" w:rsidP="00681AA7">
      <w:r w:rsidRPr="00577C69">
        <w:t xml:space="preserve">In the absence of a decision of Government, </w:t>
      </w:r>
      <w:r w:rsidR="00E17B19">
        <w:t>testing</w:t>
      </w:r>
      <w:r w:rsidRPr="00577C69">
        <w:t xml:space="preserve"> for </w:t>
      </w:r>
      <w:r w:rsidR="00E17B19">
        <w:t>SARS-CoV-2</w:t>
      </w:r>
      <w:r w:rsidRPr="00577C69">
        <w:t xml:space="preserve"> and other respiratory </w:t>
      </w:r>
      <w:r w:rsidR="00E17B19">
        <w:t>pathogens</w:t>
      </w:r>
      <w:r w:rsidR="00E17B19" w:rsidRPr="00577C69">
        <w:t xml:space="preserve"> </w:t>
      </w:r>
      <w:r w:rsidRPr="00577C69">
        <w:t>after 31 December 2023 will revert to being claimed under pre</w:t>
      </w:r>
      <w:r>
        <w:t>-</w:t>
      </w:r>
      <w:r w:rsidRPr="00577C69">
        <w:t xml:space="preserve">pandemic </w:t>
      </w:r>
      <w:r w:rsidR="00E17B19">
        <w:t>items</w:t>
      </w:r>
      <w:r w:rsidRPr="00577C69">
        <w:t xml:space="preserve">. The pre-pandemic </w:t>
      </w:r>
      <w:r w:rsidR="00E17B19">
        <w:t>items</w:t>
      </w:r>
      <w:r w:rsidR="00E17B19" w:rsidRPr="00577C69">
        <w:t xml:space="preserve"> </w:t>
      </w:r>
      <w:r w:rsidRPr="00577C69">
        <w:t xml:space="preserve">comprise three permanent </w:t>
      </w:r>
      <w:r w:rsidR="00E17B19">
        <w:t xml:space="preserve">generic </w:t>
      </w:r>
      <w:r w:rsidRPr="00577C69">
        <w:t xml:space="preserve">MBS items (69494, 69495 and 69496) for </w:t>
      </w:r>
      <w:r w:rsidR="00E17B19">
        <w:t>1, 2 or 3</w:t>
      </w:r>
      <w:r w:rsidR="002E166B">
        <w:t>+</w:t>
      </w:r>
      <w:r w:rsidR="00E17B19">
        <w:t xml:space="preserve"> tests for </w:t>
      </w:r>
      <w:r w:rsidRPr="00577C69">
        <w:t>the detection of a virus or microbial antigen or microbial nucleic acid</w:t>
      </w:r>
      <w:r w:rsidR="00E17B19">
        <w:t>.</w:t>
      </w:r>
      <w:r w:rsidRPr="00577C69">
        <w:t xml:space="preserve"> </w:t>
      </w:r>
    </w:p>
    <w:p w14:paraId="66C53473" w14:textId="75F49FB6" w:rsidR="00681AA7" w:rsidRDefault="00A26A0A" w:rsidP="008C7992">
      <w:r>
        <w:t>MSAC noted that on 5 May 2023, the World Health Organization (WHO) had declared that COVID-19 is no longer a global health emergency</w:t>
      </w:r>
      <w:r w:rsidR="630AC967">
        <w:t>, but nonetheless incident infection is still occurring</w:t>
      </w:r>
      <w:r>
        <w:t>.</w:t>
      </w:r>
      <w:r w:rsidR="00587C12">
        <w:t xml:space="preserve"> </w:t>
      </w:r>
      <w:r w:rsidR="007227EA">
        <w:t xml:space="preserve">MSAC agreed </w:t>
      </w:r>
      <w:r w:rsidR="00587C12">
        <w:t>that the</w:t>
      </w:r>
      <w:r w:rsidR="00B86DBB">
        <w:t xml:space="preserve"> population</w:t>
      </w:r>
      <w:r w:rsidR="00F7796C">
        <w:t xml:space="preserve"> </w:t>
      </w:r>
      <w:r w:rsidR="00587C12">
        <w:t xml:space="preserve">receiving this testing would be individuals with symptoms and/or signs suggestive of infection with a respiratory pathogen, </w:t>
      </w:r>
      <w:r w:rsidR="00F7796C">
        <w:t xml:space="preserve">and </w:t>
      </w:r>
      <w:r w:rsidR="00CB4ABB">
        <w:t xml:space="preserve">that the comparator would be the </w:t>
      </w:r>
      <w:r w:rsidR="00CB4ABB" w:rsidRPr="002B5F6F">
        <w:t>generic permanent MBS items for nucleic acid testing</w:t>
      </w:r>
      <w:r w:rsidR="00587C12">
        <w:t>, to which respiratory viral testing will revert in the absence of a decision of Government.</w:t>
      </w:r>
      <w:r w:rsidR="00681AA7" w:rsidRPr="008B55A3">
        <w:t xml:space="preserve"> </w:t>
      </w:r>
      <w:r w:rsidR="00681AA7" w:rsidRPr="008B55A3">
        <w:rPr>
          <w:rFonts w:ascii="Arial" w:hAnsi="Arial" w:cs="Arial"/>
        </w:rPr>
        <w:t>​</w:t>
      </w:r>
    </w:p>
    <w:p w14:paraId="3DDEA2FF" w14:textId="449FF0BE" w:rsidR="00507A72" w:rsidRDefault="00507A72" w:rsidP="00507A72">
      <w:pPr>
        <w:pStyle w:val="NormalBeforeBullet0"/>
      </w:pPr>
      <w:r>
        <w:t xml:space="preserve">MSAC noted that the </w:t>
      </w:r>
      <w:r w:rsidR="00103AA7">
        <w:t>Department-contracted assessment report (</w:t>
      </w:r>
      <w:r>
        <w:t>DCAR</w:t>
      </w:r>
      <w:r w:rsidR="00103AA7">
        <w:t>)</w:t>
      </w:r>
      <w:r>
        <w:t xml:space="preserve"> presented three options for MBS-funded SARS-CoV-2 testing</w:t>
      </w:r>
      <w:r w:rsidR="00103CE6">
        <w:t xml:space="preserve"> after 2023</w:t>
      </w:r>
      <w:r>
        <w:t>:</w:t>
      </w:r>
    </w:p>
    <w:p w14:paraId="211FEA7A" w14:textId="77777777" w:rsidR="00507A72" w:rsidRDefault="00507A72" w:rsidP="00507A72">
      <w:pPr>
        <w:pStyle w:val="ListParagraph"/>
        <w:numPr>
          <w:ilvl w:val="0"/>
          <w:numId w:val="19"/>
        </w:numPr>
        <w:spacing w:before="0" w:after="0" w:line="240" w:lineRule="auto"/>
      </w:pPr>
      <w:r>
        <w:t xml:space="preserve">Option 1: A two-item multi-pathogen testing ladder proposed by the assessment group: </w:t>
      </w:r>
      <w:r w:rsidRPr="0090697C">
        <w:t xml:space="preserve">Item XXXX for 4 pathogens (SARS-CoV-2, </w:t>
      </w:r>
      <w:r>
        <w:t>i</w:t>
      </w:r>
      <w:r w:rsidRPr="0090697C">
        <w:t xml:space="preserve">nfluenza A and B, </w:t>
      </w:r>
      <w:r>
        <w:t>and respiratory syncytial virus (</w:t>
      </w:r>
      <w:r w:rsidRPr="0090697C">
        <w:t>RSV</w:t>
      </w:r>
      <w:r>
        <w:t>)</w:t>
      </w:r>
      <w:r w:rsidRPr="0090697C">
        <w:t>)</w:t>
      </w:r>
      <w:r>
        <w:t xml:space="preserve">, and </w:t>
      </w:r>
      <w:r w:rsidRPr="0090697C">
        <w:t xml:space="preserve">Item YYYY for </w:t>
      </w:r>
      <w:r>
        <w:t>≥5</w:t>
      </w:r>
      <w:r w:rsidRPr="0090697C">
        <w:t xml:space="preserve"> pathogens (SARS-CoV-2, </w:t>
      </w:r>
      <w:r>
        <w:t>i</w:t>
      </w:r>
      <w:r w:rsidRPr="0090697C">
        <w:t>nfluenza A and B, RSV</w:t>
      </w:r>
      <w:r>
        <w:t xml:space="preserve">, </w:t>
      </w:r>
      <w:r w:rsidRPr="0090697C">
        <w:t xml:space="preserve">plus other viral or non-viral </w:t>
      </w:r>
      <w:r>
        <w:t xml:space="preserve">respiratory </w:t>
      </w:r>
      <w:r w:rsidRPr="0090697C">
        <w:t>pathogens)</w:t>
      </w:r>
      <w:r>
        <w:t>. This proposal also included two sub-options:</w:t>
      </w:r>
    </w:p>
    <w:p w14:paraId="60731BFE" w14:textId="77777777" w:rsidR="00507A72" w:rsidRDefault="00507A72" w:rsidP="00507A72">
      <w:pPr>
        <w:pStyle w:val="ListParagraph"/>
        <w:numPr>
          <w:ilvl w:val="1"/>
          <w:numId w:val="19"/>
        </w:numPr>
        <w:spacing w:before="0" w:after="0" w:line="240" w:lineRule="auto"/>
      </w:pPr>
      <w:r>
        <w:t>Where testing for SARS-CoV-2 alone ceases (option 1a</w:t>
      </w:r>
      <w:proofErr w:type="gramStart"/>
      <w:r>
        <w:t>);</w:t>
      </w:r>
      <w:proofErr w:type="gramEnd"/>
    </w:p>
    <w:p w14:paraId="3B05B8AA" w14:textId="77777777" w:rsidR="00507A72" w:rsidRPr="0090697C" w:rsidRDefault="00507A72" w:rsidP="00507A72">
      <w:pPr>
        <w:pStyle w:val="ListParagraph"/>
        <w:numPr>
          <w:ilvl w:val="1"/>
          <w:numId w:val="19"/>
        </w:numPr>
        <w:spacing w:before="0" w:after="0" w:line="240" w:lineRule="auto"/>
      </w:pPr>
      <w:r>
        <w:t>Where testing for SARS-CoV-2 alone continues under 69494 (option 1b).</w:t>
      </w:r>
    </w:p>
    <w:p w14:paraId="658A1FFB" w14:textId="77777777" w:rsidR="00507A72" w:rsidRDefault="00507A72" w:rsidP="00507A72">
      <w:pPr>
        <w:pStyle w:val="ListParagraph"/>
        <w:numPr>
          <w:ilvl w:val="0"/>
          <w:numId w:val="19"/>
        </w:numPr>
        <w:spacing w:before="0" w:after="240" w:line="240" w:lineRule="auto"/>
      </w:pPr>
      <w:r>
        <w:t>Option 2: Make the current temporary five-step ladder items permanent (with a minor amendment to replace ‘tests’ with ‘pathogens’)</w:t>
      </w:r>
    </w:p>
    <w:p w14:paraId="7EF9D24C" w14:textId="77777777" w:rsidR="00507A72" w:rsidRDefault="00507A72" w:rsidP="00507A72">
      <w:pPr>
        <w:pStyle w:val="ListParagraph"/>
        <w:numPr>
          <w:ilvl w:val="0"/>
          <w:numId w:val="19"/>
        </w:numPr>
        <w:spacing w:before="0" w:after="240" w:line="240" w:lineRule="auto"/>
      </w:pPr>
      <w:r>
        <w:t>Option 3 (comparator): allow SARS-CoV-2-specific MBS items to end when the temporary items expire. Pathogen testing would revert to using the generic MBS items.</w:t>
      </w:r>
    </w:p>
    <w:p w14:paraId="633A1FDD" w14:textId="22569BFE" w:rsidR="009C604A" w:rsidRDefault="009C604A" w:rsidP="009746CA">
      <w:r>
        <w:t xml:space="preserve">MSAC considered that testing for 4 pathogens (item XXXX) or </w:t>
      </w:r>
      <w:r w:rsidR="4BAFB0D5">
        <w:t>≥</w:t>
      </w:r>
      <w:r>
        <w:t xml:space="preserve">5 pathogens (YYYY) in the first instance would reduce the time to diagnose a patient’s illness, and that the diagnosis would provide ‘value of knowing’ to patients. MSAC considered that publicly funded testing for </w:t>
      </w:r>
      <w:r w:rsidRPr="00E03CFF">
        <w:t>multi</w:t>
      </w:r>
      <w:r>
        <w:t xml:space="preserve">ple respiratory </w:t>
      </w:r>
      <w:r w:rsidRPr="00E03CFF">
        <w:t>pathogen</w:t>
      </w:r>
      <w:r>
        <w:t>s may also</w:t>
      </w:r>
      <w:r w:rsidRPr="00E03CFF">
        <w:t xml:space="preserve"> provide </w:t>
      </w:r>
      <w:r>
        <w:t xml:space="preserve">information that is useful for </w:t>
      </w:r>
      <w:r w:rsidRPr="00E03CFF">
        <w:t>public health benefits in terms of reportable results for notifiable pathogens.</w:t>
      </w:r>
      <w:r w:rsidR="00E912D6">
        <w:t xml:space="preserve"> MSAC considered that a five-step ladder is too complex, and a two-step ladder</w:t>
      </w:r>
      <w:r w:rsidR="00E260EF">
        <w:t xml:space="preserve"> containing ‘big’ and ‘small’ items would be</w:t>
      </w:r>
      <w:r w:rsidR="004F162B">
        <w:t xml:space="preserve"> simpler and an improvement.</w:t>
      </w:r>
      <w:r w:rsidRPr="00E03CFF">
        <w:t xml:space="preserve"> </w:t>
      </w:r>
      <w:r>
        <w:t>MSAC therefore considered that the most appropriate intervention was a</w:t>
      </w:r>
      <w:r w:rsidRPr="00B02B47">
        <w:t xml:space="preserve"> two-step ladder of MBS items compris</w:t>
      </w:r>
      <w:r>
        <w:t>ing</w:t>
      </w:r>
      <w:r w:rsidRPr="00B02B47">
        <w:t xml:space="preserve"> 4 and </w:t>
      </w:r>
      <w:r w:rsidR="6A8053BD">
        <w:t>≥</w:t>
      </w:r>
      <w:r w:rsidRPr="00B02B47">
        <w:t>5 respiratory pathogen tests</w:t>
      </w:r>
      <w:r>
        <w:t xml:space="preserve"> (option 1).</w:t>
      </w:r>
    </w:p>
    <w:p w14:paraId="06D99641" w14:textId="161F34F4" w:rsidR="00681AA7" w:rsidRDefault="00681AA7" w:rsidP="00681AA7">
      <w:pPr>
        <w:rPr>
          <w:lang w:eastAsia="ja-JP"/>
        </w:rPr>
      </w:pPr>
      <w:r>
        <w:rPr>
          <w:lang w:eastAsia="ja-JP"/>
        </w:rPr>
        <w:t xml:space="preserve">MSAC noted that </w:t>
      </w:r>
      <w:r w:rsidRPr="00F524A4">
        <w:rPr>
          <w:lang w:eastAsia="ja-JP"/>
        </w:rPr>
        <w:t>the SARS-CoV-2</w:t>
      </w:r>
      <w:r w:rsidR="008C7992">
        <w:rPr>
          <w:lang w:eastAsia="ja-JP"/>
        </w:rPr>
        <w:t>-only</w:t>
      </w:r>
      <w:r w:rsidRPr="00F524A4">
        <w:rPr>
          <w:lang w:eastAsia="ja-JP"/>
        </w:rPr>
        <w:t xml:space="preserve"> test</w:t>
      </w:r>
      <w:r w:rsidR="00F31108">
        <w:rPr>
          <w:lang w:eastAsia="ja-JP"/>
        </w:rPr>
        <w:t xml:space="preserve"> (item</w:t>
      </w:r>
      <w:r w:rsidR="008C7992">
        <w:rPr>
          <w:lang w:eastAsia="ja-JP"/>
        </w:rPr>
        <w:t>s</w:t>
      </w:r>
      <w:r w:rsidR="00F31108">
        <w:rPr>
          <w:lang w:eastAsia="ja-JP"/>
        </w:rPr>
        <w:t xml:space="preserve"> </w:t>
      </w:r>
      <w:r w:rsidR="008C7992">
        <w:rPr>
          <w:lang w:eastAsia="ja-JP"/>
        </w:rPr>
        <w:t>69511 and 69506</w:t>
      </w:r>
      <w:r w:rsidR="00BB048C">
        <w:rPr>
          <w:lang w:eastAsia="ja-JP"/>
        </w:rPr>
        <w:t>)</w:t>
      </w:r>
      <w:r w:rsidRPr="00F524A4">
        <w:rPr>
          <w:lang w:eastAsia="ja-JP"/>
        </w:rPr>
        <w:t xml:space="preserve"> </w:t>
      </w:r>
      <w:r w:rsidR="008C7992">
        <w:rPr>
          <w:lang w:eastAsia="ja-JP"/>
        </w:rPr>
        <w:t>comprised 44% of SARS-CoV-2 testing claimed under the current temporary items</w:t>
      </w:r>
      <w:r w:rsidR="1CDD3327" w:rsidRPr="2E59519C">
        <w:rPr>
          <w:rFonts w:eastAsia="Franklin Gothic Book" w:cs="Franklin Gothic Book"/>
        </w:rPr>
        <w:t>,</w:t>
      </w:r>
      <w:r w:rsidR="008C7992">
        <w:rPr>
          <w:lang w:eastAsia="ja-JP"/>
        </w:rPr>
        <w:t xml:space="preserve"> </w:t>
      </w:r>
      <w:r w:rsidR="007955AE">
        <w:rPr>
          <w:lang w:eastAsia="ja-JP"/>
        </w:rPr>
        <w:t xml:space="preserve">from </w:t>
      </w:r>
      <w:r w:rsidR="008C7992">
        <w:rPr>
          <w:lang w:eastAsia="ja-JP"/>
        </w:rPr>
        <w:t>their implementation on</w:t>
      </w:r>
      <w:r w:rsidRPr="00F524A4">
        <w:rPr>
          <w:lang w:eastAsia="ja-JP"/>
        </w:rPr>
        <w:t xml:space="preserve"> 1</w:t>
      </w:r>
      <w:r>
        <w:rPr>
          <w:lang w:eastAsia="ja-JP"/>
        </w:rPr>
        <w:t> </w:t>
      </w:r>
      <w:r w:rsidRPr="00F524A4">
        <w:rPr>
          <w:lang w:eastAsia="ja-JP"/>
        </w:rPr>
        <w:t>October 2022</w:t>
      </w:r>
      <w:r w:rsidR="007955AE">
        <w:rPr>
          <w:lang w:eastAsia="ja-JP"/>
        </w:rPr>
        <w:t xml:space="preserve"> to </w:t>
      </w:r>
      <w:r w:rsidR="007955AE">
        <w:rPr>
          <w:rFonts w:eastAsia="Franklin Gothic Book" w:cs="Franklin Gothic Book"/>
        </w:rPr>
        <w:t xml:space="preserve">31 December 2022 (the period for which MBS data were </w:t>
      </w:r>
      <w:r w:rsidR="007955AE" w:rsidRPr="2E59519C">
        <w:rPr>
          <w:rFonts w:eastAsia="Franklin Gothic Book" w:cs="Franklin Gothic Book"/>
        </w:rPr>
        <w:t xml:space="preserve">available </w:t>
      </w:r>
      <w:r w:rsidR="007955AE">
        <w:rPr>
          <w:rFonts w:eastAsia="Franklin Gothic Book" w:cs="Franklin Gothic Book"/>
        </w:rPr>
        <w:t>for</w:t>
      </w:r>
      <w:r w:rsidR="007955AE" w:rsidRPr="2E59519C">
        <w:rPr>
          <w:rFonts w:eastAsia="Franklin Gothic Book" w:cs="Franklin Gothic Book"/>
        </w:rPr>
        <w:t xml:space="preserve"> the </w:t>
      </w:r>
      <w:r w:rsidR="007955AE">
        <w:rPr>
          <w:rFonts w:eastAsia="Franklin Gothic Book" w:cs="Franklin Gothic Book"/>
        </w:rPr>
        <w:t>DC</w:t>
      </w:r>
      <w:r w:rsidR="007955AE" w:rsidRPr="2E59519C">
        <w:rPr>
          <w:rFonts w:eastAsia="Franklin Gothic Book" w:cs="Franklin Gothic Book"/>
        </w:rPr>
        <w:t>AR</w:t>
      </w:r>
      <w:r w:rsidR="007955AE">
        <w:rPr>
          <w:rFonts w:eastAsia="Franklin Gothic Book" w:cs="Franklin Gothic Book"/>
        </w:rPr>
        <w:t>)</w:t>
      </w:r>
      <w:r>
        <w:rPr>
          <w:lang w:eastAsia="ja-JP"/>
        </w:rPr>
        <w:t xml:space="preserve">. </w:t>
      </w:r>
      <w:r w:rsidR="008C7992">
        <w:rPr>
          <w:lang w:eastAsia="ja-JP"/>
        </w:rPr>
        <w:t>MSAC considered t</w:t>
      </w:r>
      <w:r>
        <w:rPr>
          <w:lang w:eastAsia="ja-JP"/>
        </w:rPr>
        <w:t>his</w:t>
      </w:r>
      <w:r w:rsidR="008C7992">
        <w:rPr>
          <w:lang w:eastAsia="ja-JP"/>
        </w:rPr>
        <w:t xml:space="preserve"> was a high proportion, which</w:t>
      </w:r>
      <w:r>
        <w:rPr>
          <w:lang w:eastAsia="ja-JP"/>
        </w:rPr>
        <w:t xml:space="preserve"> </w:t>
      </w:r>
      <w:r w:rsidRPr="00F524A4">
        <w:rPr>
          <w:lang w:eastAsia="ja-JP"/>
        </w:rPr>
        <w:t>suggest</w:t>
      </w:r>
      <w:r w:rsidR="008C7992">
        <w:rPr>
          <w:lang w:eastAsia="ja-JP"/>
        </w:rPr>
        <w:t>ed</w:t>
      </w:r>
      <w:r w:rsidRPr="00F524A4">
        <w:rPr>
          <w:lang w:eastAsia="ja-JP"/>
        </w:rPr>
        <w:t xml:space="preserve"> that ruling out or diagnosing COVID-19 </w:t>
      </w:r>
      <w:r w:rsidRPr="00A2618E">
        <w:t>infection</w:t>
      </w:r>
      <w:r w:rsidRPr="00F524A4">
        <w:rPr>
          <w:lang w:eastAsia="ja-JP"/>
        </w:rPr>
        <w:t xml:space="preserve"> was still </w:t>
      </w:r>
      <w:r w:rsidR="00103AA7">
        <w:rPr>
          <w:lang w:eastAsia="ja-JP"/>
        </w:rPr>
        <w:t>important</w:t>
      </w:r>
      <w:r w:rsidRPr="00F524A4">
        <w:rPr>
          <w:lang w:eastAsia="ja-JP"/>
        </w:rPr>
        <w:t xml:space="preserve"> for patients and/or their treating clinician</w:t>
      </w:r>
      <w:r w:rsidR="008C7992">
        <w:rPr>
          <w:lang w:eastAsia="ja-JP"/>
        </w:rPr>
        <w:t>s</w:t>
      </w:r>
      <w:r w:rsidRPr="00F524A4">
        <w:rPr>
          <w:lang w:eastAsia="ja-JP"/>
        </w:rPr>
        <w:t xml:space="preserve">. </w:t>
      </w:r>
      <w:r>
        <w:rPr>
          <w:lang w:eastAsia="ja-JP"/>
        </w:rPr>
        <w:t xml:space="preserve">However, MSAC </w:t>
      </w:r>
      <w:r w:rsidR="008C7992">
        <w:rPr>
          <w:lang w:eastAsia="ja-JP"/>
        </w:rPr>
        <w:t xml:space="preserve">considered </w:t>
      </w:r>
      <w:r>
        <w:rPr>
          <w:lang w:eastAsia="ja-JP"/>
        </w:rPr>
        <w:t xml:space="preserve">that </w:t>
      </w:r>
      <w:r w:rsidR="008C7992">
        <w:rPr>
          <w:lang w:eastAsia="ja-JP"/>
        </w:rPr>
        <w:t>testing for SARS-CoV-2 alone did not align with best clinical practice for patients with respiratory illness signs and/or symptoms</w:t>
      </w:r>
      <w:r w:rsidR="008C7992" w:rsidRPr="008C7992">
        <w:rPr>
          <w:lang w:eastAsia="ja-JP"/>
        </w:rPr>
        <w:t>.</w:t>
      </w:r>
      <w:r w:rsidR="008C7992" w:rsidRPr="009746CA">
        <w:t xml:space="preserve"> </w:t>
      </w:r>
      <w:r w:rsidR="009C14D8">
        <w:rPr>
          <w:rFonts w:eastAsia="Franklin Gothic Book" w:cs="Franklin Gothic Book"/>
        </w:rPr>
        <w:t xml:space="preserve">MSAC considered that patients approach their </w:t>
      </w:r>
      <w:r w:rsidR="003E6F97">
        <w:rPr>
          <w:rFonts w:eastAsia="Franklin Gothic Book" w:cs="Franklin Gothic Book"/>
        </w:rPr>
        <w:t>health</w:t>
      </w:r>
      <w:r w:rsidR="007F0FEA">
        <w:rPr>
          <w:rFonts w:eastAsia="Franklin Gothic Book" w:cs="Franklin Gothic Book"/>
        </w:rPr>
        <w:t>care</w:t>
      </w:r>
      <w:r w:rsidR="008D581E">
        <w:rPr>
          <w:rFonts w:eastAsia="Franklin Gothic Book" w:cs="Franklin Gothic Book"/>
        </w:rPr>
        <w:t xml:space="preserve"> pr</w:t>
      </w:r>
      <w:r w:rsidR="007F0FEA">
        <w:rPr>
          <w:rFonts w:eastAsia="Franklin Gothic Book" w:cs="Franklin Gothic Book"/>
        </w:rPr>
        <w:t>ovid</w:t>
      </w:r>
      <w:r w:rsidR="008D581E">
        <w:rPr>
          <w:rFonts w:eastAsia="Franklin Gothic Book" w:cs="Franklin Gothic Book"/>
        </w:rPr>
        <w:t xml:space="preserve">er </w:t>
      </w:r>
      <w:r w:rsidR="009C14D8">
        <w:rPr>
          <w:rFonts w:eastAsia="Franklin Gothic Book" w:cs="Franklin Gothic Book"/>
        </w:rPr>
        <w:t xml:space="preserve">for testing only when they have tested negative on a rapid antigen test (RAT) but remain unwell, in which case testing for multiple pathogens in the first instance is best practice. </w:t>
      </w:r>
      <w:r w:rsidR="008C7992" w:rsidRPr="009746CA">
        <w:t xml:space="preserve">MSAC considered that contemporary </w:t>
      </w:r>
      <w:r w:rsidR="00AA53FB">
        <w:t>testing examines</w:t>
      </w:r>
      <w:r w:rsidR="008C7992" w:rsidRPr="009746CA">
        <w:t xml:space="preserve"> a minimum of three respiratory pathogens (SARS-CoV-2, </w:t>
      </w:r>
      <w:r w:rsidR="00AA53FB">
        <w:t>i</w:t>
      </w:r>
      <w:r w:rsidR="008C7992" w:rsidRPr="009746CA">
        <w:t>nfluenza, and respiratory syncytial virus [RSV</w:t>
      </w:r>
      <w:r w:rsidR="00AA53FB">
        <w:t>]</w:t>
      </w:r>
      <w:r w:rsidR="008C7992" w:rsidRPr="009746CA">
        <w:t>) and often more than 10 pathogens</w:t>
      </w:r>
      <w:r w:rsidR="00103AA7">
        <w:t>, and that publicly funding multi-pathogen testing may increase the identification of notifiable diseases, with public health benefits</w:t>
      </w:r>
      <w:r w:rsidR="008C7992" w:rsidRPr="009746CA">
        <w:t>.</w:t>
      </w:r>
      <w:r w:rsidR="008C7992" w:rsidRPr="002E166B">
        <w:t xml:space="preserve"> </w:t>
      </w:r>
      <w:r w:rsidR="008C7992" w:rsidRPr="009746CA">
        <w:t>MSAC further considered that outside a pandemic (or epidemic), the pre-test probability of a positive test is low for any single pathogen</w:t>
      </w:r>
      <w:r w:rsidR="002E166B" w:rsidRPr="009746CA">
        <w:t>, and so testing should be for multiple pathogens upfront</w:t>
      </w:r>
      <w:r w:rsidR="008C7992" w:rsidRPr="009746CA">
        <w:t>.</w:t>
      </w:r>
      <w:r w:rsidR="002E166B" w:rsidRPr="002E166B">
        <w:t xml:space="preserve"> </w:t>
      </w:r>
      <w:r w:rsidR="008C7992" w:rsidRPr="002E166B">
        <w:t>MSAC therefore advised that an MBS item for SARS-CoV-2 alone was not appropriate</w:t>
      </w:r>
      <w:r w:rsidR="009C604A">
        <w:t xml:space="preserve"> (</w:t>
      </w:r>
      <w:r w:rsidR="007E200B">
        <w:t xml:space="preserve">i.e., it supported </w:t>
      </w:r>
      <w:r w:rsidR="009C604A">
        <w:t>option 1a).</w:t>
      </w:r>
    </w:p>
    <w:p w14:paraId="611C3B6B" w14:textId="193C8447" w:rsidR="004310BB" w:rsidRDefault="00681AA7" w:rsidP="00681AA7">
      <w:pPr>
        <w:rPr>
          <w:lang w:val="en-US" w:eastAsia="ja-JP"/>
        </w:rPr>
      </w:pPr>
      <w:r>
        <w:rPr>
          <w:lang w:eastAsia="ja-JP"/>
        </w:rPr>
        <w:lastRenderedPageBreak/>
        <w:t xml:space="preserve">MSAC noted that the </w:t>
      </w:r>
      <w:r w:rsidR="002E166B">
        <w:rPr>
          <w:lang w:eastAsia="ja-JP"/>
        </w:rPr>
        <w:t>proposed item descriptors specified SARS-CoV-2, influenza A and B, and RSV as the pathogens to test under item XXXX.</w:t>
      </w:r>
      <w:r w:rsidR="00103AA7">
        <w:rPr>
          <w:lang w:eastAsia="ja-JP"/>
        </w:rPr>
        <w:t xml:space="preserve"> However, MSAC noted public health advice that while specifying pathogens could provide more useful data for public health purposes, prevalent pathogens will change over time</w:t>
      </w:r>
      <w:r w:rsidR="20052325" w:rsidRPr="3D5C6D95">
        <w:rPr>
          <w:lang w:eastAsia="ja-JP"/>
        </w:rPr>
        <w:t>, or novel pathogens may emerge,</w:t>
      </w:r>
      <w:r w:rsidR="00103AA7">
        <w:rPr>
          <w:lang w:eastAsia="ja-JP"/>
        </w:rPr>
        <w:t xml:space="preserve"> so specifying them in the item descriptor would make the items less futureproof.</w:t>
      </w:r>
      <w:r w:rsidR="007F04F2">
        <w:rPr>
          <w:lang w:eastAsia="ja-JP"/>
        </w:rPr>
        <w:t xml:space="preserve"> MSAC considered that futureproofing the item descriptors was important.</w:t>
      </w:r>
      <w:r w:rsidR="009F1F5D">
        <w:rPr>
          <w:lang w:eastAsia="ja-JP"/>
        </w:rPr>
        <w:t xml:space="preserve"> MSAC </w:t>
      </w:r>
      <w:r w:rsidR="007F04F2">
        <w:rPr>
          <w:lang w:eastAsia="ja-JP"/>
        </w:rPr>
        <w:t xml:space="preserve">also </w:t>
      </w:r>
      <w:r w:rsidR="009F1F5D">
        <w:rPr>
          <w:lang w:eastAsia="ja-JP"/>
        </w:rPr>
        <w:t xml:space="preserve">noted that the current temporary items additionally specify </w:t>
      </w:r>
      <w:r w:rsidR="009F1F5D" w:rsidRPr="009746CA">
        <w:rPr>
          <w:i/>
          <w:iCs/>
          <w:lang w:eastAsia="ja-JP"/>
        </w:rPr>
        <w:t>Bordetella</w:t>
      </w:r>
      <w:r w:rsidR="009F1F5D">
        <w:rPr>
          <w:lang w:eastAsia="ja-JP"/>
        </w:rPr>
        <w:t>, which is a notifiable pathogen (</w:t>
      </w:r>
      <w:r w:rsidR="009F1F5D">
        <w:rPr>
          <w:i/>
          <w:iCs/>
          <w:lang w:eastAsia="ja-JP"/>
        </w:rPr>
        <w:t xml:space="preserve">B. pertussis </w:t>
      </w:r>
      <w:r w:rsidR="009F1F5D">
        <w:rPr>
          <w:lang w:eastAsia="ja-JP"/>
        </w:rPr>
        <w:t>causes whooping cough)</w:t>
      </w:r>
      <w:r w:rsidR="007F04F2">
        <w:rPr>
          <w:lang w:eastAsia="ja-JP"/>
        </w:rPr>
        <w:t xml:space="preserve">, however public health advice was that </w:t>
      </w:r>
      <w:r w:rsidR="001F1B4E">
        <w:rPr>
          <w:lang w:eastAsia="ja-JP"/>
        </w:rPr>
        <w:t xml:space="preserve">as any </w:t>
      </w:r>
      <w:r w:rsidR="007F04F2">
        <w:rPr>
          <w:lang w:eastAsia="ja-JP"/>
        </w:rPr>
        <w:t>notifiable infection must be reported</w:t>
      </w:r>
      <w:r w:rsidR="001F1B4E">
        <w:rPr>
          <w:lang w:eastAsia="ja-JP"/>
        </w:rPr>
        <w:t>,</w:t>
      </w:r>
      <w:r w:rsidR="007F04F2">
        <w:rPr>
          <w:i/>
          <w:iCs/>
          <w:lang w:eastAsia="ja-JP"/>
        </w:rPr>
        <w:t xml:space="preserve"> </w:t>
      </w:r>
      <w:r w:rsidR="007F04F2">
        <w:rPr>
          <w:lang w:eastAsia="ja-JP"/>
        </w:rPr>
        <w:t>“respiratory pathogens” would be more appropriate wording</w:t>
      </w:r>
      <w:r w:rsidR="009F1F5D">
        <w:rPr>
          <w:lang w:eastAsia="ja-JP"/>
        </w:rPr>
        <w:t xml:space="preserve">. </w:t>
      </w:r>
      <w:r w:rsidR="007F04F2">
        <w:rPr>
          <w:lang w:eastAsia="ja-JP"/>
        </w:rPr>
        <w:t xml:space="preserve">MSAC considered that while it would not set a precedent if one notifiable pathogen were specified and others were not, specifying </w:t>
      </w:r>
      <w:r w:rsidR="007F04F2">
        <w:rPr>
          <w:i/>
          <w:iCs/>
          <w:lang w:eastAsia="ja-JP"/>
        </w:rPr>
        <w:t xml:space="preserve">Bordetella </w:t>
      </w:r>
      <w:r w:rsidR="007F04F2">
        <w:rPr>
          <w:lang w:eastAsia="ja-JP"/>
        </w:rPr>
        <w:t>was not necessary.</w:t>
      </w:r>
      <w:r w:rsidR="009F1F5D">
        <w:rPr>
          <w:lang w:eastAsia="ja-JP"/>
        </w:rPr>
        <w:t xml:space="preserve"> </w:t>
      </w:r>
      <w:r w:rsidR="007F04F2">
        <w:rPr>
          <w:lang w:eastAsia="ja-JP"/>
        </w:rPr>
        <w:t xml:space="preserve">Overall, </w:t>
      </w:r>
      <w:r w:rsidR="002E166B">
        <w:rPr>
          <w:lang w:eastAsia="ja-JP"/>
        </w:rPr>
        <w:t xml:space="preserve">MSAC advised </w:t>
      </w:r>
      <w:r w:rsidR="009F1F5D">
        <w:rPr>
          <w:lang w:eastAsia="ja-JP"/>
        </w:rPr>
        <w:t>the</w:t>
      </w:r>
      <w:r w:rsidR="007F04F2">
        <w:rPr>
          <w:lang w:eastAsia="ja-JP"/>
        </w:rPr>
        <w:t xml:space="preserve"> items</w:t>
      </w:r>
      <w:r w:rsidR="002E166B" w:rsidRPr="00577C69">
        <w:rPr>
          <w:lang w:eastAsia="ja-JP"/>
        </w:rPr>
        <w:t xml:space="preserve"> </w:t>
      </w:r>
      <w:r w:rsidR="002E166B">
        <w:rPr>
          <w:lang w:eastAsia="ja-JP"/>
        </w:rPr>
        <w:t xml:space="preserve">should </w:t>
      </w:r>
      <w:r w:rsidR="00AA53FB">
        <w:rPr>
          <w:lang w:eastAsia="ja-JP"/>
        </w:rPr>
        <w:t>provide</w:t>
      </w:r>
      <w:r w:rsidR="002E166B" w:rsidRPr="00577C69">
        <w:rPr>
          <w:lang w:eastAsia="ja-JP"/>
        </w:rPr>
        <w:t xml:space="preserve"> </w:t>
      </w:r>
      <w:r w:rsidR="001F1B4E">
        <w:rPr>
          <w:lang w:val="en-US" w:eastAsia="ja-JP"/>
        </w:rPr>
        <w:t>nucleic acid</w:t>
      </w:r>
      <w:r w:rsidR="001F1B4E">
        <w:rPr>
          <w:lang w:eastAsia="ja-JP"/>
        </w:rPr>
        <w:t xml:space="preserve"> </w:t>
      </w:r>
      <w:r w:rsidR="00103AA7">
        <w:rPr>
          <w:lang w:eastAsia="ja-JP"/>
        </w:rPr>
        <w:t>testing</w:t>
      </w:r>
      <w:r w:rsidR="002E166B" w:rsidRPr="00577C69">
        <w:rPr>
          <w:lang w:val="en-US" w:eastAsia="ja-JP"/>
        </w:rPr>
        <w:t xml:space="preserve"> </w:t>
      </w:r>
      <w:r w:rsidR="00AA53FB">
        <w:rPr>
          <w:lang w:val="en-US" w:eastAsia="ja-JP"/>
        </w:rPr>
        <w:t>for</w:t>
      </w:r>
      <w:r w:rsidR="002E166B" w:rsidRPr="00577C69">
        <w:rPr>
          <w:lang w:val="en-US" w:eastAsia="ja-JP"/>
        </w:rPr>
        <w:t xml:space="preserve"> </w:t>
      </w:r>
      <w:r w:rsidR="007F04F2">
        <w:rPr>
          <w:lang w:val="en-US" w:eastAsia="ja-JP"/>
        </w:rPr>
        <w:t>“</w:t>
      </w:r>
      <w:r w:rsidR="002E166B" w:rsidRPr="002E26C6">
        <w:rPr>
          <w:lang w:val="en-US" w:eastAsia="ja-JP"/>
        </w:rPr>
        <w:t>respiratory</w:t>
      </w:r>
      <w:r w:rsidR="002E166B" w:rsidRPr="00577C69">
        <w:rPr>
          <w:lang w:val="en-US" w:eastAsia="ja-JP"/>
        </w:rPr>
        <w:t xml:space="preserve"> pathogen</w:t>
      </w:r>
      <w:r w:rsidR="001F1B4E">
        <w:rPr>
          <w:lang w:val="en-US" w:eastAsia="ja-JP"/>
        </w:rPr>
        <w:t>s</w:t>
      </w:r>
      <w:r w:rsidR="007F04F2">
        <w:rPr>
          <w:lang w:val="en-US" w:eastAsia="ja-JP"/>
        </w:rPr>
        <w:t>”</w:t>
      </w:r>
      <w:r w:rsidR="002E166B" w:rsidRPr="00577C69">
        <w:rPr>
          <w:lang w:val="en-US" w:eastAsia="ja-JP"/>
        </w:rPr>
        <w:t>.</w:t>
      </w:r>
      <w:r w:rsidR="00AA53FB">
        <w:rPr>
          <w:lang w:val="en-US" w:eastAsia="ja-JP"/>
        </w:rPr>
        <w:t xml:space="preserve"> </w:t>
      </w:r>
      <w:r w:rsidR="00103AA7">
        <w:rPr>
          <w:lang w:eastAsia="ja-JP"/>
        </w:rPr>
        <w:t xml:space="preserve">MSAC considered whether there would be a risk of leakage with testing claimable both under the generic items and these new items. MSAC noted policy advice that </w:t>
      </w:r>
      <w:r w:rsidR="007F04F2">
        <w:rPr>
          <w:lang w:eastAsia="ja-JP"/>
        </w:rPr>
        <w:t>the generic items are</w:t>
      </w:r>
      <w:r w:rsidR="00103AA7" w:rsidRPr="00577C69">
        <w:rPr>
          <w:lang w:eastAsia="ja-JP"/>
        </w:rPr>
        <w:t xml:space="preserve"> for the detection of pathogens </w:t>
      </w:r>
      <w:r w:rsidR="00103AA7">
        <w:rPr>
          <w:lang w:eastAsia="ja-JP"/>
        </w:rPr>
        <w:t>“</w:t>
      </w:r>
      <w:r w:rsidR="00103AA7" w:rsidRPr="00577C69">
        <w:rPr>
          <w:lang w:val="en-US" w:eastAsia="ja-JP"/>
        </w:rPr>
        <w:t>not elsewhere specified</w:t>
      </w:r>
      <w:r w:rsidR="00103AA7">
        <w:rPr>
          <w:lang w:val="en-US" w:eastAsia="ja-JP"/>
        </w:rPr>
        <w:t>”</w:t>
      </w:r>
      <w:r w:rsidR="00103AA7" w:rsidRPr="00577C69">
        <w:rPr>
          <w:lang w:val="en-US" w:eastAsia="ja-JP"/>
        </w:rPr>
        <w:t>,</w:t>
      </w:r>
      <w:r w:rsidR="00103AA7">
        <w:rPr>
          <w:lang w:val="en-US" w:eastAsia="ja-JP"/>
        </w:rPr>
        <w:t xml:space="preserve"> </w:t>
      </w:r>
      <w:r w:rsidR="007F04F2">
        <w:rPr>
          <w:lang w:val="en-US" w:eastAsia="ja-JP"/>
        </w:rPr>
        <w:t>and</w:t>
      </w:r>
      <w:r w:rsidR="00103AA7">
        <w:rPr>
          <w:lang w:val="en-US" w:eastAsia="ja-JP"/>
        </w:rPr>
        <w:t xml:space="preserve"> that stating “respiratory pathogens” in </w:t>
      </w:r>
      <w:r w:rsidR="007F04F2">
        <w:rPr>
          <w:lang w:val="en-US" w:eastAsia="ja-JP"/>
        </w:rPr>
        <w:t>XXXX and YYYY</w:t>
      </w:r>
      <w:r w:rsidR="00103AA7">
        <w:rPr>
          <w:lang w:val="en-US" w:eastAsia="ja-JP"/>
        </w:rPr>
        <w:t xml:space="preserve"> would count as specifying them. MSAC also noted that t</w:t>
      </w:r>
      <w:r w:rsidR="00103AA7" w:rsidRPr="00577C69">
        <w:rPr>
          <w:lang w:val="en-US" w:eastAsia="ja-JP"/>
        </w:rPr>
        <w:t>here are further restrictions that if a service is described in</w:t>
      </w:r>
      <w:r w:rsidR="00103AA7">
        <w:rPr>
          <w:lang w:val="en-US" w:eastAsia="ja-JP"/>
        </w:rPr>
        <w:t xml:space="preserve"> more</w:t>
      </w:r>
      <w:r w:rsidR="00103AA7" w:rsidRPr="00577C69">
        <w:rPr>
          <w:lang w:val="en-US" w:eastAsia="ja-JP"/>
        </w:rPr>
        <w:t xml:space="preserve"> general terms </w:t>
      </w:r>
      <w:r w:rsidR="007F04F2">
        <w:rPr>
          <w:lang w:val="en-US" w:eastAsia="ja-JP"/>
        </w:rPr>
        <w:t xml:space="preserve">in one item </w:t>
      </w:r>
      <w:r w:rsidR="00103AA7" w:rsidRPr="00577C69">
        <w:rPr>
          <w:lang w:val="en-US" w:eastAsia="ja-JP"/>
        </w:rPr>
        <w:t>and in</w:t>
      </w:r>
      <w:r w:rsidR="00103AA7">
        <w:rPr>
          <w:lang w:val="en-US" w:eastAsia="ja-JP"/>
        </w:rPr>
        <w:t xml:space="preserve"> more</w:t>
      </w:r>
      <w:r w:rsidR="00103AA7" w:rsidRPr="00577C69">
        <w:rPr>
          <w:lang w:val="en-US" w:eastAsia="ja-JP"/>
        </w:rPr>
        <w:t xml:space="preserve"> specific terms</w:t>
      </w:r>
      <w:r w:rsidR="007F04F2">
        <w:rPr>
          <w:lang w:val="en-US" w:eastAsia="ja-JP"/>
        </w:rPr>
        <w:t xml:space="preserve"> in another</w:t>
      </w:r>
      <w:r w:rsidR="00103AA7" w:rsidRPr="00577C69">
        <w:rPr>
          <w:lang w:val="en-US" w:eastAsia="ja-JP"/>
        </w:rPr>
        <w:t xml:space="preserve">, the service </w:t>
      </w:r>
      <w:r w:rsidR="00103AA7">
        <w:rPr>
          <w:lang w:val="en-US" w:eastAsia="ja-JP"/>
        </w:rPr>
        <w:t>can</w:t>
      </w:r>
      <w:r w:rsidR="00103AA7" w:rsidRPr="00577C69">
        <w:rPr>
          <w:lang w:val="en-US" w:eastAsia="ja-JP"/>
        </w:rPr>
        <w:t xml:space="preserve"> only be claimed under the item that describes it in </w:t>
      </w:r>
      <w:r w:rsidR="00103AA7">
        <w:rPr>
          <w:lang w:val="en-US" w:eastAsia="ja-JP"/>
        </w:rPr>
        <w:t xml:space="preserve">more </w:t>
      </w:r>
      <w:r w:rsidR="00103AA7" w:rsidRPr="00577C69">
        <w:rPr>
          <w:lang w:val="en-US" w:eastAsia="ja-JP"/>
        </w:rPr>
        <w:t>specific terms.</w:t>
      </w:r>
      <w:r w:rsidR="00103AA7" w:rsidRPr="00103AA7">
        <w:rPr>
          <w:lang w:val="en-US" w:eastAsia="ja-JP"/>
        </w:rPr>
        <w:t xml:space="preserve"> </w:t>
      </w:r>
      <w:r w:rsidR="00103AA7">
        <w:rPr>
          <w:lang w:val="en-US" w:eastAsia="ja-JP"/>
        </w:rPr>
        <w:t xml:space="preserve">MSAC therefore considered </w:t>
      </w:r>
      <w:r w:rsidR="00103AA7" w:rsidRPr="00577C69">
        <w:rPr>
          <w:lang w:eastAsia="ja-JP"/>
        </w:rPr>
        <w:t xml:space="preserve">risk of leakage </w:t>
      </w:r>
      <w:r w:rsidR="00103AA7">
        <w:rPr>
          <w:lang w:eastAsia="ja-JP"/>
        </w:rPr>
        <w:t xml:space="preserve">for its supported items </w:t>
      </w:r>
      <w:r w:rsidR="00103AA7" w:rsidRPr="00577C69">
        <w:rPr>
          <w:lang w:eastAsia="ja-JP"/>
        </w:rPr>
        <w:t xml:space="preserve">would be </w:t>
      </w:r>
      <w:r w:rsidR="00103AA7">
        <w:rPr>
          <w:lang w:eastAsia="ja-JP"/>
        </w:rPr>
        <w:t>low</w:t>
      </w:r>
      <w:r w:rsidR="00103AA7" w:rsidRPr="00577C69">
        <w:rPr>
          <w:lang w:val="en-US" w:eastAsia="ja-JP"/>
        </w:rPr>
        <w:t>.</w:t>
      </w:r>
    </w:p>
    <w:p w14:paraId="562D0D43" w14:textId="65F18B07" w:rsidR="004E17E9" w:rsidRPr="008D581E" w:rsidRDefault="00AA53FB" w:rsidP="004E17E9">
      <w:r>
        <w:t>MSAC considered that with pathogens not being specified in the item descriptors, appropriate testing would rely on clinical acumen</w:t>
      </w:r>
      <w:r w:rsidR="4BFA774C">
        <w:t xml:space="preserve"> and local incidence data</w:t>
      </w:r>
      <w:r>
        <w:t xml:space="preserve">. </w:t>
      </w:r>
      <w:r w:rsidR="004E17E9">
        <w:t>MSAC</w:t>
      </w:r>
      <w:r>
        <w:t xml:space="preserve"> therefore</w:t>
      </w:r>
      <w:r w:rsidR="004E17E9">
        <w:t xml:space="preserve"> considered that it </w:t>
      </w:r>
      <w:r w:rsidR="00103AA7">
        <w:t>was</w:t>
      </w:r>
      <w:r w:rsidR="004E17E9">
        <w:t xml:space="preserve"> important for </w:t>
      </w:r>
      <w:r>
        <w:t xml:space="preserve">the requesting </w:t>
      </w:r>
      <w:r w:rsidR="004E17E9">
        <w:t xml:space="preserve">clinician to include as much relevant detail </w:t>
      </w:r>
      <w:r w:rsidR="004F182E">
        <w:t xml:space="preserve">about the </w:t>
      </w:r>
      <w:r w:rsidR="004E17E9" w:rsidRPr="3A726802">
        <w:rPr>
          <w:rFonts w:eastAsia="Franklin Gothic Book" w:cs="Franklin Gothic Book"/>
        </w:rPr>
        <w:t>patient’s clinical signs and symptoms</w:t>
      </w:r>
      <w:r w:rsidR="004E17E9">
        <w:t xml:space="preserve"> as possible on referral forms, to </w:t>
      </w:r>
      <w:r w:rsidR="009C14D8">
        <w:t>allow the laboratory to better target testing to relevant pathogens</w:t>
      </w:r>
      <w:r w:rsidR="004E17E9">
        <w:t xml:space="preserve">. </w:t>
      </w:r>
      <w:r>
        <w:t>MSAC noted</w:t>
      </w:r>
      <w:r w:rsidR="004E17E9">
        <w:t xml:space="preserve"> the pathologist </w:t>
      </w:r>
      <w:r>
        <w:t>considers the pathogens</w:t>
      </w:r>
      <w:r w:rsidR="004E17E9">
        <w:t xml:space="preserve"> requested, and may call the requestor (</w:t>
      </w:r>
      <w:proofErr w:type="gramStart"/>
      <w:r w:rsidR="004E17E9">
        <w:t>e.g.</w:t>
      </w:r>
      <w:proofErr w:type="gramEnd"/>
      <w:r w:rsidR="004E17E9">
        <w:t xml:space="preserve"> GP or specialist) to discus</w:t>
      </w:r>
      <w:r>
        <w:t>s appropriate testing</w:t>
      </w:r>
      <w:r w:rsidR="009F1F5D">
        <w:t xml:space="preserve"> for the patient</w:t>
      </w:r>
      <w:r w:rsidR="004E17E9">
        <w:t>.</w:t>
      </w:r>
      <w:r w:rsidR="008D581E">
        <w:t xml:space="preserve"> </w:t>
      </w:r>
      <w:r w:rsidR="001D6CD5">
        <w:t>MSAC noted public health advice that multi</w:t>
      </w:r>
      <w:r w:rsidR="001D6CD5" w:rsidRPr="001D6CD5">
        <w:rPr>
          <w:lang w:val="en-GB"/>
        </w:rPr>
        <w:t>-pathogen testing is already conducted routinely, and laboratories withhold results for pathogens not requested</w:t>
      </w:r>
      <w:r w:rsidR="001D6CD5">
        <w:rPr>
          <w:lang w:val="en-GB"/>
        </w:rPr>
        <w:t xml:space="preserve"> or </w:t>
      </w:r>
      <w:r w:rsidR="001D6CD5" w:rsidRPr="001D6CD5">
        <w:rPr>
          <w:lang w:val="en-GB"/>
        </w:rPr>
        <w:t>relevant.</w:t>
      </w:r>
      <w:r w:rsidR="001D6CD5">
        <w:rPr>
          <w:lang w:val="en-GB"/>
        </w:rPr>
        <w:t xml:space="preserve"> </w:t>
      </w:r>
      <w:r w:rsidR="008D581E">
        <w:t xml:space="preserve">MSAC noted that some in vitro devices (IVDs) detect specific relevant genetic sequences rather than seek to identify the pathogen precisely, because toxin genes can be horizontally transferred between different species of </w:t>
      </w:r>
      <w:r w:rsidR="008D581E">
        <w:rPr>
          <w:i/>
          <w:iCs/>
        </w:rPr>
        <w:t>Bordetella</w:t>
      </w:r>
      <w:r w:rsidR="008D581E">
        <w:t xml:space="preserve">, resulting in species other than </w:t>
      </w:r>
      <w:r w:rsidR="008D581E">
        <w:rPr>
          <w:i/>
          <w:iCs/>
        </w:rPr>
        <w:t>B</w:t>
      </w:r>
      <w:r w:rsidR="004F182E">
        <w:rPr>
          <w:i/>
          <w:iCs/>
        </w:rPr>
        <w:t>.</w:t>
      </w:r>
      <w:r w:rsidR="008D581E">
        <w:rPr>
          <w:i/>
          <w:iCs/>
        </w:rPr>
        <w:t xml:space="preserve"> pertussis </w:t>
      </w:r>
      <w:r w:rsidR="008D581E">
        <w:t>causing whopping cough. MSAC considered this further emphasised the importance of requestors providing detailed clinical information in testing requests.</w:t>
      </w:r>
    </w:p>
    <w:p w14:paraId="1F5EDA0F" w14:textId="3A913DE9" w:rsidR="002B793C" w:rsidRPr="0089282C" w:rsidRDefault="002B793C" w:rsidP="0010330B">
      <w:pPr>
        <w:rPr>
          <w:rFonts w:eastAsia="Franklin Gothic Book" w:cs="Franklin Gothic Book"/>
        </w:rPr>
      </w:pPr>
      <w:r>
        <w:t xml:space="preserve">MSAC </w:t>
      </w:r>
      <w:r w:rsidR="003B10BE">
        <w:t>noted the consultation feedback</w:t>
      </w:r>
      <w:r w:rsidR="00987C27">
        <w:t xml:space="preserve"> </w:t>
      </w:r>
      <w:r w:rsidR="00103CE6">
        <w:t xml:space="preserve">received, </w:t>
      </w:r>
      <w:r w:rsidR="00987C27">
        <w:t xml:space="preserve">and that </w:t>
      </w:r>
      <w:r w:rsidR="00103CE6">
        <w:t xml:space="preserve">ESC had raised concerns that </w:t>
      </w:r>
      <w:r w:rsidR="00987C27">
        <w:t xml:space="preserve">limited </w:t>
      </w:r>
      <w:r w:rsidR="00103CE6">
        <w:t>input</w:t>
      </w:r>
      <w:r w:rsidR="00987C27">
        <w:t xml:space="preserve"> </w:t>
      </w:r>
      <w:r w:rsidR="00103CE6">
        <w:t xml:space="preserve">had been received </w:t>
      </w:r>
      <w:r w:rsidR="00987C27">
        <w:t xml:space="preserve">from consumers or the </w:t>
      </w:r>
      <w:proofErr w:type="gramStart"/>
      <w:r w:rsidR="00987C27">
        <w:t>general public</w:t>
      </w:r>
      <w:proofErr w:type="gramEnd"/>
      <w:r w:rsidR="000D0D5F">
        <w:t xml:space="preserve">, including </w:t>
      </w:r>
      <w:r w:rsidR="00757A71">
        <w:t>diverse populations in the community.</w:t>
      </w:r>
      <w:r w:rsidR="00987C27">
        <w:t xml:space="preserve"> </w:t>
      </w:r>
      <w:r w:rsidR="00103CE6">
        <w:t>MSAC noted that the department therefore conducted further targeted consultation, and that the Lung Foundation provided feedback</w:t>
      </w:r>
      <w:r w:rsidR="00A452B5">
        <w:t xml:space="preserve"> </w:t>
      </w:r>
      <w:r w:rsidR="00103CE6">
        <w:t xml:space="preserve">that it supported the application. </w:t>
      </w:r>
      <w:r w:rsidR="00A452B5">
        <w:t>MSAC note</w:t>
      </w:r>
      <w:r w:rsidR="00861702">
        <w:t>d that COVID-19 i</w:t>
      </w:r>
      <w:r w:rsidR="00103CE6">
        <w:t>s</w:t>
      </w:r>
      <w:r w:rsidR="00861702">
        <w:t xml:space="preserve"> still circulating and </w:t>
      </w:r>
      <w:r w:rsidR="00103CE6">
        <w:t xml:space="preserve">that patients may have variable </w:t>
      </w:r>
      <w:r w:rsidR="00861702">
        <w:t>access to testing</w:t>
      </w:r>
      <w:r w:rsidR="003A086E">
        <w:t>.</w:t>
      </w:r>
    </w:p>
    <w:p w14:paraId="7083148A" w14:textId="2BB04A24" w:rsidR="00681AA7" w:rsidRDefault="00401E7C" w:rsidP="00681AA7">
      <w:r>
        <w:t>In terms of</w:t>
      </w:r>
      <w:r w:rsidR="00681AA7">
        <w:t xml:space="preserve"> </w:t>
      </w:r>
      <w:r w:rsidR="007265FE">
        <w:t xml:space="preserve">comparative </w:t>
      </w:r>
      <w:r w:rsidR="00681AA7">
        <w:t>safety, MSAC noted that th</w:t>
      </w:r>
      <w:r w:rsidR="00681AA7" w:rsidRPr="00577C69">
        <w:t>e</w:t>
      </w:r>
      <w:r w:rsidR="00103CE6">
        <w:t xml:space="preserve"> DCAR </w:t>
      </w:r>
      <w:r w:rsidR="009C604A">
        <w:t>stated</w:t>
      </w:r>
      <w:r w:rsidR="00103CE6">
        <w:t xml:space="preserve"> the</w:t>
      </w:r>
      <w:r w:rsidR="00681AA7" w:rsidRPr="00577C69">
        <w:t xml:space="preserve"> same </w:t>
      </w:r>
      <w:proofErr w:type="gramStart"/>
      <w:r w:rsidR="00681AA7" w:rsidRPr="00577C69">
        <w:t>laboratory-based</w:t>
      </w:r>
      <w:proofErr w:type="gramEnd"/>
      <w:r w:rsidR="00681AA7" w:rsidRPr="00577C69">
        <w:t xml:space="preserve"> NAATs would </w:t>
      </w:r>
      <w:r w:rsidR="00103CE6">
        <w:t xml:space="preserve">likely </w:t>
      </w:r>
      <w:r w:rsidR="00681AA7" w:rsidRPr="00577C69">
        <w:t xml:space="preserve">be performed when providing a service </w:t>
      </w:r>
      <w:r w:rsidR="00103CE6">
        <w:t>claimed under</w:t>
      </w:r>
      <w:r w:rsidR="00103CE6" w:rsidRPr="00577C69">
        <w:t xml:space="preserve"> </w:t>
      </w:r>
      <w:r w:rsidR="00681AA7" w:rsidRPr="00577C69">
        <w:t>either the proposed items or the comparator</w:t>
      </w:r>
      <w:r w:rsidR="004F3ED9" w:rsidRPr="004F3ED9">
        <w:t xml:space="preserve"> </w:t>
      </w:r>
      <w:r w:rsidR="004F3ED9">
        <w:t>items, and so there would be no difference in safety</w:t>
      </w:r>
      <w:r w:rsidR="00681AA7" w:rsidRPr="00577C69">
        <w:t xml:space="preserve">. </w:t>
      </w:r>
      <w:r w:rsidR="00211491">
        <w:t>MSAC agreed with ESC that</w:t>
      </w:r>
      <w:r w:rsidR="003978D7">
        <w:t xml:space="preserve"> n</w:t>
      </w:r>
      <w:r w:rsidR="00681AA7" w:rsidRPr="00577C69">
        <w:t xml:space="preserve">o new safety issues </w:t>
      </w:r>
      <w:r w:rsidR="00103CE6">
        <w:t xml:space="preserve">were anticipated </w:t>
      </w:r>
      <w:r w:rsidR="00681AA7" w:rsidRPr="00577C69">
        <w:t>relat</w:t>
      </w:r>
      <w:r w:rsidR="00103CE6">
        <w:t>ing</w:t>
      </w:r>
      <w:r w:rsidR="00681AA7" w:rsidRPr="00577C69">
        <w:t xml:space="preserve"> to sample collection and the testing process. </w:t>
      </w:r>
      <w:r w:rsidR="000C57BB">
        <w:t xml:space="preserve">Overall, </w:t>
      </w:r>
      <w:r w:rsidR="008F2098" w:rsidRPr="44FDBDD6">
        <w:rPr>
          <w:rFonts w:eastAsia="Calibri"/>
        </w:rPr>
        <w:t xml:space="preserve">MSAC </w:t>
      </w:r>
      <w:r w:rsidR="00103CE6">
        <w:rPr>
          <w:rFonts w:eastAsia="Calibri"/>
        </w:rPr>
        <w:t>advised</w:t>
      </w:r>
      <w:r w:rsidR="008F2098" w:rsidRPr="44FDBDD6">
        <w:rPr>
          <w:rFonts w:eastAsia="Calibri"/>
        </w:rPr>
        <w:t xml:space="preserve"> respiratory pathogen testing was comparatively safe</w:t>
      </w:r>
      <w:r w:rsidR="00103CE6">
        <w:rPr>
          <w:rFonts w:eastAsia="Calibri"/>
        </w:rPr>
        <w:t>.</w:t>
      </w:r>
    </w:p>
    <w:p w14:paraId="59B415F9" w14:textId="66EDFA37" w:rsidR="006F03CC" w:rsidRPr="009C14D8" w:rsidRDefault="000F330F" w:rsidP="00681AA7">
      <w:r>
        <w:rPr>
          <w:rFonts w:eastAsia="Calibri"/>
        </w:rPr>
        <w:t xml:space="preserve">In terms of comparative effectiveness, </w:t>
      </w:r>
      <w:r w:rsidR="00B50600">
        <w:t>MSAC noted t</w:t>
      </w:r>
      <w:r w:rsidR="00B50600" w:rsidRPr="001A772E">
        <w:t xml:space="preserve">he DCAR </w:t>
      </w:r>
      <w:r w:rsidR="00103CE6">
        <w:t xml:space="preserve">had </w:t>
      </w:r>
      <w:r w:rsidR="00B50600">
        <w:t>also assumed</w:t>
      </w:r>
      <w:r w:rsidR="00B50600" w:rsidRPr="001A772E">
        <w:t xml:space="preserve"> that there </w:t>
      </w:r>
      <w:r w:rsidR="00B50600">
        <w:t>wa</w:t>
      </w:r>
      <w:r w:rsidR="00B50600" w:rsidRPr="001A772E">
        <w:t>s no difference between the intervention and comparator in terms of effectiveness</w:t>
      </w:r>
      <w:r w:rsidR="00103CE6">
        <w:t>. However, MSAC noted ESC had considered that multi-pathogen upfront testing likely would have incremental effectiveness</w:t>
      </w:r>
      <w:r w:rsidR="00B46A7A">
        <w:t xml:space="preserve"> in terms of allowing an earlier diagnosis, earlier treatment with PBS-listed treatments</w:t>
      </w:r>
      <w:r w:rsidR="0044328B">
        <w:t xml:space="preserve"> such as antivirals</w:t>
      </w:r>
      <w:r w:rsidR="00103CE6">
        <w:t xml:space="preserve">, </w:t>
      </w:r>
      <w:r w:rsidR="00B46A7A">
        <w:t xml:space="preserve">and improved patient </w:t>
      </w:r>
      <w:proofErr w:type="spellStart"/>
      <w:r w:rsidR="00B46A7A">
        <w:t>cohorting</w:t>
      </w:r>
      <w:proofErr w:type="spellEnd"/>
      <w:r w:rsidR="00B46A7A">
        <w:t xml:space="preserve"> and quarantining – </w:t>
      </w:r>
      <w:r w:rsidR="00103CE6">
        <w:t xml:space="preserve">but this </w:t>
      </w:r>
      <w:r w:rsidR="0044328B">
        <w:t xml:space="preserve">incremental effectiveness </w:t>
      </w:r>
      <w:r w:rsidR="00103CE6">
        <w:t>had not been quantified</w:t>
      </w:r>
      <w:r w:rsidR="00B46A7A">
        <w:t xml:space="preserve"> by the DCAR</w:t>
      </w:r>
      <w:r w:rsidR="003E3FF7">
        <w:t xml:space="preserve">. </w:t>
      </w:r>
      <w:r w:rsidR="0044328B">
        <w:t xml:space="preserve">MSAC considered that prompt </w:t>
      </w:r>
      <w:r w:rsidR="0044328B">
        <w:lastRenderedPageBreak/>
        <w:t xml:space="preserve">testing and early initiation of treatment were important, and would be better supported by upfront testing for multiple respiratory pathogens to avoid multiple sequential tests. MSAC agreed with ESC that upfront testing for multiple respiratory pathogens would have incremental effectiveness, and considered that outcomes beyond detecting COVID-19 were also important. </w:t>
      </w:r>
      <w:r w:rsidR="00B46A7A">
        <w:rPr>
          <w:rFonts w:eastAsia="Calibri"/>
        </w:rPr>
        <w:t>MSAC also considered that this testing would</w:t>
      </w:r>
      <w:r w:rsidR="00B46A7A" w:rsidRPr="44FDBDD6">
        <w:rPr>
          <w:rFonts w:eastAsia="Calibri"/>
        </w:rPr>
        <w:t xml:space="preserve"> provid</w:t>
      </w:r>
      <w:r w:rsidR="00B46A7A">
        <w:rPr>
          <w:rFonts w:eastAsia="Calibri"/>
        </w:rPr>
        <w:t>e improved</w:t>
      </w:r>
      <w:r w:rsidR="00B46A7A" w:rsidRPr="44FDBDD6">
        <w:rPr>
          <w:rFonts w:eastAsia="Calibri"/>
        </w:rPr>
        <w:t xml:space="preserve"> ‘value of knowing’ the cause of the patient’s symptoms</w:t>
      </w:r>
      <w:r w:rsidR="00B46A7A">
        <w:rPr>
          <w:rFonts w:eastAsia="Calibri"/>
        </w:rPr>
        <w:t>.</w:t>
      </w:r>
      <w:r w:rsidR="00B46A7A" w:rsidRPr="44FDBDD6" w:rsidDel="00B46A7A">
        <w:rPr>
          <w:rFonts w:eastAsia="Calibri"/>
        </w:rPr>
        <w:t xml:space="preserve"> </w:t>
      </w:r>
      <w:r w:rsidR="001D6CD5">
        <w:t xml:space="preserve">MSAC considered that public funding for respiratory pathogen testing may reduce barriers to access, with potential public health benefits. </w:t>
      </w:r>
      <w:r w:rsidR="00B46A7A">
        <w:rPr>
          <w:rFonts w:eastAsia="Calibri"/>
        </w:rPr>
        <w:t>D</w:t>
      </w:r>
      <w:r w:rsidR="00FF3D7E" w:rsidRPr="44FDBDD6">
        <w:rPr>
          <w:rFonts w:eastAsia="Calibri"/>
        </w:rPr>
        <w:t>espite limitations in the evidence base</w:t>
      </w:r>
      <w:r w:rsidR="00B46A7A">
        <w:rPr>
          <w:rFonts w:eastAsia="Calibri"/>
        </w:rPr>
        <w:t>, MSAC</w:t>
      </w:r>
      <w:r w:rsidR="00FF3D7E" w:rsidRPr="44FDBDD6">
        <w:rPr>
          <w:rFonts w:eastAsia="Calibri"/>
        </w:rPr>
        <w:t xml:space="preserve"> </w:t>
      </w:r>
      <w:r w:rsidR="00B46A7A">
        <w:rPr>
          <w:rFonts w:eastAsia="Calibri"/>
        </w:rPr>
        <w:t xml:space="preserve">therefore </w:t>
      </w:r>
      <w:r w:rsidR="00FF3D7E" w:rsidRPr="44FDBDD6">
        <w:rPr>
          <w:rFonts w:eastAsia="Calibri"/>
        </w:rPr>
        <w:t xml:space="preserve">advised that </w:t>
      </w:r>
      <w:proofErr w:type="gramStart"/>
      <w:r w:rsidR="0044328B">
        <w:rPr>
          <w:rFonts w:eastAsia="Calibri"/>
        </w:rPr>
        <w:t>overall</w:t>
      </w:r>
      <w:proofErr w:type="gramEnd"/>
      <w:r w:rsidR="0044328B">
        <w:rPr>
          <w:rFonts w:eastAsia="Calibri"/>
        </w:rPr>
        <w:t xml:space="preserve"> it was confident that </w:t>
      </w:r>
      <w:r w:rsidR="00FF3D7E" w:rsidRPr="44FDBDD6">
        <w:rPr>
          <w:rFonts w:eastAsia="Calibri"/>
        </w:rPr>
        <w:t xml:space="preserve">upfront </w:t>
      </w:r>
      <w:r w:rsidR="00B46A7A">
        <w:rPr>
          <w:rFonts w:eastAsia="Calibri"/>
        </w:rPr>
        <w:t xml:space="preserve">testing for </w:t>
      </w:r>
      <w:r w:rsidR="00FF3D7E" w:rsidRPr="44FDBDD6">
        <w:rPr>
          <w:rFonts w:eastAsia="Calibri"/>
        </w:rPr>
        <w:t>multi</w:t>
      </w:r>
      <w:r w:rsidR="00B46A7A">
        <w:rPr>
          <w:rFonts w:eastAsia="Calibri"/>
        </w:rPr>
        <w:t xml:space="preserve">ple respiratory </w:t>
      </w:r>
      <w:r w:rsidR="00FF3D7E" w:rsidRPr="44FDBDD6">
        <w:rPr>
          <w:rFonts w:eastAsia="Calibri"/>
        </w:rPr>
        <w:t>pathogen</w:t>
      </w:r>
      <w:r w:rsidR="00B46A7A">
        <w:rPr>
          <w:rFonts w:eastAsia="Calibri"/>
        </w:rPr>
        <w:t>s</w:t>
      </w:r>
      <w:r w:rsidR="00FF3D7E" w:rsidRPr="44FDBDD6">
        <w:rPr>
          <w:rFonts w:eastAsia="Calibri"/>
        </w:rPr>
        <w:t xml:space="preserve"> </w:t>
      </w:r>
      <w:r w:rsidR="009C604A">
        <w:rPr>
          <w:rFonts w:eastAsia="Calibri"/>
        </w:rPr>
        <w:t xml:space="preserve">(option 1a) </w:t>
      </w:r>
      <w:r w:rsidR="00B46A7A">
        <w:rPr>
          <w:rFonts w:eastAsia="Calibri"/>
        </w:rPr>
        <w:t>had</w:t>
      </w:r>
      <w:r w:rsidR="00FF3D7E" w:rsidRPr="44FDBDD6">
        <w:rPr>
          <w:rFonts w:eastAsia="Calibri"/>
        </w:rPr>
        <w:t xml:space="preserve"> incremental clinical effectiveness</w:t>
      </w:r>
      <w:r w:rsidR="00FF3D7E" w:rsidRPr="009C14D8">
        <w:rPr>
          <w:rFonts w:eastAsia="Calibri"/>
        </w:rPr>
        <w:t xml:space="preserve">. </w:t>
      </w:r>
    </w:p>
    <w:p w14:paraId="38FE4FF9" w14:textId="47A0D719" w:rsidR="00AA53FB" w:rsidRPr="009C14D8" w:rsidRDefault="009C14D8" w:rsidP="00AA53FB">
      <w:r w:rsidRPr="009C14D8">
        <w:rPr>
          <w:rFonts w:eastAsia="Franklin Gothic Book" w:cs="Franklin Gothic Book"/>
        </w:rPr>
        <w:t>MSAC</w:t>
      </w:r>
      <w:r w:rsidR="00DD0994" w:rsidRPr="009C14D8">
        <w:rPr>
          <w:rFonts w:eastAsia="Franklin Gothic Book" w:cs="Franklin Gothic Book"/>
        </w:rPr>
        <w:t xml:space="preserve"> </w:t>
      </w:r>
      <w:r w:rsidR="00B46A7A" w:rsidRPr="009C14D8">
        <w:rPr>
          <w:rFonts w:eastAsia="Franklin Gothic Book" w:cs="Franklin Gothic Book"/>
        </w:rPr>
        <w:t>considered</w:t>
      </w:r>
      <w:r w:rsidR="00AA53FB" w:rsidRPr="009C14D8">
        <w:rPr>
          <w:rFonts w:eastAsia="Franklin Gothic Book" w:cs="Franklin Gothic Book"/>
        </w:rPr>
        <w:t xml:space="preserve"> that </w:t>
      </w:r>
      <w:r w:rsidR="00DD0994" w:rsidRPr="009C14D8">
        <w:rPr>
          <w:rFonts w:eastAsia="Franklin Gothic Book" w:cs="Franklin Gothic Book"/>
        </w:rPr>
        <w:t>given</w:t>
      </w:r>
      <w:r w:rsidR="00AA53FB" w:rsidRPr="009C14D8">
        <w:rPr>
          <w:rFonts w:eastAsia="Franklin Gothic Book" w:cs="Franklin Gothic Book"/>
        </w:rPr>
        <w:t xml:space="preserve"> the </w:t>
      </w:r>
      <w:r w:rsidR="00B46A7A" w:rsidRPr="009C14D8">
        <w:rPr>
          <w:rFonts w:eastAsia="Franklin Gothic Book" w:cs="Franklin Gothic Book"/>
        </w:rPr>
        <w:t>declining</w:t>
      </w:r>
      <w:r w:rsidR="00AA53FB" w:rsidRPr="009C14D8">
        <w:rPr>
          <w:rFonts w:eastAsia="Franklin Gothic Book" w:cs="Franklin Gothic Book"/>
        </w:rPr>
        <w:t xml:space="preserve"> prevalence of </w:t>
      </w:r>
      <w:r w:rsidR="00AA53FB" w:rsidRPr="009C14D8">
        <w:t xml:space="preserve">COVID-19 and current testing practices, </w:t>
      </w:r>
      <w:r w:rsidR="00AA53FB" w:rsidRPr="009C14D8">
        <w:rPr>
          <w:rFonts w:eastAsia="Franklin Gothic Book" w:cs="Franklin Gothic Book"/>
        </w:rPr>
        <w:t xml:space="preserve">it would request the Pharmaceuticals Benefits Advisory Committee (PBAC) consider </w:t>
      </w:r>
      <w:r w:rsidR="00DD0994" w:rsidRPr="009C14D8">
        <w:rPr>
          <w:rFonts w:eastAsia="Franklin Gothic Book" w:cs="Franklin Gothic Book"/>
        </w:rPr>
        <w:t>updating</w:t>
      </w:r>
      <w:r w:rsidR="00AA53FB" w:rsidRPr="009C14D8">
        <w:rPr>
          <w:rFonts w:eastAsia="Franklin Gothic Book" w:cs="Franklin Gothic Book"/>
        </w:rPr>
        <w:t xml:space="preserve"> </w:t>
      </w:r>
      <w:r w:rsidR="00DD0994" w:rsidRPr="009C14D8">
        <w:rPr>
          <w:rFonts w:eastAsia="Franklin Gothic Book" w:cs="Franklin Gothic Book"/>
        </w:rPr>
        <w:t>its</w:t>
      </w:r>
      <w:r w:rsidR="00AA53FB" w:rsidRPr="009C14D8">
        <w:rPr>
          <w:rFonts w:eastAsia="Franklin Gothic Book" w:cs="Franklin Gothic Book"/>
        </w:rPr>
        <w:t xml:space="preserve"> criteria for eligibility to </w:t>
      </w:r>
      <w:r w:rsidR="00AA53FB" w:rsidRPr="009C14D8">
        <w:t xml:space="preserve">PBS-listed </w:t>
      </w:r>
      <w:r w:rsidR="00DD0994" w:rsidRPr="009C14D8">
        <w:t xml:space="preserve">COVID-19 </w:t>
      </w:r>
      <w:r w:rsidR="00B46A7A" w:rsidRPr="009C14D8">
        <w:t xml:space="preserve">antiviral </w:t>
      </w:r>
      <w:r w:rsidR="00AA53FB" w:rsidRPr="009C14D8">
        <w:t>treatments.</w:t>
      </w:r>
    </w:p>
    <w:p w14:paraId="7E48E574" w14:textId="313E39C9" w:rsidR="00681AA7" w:rsidRPr="009C14D8" w:rsidRDefault="00A028E7" w:rsidP="00B46A7A">
      <w:r w:rsidRPr="009C14D8">
        <w:t>MSAC noted that the MSAC Executive had advised the appropriate economic evaluation was a cost consequence</w:t>
      </w:r>
      <w:r w:rsidR="00B46A7A" w:rsidRPr="009C14D8">
        <w:t>s</w:t>
      </w:r>
      <w:r w:rsidRPr="009C14D8">
        <w:t xml:space="preserve"> analysis, but because the DCAR had assumed equal outcomes for the intervention and comparator, in practice the economic analysis had been reduced to a cost comparison. </w:t>
      </w:r>
      <w:r w:rsidR="0088785B" w:rsidRPr="009C14D8">
        <w:t xml:space="preserve">Because of its qualitative judgement that respiratory pathogen testing had incremental effectiveness, and despite the limitations in the economic evaluation, MSAC advised that upfront testing for multiple respiratory pathogens </w:t>
      </w:r>
      <w:r w:rsidR="009C604A">
        <w:t xml:space="preserve">(option 1a) </w:t>
      </w:r>
      <w:r w:rsidR="0088785B" w:rsidRPr="009C14D8">
        <w:t xml:space="preserve">was acceptably cost-effective compared with the </w:t>
      </w:r>
      <w:r w:rsidR="0088785B" w:rsidRPr="44FDBDD6">
        <w:t xml:space="preserve">generic items for pathogen nucleic acid testing. </w:t>
      </w:r>
      <w:r w:rsidR="00681AA7" w:rsidRPr="009C14D8">
        <w:t xml:space="preserve"> </w:t>
      </w:r>
    </w:p>
    <w:p w14:paraId="4D9781CF" w14:textId="494DDBC7" w:rsidR="00681AA7" w:rsidRPr="009C14D8" w:rsidRDefault="00681AA7" w:rsidP="00D8615F">
      <w:r>
        <w:t>MSAC n</w:t>
      </w:r>
      <w:r w:rsidRPr="00360AE1">
        <w:t>ote</w:t>
      </w:r>
      <w:r>
        <w:t>d</w:t>
      </w:r>
      <w:r w:rsidRPr="00360AE1">
        <w:t xml:space="preserve"> that the </w:t>
      </w:r>
      <w:r w:rsidR="00AB0727">
        <w:t xml:space="preserve">DCAR proposed fees of $78.25 for XXXX and $85.56 for YYYY based on </w:t>
      </w:r>
      <w:r w:rsidRPr="00360AE1">
        <w:t>costing</w:t>
      </w:r>
      <w:r w:rsidR="00AB0727">
        <w:t xml:space="preserve"> the components of providing the professional service.</w:t>
      </w:r>
      <w:r w:rsidR="00D8615F">
        <w:t xml:space="preserve"> MSAC noted that the comparator for both proposed items was MBS item 69496, giving incremental costs of $35.20 for XXXX and $42.51 for YYYY. </w:t>
      </w:r>
      <w:r w:rsidR="00AB0727" w:rsidRPr="009746CA">
        <w:t xml:space="preserve">MSAC noted the fees for the generic items were substantially lower than the fees for </w:t>
      </w:r>
      <w:r w:rsidR="007276AD">
        <w:t xml:space="preserve">both </w:t>
      </w:r>
      <w:r w:rsidR="00AB0727" w:rsidRPr="009746CA">
        <w:t>the current temporary items and the MSAC-supported items proposed by the DCAR</w:t>
      </w:r>
      <w:r w:rsidR="0044328B">
        <w:t>, although the testing they provided was similar, differing primarily only in scale</w:t>
      </w:r>
      <w:r w:rsidR="00AB0727" w:rsidRPr="009746CA">
        <w:t xml:space="preserve">. </w:t>
      </w:r>
      <w:r w:rsidR="00D8615F">
        <w:t>MSAC considered</w:t>
      </w:r>
      <w:r w:rsidR="00D8615F" w:rsidRPr="00360AE1">
        <w:t xml:space="preserve"> the DCAR</w:t>
      </w:r>
      <w:r w:rsidR="00D8615F">
        <w:t xml:space="preserve">’s costings may have underestimated indirect costs, but that </w:t>
      </w:r>
      <w:proofErr w:type="gramStart"/>
      <w:r w:rsidR="00D8615F">
        <w:t>overall</w:t>
      </w:r>
      <w:proofErr w:type="gramEnd"/>
      <w:r w:rsidR="00D8615F" w:rsidRPr="44FDBDD6">
        <w:rPr>
          <w:rFonts w:eastAsia="Calibri"/>
        </w:rPr>
        <w:t xml:space="preserve"> the proposed </w:t>
      </w:r>
      <w:r w:rsidR="00D8615F">
        <w:rPr>
          <w:rFonts w:eastAsia="Calibri"/>
        </w:rPr>
        <w:t xml:space="preserve">fees </w:t>
      </w:r>
      <w:r w:rsidR="00D8615F" w:rsidRPr="44FDBDD6">
        <w:rPr>
          <w:rFonts w:eastAsia="Calibri"/>
        </w:rPr>
        <w:t xml:space="preserve">were </w:t>
      </w:r>
      <w:r w:rsidR="00507FC3">
        <w:rPr>
          <w:rFonts w:eastAsia="Calibri"/>
        </w:rPr>
        <w:t xml:space="preserve">likely </w:t>
      </w:r>
      <w:r w:rsidR="00D8615F" w:rsidRPr="44FDBDD6">
        <w:rPr>
          <w:rFonts w:eastAsia="Calibri"/>
        </w:rPr>
        <w:t xml:space="preserve">reasonable and </w:t>
      </w:r>
      <w:r w:rsidR="00EE07D6">
        <w:rPr>
          <w:rFonts w:eastAsia="Calibri"/>
        </w:rPr>
        <w:t>sh</w:t>
      </w:r>
      <w:r w:rsidR="00EE07D6" w:rsidRPr="44FDBDD6">
        <w:rPr>
          <w:rFonts w:eastAsia="Calibri"/>
        </w:rPr>
        <w:t xml:space="preserve">ould </w:t>
      </w:r>
      <w:r w:rsidR="00D8615F" w:rsidRPr="44FDBDD6">
        <w:rPr>
          <w:rFonts w:eastAsia="Calibri"/>
        </w:rPr>
        <w:t>cover the cost to provide this testing</w:t>
      </w:r>
      <w:r w:rsidR="00D8615F">
        <w:rPr>
          <w:rFonts w:eastAsia="Calibri"/>
        </w:rPr>
        <w:t xml:space="preserve">. </w:t>
      </w:r>
      <w:r w:rsidR="00AB0727" w:rsidRPr="009746CA">
        <w:t xml:space="preserve">MSAC noted public health advice that </w:t>
      </w:r>
      <w:r w:rsidR="00AB0727">
        <w:t xml:space="preserve">the temporary item fees had been higher in the context of the pandemic to support laboratories to ramp up testing, but that this burden has eased now. </w:t>
      </w:r>
      <w:r w:rsidR="00AB0727" w:rsidRPr="009746CA">
        <w:t xml:space="preserve">MSAC considered that to have a sustainable pathology system it is important not to </w:t>
      </w:r>
      <w:r w:rsidR="007276AD">
        <w:t>have MBS fees below the cost to provide testing</w:t>
      </w:r>
      <w:r w:rsidR="00AB0727" w:rsidRPr="009746CA">
        <w:t>,</w:t>
      </w:r>
      <w:r w:rsidR="007276AD">
        <w:t xml:space="preserve"> so </w:t>
      </w:r>
      <w:r w:rsidR="00D8615F">
        <w:t xml:space="preserve">on balance </w:t>
      </w:r>
      <w:r w:rsidR="007276AD">
        <w:t>supported the DCAR’s proposed fees</w:t>
      </w:r>
      <w:r w:rsidR="00AB0727" w:rsidRPr="009746CA">
        <w:t>.</w:t>
      </w:r>
      <w:r w:rsidR="007276AD">
        <w:t xml:space="preserve"> </w:t>
      </w:r>
      <w:r w:rsidR="00D8615F">
        <w:t xml:space="preserve">However, MSAC considered these fees were incongruous with the fees for similar testing (for fewer pathogens) under the generic items. </w:t>
      </w:r>
      <w:r w:rsidR="007276AD">
        <w:t xml:space="preserve">MSAC </w:t>
      </w:r>
      <w:r w:rsidR="00D8615F">
        <w:t>considered that the fees for the generic items may be too low, so also advised</w:t>
      </w:r>
      <w:r w:rsidR="007276AD">
        <w:t xml:space="preserve"> </w:t>
      </w:r>
      <w:r w:rsidR="00203F99" w:rsidRPr="44FDBDD6">
        <w:rPr>
          <w:rFonts w:eastAsia="Calibri"/>
        </w:rPr>
        <w:t>the fees for the existing permanent generic items should be reviewed</w:t>
      </w:r>
      <w:r w:rsidR="00203F99">
        <w:rPr>
          <w:rFonts w:eastAsia="Calibri"/>
        </w:rPr>
        <w:t xml:space="preserve"> against bulk billing rates and for consistency with the supported fees</w:t>
      </w:r>
      <w:r w:rsidR="00203F99" w:rsidRPr="44FDBDD6">
        <w:rPr>
          <w:rFonts w:eastAsia="Calibri"/>
        </w:rPr>
        <w:t xml:space="preserve">. </w:t>
      </w:r>
      <w:r w:rsidR="00203F99" w:rsidRPr="00577C69">
        <w:rPr>
          <w:lang w:val="en-US" w:eastAsia="ja-JP"/>
        </w:rPr>
        <w:t> </w:t>
      </w:r>
      <w:r w:rsidR="00203F99" w:rsidRPr="00577C69">
        <w:rPr>
          <w:lang w:eastAsia="ja-JP"/>
        </w:rPr>
        <w:t> </w:t>
      </w:r>
      <w:r w:rsidRPr="00360AE1">
        <w:rPr>
          <w:rFonts w:ascii="Arial" w:hAnsi="Arial" w:cs="Arial"/>
        </w:rPr>
        <w:t>​</w:t>
      </w:r>
    </w:p>
    <w:p w14:paraId="7FA1F277" w14:textId="3D053A19" w:rsidR="007276AD" w:rsidRDefault="00681AA7" w:rsidP="00492984">
      <w:pPr>
        <w:rPr>
          <w:rFonts w:eastAsia="Franklin Gothic Book" w:cs="Franklin Gothic Book"/>
        </w:rPr>
      </w:pPr>
      <w:r>
        <w:t xml:space="preserve">MSAC noted </w:t>
      </w:r>
      <w:r w:rsidR="007276AD">
        <w:t xml:space="preserve">that utilisation had been </w:t>
      </w:r>
      <w:r w:rsidR="009C604A">
        <w:t>extrapolated</w:t>
      </w:r>
      <w:r w:rsidR="007276AD">
        <w:t xml:space="preserve"> </w:t>
      </w:r>
      <w:r w:rsidR="009C604A">
        <w:t>from</w:t>
      </w:r>
      <w:r w:rsidR="007276AD">
        <w:t xml:space="preserve"> service volumes of the temporary</w:t>
      </w:r>
      <w:r w:rsidR="009C604A">
        <w:t xml:space="preserve"> SARS-CoV-2</w:t>
      </w:r>
      <w:r w:rsidR="007276AD">
        <w:t xml:space="preserve"> items during the first 3 months after listing, which were summer months, and that ESC had considered the </w:t>
      </w:r>
      <w:r w:rsidR="009C604A">
        <w:t>estimated utilisation</w:t>
      </w:r>
      <w:r w:rsidR="007276AD">
        <w:t xml:space="preserve"> was uncertain</w:t>
      </w:r>
      <w:r w:rsidR="4517987A">
        <w:t xml:space="preserve"> as th</w:t>
      </w:r>
      <w:r w:rsidR="005D19E1">
        <w:t>ese</w:t>
      </w:r>
      <w:r w:rsidR="4517987A">
        <w:t xml:space="preserve"> data could not reliably be extrapolated for future disease incidence</w:t>
      </w:r>
      <w:r w:rsidR="007276AD">
        <w:t xml:space="preserve">. MSAC considered </w:t>
      </w:r>
      <w:r>
        <w:t xml:space="preserve">that </w:t>
      </w:r>
      <w:r w:rsidRPr="00360AE1">
        <w:t xml:space="preserve">the </w:t>
      </w:r>
      <w:r w:rsidR="007276AD">
        <w:t xml:space="preserve">estimated </w:t>
      </w:r>
      <w:r w:rsidRPr="00360AE1">
        <w:t xml:space="preserve">number of services and </w:t>
      </w:r>
      <w:r>
        <w:t xml:space="preserve">therefore the </w:t>
      </w:r>
      <w:r w:rsidRPr="00360AE1">
        <w:t>budget impact of those services</w:t>
      </w:r>
      <w:r w:rsidR="009C604A">
        <w:t xml:space="preserve"> </w:t>
      </w:r>
      <w:r w:rsidR="00352BC1">
        <w:t>was</w:t>
      </w:r>
      <w:r w:rsidR="009C604A">
        <w:t xml:space="preserve"> highly uncertain</w:t>
      </w:r>
      <w:r w:rsidRPr="00360AE1">
        <w:rPr>
          <w:rFonts w:ascii="Arial" w:hAnsi="Arial" w:cs="Arial"/>
        </w:rPr>
        <w:t>​</w:t>
      </w:r>
      <w:r>
        <w:t xml:space="preserve">. MSAC noted that the </w:t>
      </w:r>
      <w:r w:rsidR="009C604A">
        <w:t xml:space="preserve">DCAR estimated the </w:t>
      </w:r>
      <w:r w:rsidRPr="00360AE1">
        <w:t>net financial impact to MBS</w:t>
      </w:r>
      <w:r>
        <w:t xml:space="preserve"> to be $</w:t>
      </w:r>
      <w:r w:rsidRPr="00360AE1">
        <w:t>172</w:t>
      </w:r>
      <w:r w:rsidR="00DA009B">
        <w:t>.</w:t>
      </w:r>
      <w:r w:rsidR="005F1F43">
        <w:t>8</w:t>
      </w:r>
      <w:r w:rsidR="00386B20" w:rsidRPr="00386B20">
        <w:t xml:space="preserve"> </w:t>
      </w:r>
      <w:r w:rsidR="00386B20">
        <w:t>-184.5</w:t>
      </w:r>
      <w:r w:rsidR="0095097E">
        <w:t> </w:t>
      </w:r>
      <w:r w:rsidR="005F1F43">
        <w:t>million</w:t>
      </w:r>
      <w:r w:rsidR="0095097E">
        <w:t xml:space="preserve"> per year for option 1</w:t>
      </w:r>
      <w:r w:rsidR="00951574">
        <w:t>a</w:t>
      </w:r>
      <w:r>
        <w:t xml:space="preserve">. </w:t>
      </w:r>
      <w:r w:rsidR="00492984" w:rsidRPr="44FDBDD6">
        <w:t>MSAC considered the cost to the MBS was high</w:t>
      </w:r>
      <w:r w:rsidR="009C604A">
        <w:t>ly</w:t>
      </w:r>
      <w:r w:rsidR="00492984" w:rsidRPr="44FDBDD6">
        <w:t xml:space="preserve"> uncertain because long-term data</w:t>
      </w:r>
      <w:r w:rsidR="009C604A">
        <w:t xml:space="preserve"> do not yet exist for COVID-19. However, MSAC considered the DCAR had substantially overestimated utilisation: MSAC noted policy advice that</w:t>
      </w:r>
      <w:r w:rsidR="00492984" w:rsidRPr="44FDBDD6">
        <w:t xml:space="preserve"> </w:t>
      </w:r>
      <w:r w:rsidR="009C604A">
        <w:t xml:space="preserve">the cost of option 1a to the MBS over four years would be $358.6 million, which was about half the DCAR’s estimate ($705.3 million). MSAC considered </w:t>
      </w:r>
      <w:r w:rsidR="00492984" w:rsidRPr="44FDBDD6">
        <w:t xml:space="preserve">that </w:t>
      </w:r>
      <w:r w:rsidR="009C604A">
        <w:t xml:space="preserve">the policy-estimated cost aligned </w:t>
      </w:r>
      <w:r w:rsidR="009F1F5D">
        <w:t xml:space="preserve">well </w:t>
      </w:r>
      <w:r w:rsidR="009C604A">
        <w:t>with its own estimates</w:t>
      </w:r>
      <w:r w:rsidR="00492984" w:rsidRPr="44FDBDD6">
        <w:t xml:space="preserve">, </w:t>
      </w:r>
      <w:r w:rsidR="009C604A">
        <w:t>and so</w:t>
      </w:r>
      <w:r w:rsidR="009F1F5D">
        <w:t xml:space="preserve"> agreed with the policy-estimated cost of testing, </w:t>
      </w:r>
      <w:r w:rsidR="00492984" w:rsidRPr="44FDBDD6">
        <w:t xml:space="preserve">which </w:t>
      </w:r>
      <w:r w:rsidR="009F1F5D">
        <w:t xml:space="preserve">it advised </w:t>
      </w:r>
      <w:r w:rsidR="00492984" w:rsidRPr="44FDBDD6">
        <w:t xml:space="preserve">would </w:t>
      </w:r>
      <w:r w:rsidR="009C604A">
        <w:t>be</w:t>
      </w:r>
      <w:r w:rsidR="00492984" w:rsidRPr="44FDBDD6">
        <w:t xml:space="preserve"> an acceptable financial cost to the MBS. </w:t>
      </w:r>
      <w:r w:rsidR="00492984" w:rsidRPr="44FDBDD6">
        <w:rPr>
          <w:rFonts w:eastAsia="Franklin Gothic Book" w:cs="Franklin Gothic Book"/>
        </w:rPr>
        <w:t xml:space="preserve">MSAC </w:t>
      </w:r>
      <w:r w:rsidR="009F1F5D">
        <w:rPr>
          <w:rFonts w:eastAsia="Franklin Gothic Book" w:cs="Franklin Gothic Book"/>
        </w:rPr>
        <w:t xml:space="preserve">considered that although this was a more reasonable estimate utilisation remained uncertain, so </w:t>
      </w:r>
      <w:r w:rsidR="00492984" w:rsidRPr="44FDBDD6">
        <w:rPr>
          <w:rFonts w:eastAsia="Franklin Gothic Book" w:cs="Franklin Gothic Book"/>
        </w:rPr>
        <w:t>advised that utilisation should be reviewed after 3 years.</w:t>
      </w:r>
    </w:p>
    <w:p w14:paraId="485BC6FA" w14:textId="54879894" w:rsidR="00681AA7" w:rsidRDefault="007276AD" w:rsidP="00681AA7">
      <w:r>
        <w:lastRenderedPageBreak/>
        <w:t xml:space="preserve">MSAC noted that the MSAC Executive had also requested the assessment examine rapid NAAT, </w:t>
      </w:r>
      <w:r w:rsidR="009F1F5D">
        <w:t xml:space="preserve">and policy advice was that </w:t>
      </w:r>
      <w:r w:rsidR="005A4D76">
        <w:t xml:space="preserve">accredited </w:t>
      </w:r>
      <w:proofErr w:type="gramStart"/>
      <w:r w:rsidR="009F1F5D">
        <w:t>laboratory-based</w:t>
      </w:r>
      <w:proofErr w:type="gramEnd"/>
      <w:r w:rsidR="009F1F5D">
        <w:t xml:space="preserve"> rapid NAAT could be claimed on the MBS</w:t>
      </w:r>
      <w:r w:rsidR="59C663FC">
        <w:t xml:space="preserve"> </w:t>
      </w:r>
      <w:r w:rsidR="004D1BC4">
        <w:t>(</w:t>
      </w:r>
      <w:r w:rsidR="00DD7214">
        <w:t>al</w:t>
      </w:r>
      <w:r w:rsidR="3D463920">
        <w:t xml:space="preserve">though </w:t>
      </w:r>
      <w:r w:rsidR="74AD178A">
        <w:t>it would not incur ad</w:t>
      </w:r>
      <w:r w:rsidR="3D463920">
        <w:t xml:space="preserve">ditional reimbursement </w:t>
      </w:r>
      <w:r w:rsidR="6E468126">
        <w:t xml:space="preserve">above the rebate </w:t>
      </w:r>
      <w:r w:rsidR="3D463920">
        <w:t>for a standard NAAT</w:t>
      </w:r>
      <w:r w:rsidR="004D1BC4">
        <w:t>)</w:t>
      </w:r>
      <w:r w:rsidR="009F1F5D">
        <w:t xml:space="preserve">. However, MSAC </w:t>
      </w:r>
      <w:r>
        <w:t xml:space="preserve">considered that because rapid testing comprises </w:t>
      </w:r>
      <w:r w:rsidR="600E4ED8">
        <w:t>such a small proportion</w:t>
      </w:r>
      <w:r>
        <w:t xml:space="preserve"> of MBS-funded </w:t>
      </w:r>
      <w:r w:rsidR="36B71A9E">
        <w:t xml:space="preserve">respiratory pathogen </w:t>
      </w:r>
      <w:r>
        <w:t xml:space="preserve">testing, it was not relevant to </w:t>
      </w:r>
      <w:r w:rsidR="009F1F5D">
        <w:t>this application</w:t>
      </w:r>
      <w:r>
        <w:t>.</w:t>
      </w:r>
    </w:p>
    <w:p w14:paraId="6710B69D" w14:textId="71F6F3E2" w:rsidR="00772829" w:rsidRPr="00CE28E3" w:rsidRDefault="00CB2E78" w:rsidP="002A18BE">
      <w:pPr>
        <w:pStyle w:val="Heading2"/>
        <w:numPr>
          <w:ilvl w:val="0"/>
          <w:numId w:val="0"/>
        </w:numPr>
      </w:pPr>
      <w:r>
        <w:t>4.</w:t>
      </w:r>
      <w:r>
        <w:tab/>
      </w:r>
      <w:r w:rsidR="00772829" w:rsidRPr="00CE28E3">
        <w:t>Background</w:t>
      </w:r>
      <w:bookmarkEnd w:id="1"/>
    </w:p>
    <w:p w14:paraId="7F888C88" w14:textId="36CDA953" w:rsidR="0014379F" w:rsidRPr="00BA49C9" w:rsidRDefault="0014379F" w:rsidP="0014379F">
      <w:pPr>
        <w:pStyle w:val="Heading3"/>
      </w:pPr>
      <w:bookmarkStart w:id="3" w:name="_Toc130176986"/>
      <w:bookmarkStart w:id="4" w:name="_Toc133832614"/>
      <w:r w:rsidRPr="00BA49C9">
        <w:t xml:space="preserve">Background to </w:t>
      </w:r>
      <w:r w:rsidR="007853BA">
        <w:t>SARS-CoV-2</w:t>
      </w:r>
      <w:r w:rsidRPr="00BA49C9">
        <w:t xml:space="preserve"> nucleic acid</w:t>
      </w:r>
      <w:r w:rsidR="00CA2333">
        <w:t xml:space="preserve"> amplification</w:t>
      </w:r>
      <w:r w:rsidRPr="00BA49C9">
        <w:t xml:space="preserve"> testing</w:t>
      </w:r>
      <w:r>
        <w:t xml:space="preserve"> </w:t>
      </w:r>
      <w:r w:rsidRPr="00BA49C9">
        <w:t>(NAAT)</w:t>
      </w:r>
      <w:bookmarkEnd w:id="3"/>
      <w:bookmarkEnd w:id="4"/>
    </w:p>
    <w:p w14:paraId="44739B76" w14:textId="1812997B" w:rsidR="00790E4C" w:rsidRDefault="0014379F" w:rsidP="0014379F">
      <w:r w:rsidRPr="00BA49C9">
        <w:t>MSAC</w:t>
      </w:r>
      <w:r w:rsidRPr="003D4108">
        <w:t xml:space="preserve"> has </w:t>
      </w:r>
      <w:r>
        <w:t xml:space="preserve">not </w:t>
      </w:r>
      <w:r w:rsidRPr="003D4108">
        <w:t xml:space="preserve">previously considered </w:t>
      </w:r>
      <w:r>
        <w:t>nucleic acid testing</w:t>
      </w:r>
      <w:r w:rsidRPr="003D4108">
        <w:t xml:space="preserve"> for the </w:t>
      </w:r>
      <w:r>
        <w:t>diagnosis of SARS-CoV-2</w:t>
      </w:r>
      <w:r w:rsidR="00905CE9">
        <w:t>.</w:t>
      </w:r>
      <w:r>
        <w:t xml:space="preserve"> </w:t>
      </w:r>
      <w:r w:rsidR="00905CE9">
        <w:t>T</w:t>
      </w:r>
      <w:r>
        <w:t xml:space="preserve">he current permanent </w:t>
      </w:r>
      <w:r w:rsidR="00790E4C">
        <w:t xml:space="preserve">generic </w:t>
      </w:r>
      <w:r>
        <w:t xml:space="preserve">MBS items </w:t>
      </w:r>
      <w:r w:rsidR="00905CE9">
        <w:t xml:space="preserve">have been listed </w:t>
      </w:r>
      <w:r w:rsidR="000C37D7">
        <w:t>on</w:t>
      </w:r>
      <w:r w:rsidR="00905CE9">
        <w:t xml:space="preserve"> the MBS since</w:t>
      </w:r>
      <w:r w:rsidR="000C37D7">
        <w:t xml:space="preserve"> May 1, </w:t>
      </w:r>
      <w:proofErr w:type="gramStart"/>
      <w:r w:rsidR="000C37D7">
        <w:t>2007</w:t>
      </w:r>
      <w:proofErr w:type="gramEnd"/>
      <w:r w:rsidR="00D83309">
        <w:t xml:space="preserve"> or earlier</w:t>
      </w:r>
      <w:r>
        <w:t xml:space="preserve">. </w:t>
      </w:r>
      <w:r w:rsidR="00CA2333">
        <w:t>Currently, the test methodology used i</w:t>
      </w:r>
      <w:r w:rsidR="00725675">
        <w:t>nvolves</w:t>
      </w:r>
      <w:r w:rsidR="00CA2333">
        <w:t xml:space="preserve"> nucleic acid amplification</w:t>
      </w:r>
      <w:r w:rsidR="00725675">
        <w:t xml:space="preserve"> (of which, polymerase chain reaction (PCR) is an example)</w:t>
      </w:r>
      <w:r w:rsidR="00CA2333">
        <w:t xml:space="preserve">, although in future new methods may not require amplification. Thus, in this report, the term NAAT is used to describe the </w:t>
      </w:r>
      <w:r w:rsidR="00725675">
        <w:t xml:space="preserve">tests employed </w:t>
      </w:r>
      <w:r w:rsidR="00CA2333">
        <w:t>and the proposed item</w:t>
      </w:r>
      <w:r w:rsidR="00725675">
        <w:t xml:space="preserve"> descriptor</w:t>
      </w:r>
      <w:r w:rsidR="00564E94">
        <w:t>s</w:t>
      </w:r>
      <w:r w:rsidR="00725675">
        <w:t xml:space="preserve"> include the broader term</w:t>
      </w:r>
      <w:r w:rsidR="00564E94">
        <w:t xml:space="preserve"> to encompass future changes</w:t>
      </w:r>
      <w:r w:rsidR="00725675">
        <w:t>.</w:t>
      </w:r>
    </w:p>
    <w:p w14:paraId="68868EAC" w14:textId="27F230FA" w:rsidR="009F1F5D" w:rsidRDefault="00BC1A20" w:rsidP="0014379F">
      <w:r>
        <w:t xml:space="preserve">With the </w:t>
      </w:r>
      <w:r w:rsidR="00467652">
        <w:t xml:space="preserve">onset of the </w:t>
      </w:r>
      <w:r w:rsidR="00804454" w:rsidRPr="00804454">
        <w:t>Coronavirus disease 2019</w:t>
      </w:r>
      <w:r w:rsidR="00804454">
        <w:t xml:space="preserve"> (</w:t>
      </w:r>
      <w:r>
        <w:t>COVID-19</w:t>
      </w:r>
      <w:r w:rsidR="00804454">
        <w:t>)</w:t>
      </w:r>
      <w:r>
        <w:t xml:space="preserve"> pandemic</w:t>
      </w:r>
      <w:r w:rsidR="00467652">
        <w:t xml:space="preserve"> </w:t>
      </w:r>
      <w:r w:rsidR="00804454">
        <w:t xml:space="preserve">in Australia </w:t>
      </w:r>
      <w:r w:rsidR="00467652">
        <w:t>in early 2020</w:t>
      </w:r>
      <w:r>
        <w:t>, t</w:t>
      </w:r>
      <w:r w:rsidR="0014379F">
        <w:t>he</w:t>
      </w:r>
      <w:r w:rsidR="0014379F" w:rsidRPr="00F17139">
        <w:t xml:space="preserve"> </w:t>
      </w:r>
      <w:r w:rsidR="0014379F">
        <w:t>Australian Health Protection Principal Committee and National Cabinet recommended that temporary items be included in the MBS in addition to the existing permanent generic MBS items</w:t>
      </w:r>
      <w:r w:rsidR="004B74CA">
        <w:t xml:space="preserve"> which can be used</w:t>
      </w:r>
      <w:r w:rsidR="0014379F">
        <w:t xml:space="preserve"> for the detection of </w:t>
      </w:r>
      <w:r w:rsidR="00912878">
        <w:t>r</w:t>
      </w:r>
      <w:r w:rsidR="004B74CA">
        <w:t xml:space="preserve">espiratory </w:t>
      </w:r>
      <w:r w:rsidR="0014379F">
        <w:t>pathogens</w:t>
      </w:r>
      <w:r>
        <w:t>,</w:t>
      </w:r>
      <w:r w:rsidR="0014379F">
        <w:t xml:space="preserve"> </w:t>
      </w:r>
      <w:r w:rsidR="004B74CA">
        <w:t>but are</w:t>
      </w:r>
      <w:r w:rsidR="0014379F">
        <w:t xml:space="preserve"> not limited to respiratory pathogens and do not specify SARS-CoV-2 testing.</w:t>
      </w:r>
    </w:p>
    <w:p w14:paraId="3850DF51" w14:textId="5CA83906" w:rsidR="0014379F" w:rsidRDefault="0014379F" w:rsidP="008007DA">
      <w:pPr>
        <w:pStyle w:val="TableFigureHeading"/>
        <w:spacing w:after="120"/>
      </w:pPr>
      <w:r>
        <w:t xml:space="preserve">Table </w:t>
      </w:r>
      <w:r>
        <w:fldChar w:fldCharType="begin"/>
      </w:r>
      <w:r>
        <w:instrText>SEQ Table \* ARABIC</w:instrText>
      </w:r>
      <w:r>
        <w:fldChar w:fldCharType="separate"/>
      </w:r>
      <w:r w:rsidR="00525416">
        <w:rPr>
          <w:noProof/>
        </w:rPr>
        <w:t>2</w:t>
      </w:r>
      <w:r>
        <w:fldChar w:fldCharType="end"/>
      </w:r>
      <w:r>
        <w:t xml:space="preserve"> Permanent MBS items available for generic nucleic acid testing of resp</w:t>
      </w:r>
      <w:r>
        <w:rPr>
          <w:noProof/>
        </w:rPr>
        <w:t xml:space="preserve">iratory pathogens and temporary MBS items for SARS-CoV-2 nucleic testing </w:t>
      </w:r>
    </w:p>
    <w:tbl>
      <w:tblPr>
        <w:tblStyle w:val="TableGrid"/>
        <w:tblW w:w="0" w:type="auto"/>
        <w:jc w:val="center"/>
        <w:tblLook w:val="04A0" w:firstRow="1" w:lastRow="0" w:firstColumn="1" w:lastColumn="0" w:noHBand="0" w:noVBand="1"/>
      </w:tblPr>
      <w:tblGrid>
        <w:gridCol w:w="2254"/>
        <w:gridCol w:w="2254"/>
        <w:gridCol w:w="2254"/>
        <w:gridCol w:w="2254"/>
      </w:tblGrid>
      <w:tr w:rsidR="0014379F" w14:paraId="2567F3FB" w14:textId="77777777" w:rsidTr="001D278E">
        <w:trPr>
          <w:tblHeader/>
          <w:jc w:val="center"/>
        </w:trPr>
        <w:tc>
          <w:tcPr>
            <w:tcW w:w="2254" w:type="dxa"/>
            <w:vAlign w:val="center"/>
          </w:tcPr>
          <w:p w14:paraId="1193F421" w14:textId="77777777" w:rsidR="0014379F" w:rsidRDefault="0014379F" w:rsidP="008007DA">
            <w:pPr>
              <w:pStyle w:val="TableHeading0"/>
              <w:spacing w:before="0" w:after="0"/>
            </w:pPr>
          </w:p>
        </w:tc>
        <w:tc>
          <w:tcPr>
            <w:tcW w:w="6762" w:type="dxa"/>
            <w:gridSpan w:val="3"/>
            <w:vAlign w:val="center"/>
          </w:tcPr>
          <w:p w14:paraId="74095753" w14:textId="77777777" w:rsidR="0014379F" w:rsidRPr="00C22713" w:rsidRDefault="0014379F" w:rsidP="008007DA">
            <w:pPr>
              <w:pStyle w:val="TableHeading0"/>
              <w:spacing w:before="0" w:after="0"/>
              <w:jc w:val="center"/>
              <w:rPr>
                <w:bCs/>
              </w:rPr>
            </w:pPr>
            <w:r w:rsidRPr="00C22713">
              <w:rPr>
                <w:bCs/>
              </w:rPr>
              <w:t>MBS Item(s)</w:t>
            </w:r>
          </w:p>
        </w:tc>
      </w:tr>
      <w:tr w:rsidR="0014379F" w14:paraId="03DE98D0" w14:textId="77777777" w:rsidTr="001D278E">
        <w:trPr>
          <w:tblHeader/>
          <w:jc w:val="center"/>
        </w:trPr>
        <w:tc>
          <w:tcPr>
            <w:tcW w:w="2254" w:type="dxa"/>
            <w:vAlign w:val="center"/>
          </w:tcPr>
          <w:p w14:paraId="20079C28" w14:textId="77777777" w:rsidR="0014379F" w:rsidRPr="00C22713" w:rsidRDefault="0014379F" w:rsidP="008007DA">
            <w:pPr>
              <w:pStyle w:val="TableHeading0"/>
              <w:spacing w:before="0" w:after="0"/>
              <w:rPr>
                <w:bCs/>
              </w:rPr>
            </w:pPr>
            <w:r w:rsidRPr="00C22713">
              <w:rPr>
                <w:bCs/>
              </w:rPr>
              <w:t>Number of pathogens</w:t>
            </w:r>
          </w:p>
        </w:tc>
        <w:tc>
          <w:tcPr>
            <w:tcW w:w="2254" w:type="dxa"/>
            <w:vAlign w:val="center"/>
          </w:tcPr>
          <w:p w14:paraId="5EFE784E" w14:textId="77777777" w:rsidR="0014379F" w:rsidRPr="00C22713" w:rsidRDefault="0014379F" w:rsidP="008007DA">
            <w:pPr>
              <w:pStyle w:val="TableHeading0"/>
              <w:spacing w:before="0" w:after="0"/>
              <w:rPr>
                <w:bCs/>
              </w:rPr>
            </w:pPr>
            <w:r w:rsidRPr="00C22713">
              <w:rPr>
                <w:bCs/>
              </w:rPr>
              <w:t>Generic nucleic acid test (NAT) items – other than SARS-CoV-2</w:t>
            </w:r>
          </w:p>
        </w:tc>
        <w:tc>
          <w:tcPr>
            <w:tcW w:w="2254" w:type="dxa"/>
            <w:vAlign w:val="center"/>
          </w:tcPr>
          <w:p w14:paraId="635A3701" w14:textId="77025852" w:rsidR="0014379F" w:rsidRPr="00C22713" w:rsidRDefault="00732905" w:rsidP="008007DA">
            <w:pPr>
              <w:pStyle w:val="TableHeading0"/>
              <w:spacing w:before="0" w:after="0"/>
              <w:rPr>
                <w:bCs/>
              </w:rPr>
            </w:pPr>
            <w:r>
              <w:rPr>
                <w:bCs/>
              </w:rPr>
              <w:t xml:space="preserve">SARS-CoV-2 and respiratory pathogen </w:t>
            </w:r>
            <w:r w:rsidR="0014379F" w:rsidRPr="00C22713">
              <w:rPr>
                <w:bCs/>
              </w:rPr>
              <w:t>Items (1 April 2020 to 30 September 2022)</w:t>
            </w:r>
          </w:p>
        </w:tc>
        <w:tc>
          <w:tcPr>
            <w:tcW w:w="2254" w:type="dxa"/>
            <w:vAlign w:val="center"/>
          </w:tcPr>
          <w:p w14:paraId="16FD0612" w14:textId="30034716" w:rsidR="0014379F" w:rsidRPr="00C22713" w:rsidRDefault="00732905" w:rsidP="008007DA">
            <w:pPr>
              <w:pStyle w:val="TableHeading0"/>
              <w:spacing w:before="0" w:after="0"/>
              <w:rPr>
                <w:bCs/>
              </w:rPr>
            </w:pPr>
            <w:r>
              <w:rPr>
                <w:bCs/>
              </w:rPr>
              <w:t>Single SARS-CoV-2 and combined respiratory pathogen</w:t>
            </w:r>
            <w:r w:rsidR="0014379F" w:rsidRPr="00C22713">
              <w:rPr>
                <w:bCs/>
              </w:rPr>
              <w:t xml:space="preserve"> Items (1 October </w:t>
            </w:r>
            <w:r w:rsidR="009B2E69">
              <w:rPr>
                <w:bCs/>
              </w:rPr>
              <w:t xml:space="preserve">2022 </w:t>
            </w:r>
            <w:r w:rsidR="0014379F" w:rsidRPr="00C22713">
              <w:rPr>
                <w:bCs/>
              </w:rPr>
              <w:t>to 31 December 2023</w:t>
            </w:r>
          </w:p>
        </w:tc>
      </w:tr>
      <w:tr w:rsidR="0014379F" w14:paraId="1F66A6B9" w14:textId="77777777" w:rsidTr="0019128E">
        <w:trPr>
          <w:jc w:val="center"/>
        </w:trPr>
        <w:tc>
          <w:tcPr>
            <w:tcW w:w="2254" w:type="dxa"/>
            <w:vAlign w:val="center"/>
          </w:tcPr>
          <w:p w14:paraId="0D9926DA" w14:textId="77777777" w:rsidR="0014379F" w:rsidRPr="00163E5D" w:rsidRDefault="0014379F" w:rsidP="008007DA">
            <w:pPr>
              <w:pStyle w:val="TableHeading0"/>
              <w:spacing w:before="0" w:after="0"/>
            </w:pPr>
            <w:r w:rsidRPr="00163E5D">
              <w:t>1</w:t>
            </w:r>
          </w:p>
        </w:tc>
        <w:tc>
          <w:tcPr>
            <w:tcW w:w="2254" w:type="dxa"/>
            <w:vAlign w:val="center"/>
          </w:tcPr>
          <w:p w14:paraId="47743104" w14:textId="77777777" w:rsidR="0014379F" w:rsidRPr="00163E5D" w:rsidRDefault="0014379F" w:rsidP="008007DA">
            <w:pPr>
              <w:pStyle w:val="TableText"/>
              <w:spacing w:before="0" w:after="0"/>
            </w:pPr>
            <w:r w:rsidRPr="00163E5D">
              <w:t>69494</w:t>
            </w:r>
          </w:p>
        </w:tc>
        <w:tc>
          <w:tcPr>
            <w:tcW w:w="2254" w:type="dxa"/>
            <w:vAlign w:val="center"/>
          </w:tcPr>
          <w:p w14:paraId="4F894CA8" w14:textId="77777777" w:rsidR="0014379F" w:rsidRPr="00163E5D" w:rsidRDefault="0014379F" w:rsidP="008007DA">
            <w:pPr>
              <w:pStyle w:val="TableText"/>
              <w:spacing w:before="0" w:after="0"/>
            </w:pPr>
            <w:r w:rsidRPr="00163E5D">
              <w:t>69479 or 69480</w:t>
            </w:r>
          </w:p>
        </w:tc>
        <w:tc>
          <w:tcPr>
            <w:tcW w:w="2254" w:type="dxa"/>
            <w:vAlign w:val="center"/>
          </w:tcPr>
          <w:p w14:paraId="614E9994" w14:textId="77777777" w:rsidR="0014379F" w:rsidRPr="00163E5D" w:rsidRDefault="0014379F" w:rsidP="008007DA">
            <w:pPr>
              <w:pStyle w:val="TableText"/>
              <w:spacing w:before="0" w:after="0"/>
            </w:pPr>
            <w:r w:rsidRPr="00163E5D">
              <w:t>69506 or 69511</w:t>
            </w:r>
          </w:p>
        </w:tc>
      </w:tr>
      <w:tr w:rsidR="0014379F" w14:paraId="44A40CDF" w14:textId="77777777" w:rsidTr="0019128E">
        <w:trPr>
          <w:jc w:val="center"/>
        </w:trPr>
        <w:tc>
          <w:tcPr>
            <w:tcW w:w="2254" w:type="dxa"/>
            <w:vAlign w:val="center"/>
          </w:tcPr>
          <w:p w14:paraId="4016C686" w14:textId="77777777" w:rsidR="0014379F" w:rsidRPr="00163E5D" w:rsidRDefault="0014379F" w:rsidP="008007DA">
            <w:pPr>
              <w:pStyle w:val="TableHeading0"/>
              <w:spacing w:before="0" w:after="0"/>
            </w:pPr>
            <w:r w:rsidRPr="00163E5D">
              <w:t>2</w:t>
            </w:r>
          </w:p>
        </w:tc>
        <w:tc>
          <w:tcPr>
            <w:tcW w:w="2254" w:type="dxa"/>
            <w:vAlign w:val="center"/>
          </w:tcPr>
          <w:p w14:paraId="44CAC8D0" w14:textId="77777777" w:rsidR="0014379F" w:rsidRPr="00163E5D" w:rsidRDefault="0014379F" w:rsidP="008007DA">
            <w:pPr>
              <w:pStyle w:val="TableText"/>
              <w:spacing w:before="0" w:after="0"/>
            </w:pPr>
            <w:r w:rsidRPr="00163E5D">
              <w:t>69495</w:t>
            </w:r>
          </w:p>
        </w:tc>
        <w:tc>
          <w:tcPr>
            <w:tcW w:w="2254" w:type="dxa"/>
            <w:vAlign w:val="center"/>
          </w:tcPr>
          <w:p w14:paraId="3286AE01" w14:textId="77777777" w:rsidR="0014379F" w:rsidRPr="00163E5D" w:rsidRDefault="0014379F" w:rsidP="008007DA">
            <w:pPr>
              <w:pStyle w:val="TableText"/>
              <w:spacing w:before="0" w:after="0"/>
            </w:pPr>
            <w:r w:rsidRPr="00163E5D">
              <w:t>69479 or 69480 and 69494</w:t>
            </w:r>
          </w:p>
        </w:tc>
        <w:tc>
          <w:tcPr>
            <w:tcW w:w="2254" w:type="dxa"/>
            <w:vMerge w:val="restart"/>
            <w:vAlign w:val="center"/>
          </w:tcPr>
          <w:p w14:paraId="73CE190D" w14:textId="77777777" w:rsidR="0014379F" w:rsidRPr="00163E5D" w:rsidRDefault="0014379F" w:rsidP="008007DA">
            <w:pPr>
              <w:pStyle w:val="TableText"/>
              <w:spacing w:before="0" w:after="0"/>
            </w:pPr>
            <w:r w:rsidRPr="00163E5D">
              <w:t>69507 or 69512</w:t>
            </w:r>
          </w:p>
        </w:tc>
      </w:tr>
      <w:tr w:rsidR="0014379F" w14:paraId="201D6E9C" w14:textId="77777777" w:rsidTr="0019128E">
        <w:trPr>
          <w:jc w:val="center"/>
        </w:trPr>
        <w:tc>
          <w:tcPr>
            <w:tcW w:w="2254" w:type="dxa"/>
            <w:vAlign w:val="center"/>
          </w:tcPr>
          <w:p w14:paraId="648E984F" w14:textId="77777777" w:rsidR="0014379F" w:rsidRPr="00163E5D" w:rsidRDefault="0014379F" w:rsidP="008007DA">
            <w:pPr>
              <w:pStyle w:val="TableHeading0"/>
              <w:spacing w:before="0" w:after="0"/>
            </w:pPr>
            <w:r w:rsidRPr="00163E5D">
              <w:t>3</w:t>
            </w:r>
          </w:p>
        </w:tc>
        <w:tc>
          <w:tcPr>
            <w:tcW w:w="2254" w:type="dxa"/>
            <w:vMerge w:val="restart"/>
            <w:vAlign w:val="center"/>
          </w:tcPr>
          <w:p w14:paraId="4D75EB9C" w14:textId="77777777" w:rsidR="0014379F" w:rsidRPr="00163E5D" w:rsidRDefault="0014379F" w:rsidP="008007DA">
            <w:pPr>
              <w:pStyle w:val="TableText"/>
              <w:spacing w:before="0" w:after="0"/>
            </w:pPr>
            <w:r w:rsidRPr="00163E5D">
              <w:t>69496</w:t>
            </w:r>
          </w:p>
        </w:tc>
        <w:tc>
          <w:tcPr>
            <w:tcW w:w="2254" w:type="dxa"/>
            <w:vAlign w:val="center"/>
          </w:tcPr>
          <w:p w14:paraId="3FDCA281" w14:textId="7BF4BCF7" w:rsidR="0014379F" w:rsidRPr="00163E5D" w:rsidRDefault="0014379F" w:rsidP="008007DA">
            <w:pPr>
              <w:pStyle w:val="TableText"/>
              <w:spacing w:before="0" w:after="0"/>
            </w:pPr>
            <w:r w:rsidRPr="00163E5D">
              <w:t>69479 or 69480 and 69495</w:t>
            </w:r>
          </w:p>
        </w:tc>
        <w:tc>
          <w:tcPr>
            <w:tcW w:w="2254" w:type="dxa"/>
            <w:vMerge/>
            <w:vAlign w:val="center"/>
          </w:tcPr>
          <w:p w14:paraId="0E52F8BF" w14:textId="77777777" w:rsidR="0014379F" w:rsidRPr="00163E5D" w:rsidRDefault="0014379F" w:rsidP="008007DA">
            <w:pPr>
              <w:pStyle w:val="TableText"/>
              <w:spacing w:before="0" w:after="0"/>
            </w:pPr>
          </w:p>
        </w:tc>
      </w:tr>
      <w:tr w:rsidR="0014379F" w14:paraId="164140ED" w14:textId="77777777" w:rsidTr="0019128E">
        <w:trPr>
          <w:jc w:val="center"/>
        </w:trPr>
        <w:tc>
          <w:tcPr>
            <w:tcW w:w="2254" w:type="dxa"/>
            <w:vAlign w:val="center"/>
          </w:tcPr>
          <w:p w14:paraId="24292B7E" w14:textId="77777777" w:rsidR="0014379F" w:rsidRPr="00163E5D" w:rsidRDefault="0014379F" w:rsidP="008007DA">
            <w:pPr>
              <w:pStyle w:val="TableHeading0"/>
              <w:spacing w:before="0" w:after="0"/>
            </w:pPr>
            <w:r w:rsidRPr="00163E5D">
              <w:t>4</w:t>
            </w:r>
          </w:p>
        </w:tc>
        <w:tc>
          <w:tcPr>
            <w:tcW w:w="2254" w:type="dxa"/>
            <w:vMerge/>
            <w:vAlign w:val="center"/>
          </w:tcPr>
          <w:p w14:paraId="5A764BED" w14:textId="77777777" w:rsidR="0014379F" w:rsidRPr="00163E5D" w:rsidRDefault="0014379F" w:rsidP="008007DA">
            <w:pPr>
              <w:pStyle w:val="TableText"/>
              <w:spacing w:before="0" w:after="0"/>
            </w:pPr>
          </w:p>
        </w:tc>
        <w:tc>
          <w:tcPr>
            <w:tcW w:w="2254" w:type="dxa"/>
            <w:vMerge w:val="restart"/>
            <w:vAlign w:val="center"/>
          </w:tcPr>
          <w:p w14:paraId="074BA40F" w14:textId="77777777" w:rsidR="0014379F" w:rsidRPr="00163E5D" w:rsidRDefault="0014379F" w:rsidP="008007DA">
            <w:pPr>
              <w:pStyle w:val="TableText"/>
              <w:spacing w:before="0" w:after="0"/>
            </w:pPr>
            <w:r w:rsidRPr="00163E5D">
              <w:t>69479 or 69480 and 69496</w:t>
            </w:r>
          </w:p>
        </w:tc>
        <w:tc>
          <w:tcPr>
            <w:tcW w:w="2254" w:type="dxa"/>
            <w:vMerge/>
            <w:vAlign w:val="center"/>
          </w:tcPr>
          <w:p w14:paraId="7BE18892" w14:textId="77777777" w:rsidR="0014379F" w:rsidRPr="00163E5D" w:rsidRDefault="0014379F" w:rsidP="008007DA">
            <w:pPr>
              <w:pStyle w:val="TableText"/>
              <w:spacing w:before="0" w:after="0"/>
            </w:pPr>
          </w:p>
        </w:tc>
      </w:tr>
      <w:tr w:rsidR="0014379F" w14:paraId="0B6348CB" w14:textId="77777777" w:rsidTr="0019128E">
        <w:trPr>
          <w:jc w:val="center"/>
        </w:trPr>
        <w:tc>
          <w:tcPr>
            <w:tcW w:w="2254" w:type="dxa"/>
            <w:vAlign w:val="center"/>
          </w:tcPr>
          <w:p w14:paraId="60648F8C" w14:textId="77777777" w:rsidR="0014379F" w:rsidRPr="00163E5D" w:rsidRDefault="0014379F" w:rsidP="008007DA">
            <w:pPr>
              <w:pStyle w:val="TableHeading0"/>
              <w:spacing w:before="0" w:after="0"/>
            </w:pPr>
            <w:r w:rsidRPr="00163E5D">
              <w:t>5</w:t>
            </w:r>
          </w:p>
        </w:tc>
        <w:tc>
          <w:tcPr>
            <w:tcW w:w="2254" w:type="dxa"/>
            <w:vMerge/>
            <w:vAlign w:val="center"/>
          </w:tcPr>
          <w:p w14:paraId="0CE3EAB1" w14:textId="77777777" w:rsidR="0014379F" w:rsidRPr="00163E5D" w:rsidRDefault="0014379F" w:rsidP="008007DA">
            <w:pPr>
              <w:pStyle w:val="TableText"/>
              <w:spacing w:before="0" w:after="0"/>
            </w:pPr>
          </w:p>
        </w:tc>
        <w:tc>
          <w:tcPr>
            <w:tcW w:w="2254" w:type="dxa"/>
            <w:vMerge/>
            <w:vAlign w:val="center"/>
          </w:tcPr>
          <w:p w14:paraId="1EAF534E" w14:textId="77777777" w:rsidR="0014379F" w:rsidRPr="00163E5D" w:rsidRDefault="0014379F" w:rsidP="008007DA">
            <w:pPr>
              <w:pStyle w:val="TableText"/>
              <w:spacing w:before="0" w:after="0"/>
            </w:pPr>
          </w:p>
        </w:tc>
        <w:tc>
          <w:tcPr>
            <w:tcW w:w="2254" w:type="dxa"/>
            <w:vMerge w:val="restart"/>
            <w:vAlign w:val="center"/>
          </w:tcPr>
          <w:p w14:paraId="471BAA5B" w14:textId="77777777" w:rsidR="0014379F" w:rsidRPr="00163E5D" w:rsidRDefault="0014379F" w:rsidP="008007DA">
            <w:pPr>
              <w:pStyle w:val="TableText"/>
              <w:spacing w:before="0" w:after="0"/>
            </w:pPr>
            <w:r w:rsidRPr="00163E5D">
              <w:t>69508 or 69513</w:t>
            </w:r>
          </w:p>
        </w:tc>
      </w:tr>
      <w:tr w:rsidR="0014379F" w14:paraId="33C3017A" w14:textId="77777777" w:rsidTr="0019128E">
        <w:trPr>
          <w:jc w:val="center"/>
        </w:trPr>
        <w:tc>
          <w:tcPr>
            <w:tcW w:w="2254" w:type="dxa"/>
            <w:vAlign w:val="center"/>
          </w:tcPr>
          <w:p w14:paraId="7AEC3E27" w14:textId="77777777" w:rsidR="0014379F" w:rsidRPr="00163E5D" w:rsidRDefault="0014379F" w:rsidP="008007DA">
            <w:pPr>
              <w:pStyle w:val="TableHeading0"/>
              <w:spacing w:before="0" w:after="0"/>
            </w:pPr>
            <w:r w:rsidRPr="00163E5D">
              <w:t>6</w:t>
            </w:r>
          </w:p>
        </w:tc>
        <w:tc>
          <w:tcPr>
            <w:tcW w:w="2254" w:type="dxa"/>
            <w:vMerge/>
            <w:vAlign w:val="center"/>
          </w:tcPr>
          <w:p w14:paraId="54195707" w14:textId="77777777" w:rsidR="0014379F" w:rsidRPr="00163E5D" w:rsidRDefault="0014379F" w:rsidP="008007DA">
            <w:pPr>
              <w:pStyle w:val="TableText"/>
              <w:spacing w:before="0" w:after="0"/>
            </w:pPr>
          </w:p>
        </w:tc>
        <w:tc>
          <w:tcPr>
            <w:tcW w:w="2254" w:type="dxa"/>
            <w:vMerge/>
            <w:vAlign w:val="center"/>
          </w:tcPr>
          <w:p w14:paraId="6B2C80EE" w14:textId="77777777" w:rsidR="0014379F" w:rsidRPr="00163E5D" w:rsidRDefault="0014379F" w:rsidP="008007DA">
            <w:pPr>
              <w:pStyle w:val="TableText"/>
              <w:spacing w:before="0" w:after="0"/>
            </w:pPr>
          </w:p>
        </w:tc>
        <w:tc>
          <w:tcPr>
            <w:tcW w:w="2254" w:type="dxa"/>
            <w:vMerge/>
            <w:vAlign w:val="center"/>
          </w:tcPr>
          <w:p w14:paraId="255B1F0D" w14:textId="77777777" w:rsidR="0014379F" w:rsidRPr="00163E5D" w:rsidRDefault="0014379F" w:rsidP="008007DA">
            <w:pPr>
              <w:pStyle w:val="TableText"/>
              <w:spacing w:before="0" w:after="0"/>
            </w:pPr>
          </w:p>
        </w:tc>
      </w:tr>
      <w:tr w:rsidR="0014379F" w14:paraId="0125FAE9" w14:textId="77777777" w:rsidTr="0019128E">
        <w:trPr>
          <w:jc w:val="center"/>
        </w:trPr>
        <w:tc>
          <w:tcPr>
            <w:tcW w:w="2254" w:type="dxa"/>
            <w:vAlign w:val="center"/>
          </w:tcPr>
          <w:p w14:paraId="5B1C714C" w14:textId="77777777" w:rsidR="0014379F" w:rsidRPr="00163E5D" w:rsidRDefault="0014379F" w:rsidP="008007DA">
            <w:pPr>
              <w:pStyle w:val="TableHeading0"/>
              <w:spacing w:before="0" w:after="0"/>
            </w:pPr>
            <w:r w:rsidRPr="00163E5D">
              <w:t>7</w:t>
            </w:r>
          </w:p>
        </w:tc>
        <w:tc>
          <w:tcPr>
            <w:tcW w:w="2254" w:type="dxa"/>
            <w:vMerge/>
            <w:vAlign w:val="center"/>
          </w:tcPr>
          <w:p w14:paraId="6D33517D" w14:textId="77777777" w:rsidR="0014379F" w:rsidRPr="00163E5D" w:rsidRDefault="0014379F" w:rsidP="008007DA">
            <w:pPr>
              <w:pStyle w:val="TableText"/>
              <w:spacing w:before="0" w:after="0"/>
            </w:pPr>
          </w:p>
        </w:tc>
        <w:tc>
          <w:tcPr>
            <w:tcW w:w="2254" w:type="dxa"/>
            <w:vMerge/>
            <w:vAlign w:val="center"/>
          </w:tcPr>
          <w:p w14:paraId="64CA234A" w14:textId="77777777" w:rsidR="0014379F" w:rsidRPr="00163E5D" w:rsidRDefault="0014379F" w:rsidP="008007DA">
            <w:pPr>
              <w:pStyle w:val="TableText"/>
              <w:spacing w:before="0" w:after="0"/>
            </w:pPr>
          </w:p>
        </w:tc>
        <w:tc>
          <w:tcPr>
            <w:tcW w:w="2254" w:type="dxa"/>
            <w:vMerge/>
            <w:vAlign w:val="center"/>
          </w:tcPr>
          <w:p w14:paraId="39B8C9E4" w14:textId="77777777" w:rsidR="0014379F" w:rsidRPr="00163E5D" w:rsidRDefault="0014379F" w:rsidP="008007DA">
            <w:pPr>
              <w:pStyle w:val="TableText"/>
              <w:spacing w:before="0" w:after="0"/>
            </w:pPr>
          </w:p>
        </w:tc>
      </w:tr>
      <w:tr w:rsidR="0014379F" w14:paraId="426D94F4" w14:textId="77777777" w:rsidTr="0019128E">
        <w:trPr>
          <w:jc w:val="center"/>
        </w:trPr>
        <w:tc>
          <w:tcPr>
            <w:tcW w:w="2254" w:type="dxa"/>
            <w:vAlign w:val="center"/>
          </w:tcPr>
          <w:p w14:paraId="29177046" w14:textId="77777777" w:rsidR="0014379F" w:rsidRPr="00163E5D" w:rsidRDefault="0014379F" w:rsidP="008007DA">
            <w:pPr>
              <w:pStyle w:val="TableHeading0"/>
              <w:spacing w:before="0" w:after="0"/>
            </w:pPr>
            <w:r w:rsidRPr="00163E5D">
              <w:t>8</w:t>
            </w:r>
          </w:p>
        </w:tc>
        <w:tc>
          <w:tcPr>
            <w:tcW w:w="2254" w:type="dxa"/>
            <w:vMerge/>
            <w:vAlign w:val="center"/>
          </w:tcPr>
          <w:p w14:paraId="033AE6AE" w14:textId="77777777" w:rsidR="0014379F" w:rsidRPr="00163E5D" w:rsidRDefault="0014379F" w:rsidP="008007DA">
            <w:pPr>
              <w:pStyle w:val="TableText"/>
              <w:spacing w:before="0" w:after="0"/>
            </w:pPr>
          </w:p>
        </w:tc>
        <w:tc>
          <w:tcPr>
            <w:tcW w:w="2254" w:type="dxa"/>
            <w:vMerge/>
            <w:vAlign w:val="center"/>
          </w:tcPr>
          <w:p w14:paraId="05B05780" w14:textId="77777777" w:rsidR="0014379F" w:rsidRPr="00163E5D" w:rsidRDefault="0014379F" w:rsidP="008007DA">
            <w:pPr>
              <w:pStyle w:val="TableText"/>
              <w:spacing w:before="0" w:after="0"/>
            </w:pPr>
          </w:p>
        </w:tc>
        <w:tc>
          <w:tcPr>
            <w:tcW w:w="2254" w:type="dxa"/>
            <w:vMerge/>
            <w:vAlign w:val="center"/>
          </w:tcPr>
          <w:p w14:paraId="591980C3" w14:textId="77777777" w:rsidR="0014379F" w:rsidRPr="00163E5D" w:rsidRDefault="0014379F" w:rsidP="008007DA">
            <w:pPr>
              <w:pStyle w:val="TableText"/>
              <w:spacing w:before="0" w:after="0"/>
            </w:pPr>
          </w:p>
        </w:tc>
      </w:tr>
      <w:tr w:rsidR="0014379F" w14:paraId="0E769F83" w14:textId="77777777" w:rsidTr="0019128E">
        <w:trPr>
          <w:jc w:val="center"/>
        </w:trPr>
        <w:tc>
          <w:tcPr>
            <w:tcW w:w="2254" w:type="dxa"/>
            <w:vAlign w:val="center"/>
          </w:tcPr>
          <w:p w14:paraId="00F83EF8" w14:textId="77777777" w:rsidR="0014379F" w:rsidRPr="00163E5D" w:rsidRDefault="0014379F" w:rsidP="008007DA">
            <w:pPr>
              <w:pStyle w:val="TableHeading0"/>
              <w:spacing w:before="0" w:after="0"/>
            </w:pPr>
            <w:r w:rsidRPr="00163E5D">
              <w:t>9</w:t>
            </w:r>
          </w:p>
        </w:tc>
        <w:tc>
          <w:tcPr>
            <w:tcW w:w="2254" w:type="dxa"/>
            <w:vMerge/>
            <w:vAlign w:val="center"/>
          </w:tcPr>
          <w:p w14:paraId="4E9459E7" w14:textId="77777777" w:rsidR="0014379F" w:rsidRPr="00163E5D" w:rsidRDefault="0014379F" w:rsidP="008007DA">
            <w:pPr>
              <w:pStyle w:val="TableText"/>
              <w:spacing w:before="0" w:after="0"/>
            </w:pPr>
          </w:p>
        </w:tc>
        <w:tc>
          <w:tcPr>
            <w:tcW w:w="2254" w:type="dxa"/>
            <w:vMerge/>
            <w:vAlign w:val="center"/>
          </w:tcPr>
          <w:p w14:paraId="2C49DA66" w14:textId="77777777" w:rsidR="0014379F" w:rsidRPr="00163E5D" w:rsidRDefault="0014379F" w:rsidP="008007DA">
            <w:pPr>
              <w:pStyle w:val="TableText"/>
              <w:spacing w:before="0" w:after="0"/>
            </w:pPr>
          </w:p>
        </w:tc>
        <w:tc>
          <w:tcPr>
            <w:tcW w:w="2254" w:type="dxa"/>
            <w:vMerge w:val="restart"/>
            <w:vAlign w:val="center"/>
          </w:tcPr>
          <w:p w14:paraId="284C3414" w14:textId="77777777" w:rsidR="0014379F" w:rsidRPr="00163E5D" w:rsidRDefault="0014379F" w:rsidP="008007DA">
            <w:pPr>
              <w:pStyle w:val="TableText"/>
              <w:spacing w:before="0" w:after="0"/>
            </w:pPr>
            <w:r w:rsidRPr="00163E5D">
              <w:t>69509 or 69514</w:t>
            </w:r>
          </w:p>
        </w:tc>
      </w:tr>
      <w:tr w:rsidR="0014379F" w14:paraId="7E4672E2" w14:textId="77777777" w:rsidTr="0019128E">
        <w:trPr>
          <w:jc w:val="center"/>
        </w:trPr>
        <w:tc>
          <w:tcPr>
            <w:tcW w:w="2254" w:type="dxa"/>
            <w:vAlign w:val="center"/>
          </w:tcPr>
          <w:p w14:paraId="77D21990" w14:textId="77777777" w:rsidR="0014379F" w:rsidRPr="00163E5D" w:rsidRDefault="0014379F" w:rsidP="008007DA">
            <w:pPr>
              <w:pStyle w:val="TableHeading0"/>
              <w:spacing w:before="0" w:after="0"/>
            </w:pPr>
            <w:r w:rsidRPr="00163E5D">
              <w:t>10</w:t>
            </w:r>
          </w:p>
        </w:tc>
        <w:tc>
          <w:tcPr>
            <w:tcW w:w="2254" w:type="dxa"/>
            <w:vMerge/>
            <w:vAlign w:val="center"/>
          </w:tcPr>
          <w:p w14:paraId="522B9343" w14:textId="77777777" w:rsidR="0014379F" w:rsidRDefault="0014379F" w:rsidP="008007DA">
            <w:pPr>
              <w:spacing w:before="0"/>
              <w:jc w:val="center"/>
            </w:pPr>
          </w:p>
        </w:tc>
        <w:tc>
          <w:tcPr>
            <w:tcW w:w="2254" w:type="dxa"/>
            <w:vMerge/>
            <w:vAlign w:val="center"/>
          </w:tcPr>
          <w:p w14:paraId="6CBD452F" w14:textId="77777777" w:rsidR="0014379F" w:rsidRDefault="0014379F" w:rsidP="008007DA">
            <w:pPr>
              <w:spacing w:before="0"/>
              <w:jc w:val="center"/>
            </w:pPr>
          </w:p>
        </w:tc>
        <w:tc>
          <w:tcPr>
            <w:tcW w:w="2254" w:type="dxa"/>
            <w:vMerge/>
            <w:vAlign w:val="center"/>
          </w:tcPr>
          <w:p w14:paraId="3413FFBB" w14:textId="77777777" w:rsidR="0014379F" w:rsidRDefault="0014379F" w:rsidP="008007DA">
            <w:pPr>
              <w:spacing w:before="0"/>
              <w:jc w:val="center"/>
            </w:pPr>
          </w:p>
        </w:tc>
      </w:tr>
      <w:tr w:rsidR="0014379F" w14:paraId="35701071" w14:textId="77777777" w:rsidTr="0019128E">
        <w:trPr>
          <w:jc w:val="center"/>
        </w:trPr>
        <w:tc>
          <w:tcPr>
            <w:tcW w:w="2254" w:type="dxa"/>
            <w:vAlign w:val="center"/>
          </w:tcPr>
          <w:p w14:paraId="6FB25304" w14:textId="77777777" w:rsidR="0014379F" w:rsidRPr="00163E5D" w:rsidRDefault="0014379F" w:rsidP="008007DA">
            <w:pPr>
              <w:pStyle w:val="TableHeading0"/>
              <w:spacing w:before="0" w:after="0"/>
            </w:pPr>
            <w:r w:rsidRPr="00163E5D">
              <w:t>11</w:t>
            </w:r>
          </w:p>
        </w:tc>
        <w:tc>
          <w:tcPr>
            <w:tcW w:w="2254" w:type="dxa"/>
            <w:vMerge/>
            <w:vAlign w:val="center"/>
          </w:tcPr>
          <w:p w14:paraId="2727B7AA" w14:textId="77777777" w:rsidR="0014379F" w:rsidRDefault="0014379F" w:rsidP="008007DA">
            <w:pPr>
              <w:spacing w:before="0"/>
              <w:jc w:val="center"/>
            </w:pPr>
          </w:p>
        </w:tc>
        <w:tc>
          <w:tcPr>
            <w:tcW w:w="2254" w:type="dxa"/>
            <w:vMerge/>
            <w:vAlign w:val="center"/>
          </w:tcPr>
          <w:p w14:paraId="39BDCE4C" w14:textId="77777777" w:rsidR="0014379F" w:rsidRDefault="0014379F" w:rsidP="008007DA">
            <w:pPr>
              <w:spacing w:before="0"/>
              <w:jc w:val="center"/>
            </w:pPr>
          </w:p>
        </w:tc>
        <w:tc>
          <w:tcPr>
            <w:tcW w:w="2254" w:type="dxa"/>
            <w:vMerge/>
            <w:vAlign w:val="center"/>
          </w:tcPr>
          <w:p w14:paraId="41A015C5" w14:textId="77777777" w:rsidR="0014379F" w:rsidRDefault="0014379F" w:rsidP="008007DA">
            <w:pPr>
              <w:spacing w:before="0"/>
              <w:jc w:val="center"/>
            </w:pPr>
          </w:p>
        </w:tc>
      </w:tr>
      <w:tr w:rsidR="0014379F" w14:paraId="4A8A6301" w14:textId="77777777" w:rsidTr="0019128E">
        <w:trPr>
          <w:jc w:val="center"/>
        </w:trPr>
        <w:tc>
          <w:tcPr>
            <w:tcW w:w="2254" w:type="dxa"/>
            <w:vAlign w:val="center"/>
          </w:tcPr>
          <w:p w14:paraId="27338BC7" w14:textId="77777777" w:rsidR="0014379F" w:rsidRPr="00163E5D" w:rsidRDefault="0014379F" w:rsidP="008007DA">
            <w:pPr>
              <w:pStyle w:val="TableHeading0"/>
              <w:spacing w:before="0" w:after="0"/>
            </w:pPr>
            <w:r w:rsidRPr="00163E5D">
              <w:t>12</w:t>
            </w:r>
          </w:p>
        </w:tc>
        <w:tc>
          <w:tcPr>
            <w:tcW w:w="2254" w:type="dxa"/>
            <w:vMerge/>
            <w:vAlign w:val="center"/>
          </w:tcPr>
          <w:p w14:paraId="7F862B21" w14:textId="77777777" w:rsidR="0014379F" w:rsidRDefault="0014379F" w:rsidP="008007DA">
            <w:pPr>
              <w:spacing w:before="0"/>
              <w:jc w:val="center"/>
            </w:pPr>
          </w:p>
        </w:tc>
        <w:tc>
          <w:tcPr>
            <w:tcW w:w="2254" w:type="dxa"/>
            <w:vMerge/>
            <w:vAlign w:val="center"/>
          </w:tcPr>
          <w:p w14:paraId="59318906" w14:textId="77777777" w:rsidR="0014379F" w:rsidRDefault="0014379F" w:rsidP="008007DA">
            <w:pPr>
              <w:spacing w:before="0"/>
              <w:jc w:val="center"/>
            </w:pPr>
          </w:p>
        </w:tc>
        <w:tc>
          <w:tcPr>
            <w:tcW w:w="2254" w:type="dxa"/>
            <w:vMerge/>
            <w:vAlign w:val="center"/>
          </w:tcPr>
          <w:p w14:paraId="5C6284B8" w14:textId="77777777" w:rsidR="0014379F" w:rsidRDefault="0014379F" w:rsidP="008007DA">
            <w:pPr>
              <w:spacing w:before="0"/>
              <w:jc w:val="center"/>
            </w:pPr>
          </w:p>
        </w:tc>
      </w:tr>
      <w:tr w:rsidR="0014379F" w14:paraId="68CEF4FC" w14:textId="77777777" w:rsidTr="0019128E">
        <w:trPr>
          <w:trHeight w:val="64"/>
          <w:jc w:val="center"/>
        </w:trPr>
        <w:tc>
          <w:tcPr>
            <w:tcW w:w="2254" w:type="dxa"/>
            <w:vAlign w:val="center"/>
          </w:tcPr>
          <w:p w14:paraId="3A05073D" w14:textId="77777777" w:rsidR="0014379F" w:rsidRPr="00163E5D" w:rsidRDefault="0014379F" w:rsidP="008007DA">
            <w:pPr>
              <w:pStyle w:val="TableHeading0"/>
              <w:spacing w:before="0" w:after="0"/>
            </w:pPr>
            <w:r w:rsidRPr="00163E5D">
              <w:t>13 or more</w:t>
            </w:r>
          </w:p>
        </w:tc>
        <w:tc>
          <w:tcPr>
            <w:tcW w:w="2254" w:type="dxa"/>
            <w:vMerge/>
            <w:vAlign w:val="center"/>
          </w:tcPr>
          <w:p w14:paraId="6DF37BE2" w14:textId="77777777" w:rsidR="0014379F" w:rsidRDefault="0014379F" w:rsidP="008007DA">
            <w:pPr>
              <w:spacing w:before="0"/>
              <w:jc w:val="center"/>
            </w:pPr>
          </w:p>
        </w:tc>
        <w:tc>
          <w:tcPr>
            <w:tcW w:w="2254" w:type="dxa"/>
            <w:vMerge/>
            <w:vAlign w:val="center"/>
          </w:tcPr>
          <w:p w14:paraId="30E48D4E" w14:textId="77777777" w:rsidR="0014379F" w:rsidRDefault="0014379F" w:rsidP="008007DA">
            <w:pPr>
              <w:spacing w:before="0"/>
              <w:jc w:val="center"/>
            </w:pPr>
          </w:p>
        </w:tc>
        <w:tc>
          <w:tcPr>
            <w:tcW w:w="2254" w:type="dxa"/>
            <w:vAlign w:val="center"/>
          </w:tcPr>
          <w:p w14:paraId="4B0DBB15" w14:textId="77777777" w:rsidR="0014379F" w:rsidRDefault="0014379F" w:rsidP="008007DA">
            <w:pPr>
              <w:pStyle w:val="Tabletext0"/>
              <w:spacing w:before="0" w:after="0"/>
            </w:pPr>
            <w:r>
              <w:t>69510 or 69515</w:t>
            </w:r>
          </w:p>
        </w:tc>
      </w:tr>
    </w:tbl>
    <w:p w14:paraId="021B4F85" w14:textId="5215D2F7" w:rsidR="00F512D1" w:rsidRDefault="00F512D1" w:rsidP="00DE426B">
      <w:pPr>
        <w:pStyle w:val="TableFooter"/>
      </w:pPr>
      <w:bookmarkStart w:id="5" w:name="_Toc130176987"/>
      <w:bookmarkStart w:id="6" w:name="_Toc133832615"/>
      <w:r>
        <w:t>Source: DCAR Table 1</w:t>
      </w:r>
    </w:p>
    <w:p w14:paraId="66995803" w14:textId="4786313A" w:rsidR="0014379F" w:rsidRDefault="0014379F" w:rsidP="0014379F">
      <w:pPr>
        <w:pStyle w:val="Heading3"/>
      </w:pPr>
      <w:r>
        <w:t>History of MBS items for NAAT for SARS-CoV-2 and other respiratory pathogen testing</w:t>
      </w:r>
      <w:bookmarkEnd w:id="5"/>
      <w:bookmarkEnd w:id="6"/>
    </w:p>
    <w:p w14:paraId="585CE595" w14:textId="0A2AA408" w:rsidR="0014379F" w:rsidRPr="00E90889" w:rsidRDefault="0014379F" w:rsidP="0014379F">
      <w:r w:rsidRPr="00E90889">
        <w:t xml:space="preserve">The following is taken from the publicly available information on the MBS webpages. No additional information </w:t>
      </w:r>
      <w:r w:rsidR="00E61CDE" w:rsidRPr="00E90889">
        <w:t>was available</w:t>
      </w:r>
      <w:r w:rsidRPr="00E90889">
        <w:t xml:space="preserve"> regarding the rationale behind the number of items or descriptor wording of the initial temporary MBS items, or the ladder structure of the current ten temporary items introduced on 1 October 2022. Furthermore, no documentation detailing the basis of the fees for any of the temporary MBS items was </w:t>
      </w:r>
      <w:r w:rsidR="00E61CDE" w:rsidRPr="00E90889">
        <w:t>available</w:t>
      </w:r>
      <w:r w:rsidRPr="00E90889">
        <w:t xml:space="preserve">, such as a breakdown of </w:t>
      </w:r>
      <w:r w:rsidRPr="00E90889">
        <w:lastRenderedPageBreak/>
        <w:t xml:space="preserve">costs or other parameters that were taken into consideration, nor for any adjustments made to the fees since </w:t>
      </w:r>
      <w:r w:rsidR="001D278E">
        <w:t xml:space="preserve">1 </w:t>
      </w:r>
      <w:r w:rsidRPr="00E90889">
        <w:t>April 2020.</w:t>
      </w:r>
    </w:p>
    <w:p w14:paraId="7EE077C4" w14:textId="77777777" w:rsidR="0014379F" w:rsidRPr="00E90889" w:rsidRDefault="0014379F" w:rsidP="0014379F">
      <w:r w:rsidRPr="00E90889">
        <w:rPr>
          <w:b/>
        </w:rPr>
        <w:t>On 1 April 2020</w:t>
      </w:r>
      <w:r w:rsidRPr="00E90889">
        <w:t xml:space="preserve">, following consultation on COVID-19 testing with the pathology sector and on the recommendation of and the State and Territory Governments through the Australian Health Protection Principal Committee and National Cabinet, the following temporary items for SARS-CoV-2 testing were included in the MBS. </w:t>
      </w:r>
    </w:p>
    <w:p w14:paraId="045F96F6" w14:textId="77777777" w:rsidR="0014379F" w:rsidRPr="001D278E" w:rsidRDefault="0014379F" w:rsidP="00CB2E78">
      <w:pPr>
        <w:pStyle w:val="ListParagraph"/>
        <w:numPr>
          <w:ilvl w:val="0"/>
          <w:numId w:val="13"/>
        </w:numPr>
        <w:spacing w:before="0" w:after="60" w:line="280" w:lineRule="exact"/>
        <w:contextualSpacing w:val="0"/>
        <w:rPr>
          <w:rFonts w:cstheme="minorHAnsi"/>
        </w:rPr>
      </w:pPr>
      <w:r w:rsidRPr="001D278E">
        <w:rPr>
          <w:rFonts w:cstheme="minorHAnsi"/>
        </w:rPr>
        <w:t>Item 69479: COVID-19 microbiology test undertaken for a private patient in a recognised (public) hospital or by a prescribed laboratory, with a schedule fee of $50.00.</w:t>
      </w:r>
    </w:p>
    <w:p w14:paraId="622F1F7A" w14:textId="77777777" w:rsidR="0014379F" w:rsidRPr="001D278E" w:rsidRDefault="0014379F" w:rsidP="00CB2E78">
      <w:pPr>
        <w:pStyle w:val="ListParagraph"/>
        <w:numPr>
          <w:ilvl w:val="0"/>
          <w:numId w:val="13"/>
        </w:numPr>
        <w:spacing w:before="0" w:after="60" w:line="280" w:lineRule="exact"/>
        <w:contextualSpacing w:val="0"/>
        <w:rPr>
          <w:rFonts w:cstheme="minorHAnsi"/>
        </w:rPr>
      </w:pPr>
      <w:r w:rsidRPr="001D278E">
        <w:rPr>
          <w:rFonts w:cstheme="minorHAnsi"/>
        </w:rPr>
        <w:t>Item 69480: COVID-19 microbiology test for any other patient undertaken in a private laboratory, with a schedule fee of $100.00.</w:t>
      </w:r>
    </w:p>
    <w:p w14:paraId="16F48033" w14:textId="634A4719" w:rsidR="0014379F" w:rsidRPr="00E90889" w:rsidRDefault="0014379F" w:rsidP="0014379F">
      <w:pPr>
        <w:spacing w:after="60" w:line="280" w:lineRule="exact"/>
      </w:pPr>
      <w:r w:rsidRPr="00E90889">
        <w:t>Nucleic acid testing of one or more respiratory pathogens other than SARS-CoV-2, in addition to COVID-19 testing, was funded under the existing permanent generic MBS items 69494, 69495 and 69496 which are for 1</w:t>
      </w:r>
      <w:r w:rsidR="002062AE" w:rsidRPr="00E90889">
        <w:t xml:space="preserve">, </w:t>
      </w:r>
      <w:r w:rsidRPr="00E90889">
        <w:t>2 and 3 or more tests, respectively.</w:t>
      </w:r>
    </w:p>
    <w:p w14:paraId="3CE6D2D5" w14:textId="77777777" w:rsidR="0014379F" w:rsidRPr="00E90889" w:rsidRDefault="0014379F" w:rsidP="0014379F">
      <w:pPr>
        <w:spacing w:after="60" w:line="280" w:lineRule="exact"/>
      </w:pPr>
      <w:r w:rsidRPr="00E90889">
        <w:rPr>
          <w:b/>
        </w:rPr>
        <w:t>From 28 July 2020 – 31 December 2021</w:t>
      </w:r>
      <w:r w:rsidRPr="00E90889">
        <w:t xml:space="preserve"> (with subsequent expansions on 3 August 2020 and 22 September 2020 defining eligible employment designations)</w:t>
      </w:r>
    </w:p>
    <w:p w14:paraId="7E3318F5" w14:textId="77777777" w:rsidR="0014379F" w:rsidRPr="001D278E" w:rsidRDefault="0014379F" w:rsidP="005B2AA7">
      <w:pPr>
        <w:pStyle w:val="Bullet"/>
        <w:rPr>
          <w:rFonts w:ascii="Franklin Gothic Book" w:hAnsi="Franklin Gothic Book"/>
        </w:rPr>
      </w:pPr>
      <w:r w:rsidRPr="001D278E">
        <w:rPr>
          <w:rFonts w:ascii="Franklin Gothic Book" w:hAnsi="Franklin Gothic Book"/>
        </w:rPr>
        <w:t>Item 69501: COVID-19 microbiology test for asymptomatic essential worker, with a schedule fee of $110.00.</w:t>
      </w:r>
    </w:p>
    <w:p w14:paraId="09515835" w14:textId="2D4B02B3" w:rsidR="0014379F" w:rsidRPr="00E90889" w:rsidRDefault="0014379F" w:rsidP="0014379F">
      <w:r w:rsidRPr="00E90889">
        <w:rPr>
          <w:b/>
        </w:rPr>
        <w:t>From January 1, 2022</w:t>
      </w:r>
      <w:bookmarkStart w:id="7" w:name="_Ref126495270"/>
      <w:r w:rsidR="002A0117" w:rsidRPr="00E90889">
        <w:rPr>
          <w:b/>
        </w:rPr>
        <w:t>,</w:t>
      </w:r>
      <w:r w:rsidRPr="001D278E">
        <w:rPr>
          <w:rStyle w:val="FootnoteReference"/>
          <w:color w:val="2F2F2F"/>
          <w:sz w:val="20"/>
          <w:szCs w:val="20"/>
          <w:shd w:val="clear" w:color="auto" w:fill="FFFFFF"/>
        </w:rPr>
        <w:footnoteReference w:id="2"/>
      </w:r>
      <w:bookmarkEnd w:id="7"/>
    </w:p>
    <w:p w14:paraId="3023D681" w14:textId="72E1308C" w:rsidR="00A3673F" w:rsidRPr="001D278E" w:rsidRDefault="00A3673F" w:rsidP="00082DD2">
      <w:pPr>
        <w:pStyle w:val="Bullet"/>
        <w:rPr>
          <w:rFonts w:ascii="Franklin Gothic Book" w:hAnsi="Franklin Gothic Book"/>
        </w:rPr>
      </w:pPr>
      <w:r w:rsidRPr="001D278E">
        <w:rPr>
          <w:rFonts w:ascii="Franklin Gothic Book" w:hAnsi="Franklin Gothic Book"/>
        </w:rPr>
        <w:t>The schedule fees for MBS items 69479 and 69480 were reduced ‘reflecting a reduction in the cost of providing COVID-19 tests’</w:t>
      </w:r>
      <w:r w:rsidRPr="001D278E">
        <w:rPr>
          <w:rFonts w:ascii="Franklin Gothic Book" w:hAnsi="Franklin Gothic Book"/>
          <w:vertAlign w:val="superscript"/>
        </w:rPr>
        <w:fldChar w:fldCharType="begin"/>
      </w:r>
      <w:r w:rsidRPr="001D278E">
        <w:rPr>
          <w:rFonts w:ascii="Franklin Gothic Book" w:hAnsi="Franklin Gothic Book"/>
          <w:vertAlign w:val="superscript"/>
        </w:rPr>
        <w:instrText xml:space="preserve"> NOTEREF _Ref126495270 \h  \* MERGEFORMAT </w:instrText>
      </w:r>
      <w:r w:rsidRPr="001D278E">
        <w:rPr>
          <w:rFonts w:ascii="Franklin Gothic Book" w:hAnsi="Franklin Gothic Book"/>
          <w:vertAlign w:val="superscript"/>
        </w:rPr>
      </w:r>
      <w:r w:rsidRPr="001D278E">
        <w:rPr>
          <w:rFonts w:ascii="Franklin Gothic Book" w:hAnsi="Franklin Gothic Book"/>
          <w:vertAlign w:val="superscript"/>
        </w:rPr>
        <w:fldChar w:fldCharType="separate"/>
      </w:r>
      <w:r w:rsidR="00525416">
        <w:rPr>
          <w:rFonts w:ascii="Franklin Gothic Book" w:hAnsi="Franklin Gothic Book"/>
          <w:vertAlign w:val="superscript"/>
        </w:rPr>
        <w:t>1</w:t>
      </w:r>
      <w:r w:rsidRPr="001D278E">
        <w:rPr>
          <w:rFonts w:ascii="Franklin Gothic Book" w:hAnsi="Franklin Gothic Book"/>
          <w:vertAlign w:val="superscript"/>
        </w:rPr>
        <w:fldChar w:fldCharType="end"/>
      </w:r>
    </w:p>
    <w:p w14:paraId="69E8E5F5" w14:textId="77777777" w:rsidR="00A3673F" w:rsidRPr="001D278E" w:rsidRDefault="00A3673F" w:rsidP="00CB2E78">
      <w:pPr>
        <w:pStyle w:val="Bullet"/>
        <w:numPr>
          <w:ilvl w:val="1"/>
          <w:numId w:val="5"/>
        </w:numPr>
        <w:spacing w:before="0"/>
        <w:ind w:left="1080"/>
        <w:rPr>
          <w:rFonts w:ascii="Franklin Gothic Book" w:hAnsi="Franklin Gothic Book" w:cstheme="minorHAnsi"/>
        </w:rPr>
      </w:pPr>
      <w:r w:rsidRPr="001D278E">
        <w:rPr>
          <w:rFonts w:ascii="Franklin Gothic Book" w:hAnsi="Franklin Gothic Book" w:cstheme="minorHAnsi"/>
        </w:rPr>
        <w:t>Item 69479: from $50.00 to $42.50.</w:t>
      </w:r>
    </w:p>
    <w:p w14:paraId="26CAD2B4" w14:textId="77777777" w:rsidR="00A3673F" w:rsidRPr="001D278E" w:rsidRDefault="00A3673F" w:rsidP="00CB2E78">
      <w:pPr>
        <w:pStyle w:val="Bullet"/>
        <w:numPr>
          <w:ilvl w:val="1"/>
          <w:numId w:val="5"/>
        </w:numPr>
        <w:spacing w:before="0"/>
        <w:ind w:left="1080"/>
        <w:rPr>
          <w:rFonts w:ascii="Franklin Gothic Book" w:hAnsi="Franklin Gothic Book" w:cstheme="minorHAnsi"/>
        </w:rPr>
      </w:pPr>
      <w:r w:rsidRPr="001D278E">
        <w:rPr>
          <w:rFonts w:ascii="Franklin Gothic Book" w:hAnsi="Franklin Gothic Book" w:cstheme="minorHAnsi"/>
        </w:rPr>
        <w:t>Item 69480: from $100.00 to $85.00.</w:t>
      </w:r>
    </w:p>
    <w:p w14:paraId="3F9EAC45" w14:textId="0E41693E" w:rsidR="00A3673F" w:rsidRPr="001D278E" w:rsidRDefault="00A3673F" w:rsidP="00A3673F">
      <w:pPr>
        <w:pStyle w:val="Bullet"/>
        <w:rPr>
          <w:rFonts w:ascii="Franklin Gothic Book" w:hAnsi="Franklin Gothic Book"/>
          <w:sz w:val="24"/>
          <w:szCs w:val="24"/>
          <w:lang w:eastAsia="en-GB"/>
        </w:rPr>
      </w:pPr>
      <w:r w:rsidRPr="001D278E">
        <w:rPr>
          <w:rFonts w:ascii="Franklin Gothic Book" w:hAnsi="Franklin Gothic Book"/>
          <w:lang w:eastAsia="en-GB"/>
        </w:rPr>
        <w:t xml:space="preserve">All COVID-19 PCR tests undertaken for public health screening purposes, for example, asymptomatic screening, workplace testing, or testing for travel interstate, were to continue to be provided free-of-charge </w:t>
      </w:r>
      <w:r w:rsidR="00B73ED9">
        <w:rPr>
          <w:rFonts w:ascii="Franklin Gothic Book" w:hAnsi="Franklin Gothic Book"/>
          <w:lang w:eastAsia="en-GB"/>
        </w:rPr>
        <w:t>to the patient</w:t>
      </w:r>
      <w:r w:rsidRPr="001D278E">
        <w:rPr>
          <w:rFonts w:ascii="Franklin Gothic Book" w:hAnsi="Franklin Gothic Book"/>
          <w:lang w:eastAsia="en-GB"/>
        </w:rPr>
        <w:t xml:space="preserve"> through state and territory public health testing sites. </w:t>
      </w:r>
    </w:p>
    <w:p w14:paraId="75DA3005" w14:textId="458F3C2A" w:rsidR="00A3673F" w:rsidRPr="001D278E" w:rsidRDefault="00A3673F" w:rsidP="00A3673F">
      <w:pPr>
        <w:pStyle w:val="Bullet"/>
        <w:rPr>
          <w:rFonts w:ascii="Franklin Gothic Book" w:hAnsi="Franklin Gothic Book"/>
          <w:sz w:val="24"/>
          <w:szCs w:val="24"/>
          <w:lang w:eastAsia="en-GB"/>
        </w:rPr>
      </w:pPr>
      <w:r w:rsidRPr="001D278E">
        <w:rPr>
          <w:rFonts w:ascii="Franklin Gothic Book" w:hAnsi="Franklin Gothic Book"/>
          <w:lang w:eastAsia="en-GB"/>
        </w:rPr>
        <w:t>COVID-19 tests performed for patients admitted in-hospital with private health insurance coverage could be charged at a fee higher than the MBS rebate. To be eligible for an MBS rebate, pathology providers were only permitted to charge no more than 100 per cent of the MBS fee. Patients were not to incur out-of-pocket expenses, with private health insurers to cover the gap between the Medicare rebate and the fee charged.</w:t>
      </w:r>
    </w:p>
    <w:p w14:paraId="7127025D" w14:textId="736ACEC8" w:rsidR="00A3673F" w:rsidRPr="001D278E" w:rsidRDefault="00A3673F" w:rsidP="00A3673F">
      <w:pPr>
        <w:pStyle w:val="Bullet"/>
        <w:rPr>
          <w:rFonts w:ascii="Franklin Gothic Book" w:hAnsi="Franklin Gothic Book"/>
          <w:sz w:val="24"/>
          <w:szCs w:val="24"/>
          <w:lang w:eastAsia="en-GB"/>
        </w:rPr>
      </w:pPr>
      <w:r w:rsidRPr="001D278E">
        <w:rPr>
          <w:rFonts w:ascii="Franklin Gothic Book" w:hAnsi="Franklin Gothic Book"/>
          <w:lang w:eastAsia="en-GB"/>
        </w:rPr>
        <w:t>Out-of-hospital claims for MBS items 69479 and 69480 in any other settings were required to be directly billed to Medicare and were not to incur any additional cost over the MBS rebate (</w:t>
      </w:r>
      <w:proofErr w:type="gramStart"/>
      <w:r w:rsidRPr="001D278E">
        <w:rPr>
          <w:rFonts w:ascii="Franklin Gothic Book" w:hAnsi="Franklin Gothic Book"/>
          <w:lang w:eastAsia="en-GB"/>
        </w:rPr>
        <w:t>i.e.</w:t>
      </w:r>
      <w:proofErr w:type="gramEnd"/>
      <w:r w:rsidRPr="001D278E">
        <w:rPr>
          <w:rFonts w:ascii="Franklin Gothic Book" w:hAnsi="Franklin Gothic Book"/>
          <w:lang w:eastAsia="en-GB"/>
        </w:rPr>
        <w:t xml:space="preserve"> the services must be bulk-billed).</w:t>
      </w:r>
    </w:p>
    <w:p w14:paraId="1059E39B" w14:textId="77777777" w:rsidR="0014379F" w:rsidRPr="001D278E" w:rsidRDefault="0014379F" w:rsidP="0014379F">
      <w:pPr>
        <w:pStyle w:val="Bullet"/>
        <w:spacing w:before="0"/>
        <w:ind w:left="360"/>
        <w:rPr>
          <w:rFonts w:ascii="Franklin Gothic Book" w:hAnsi="Franklin Gothic Book"/>
        </w:rPr>
      </w:pPr>
      <w:r w:rsidRPr="001D278E">
        <w:rPr>
          <w:rFonts w:ascii="Franklin Gothic Book" w:hAnsi="Franklin Gothic Book"/>
        </w:rPr>
        <w:t xml:space="preserve">Temporary item 69501 for COVID-19 PCR test screening of asymptomatic essential workers introduced on 28 July 2020 was </w:t>
      </w:r>
      <w:proofErr w:type="gramStart"/>
      <w:r w:rsidRPr="001D278E">
        <w:rPr>
          <w:rFonts w:ascii="Franklin Gothic Book" w:hAnsi="Franklin Gothic Book"/>
        </w:rPr>
        <w:t>ceased</w:t>
      </w:r>
      <w:proofErr w:type="gramEnd"/>
      <w:r w:rsidRPr="001D278E">
        <w:rPr>
          <w:rFonts w:ascii="Franklin Gothic Book" w:hAnsi="Franklin Gothic Book"/>
        </w:rPr>
        <w:t xml:space="preserve"> </w:t>
      </w:r>
    </w:p>
    <w:p w14:paraId="637D79B0" w14:textId="77777777" w:rsidR="0014379F" w:rsidRPr="00E90889" w:rsidRDefault="0014379F" w:rsidP="0014379F">
      <w:pPr>
        <w:rPr>
          <w:b/>
        </w:rPr>
      </w:pPr>
      <w:r w:rsidRPr="00E90889">
        <w:rPr>
          <w:b/>
        </w:rPr>
        <w:t>From 1 October, 2022</w:t>
      </w:r>
      <w:r w:rsidRPr="00E90889">
        <w:rPr>
          <w:rStyle w:val="FootnoteReference"/>
          <w:b/>
        </w:rPr>
        <w:footnoteReference w:id="3"/>
      </w:r>
      <w:r w:rsidRPr="00E90889">
        <w:rPr>
          <w:b/>
        </w:rPr>
        <w:t xml:space="preserve"> </w:t>
      </w:r>
    </w:p>
    <w:p w14:paraId="5FB2409C" w14:textId="3519A741" w:rsidR="0014379F" w:rsidRPr="001D278E" w:rsidRDefault="00976DD0" w:rsidP="001D278E">
      <w:pPr>
        <w:pStyle w:val="Bullet"/>
        <w:rPr>
          <w:rFonts w:ascii="Franklin Gothic Book" w:hAnsi="Franklin Gothic Book"/>
        </w:rPr>
      </w:pPr>
      <w:r w:rsidRPr="001D278E">
        <w:rPr>
          <w:rFonts w:ascii="Franklin Gothic Book" w:hAnsi="Franklin Gothic Book"/>
        </w:rPr>
        <w:t>T</w:t>
      </w:r>
      <w:r w:rsidR="0014379F" w:rsidRPr="001D278E">
        <w:rPr>
          <w:rFonts w:ascii="Franklin Gothic Book" w:hAnsi="Franklin Gothic Book"/>
        </w:rPr>
        <w:t xml:space="preserve">en temporary </w:t>
      </w:r>
      <w:r w:rsidR="007925F1" w:rsidRPr="001D278E">
        <w:rPr>
          <w:rFonts w:ascii="Franklin Gothic Book" w:hAnsi="Franklin Gothic Book"/>
        </w:rPr>
        <w:t>items</w:t>
      </w:r>
      <w:r w:rsidR="0014379F" w:rsidRPr="001D278E">
        <w:rPr>
          <w:rFonts w:ascii="Franklin Gothic Book" w:hAnsi="Franklin Gothic Book"/>
        </w:rPr>
        <w:t xml:space="preserve"> were included on the MBS for provision of pathology laboratory testing to Medicare-eligible patients for SARS-CoV-2 and other respiratory pathogens in situations where:</w:t>
      </w:r>
    </w:p>
    <w:p w14:paraId="54657B2F" w14:textId="77777777" w:rsidR="0014379F" w:rsidRPr="001D278E" w:rsidRDefault="0014379F" w:rsidP="00CB2E78">
      <w:pPr>
        <w:pStyle w:val="Bullet"/>
        <w:numPr>
          <w:ilvl w:val="1"/>
          <w:numId w:val="5"/>
        </w:numPr>
        <w:rPr>
          <w:rFonts w:ascii="Franklin Gothic Book" w:hAnsi="Franklin Gothic Book"/>
        </w:rPr>
      </w:pPr>
      <w:r w:rsidRPr="001D278E">
        <w:rPr>
          <w:rFonts w:ascii="Franklin Gothic Book" w:hAnsi="Franklin Gothic Book"/>
        </w:rPr>
        <w:lastRenderedPageBreak/>
        <w:t>SARS-CoV-2 testing is requested specifically, and</w:t>
      </w:r>
    </w:p>
    <w:p w14:paraId="5433A419" w14:textId="77777777" w:rsidR="0014379F" w:rsidRPr="001D278E" w:rsidRDefault="0014379F" w:rsidP="00CB2E78">
      <w:pPr>
        <w:pStyle w:val="Bullet"/>
        <w:numPr>
          <w:ilvl w:val="1"/>
          <w:numId w:val="5"/>
        </w:numPr>
        <w:rPr>
          <w:rFonts w:ascii="Franklin Gothic Book" w:hAnsi="Franklin Gothic Book"/>
        </w:rPr>
      </w:pPr>
      <w:r w:rsidRPr="001D278E">
        <w:rPr>
          <w:rFonts w:ascii="Franklin Gothic Book" w:hAnsi="Franklin Gothic Book"/>
        </w:rPr>
        <w:t xml:space="preserve">the request is made by a treating </w:t>
      </w:r>
      <w:proofErr w:type="gramStart"/>
      <w:r w:rsidRPr="001D278E">
        <w:rPr>
          <w:rFonts w:ascii="Franklin Gothic Book" w:hAnsi="Franklin Gothic Book"/>
        </w:rPr>
        <w:t>practitioner</w:t>
      </w:r>
      <w:proofErr w:type="gramEnd"/>
    </w:p>
    <w:p w14:paraId="5C2B2DBE" w14:textId="4A19A1FC" w:rsidR="0014379F" w:rsidRPr="001D278E" w:rsidRDefault="0014379F" w:rsidP="001D278E">
      <w:pPr>
        <w:pStyle w:val="Bullet"/>
        <w:rPr>
          <w:rFonts w:ascii="Franklin Gothic Book" w:hAnsi="Franklin Gothic Book"/>
        </w:rPr>
      </w:pPr>
      <w:r w:rsidRPr="001D278E">
        <w:rPr>
          <w:rFonts w:ascii="Franklin Gothic Book" w:hAnsi="Franklin Gothic Book"/>
        </w:rPr>
        <w:t>The services were to be provided by either:</w:t>
      </w:r>
    </w:p>
    <w:p w14:paraId="7F86C9FB" w14:textId="77777777" w:rsidR="0014379F" w:rsidRPr="001D278E" w:rsidRDefault="0014379F" w:rsidP="00CB2E78">
      <w:pPr>
        <w:pStyle w:val="Bullet"/>
        <w:numPr>
          <w:ilvl w:val="1"/>
          <w:numId w:val="5"/>
        </w:numPr>
        <w:rPr>
          <w:rFonts w:ascii="Franklin Gothic Book" w:hAnsi="Franklin Gothic Book"/>
        </w:rPr>
      </w:pPr>
      <w:r w:rsidRPr="001D278E">
        <w:rPr>
          <w:rFonts w:ascii="Franklin Gothic Book" w:hAnsi="Franklin Gothic Book"/>
        </w:rPr>
        <w:t xml:space="preserve">a public pathology laboratory (Items 69506, 69507, 69508, 69509 and 69510), or </w:t>
      </w:r>
    </w:p>
    <w:p w14:paraId="70FF9AF7" w14:textId="42526C94" w:rsidR="0014379F" w:rsidRPr="001D278E" w:rsidRDefault="0014379F" w:rsidP="00CB2E78">
      <w:pPr>
        <w:pStyle w:val="Bullet"/>
        <w:numPr>
          <w:ilvl w:val="1"/>
          <w:numId w:val="5"/>
        </w:numPr>
        <w:rPr>
          <w:rFonts w:ascii="Franklin Gothic Book" w:hAnsi="Franklin Gothic Book"/>
        </w:rPr>
      </w:pPr>
      <w:r w:rsidRPr="001D278E">
        <w:rPr>
          <w:rFonts w:ascii="Franklin Gothic Book" w:hAnsi="Franklin Gothic Book"/>
        </w:rPr>
        <w:t xml:space="preserve">a private pathology laboratory (Items 69511, 69512, 69513, 69514 and 69515) </w:t>
      </w:r>
    </w:p>
    <w:p w14:paraId="18E8EE71" w14:textId="77777777" w:rsidR="0014379F" w:rsidRPr="001D278E" w:rsidRDefault="0014379F" w:rsidP="0014379F">
      <w:pPr>
        <w:pStyle w:val="Bullet"/>
        <w:numPr>
          <w:ilvl w:val="0"/>
          <w:numId w:val="0"/>
        </w:numPr>
        <w:rPr>
          <w:rFonts w:ascii="Franklin Gothic Book" w:hAnsi="Franklin Gothic Book"/>
        </w:rPr>
      </w:pPr>
      <w:r w:rsidRPr="001D278E">
        <w:rPr>
          <w:rFonts w:ascii="Franklin Gothic Book" w:hAnsi="Franklin Gothic Book"/>
        </w:rPr>
        <w:t xml:space="preserve">These 10 items superseded MBS items 69479 and 69480, which ceased on 30 September 2022 with the </w:t>
      </w:r>
      <w:proofErr w:type="gramStart"/>
      <w:r w:rsidRPr="001D278E">
        <w:rPr>
          <w:rFonts w:ascii="Franklin Gothic Book" w:hAnsi="Franklin Gothic Book"/>
        </w:rPr>
        <w:t>rationale</w:t>
      </w:r>
      <w:proofErr w:type="gramEnd"/>
      <w:r w:rsidRPr="001D278E">
        <w:rPr>
          <w:rFonts w:ascii="Franklin Gothic Book" w:hAnsi="Franklin Gothic Book"/>
        </w:rPr>
        <w:t xml:space="preserve"> </w:t>
      </w:r>
    </w:p>
    <w:p w14:paraId="3B103081" w14:textId="77777777" w:rsidR="0014379F" w:rsidRPr="001D278E" w:rsidRDefault="0014379F" w:rsidP="00CB2E78">
      <w:pPr>
        <w:pStyle w:val="Bullet"/>
        <w:numPr>
          <w:ilvl w:val="0"/>
          <w:numId w:val="14"/>
        </w:numPr>
        <w:spacing w:before="0"/>
        <w:rPr>
          <w:rFonts w:ascii="Franklin Gothic Book" w:hAnsi="Franklin Gothic Book"/>
        </w:rPr>
      </w:pPr>
      <w:r w:rsidRPr="001D278E">
        <w:rPr>
          <w:rFonts w:ascii="Franklin Gothic Book" w:hAnsi="Franklin Gothic Book"/>
        </w:rPr>
        <w:t>to support pathology providers to use multiplex tests to diagnose and differentiate the cause of respiratory infections through a single sample and test, where clinically appropriate</w:t>
      </w:r>
    </w:p>
    <w:p w14:paraId="77219B54" w14:textId="77777777" w:rsidR="0014379F" w:rsidRPr="001D278E" w:rsidRDefault="0014379F" w:rsidP="001D278E">
      <w:pPr>
        <w:pStyle w:val="Bullet"/>
        <w:rPr>
          <w:rFonts w:ascii="Franklin Gothic Book" w:hAnsi="Franklin Gothic Book"/>
        </w:rPr>
      </w:pPr>
      <w:r w:rsidRPr="001D278E">
        <w:rPr>
          <w:rFonts w:ascii="Franklin Gothic Book" w:hAnsi="Franklin Gothic Book"/>
        </w:rPr>
        <w:t>to reflect the increase in complexity of respiratory pathogen testing since the original listing of permanent MBS NAAT items in November 2005</w:t>
      </w:r>
    </w:p>
    <w:p w14:paraId="5F50D6E1" w14:textId="77777777" w:rsidR="0014379F" w:rsidRPr="001D278E" w:rsidRDefault="0014379F" w:rsidP="001D278E">
      <w:pPr>
        <w:pStyle w:val="Bullet"/>
        <w:rPr>
          <w:rFonts w:ascii="Franklin Gothic Book" w:hAnsi="Franklin Gothic Book"/>
        </w:rPr>
      </w:pPr>
      <w:r w:rsidRPr="001D278E">
        <w:rPr>
          <w:rFonts w:ascii="Franklin Gothic Book" w:hAnsi="Franklin Gothic Book"/>
        </w:rPr>
        <w:t>to support MBS claiming for such tests through single MBS items</w:t>
      </w:r>
    </w:p>
    <w:p w14:paraId="17C6BBDD" w14:textId="77777777" w:rsidR="0014379F" w:rsidRPr="001D278E" w:rsidRDefault="0014379F" w:rsidP="005B2AA7">
      <w:pPr>
        <w:pStyle w:val="Bullet"/>
        <w:numPr>
          <w:ilvl w:val="0"/>
          <w:numId w:val="0"/>
        </w:numPr>
        <w:spacing w:before="0"/>
        <w:rPr>
          <w:rFonts w:ascii="Franklin Gothic Book" w:hAnsi="Franklin Gothic Book"/>
        </w:rPr>
      </w:pPr>
      <w:r w:rsidRPr="001D278E">
        <w:rPr>
          <w:rFonts w:ascii="Franklin Gothic Book" w:hAnsi="Franklin Gothic Book"/>
        </w:rPr>
        <w:t xml:space="preserve">Pathologists may claim: </w:t>
      </w:r>
    </w:p>
    <w:p w14:paraId="3E21D9F0" w14:textId="77777777" w:rsidR="0014379F" w:rsidRPr="001D278E" w:rsidRDefault="0014379F" w:rsidP="005B2AA7">
      <w:pPr>
        <w:pStyle w:val="Bullet"/>
        <w:rPr>
          <w:rFonts w:ascii="Franklin Gothic Book" w:hAnsi="Franklin Gothic Book"/>
        </w:rPr>
      </w:pPr>
      <w:r w:rsidRPr="001D278E">
        <w:rPr>
          <w:rFonts w:ascii="Franklin Gothic Book" w:hAnsi="Franklin Gothic Book"/>
        </w:rPr>
        <w:t xml:space="preserve">MBS item 69506 or 69511 only, where a treating practitioner has requested that their Medicare-eligible patient receives a test for COVID-19 </w:t>
      </w:r>
      <w:proofErr w:type="gramStart"/>
      <w:r w:rsidRPr="001D278E">
        <w:rPr>
          <w:rFonts w:ascii="Franklin Gothic Book" w:hAnsi="Franklin Gothic Book"/>
        </w:rPr>
        <w:t>only;</w:t>
      </w:r>
      <w:proofErr w:type="gramEnd"/>
      <w:r w:rsidRPr="001D278E">
        <w:rPr>
          <w:rFonts w:ascii="Franklin Gothic Book" w:hAnsi="Franklin Gothic Book"/>
        </w:rPr>
        <w:t xml:space="preserve"> </w:t>
      </w:r>
    </w:p>
    <w:p w14:paraId="33B29F0F" w14:textId="77777777" w:rsidR="0014379F" w:rsidRPr="001D278E" w:rsidRDefault="0014379F" w:rsidP="005B2AA7">
      <w:pPr>
        <w:pStyle w:val="Bullet"/>
        <w:rPr>
          <w:rFonts w:ascii="Franklin Gothic Book" w:hAnsi="Franklin Gothic Book"/>
        </w:rPr>
      </w:pPr>
      <w:r w:rsidRPr="001D278E">
        <w:rPr>
          <w:rFonts w:ascii="Franklin Gothic Book" w:hAnsi="Franklin Gothic Book"/>
        </w:rPr>
        <w:t xml:space="preserve">MBS item 69507, 69508, 69509, 69510, 69512, 69513, 69514 or 69515 only, where a treating practitioner has requested that their Medicare-eligible patient receives a test for COVID-19 and other respiratory pathogen(s); or </w:t>
      </w:r>
    </w:p>
    <w:p w14:paraId="668CD83D" w14:textId="77777777" w:rsidR="0014379F" w:rsidRPr="001D278E" w:rsidRDefault="0014379F" w:rsidP="005B2AA7">
      <w:pPr>
        <w:pStyle w:val="Bullet"/>
        <w:rPr>
          <w:rFonts w:ascii="Franklin Gothic Book" w:hAnsi="Franklin Gothic Book"/>
        </w:rPr>
      </w:pPr>
      <w:r w:rsidRPr="001D278E">
        <w:rPr>
          <w:rFonts w:ascii="Franklin Gothic Book" w:hAnsi="Franklin Gothic Book"/>
        </w:rPr>
        <w:t>MBS item 69494, 69495 or 69496 only, where a treating practitioner has requested that their Medicare-eligible patient receives a test for respiratory pathogen(s) but has not specified a test for COVID-19.</w:t>
      </w:r>
    </w:p>
    <w:p w14:paraId="44509B8A" w14:textId="1240794E" w:rsidR="0014379F" w:rsidRPr="00E90889" w:rsidRDefault="0014379F" w:rsidP="0014379F">
      <w:pPr>
        <w:rPr>
          <w:b/>
        </w:rPr>
      </w:pPr>
      <w:r w:rsidRPr="00E90889">
        <w:rPr>
          <w:b/>
        </w:rPr>
        <w:t>From 1 January 2023</w:t>
      </w:r>
      <w:r w:rsidR="00254065" w:rsidRPr="00E90889">
        <w:rPr>
          <w:rStyle w:val="FootnoteReference"/>
          <w:b/>
        </w:rPr>
        <w:footnoteReference w:id="4"/>
      </w:r>
    </w:p>
    <w:p w14:paraId="636BCEE1" w14:textId="77777777" w:rsidR="0014379F" w:rsidRPr="00E90889" w:rsidRDefault="0014379F" w:rsidP="0014379F">
      <w:pPr>
        <w:rPr>
          <w:color w:val="222222"/>
          <w:shd w:val="clear" w:color="auto" w:fill="FFFFFF"/>
        </w:rPr>
      </w:pPr>
      <w:r w:rsidRPr="00E90889">
        <w:rPr>
          <w:color w:val="222222"/>
          <w:shd w:val="clear" w:color="auto" w:fill="FFFFFF"/>
        </w:rPr>
        <w:t>The ten temporary Medicare Benefits Schedule (MBS) pathology items for pathology laboratory testing for SARS-CoV-2 and other respiratory pathogens were:</w:t>
      </w:r>
    </w:p>
    <w:p w14:paraId="39EC6E19" w14:textId="77777777" w:rsidR="0014379F" w:rsidRPr="001D278E" w:rsidRDefault="0014379F" w:rsidP="005B2AA7">
      <w:pPr>
        <w:pStyle w:val="Bullet"/>
        <w:rPr>
          <w:rFonts w:ascii="Franklin Gothic Book" w:hAnsi="Franklin Gothic Book"/>
        </w:rPr>
      </w:pPr>
      <w:r w:rsidRPr="001D278E">
        <w:rPr>
          <w:rFonts w:ascii="Franklin Gothic Book" w:hAnsi="Franklin Gothic Book"/>
          <w:shd w:val="clear" w:color="auto" w:fill="FFFFFF"/>
        </w:rPr>
        <w:t>Extended until December 31, 2023</w:t>
      </w:r>
    </w:p>
    <w:p w14:paraId="3E487F30" w14:textId="77777777" w:rsidR="0014379F" w:rsidRPr="001D278E" w:rsidRDefault="0014379F" w:rsidP="001D278E">
      <w:pPr>
        <w:pStyle w:val="Bullet"/>
        <w:rPr>
          <w:rFonts w:ascii="Franklin Gothic Book" w:hAnsi="Franklin Gothic Book"/>
          <w:shd w:val="clear" w:color="auto" w:fill="FFFFFF"/>
        </w:rPr>
      </w:pPr>
      <w:r w:rsidRPr="001D278E">
        <w:rPr>
          <w:rFonts w:ascii="Franklin Gothic Book" w:hAnsi="Franklin Gothic Book"/>
          <w:shd w:val="clear" w:color="auto" w:fill="FFFFFF"/>
        </w:rPr>
        <w:t>Amended to remove the requirement that in-hospital private patients cannot be charged more than the MBS fee. All other existing conditions and requirements to claim the items were retained.</w:t>
      </w:r>
    </w:p>
    <w:p w14:paraId="7E442090" w14:textId="77777777" w:rsidR="0014379F" w:rsidRPr="00E90889" w:rsidRDefault="0014379F" w:rsidP="0014379F">
      <w:pPr>
        <w:rPr>
          <w:shd w:val="clear" w:color="auto" w:fill="FFFFFF"/>
        </w:rPr>
      </w:pPr>
      <w:r w:rsidRPr="00E90889">
        <w:rPr>
          <w:shd w:val="clear" w:color="auto" w:fill="FFFFFF"/>
        </w:rPr>
        <w:t>Existing generic nucleic acid amplification test (NAAT) (the permanent MBS items 69494, 69495 and 69496) remain to support testing for non-respiratory pathogens and testing of respiratory pathogens where a treating practitioner has not requested their patient be tested for COVID-19.</w:t>
      </w:r>
    </w:p>
    <w:p w14:paraId="42BDC57D" w14:textId="6CA0B259" w:rsidR="00A27316" w:rsidRPr="00E90889" w:rsidRDefault="00A27316" w:rsidP="0014379F">
      <w:pPr>
        <w:rPr>
          <w:shd w:val="clear" w:color="auto" w:fill="FFFFFF"/>
        </w:rPr>
      </w:pPr>
      <w:r w:rsidRPr="00E90889">
        <w:rPr>
          <w:shd w:val="clear" w:color="auto" w:fill="FFFFFF"/>
        </w:rPr>
        <w:t>In October 2022, the MSAC Executive provided advice on what information MSAC would require for it to provide advice to Government in relation to permanent MBS items for this testing, and the appropriate assessment pathway.</w:t>
      </w:r>
    </w:p>
    <w:p w14:paraId="652A9BB4" w14:textId="77777777" w:rsidR="0014379F" w:rsidRPr="0078130E" w:rsidRDefault="0014379F" w:rsidP="0078130E">
      <w:pPr>
        <w:rPr>
          <w:b/>
        </w:rPr>
      </w:pPr>
      <w:bookmarkStart w:id="8" w:name="_Toc130176988"/>
      <w:bookmarkStart w:id="9" w:name="_Toc133832616"/>
      <w:r w:rsidRPr="0078130E">
        <w:rPr>
          <w:b/>
        </w:rPr>
        <w:t>NAATs for SARS-CoV-2 and respiratory pathogens</w:t>
      </w:r>
      <w:bookmarkEnd w:id="8"/>
      <w:bookmarkEnd w:id="9"/>
    </w:p>
    <w:p w14:paraId="11EB6D10" w14:textId="6C8311EB" w:rsidR="0014379F" w:rsidRPr="00E90889" w:rsidRDefault="0014379F" w:rsidP="00584DD4">
      <w:pPr>
        <w:jc w:val="both"/>
        <w:rPr>
          <w:snapToGrid w:val="0"/>
          <w:shd w:val="clear" w:color="auto" w:fill="FFFFFF"/>
        </w:rPr>
      </w:pPr>
      <w:r w:rsidRPr="00E90889">
        <w:rPr>
          <w:snapToGrid w:val="0"/>
          <w:shd w:val="clear" w:color="auto" w:fill="FFFFFF"/>
        </w:rPr>
        <w:t>NAATs detect nucleic acid sequences specific to the RNA or DNA of the pathogen from an upper or lower respiratory tract specimen, which is collected according to the manufacturer’s IFU.</w:t>
      </w:r>
    </w:p>
    <w:p w14:paraId="72C95080" w14:textId="54D9B4AF" w:rsidR="0037110D" w:rsidRPr="00E90889" w:rsidRDefault="0014379F" w:rsidP="00865031">
      <w:pPr>
        <w:rPr>
          <w:shd w:val="clear" w:color="auto" w:fill="FFFFFF"/>
        </w:rPr>
      </w:pPr>
      <w:r w:rsidRPr="00E90889">
        <w:rPr>
          <w:shd w:val="clear" w:color="auto" w:fill="FFFFFF"/>
        </w:rPr>
        <w:lastRenderedPageBreak/>
        <w:t>NAATs for respiratory pathogens may be performed as either rapid tests or standard tests. Rapid tests predominantly use cartridges which combine the nucleic acid extraction step with the amplification step to speed up and simplify the process making it suitable for either laboratories or specifically trained healthcare workers in the</w:t>
      </w:r>
      <w:r w:rsidR="00865031" w:rsidRPr="00E90889">
        <w:rPr>
          <w:shd w:val="clear" w:color="auto" w:fill="FFFFFF"/>
        </w:rPr>
        <w:t xml:space="preserve"> hospital or</w:t>
      </w:r>
      <w:r w:rsidRPr="00E90889">
        <w:rPr>
          <w:shd w:val="clear" w:color="auto" w:fill="FFFFFF"/>
        </w:rPr>
        <w:t xml:space="preserve"> community, whereas a standard test uses sequential nucleic acid extraction and amplification steps and is only performed in an accredited laboratory. </w:t>
      </w:r>
    </w:p>
    <w:p w14:paraId="0FC3B849" w14:textId="44203FB6" w:rsidR="0014379F" w:rsidRDefault="0014379F" w:rsidP="005A0F77">
      <w:pPr>
        <w:rPr>
          <w:shd w:val="clear" w:color="auto" w:fill="FFFFFF"/>
        </w:rPr>
      </w:pPr>
      <w:r w:rsidRPr="00E90889">
        <w:rPr>
          <w:shd w:val="clear" w:color="auto" w:fill="FFFFFF"/>
        </w:rPr>
        <w:t xml:space="preserve">Depending on the test kit used, a result is usually available in less than one hour for rapid tests, and a standard test in approximately 4-24 hours depending on workflow, </w:t>
      </w:r>
      <w:proofErr w:type="gramStart"/>
      <w:r w:rsidRPr="00E90889">
        <w:rPr>
          <w:shd w:val="clear" w:color="auto" w:fill="FFFFFF"/>
        </w:rPr>
        <w:t>demand</w:t>
      </w:r>
      <w:proofErr w:type="gramEnd"/>
      <w:r w:rsidRPr="00E90889">
        <w:rPr>
          <w:shd w:val="clear" w:color="auto" w:fill="FFFFFF"/>
        </w:rPr>
        <w:t xml:space="preserve"> and capacity of the laboratory in major cities, but up to 2-3 days in remote areas</w:t>
      </w:r>
      <w:r w:rsidRPr="00E90889">
        <w:rPr>
          <w:rStyle w:val="FootnoteReference"/>
          <w:shd w:val="clear" w:color="auto" w:fill="FFFFFF"/>
        </w:rPr>
        <w:footnoteReference w:id="5"/>
      </w:r>
      <w:r w:rsidRPr="00E90889">
        <w:rPr>
          <w:shd w:val="clear" w:color="auto" w:fill="FFFFFF"/>
          <w:vertAlign w:val="superscript"/>
        </w:rPr>
        <w:t>,</w:t>
      </w:r>
      <w:r w:rsidRPr="00E90889">
        <w:rPr>
          <w:rStyle w:val="FootnoteReference"/>
          <w:shd w:val="clear" w:color="auto" w:fill="FFFFFF"/>
        </w:rPr>
        <w:footnoteReference w:id="6"/>
      </w:r>
      <w:r w:rsidRPr="00E90889">
        <w:rPr>
          <w:shd w:val="clear" w:color="auto" w:fill="FFFFFF"/>
        </w:rPr>
        <w:t xml:space="preserve">. The clinical utility of rapid testing has </w:t>
      </w:r>
      <w:proofErr w:type="gramStart"/>
      <w:r w:rsidRPr="00E90889">
        <w:rPr>
          <w:shd w:val="clear" w:color="auto" w:fill="FFFFFF"/>
        </w:rPr>
        <w:t>expanded</w:t>
      </w:r>
      <w:proofErr w:type="gramEnd"/>
      <w:r w:rsidRPr="00E90889">
        <w:rPr>
          <w:shd w:val="clear" w:color="auto" w:fill="FFFFFF"/>
        </w:rPr>
        <w:t xml:space="preserve"> and it is used widely in metropolitan, remote and regional hospitals to provide a </w:t>
      </w:r>
      <w:r w:rsidR="005A0F77" w:rsidRPr="00E90889">
        <w:rPr>
          <w:shd w:val="clear" w:color="auto" w:fill="FFFFFF"/>
        </w:rPr>
        <w:t>faster</w:t>
      </w:r>
      <w:r w:rsidRPr="00E90889">
        <w:rPr>
          <w:shd w:val="clear" w:color="auto" w:fill="FFFFFF"/>
        </w:rPr>
        <w:t xml:space="preserve"> result to diagnose symptomatic patients for treatment decisions as well as to determine infection prevention and control (IPAC) measures.</w:t>
      </w:r>
      <w:r w:rsidR="00836DE5" w:rsidRPr="00E90889">
        <w:rPr>
          <w:shd w:val="clear" w:color="auto" w:fill="FFFFFF"/>
        </w:rPr>
        <w:t xml:space="preserve"> Rapid NAATs may be performed by specifically trained staff outside of the laboratory or the sample transported to the laboratory, depending on local hospital practice.</w:t>
      </w:r>
      <w:r w:rsidRPr="00E90889">
        <w:rPr>
          <w:shd w:val="clear" w:color="auto" w:fill="FFFFFF"/>
        </w:rPr>
        <w:t xml:space="preserve"> In the quarter from 1 December 2022 to February 2023, 54% of all NAATs performed in NSW public laboratories were NAATs</w:t>
      </w:r>
      <w:r w:rsidR="0037110D" w:rsidRPr="00E90889">
        <w:rPr>
          <w:rStyle w:val="FootnoteReference"/>
          <w:shd w:val="clear" w:color="auto" w:fill="FFFFFF"/>
        </w:rPr>
        <w:footnoteReference w:id="7"/>
      </w:r>
      <w:r w:rsidRPr="00E90889">
        <w:rPr>
          <w:shd w:val="clear" w:color="auto" w:fill="FFFFFF"/>
        </w:rPr>
        <w:t>. These are also used in remote and regional areas both as a laboratory test in regional hospitals or performed in the community where access to a timely result may be difficult for logistical reasons (patient’s distance from laboratory performing standard NAATs, limited regional or rural hospital laboratory staff and capacity for testing). In metropolitan hospitals, it can be more efficient to use rapid NAATs for a timely result when testing numbers are low and high throughput platforms are not required</w:t>
      </w:r>
      <w:r w:rsidRPr="00E90889">
        <w:rPr>
          <w:rStyle w:val="FootnoteReference"/>
          <w:shd w:val="clear" w:color="auto" w:fill="FFFFFF"/>
        </w:rPr>
        <w:footnoteReference w:id="8"/>
      </w:r>
      <w:r w:rsidRPr="00E90889">
        <w:rPr>
          <w:shd w:val="clear" w:color="auto" w:fill="FFFFFF"/>
        </w:rPr>
        <w:t>.</w:t>
      </w:r>
      <w:r w:rsidR="00865031" w:rsidRPr="00E90889">
        <w:rPr>
          <w:shd w:val="clear" w:color="auto" w:fill="FFFFFF"/>
        </w:rPr>
        <w:t xml:space="preserve"> Although when performed in a Medicare-eligible setting both rapid and standard</w:t>
      </w:r>
      <w:r w:rsidR="00865031">
        <w:rPr>
          <w:shd w:val="clear" w:color="auto" w:fill="FFFFFF"/>
        </w:rPr>
        <w:t xml:space="preserve"> NAATs would have the same rebate,</w:t>
      </w:r>
      <w:r w:rsidR="001D21DE">
        <w:rPr>
          <w:shd w:val="clear" w:color="auto" w:fill="FFFFFF"/>
        </w:rPr>
        <w:t xml:space="preserve"> the HTA costing </w:t>
      </w:r>
      <w:r w:rsidR="00F75BFB">
        <w:rPr>
          <w:shd w:val="clear" w:color="auto" w:fill="FFFFFF"/>
        </w:rPr>
        <w:t xml:space="preserve"> </w:t>
      </w:r>
      <w:r w:rsidR="00D42780">
        <w:rPr>
          <w:shd w:val="clear" w:color="auto" w:fill="FFFFFF"/>
        </w:rPr>
        <w:t xml:space="preserve">indicated </w:t>
      </w:r>
      <w:r w:rsidR="00F75BFB">
        <w:rPr>
          <w:shd w:val="clear" w:color="auto" w:fill="FFFFFF"/>
        </w:rPr>
        <w:t>this</w:t>
      </w:r>
      <w:r w:rsidR="001D21DE">
        <w:rPr>
          <w:shd w:val="clear" w:color="auto" w:fill="FFFFFF"/>
        </w:rPr>
        <w:t xml:space="preserve"> </w:t>
      </w:r>
      <w:r w:rsidR="00824450">
        <w:rPr>
          <w:shd w:val="clear" w:color="auto" w:fill="FFFFFF"/>
        </w:rPr>
        <w:t xml:space="preserve">may </w:t>
      </w:r>
      <w:r w:rsidR="001D21DE">
        <w:rPr>
          <w:shd w:val="clear" w:color="auto" w:fill="FFFFFF"/>
        </w:rPr>
        <w:t xml:space="preserve">result in </w:t>
      </w:r>
      <w:r w:rsidR="00A375A4">
        <w:rPr>
          <w:shd w:val="clear" w:color="auto" w:fill="FFFFFF"/>
        </w:rPr>
        <w:t>an out-of-pocket</w:t>
      </w:r>
      <w:r w:rsidR="001D21DE">
        <w:rPr>
          <w:shd w:val="clear" w:color="auto" w:fill="FFFFFF"/>
        </w:rPr>
        <w:t xml:space="preserve"> fee</w:t>
      </w:r>
      <w:r w:rsidR="00B65825">
        <w:rPr>
          <w:shd w:val="clear" w:color="auto" w:fill="FFFFFF"/>
        </w:rPr>
        <w:t xml:space="preserve"> for rapid NAAT</w:t>
      </w:r>
      <w:r w:rsidR="007F274E">
        <w:rPr>
          <w:shd w:val="clear" w:color="auto" w:fill="FFFFFF"/>
        </w:rPr>
        <w:t>s</w:t>
      </w:r>
      <w:r w:rsidR="001D21DE">
        <w:rPr>
          <w:shd w:val="clear" w:color="auto" w:fill="FFFFFF"/>
        </w:rPr>
        <w:t>;</w:t>
      </w:r>
      <w:r w:rsidR="00865031">
        <w:rPr>
          <w:shd w:val="clear" w:color="auto" w:fill="FFFFFF"/>
        </w:rPr>
        <w:t xml:space="preserve"> in practice</w:t>
      </w:r>
      <w:r w:rsidR="001D21DE">
        <w:rPr>
          <w:shd w:val="clear" w:color="auto" w:fill="FFFFFF"/>
        </w:rPr>
        <w:t>,</w:t>
      </w:r>
      <w:r w:rsidR="00865031">
        <w:rPr>
          <w:shd w:val="clear" w:color="auto" w:fill="FFFFFF"/>
        </w:rPr>
        <w:t xml:space="preserve"> most</w:t>
      </w:r>
      <w:r w:rsidR="00155FAE">
        <w:rPr>
          <w:shd w:val="clear" w:color="auto" w:fill="FFFFFF"/>
        </w:rPr>
        <w:t xml:space="preserve"> rapid NAATs</w:t>
      </w:r>
      <w:r w:rsidR="00865031">
        <w:rPr>
          <w:shd w:val="clear" w:color="auto" w:fill="FFFFFF"/>
        </w:rPr>
        <w:t xml:space="preserve"> </w:t>
      </w:r>
      <w:r w:rsidR="00EB563F">
        <w:rPr>
          <w:shd w:val="clear" w:color="auto" w:fill="FFFFFF"/>
        </w:rPr>
        <w:t>are</w:t>
      </w:r>
      <w:r w:rsidR="00B65825">
        <w:rPr>
          <w:shd w:val="clear" w:color="auto" w:fill="FFFFFF"/>
        </w:rPr>
        <w:t xml:space="preserve"> performed outside of a Medicare-eligible setting and thus are</w:t>
      </w:r>
      <w:r w:rsidR="00EB563F">
        <w:rPr>
          <w:shd w:val="clear" w:color="auto" w:fill="FFFFFF"/>
        </w:rPr>
        <w:t xml:space="preserve"> funded </w:t>
      </w:r>
      <w:r w:rsidR="00155FAE">
        <w:rPr>
          <w:shd w:val="clear" w:color="auto" w:fill="FFFFFF"/>
        </w:rPr>
        <w:t xml:space="preserve">either </w:t>
      </w:r>
      <w:r w:rsidR="00EB563F">
        <w:rPr>
          <w:shd w:val="clear" w:color="auto" w:fill="FFFFFF"/>
        </w:rPr>
        <w:t xml:space="preserve">by the </w:t>
      </w:r>
      <w:r w:rsidR="00865031">
        <w:rPr>
          <w:shd w:val="clear" w:color="auto" w:fill="FFFFFF"/>
        </w:rPr>
        <w:t>state</w:t>
      </w:r>
      <w:r w:rsidR="00EB563F">
        <w:rPr>
          <w:shd w:val="clear" w:color="auto" w:fill="FFFFFF"/>
        </w:rPr>
        <w:t>s</w:t>
      </w:r>
      <w:r w:rsidR="00865031">
        <w:rPr>
          <w:shd w:val="clear" w:color="auto" w:fill="FFFFFF"/>
        </w:rPr>
        <w:t xml:space="preserve"> and territor</w:t>
      </w:r>
      <w:r w:rsidR="00EB563F">
        <w:rPr>
          <w:shd w:val="clear" w:color="auto" w:fill="FFFFFF"/>
        </w:rPr>
        <w:t>ies</w:t>
      </w:r>
      <w:r w:rsidR="00865031">
        <w:rPr>
          <w:shd w:val="clear" w:color="auto" w:fill="FFFFFF"/>
        </w:rPr>
        <w:t xml:space="preserve"> or </w:t>
      </w:r>
      <w:r w:rsidR="00082DD2">
        <w:rPr>
          <w:shd w:val="clear" w:color="auto" w:fill="FFFFFF"/>
        </w:rPr>
        <w:t>within</w:t>
      </w:r>
      <w:r w:rsidR="00155FAE">
        <w:rPr>
          <w:shd w:val="clear" w:color="auto" w:fill="FFFFFF"/>
        </w:rPr>
        <w:t xml:space="preserve"> </w:t>
      </w:r>
      <w:r w:rsidR="001D21DE">
        <w:rPr>
          <w:shd w:val="clear" w:color="auto" w:fill="FFFFFF"/>
        </w:rPr>
        <w:t>a</w:t>
      </w:r>
      <w:r w:rsidR="00155FAE">
        <w:rPr>
          <w:shd w:val="clear" w:color="auto" w:fill="FFFFFF"/>
        </w:rPr>
        <w:t xml:space="preserve"> specific</w:t>
      </w:r>
      <w:r w:rsidR="00865031">
        <w:rPr>
          <w:shd w:val="clear" w:color="auto" w:fill="FFFFFF"/>
        </w:rPr>
        <w:t xml:space="preserve"> </w:t>
      </w:r>
      <w:r w:rsidR="000539DB">
        <w:rPr>
          <w:shd w:val="clear" w:color="auto" w:fill="FFFFFF"/>
        </w:rPr>
        <w:t>program</w:t>
      </w:r>
      <w:r w:rsidR="00EB563F">
        <w:rPr>
          <w:shd w:val="clear" w:color="auto" w:fill="FFFFFF"/>
        </w:rPr>
        <w:t xml:space="preserve"> </w:t>
      </w:r>
      <w:r w:rsidR="000539DB">
        <w:rPr>
          <w:shd w:val="clear" w:color="auto" w:fill="FFFFFF"/>
        </w:rPr>
        <w:t>(</w:t>
      </w:r>
      <w:r w:rsidR="00EB563F">
        <w:rPr>
          <w:shd w:val="clear" w:color="auto" w:fill="FFFFFF"/>
        </w:rPr>
        <w:t>e.g. Aboriginal and Torres Strait Islander COVID-19 Point-of-Care Testing Program</w:t>
      </w:r>
      <w:r w:rsidR="00865031">
        <w:rPr>
          <w:shd w:val="clear" w:color="auto" w:fill="FFFFFF"/>
        </w:rPr>
        <w:t>).</w:t>
      </w:r>
    </w:p>
    <w:p w14:paraId="1E53423B" w14:textId="125629AF" w:rsidR="0014379F" w:rsidRDefault="0014379F" w:rsidP="00006BA2">
      <w:pPr>
        <w:rPr>
          <w:shd w:val="clear" w:color="auto" w:fill="FFFFFF"/>
        </w:rPr>
      </w:pPr>
      <w:r w:rsidRPr="001D278E">
        <w:rPr>
          <w:shd w:val="clear" w:color="auto" w:fill="FFFFFF"/>
        </w:rPr>
        <w:t xml:space="preserve">MSAC has not previously considered an application for rapid testing for </w:t>
      </w:r>
      <w:r w:rsidR="00C63712">
        <w:rPr>
          <w:shd w:val="clear" w:color="auto" w:fill="FFFFFF"/>
        </w:rPr>
        <w:t>SARS-CoV-2</w:t>
      </w:r>
      <w:r w:rsidRPr="001D278E">
        <w:rPr>
          <w:shd w:val="clear" w:color="auto" w:fill="FFFFFF"/>
        </w:rPr>
        <w:t xml:space="preserve"> and/or other </w:t>
      </w:r>
      <w:r w:rsidRPr="005A0F77">
        <w:rPr>
          <w:shd w:val="clear" w:color="auto" w:fill="FFFFFF"/>
        </w:rPr>
        <w:t>respiratory pathogens and has not received an application for MBS funding for this specific approach to testing. In its 28 October 2022</w:t>
      </w:r>
      <w:r w:rsidR="001F1FD9" w:rsidRPr="001F1FD9">
        <w:rPr>
          <w:shd w:val="clear" w:color="auto" w:fill="FFFFFF"/>
        </w:rPr>
        <w:t xml:space="preserve"> </w:t>
      </w:r>
      <w:r w:rsidR="001F1FD9">
        <w:rPr>
          <w:shd w:val="clear" w:color="auto" w:fill="FFFFFF"/>
        </w:rPr>
        <w:t>consideration of the information that MSAC would need to advise the Minister</w:t>
      </w:r>
      <w:r w:rsidRPr="005A0F77">
        <w:rPr>
          <w:shd w:val="clear" w:color="auto" w:fill="FFFFFF"/>
        </w:rPr>
        <w:t xml:space="preserve">, the MSAC Executive </w:t>
      </w:r>
      <w:r w:rsidR="001F1FD9">
        <w:rPr>
          <w:shd w:val="clear" w:color="auto" w:fill="FFFFFF"/>
        </w:rPr>
        <w:t>advised</w:t>
      </w:r>
      <w:r w:rsidR="00C73E4A">
        <w:rPr>
          <w:shd w:val="clear" w:color="auto" w:fill="FFFFFF"/>
        </w:rPr>
        <w:t xml:space="preserve"> that</w:t>
      </w:r>
      <w:r w:rsidR="00C73E4A" w:rsidRPr="005A0F77">
        <w:rPr>
          <w:shd w:val="clear" w:color="auto" w:fill="FFFFFF"/>
        </w:rPr>
        <w:t xml:space="preserve"> </w:t>
      </w:r>
      <w:r w:rsidR="00C73E4A">
        <w:rPr>
          <w:shd w:val="clear" w:color="auto" w:fill="FFFFFF"/>
        </w:rPr>
        <w:t>the</w:t>
      </w:r>
      <w:r w:rsidRPr="005A0F77">
        <w:rPr>
          <w:shd w:val="clear" w:color="auto" w:fill="FFFFFF"/>
        </w:rPr>
        <w:t xml:space="preserve"> assessment </w:t>
      </w:r>
      <w:r w:rsidR="00C73E4A">
        <w:rPr>
          <w:shd w:val="clear" w:color="auto" w:fill="FFFFFF"/>
        </w:rPr>
        <w:t>should</w:t>
      </w:r>
      <w:r w:rsidR="00FD3EAD">
        <w:rPr>
          <w:shd w:val="clear" w:color="auto" w:fill="FFFFFF"/>
        </w:rPr>
        <w:t xml:space="preserve"> also</w:t>
      </w:r>
      <w:r w:rsidR="00C73E4A">
        <w:rPr>
          <w:shd w:val="clear" w:color="auto" w:fill="FFFFFF"/>
        </w:rPr>
        <w:t xml:space="preserve"> include</w:t>
      </w:r>
      <w:r w:rsidRPr="005A0F77">
        <w:rPr>
          <w:shd w:val="clear" w:color="auto" w:fill="FFFFFF"/>
        </w:rPr>
        <w:t xml:space="preserve"> ‘point-of-care’ testing (</w:t>
      </w:r>
      <w:proofErr w:type="spellStart"/>
      <w:r w:rsidRPr="005A0F77">
        <w:rPr>
          <w:shd w:val="clear" w:color="auto" w:fill="FFFFFF"/>
        </w:rPr>
        <w:t>PoCT</w:t>
      </w:r>
      <w:proofErr w:type="spellEnd"/>
      <w:r w:rsidRPr="005A0F77">
        <w:rPr>
          <w:shd w:val="clear" w:color="auto" w:fill="FFFFFF"/>
        </w:rPr>
        <w:t>) for SARS-CoV-2.</w:t>
      </w:r>
      <w:r>
        <w:rPr>
          <w:shd w:val="clear" w:color="auto" w:fill="FFFFFF"/>
        </w:rPr>
        <w:t xml:space="preserve"> </w:t>
      </w:r>
      <w:r w:rsidR="00C73E4A">
        <w:rPr>
          <w:shd w:val="clear" w:color="auto" w:fill="FFFFFF"/>
        </w:rPr>
        <w:t xml:space="preserve">However, subsequent </w:t>
      </w:r>
      <w:r w:rsidR="003D1F88">
        <w:rPr>
          <w:shd w:val="clear" w:color="auto" w:fill="FFFFFF"/>
        </w:rPr>
        <w:t>Department</w:t>
      </w:r>
      <w:r w:rsidR="00C73E4A">
        <w:rPr>
          <w:shd w:val="clear" w:color="auto" w:fill="FFFFFF"/>
        </w:rPr>
        <w:t xml:space="preserve"> advice clarified that</w:t>
      </w:r>
      <w:r>
        <w:rPr>
          <w:shd w:val="clear" w:color="auto" w:fill="FFFFFF"/>
        </w:rPr>
        <w:t xml:space="preserve"> </w:t>
      </w:r>
      <w:r w:rsidR="00FD3EAD">
        <w:rPr>
          <w:shd w:val="clear" w:color="auto" w:fill="FFFFFF"/>
        </w:rPr>
        <w:t>MBS-funded</w:t>
      </w:r>
      <w:r>
        <w:rPr>
          <w:shd w:val="clear" w:color="auto" w:fill="FFFFFF"/>
        </w:rPr>
        <w:t xml:space="preserve"> NAAT</w:t>
      </w:r>
      <w:r w:rsidR="00836DE5">
        <w:rPr>
          <w:shd w:val="clear" w:color="auto" w:fill="FFFFFF"/>
        </w:rPr>
        <w:t>s</w:t>
      </w:r>
      <w:r>
        <w:rPr>
          <w:shd w:val="clear" w:color="auto" w:fill="FFFFFF"/>
        </w:rPr>
        <w:t xml:space="preserve"> for respiratory pathogens </w:t>
      </w:r>
      <w:r w:rsidR="00FD3EAD">
        <w:rPr>
          <w:shd w:val="clear" w:color="auto" w:fill="FFFFFF"/>
        </w:rPr>
        <w:t>would encompass</w:t>
      </w:r>
      <w:r>
        <w:rPr>
          <w:shd w:val="clear" w:color="auto" w:fill="FFFFFF"/>
        </w:rPr>
        <w:t xml:space="preserve"> laboratory-based testing only</w:t>
      </w:r>
      <w:r w:rsidR="000647E2">
        <w:rPr>
          <w:shd w:val="clear" w:color="auto" w:fill="FFFFFF"/>
        </w:rPr>
        <w:t>.</w:t>
      </w:r>
      <w:r>
        <w:rPr>
          <w:shd w:val="clear" w:color="auto" w:fill="FFFFFF"/>
        </w:rPr>
        <w:t xml:space="preserve"> </w:t>
      </w:r>
    </w:p>
    <w:p w14:paraId="6F52500A" w14:textId="1EA9F9A6" w:rsidR="00772829" w:rsidRPr="00CE28E3" w:rsidRDefault="00CB2E78" w:rsidP="002A18BE">
      <w:pPr>
        <w:pStyle w:val="Heading2"/>
        <w:numPr>
          <w:ilvl w:val="0"/>
          <w:numId w:val="0"/>
        </w:numPr>
      </w:pPr>
      <w:bookmarkStart w:id="10" w:name="_Toc133832617"/>
      <w:r>
        <w:t>5</w:t>
      </w:r>
      <w:r w:rsidR="00C36633">
        <w:t>.</w:t>
      </w:r>
      <w:r w:rsidR="00C36633">
        <w:tab/>
      </w:r>
      <w:r w:rsidR="00772829" w:rsidRPr="00CE28E3">
        <w:t>Prerequisites to implementation of any funding advice</w:t>
      </w:r>
      <w:bookmarkEnd w:id="10"/>
    </w:p>
    <w:p w14:paraId="7D5A6C7B" w14:textId="70663928" w:rsidR="00584DD4" w:rsidRDefault="00584DD4" w:rsidP="00584DD4">
      <w:r>
        <w:t>The</w:t>
      </w:r>
      <w:r w:rsidRPr="0001290C">
        <w:t xml:space="preserve"> proposed technology </w:t>
      </w:r>
      <w:r>
        <w:t>includes</w:t>
      </w:r>
      <w:r w:rsidRPr="0001290C">
        <w:t xml:space="preserve"> a therapeutic good</w:t>
      </w:r>
      <w:r>
        <w:t xml:space="preserve"> (diagnostic device)</w:t>
      </w:r>
      <w:r w:rsidRPr="0001290C">
        <w:t xml:space="preserve"> that requires </w:t>
      </w:r>
      <w:r w:rsidR="00FD3EAD">
        <w:t>Therapeutic Goods Administration (</w:t>
      </w:r>
      <w:r w:rsidRPr="0001290C">
        <w:t>TGA</w:t>
      </w:r>
      <w:r w:rsidR="00FD3EAD">
        <w:t>)</w:t>
      </w:r>
      <w:r w:rsidRPr="0001290C">
        <w:t xml:space="preserve"> approval</w:t>
      </w:r>
      <w:r>
        <w:t xml:space="preserve"> if it is a Class 3 </w:t>
      </w:r>
      <w:r>
        <w:rPr>
          <w:i/>
          <w:iCs/>
        </w:rPr>
        <w:t>i</w:t>
      </w:r>
      <w:r w:rsidRPr="0096286F">
        <w:rPr>
          <w:i/>
          <w:iCs/>
        </w:rPr>
        <w:t>n vitro</w:t>
      </w:r>
      <w:r>
        <w:t xml:space="preserve"> diagnostic device prior to inclusion on the </w:t>
      </w:r>
      <w:r w:rsidR="00FD3EAD">
        <w:t>Australian Register of Therapeutic Goods (</w:t>
      </w:r>
      <w:r>
        <w:t>ARTG</w:t>
      </w:r>
      <w:r w:rsidR="00FD3EAD">
        <w:t>)</w:t>
      </w:r>
      <w:r>
        <w:t xml:space="preserve">, or notification to the TGA if it is an in-house </w:t>
      </w:r>
      <w:r w:rsidRPr="00207E7E">
        <w:t xml:space="preserve">validated test </w:t>
      </w:r>
      <w:r w:rsidR="00207E7E">
        <w:t>as an initial (i.e., first) notification to use by 1 July of the next financial year (or within 20 working days of this date)</w:t>
      </w:r>
      <w:r w:rsidR="00207E7E">
        <w:rPr>
          <w:rStyle w:val="FootnoteReference"/>
        </w:rPr>
        <w:footnoteReference w:id="9"/>
      </w:r>
      <w:r w:rsidR="00207E7E">
        <w:t>.</w:t>
      </w:r>
      <w:r w:rsidRPr="00281876">
        <w:t xml:space="preserve"> </w:t>
      </w:r>
    </w:p>
    <w:p w14:paraId="110096E2" w14:textId="03C2747D" w:rsidR="00584DD4" w:rsidRDefault="00584DD4" w:rsidP="00584DD4">
      <w:r>
        <w:t>The following is from the Revised Testing Framework for COVID-19 in Australia</w:t>
      </w:r>
      <w:r w:rsidR="005A0F77">
        <w:rPr>
          <w:rStyle w:val="FootnoteReference"/>
        </w:rPr>
        <w:footnoteReference w:id="10"/>
      </w:r>
    </w:p>
    <w:p w14:paraId="5EA91AAA" w14:textId="77777777" w:rsidR="00584DD4" w:rsidRPr="0036195C" w:rsidRDefault="00584DD4" w:rsidP="00584DD4">
      <w:pPr>
        <w:ind w:left="720"/>
      </w:pPr>
      <w:r>
        <w:lastRenderedPageBreak/>
        <w:t>“</w:t>
      </w:r>
      <w:r w:rsidRPr="0036195C">
        <w:t xml:space="preserve">All Australian pathology laboratories must comply with the specified standards in the </w:t>
      </w:r>
      <w:r w:rsidRPr="0036195C">
        <w:rPr>
          <w:i/>
          <w:iCs/>
        </w:rPr>
        <w:t xml:space="preserve">Health Insurance (Accredited Pathology Laboratories-Approval) Principles 2017 </w:t>
      </w:r>
      <w:r w:rsidRPr="0036195C">
        <w:t>to be eligible to provide MBS-</w:t>
      </w:r>
      <w:proofErr w:type="spellStart"/>
      <w:r w:rsidRPr="0036195C">
        <w:t>rebatable</w:t>
      </w:r>
      <w:proofErr w:type="spellEnd"/>
      <w:r w:rsidRPr="0036195C">
        <w:t xml:space="preserve"> pathology services. The National Pathology Accreditation Advisory Council (NPAAC) develops and maintains accreditation standards. If an Australian pathology laboratory develops their own test, they must also meet relevant legal obligations under the </w:t>
      </w:r>
      <w:r w:rsidRPr="0036195C">
        <w:rPr>
          <w:i/>
          <w:iCs/>
        </w:rPr>
        <w:t xml:space="preserve">Therapeutic Goods (Medical Device) Regulations 2002. </w:t>
      </w:r>
      <w:r w:rsidRPr="0036195C">
        <w:t xml:space="preserve">This is administered by the TGA. </w:t>
      </w:r>
    </w:p>
    <w:p w14:paraId="1870DF4D" w14:textId="77777777" w:rsidR="00584DD4" w:rsidRDefault="00584DD4" w:rsidP="00584DD4">
      <w:pPr>
        <w:ind w:left="720"/>
      </w:pPr>
      <w:r w:rsidRPr="0036195C">
        <w:t>To maintain testing accreditation, Australian laboratories must participate in a relevant quality assurance program, to monitor performance and ensure SARS-CoV-2 test results are accurate and reliable. The Australian Government supports the Royal College of Pathologists of Australasia Quality Assurance Program Pty Ltd (RCPA</w:t>
      </w:r>
      <w:r>
        <w:t xml:space="preserve"> </w:t>
      </w:r>
      <w:r w:rsidRPr="0036195C">
        <w:t xml:space="preserve">QAP) to provide a proficiency testing program (PTP) for SARS-CoV-2. The RCPAQAP develops and offers both RT-PCR, </w:t>
      </w:r>
      <w:proofErr w:type="gramStart"/>
      <w:r w:rsidRPr="0036195C">
        <w:t>serology</w:t>
      </w:r>
      <w:proofErr w:type="gramEnd"/>
      <w:r w:rsidRPr="0036195C">
        <w:t xml:space="preserve"> and genomics PTPs.</w:t>
      </w:r>
      <w:r>
        <w:t>”</w:t>
      </w:r>
      <w:r w:rsidRPr="0036195C">
        <w:t xml:space="preserve"> </w:t>
      </w:r>
    </w:p>
    <w:p w14:paraId="3D3343E5" w14:textId="77777777" w:rsidR="00584DD4" w:rsidRDefault="00584DD4" w:rsidP="00584DD4">
      <w:r>
        <w:t>Participation in</w:t>
      </w:r>
      <w:r w:rsidRPr="0001290C">
        <w:t xml:space="preserve"> </w:t>
      </w:r>
      <w:r>
        <w:t>an external QAP is a prerequisite for provision of</w:t>
      </w:r>
      <w:r w:rsidRPr="0001290C">
        <w:t xml:space="preserve"> a</w:t>
      </w:r>
      <w:r>
        <w:t>n MBS-</w:t>
      </w:r>
      <w:proofErr w:type="spellStart"/>
      <w:r>
        <w:t>rebatable</w:t>
      </w:r>
      <w:proofErr w:type="spellEnd"/>
      <w:r w:rsidRPr="0001290C">
        <w:t xml:space="preserve"> pathology </w:t>
      </w:r>
      <w:r>
        <w:t>service. Laboratory testing must be undertaken in a National Association of Testing Authorities, Australia (NATA)-accredited laboratory.</w:t>
      </w:r>
    </w:p>
    <w:p w14:paraId="72C0877F" w14:textId="77777777" w:rsidR="00584DD4" w:rsidRDefault="00584DD4" w:rsidP="00584DD4">
      <w:r>
        <w:t>The RCPA QAP provided the following information</w:t>
      </w:r>
      <w:r>
        <w:rPr>
          <w:rStyle w:val="FootnoteReference"/>
        </w:rPr>
        <w:footnoteReference w:id="11"/>
      </w:r>
      <w:r>
        <w:t>:</w:t>
      </w:r>
    </w:p>
    <w:p w14:paraId="5F1B1523" w14:textId="77777777" w:rsidR="00584DD4" w:rsidRPr="00207E7E" w:rsidRDefault="00584DD4" w:rsidP="00584DD4">
      <w:pPr>
        <w:pStyle w:val="CommentText"/>
        <w:ind w:left="720"/>
        <w:rPr>
          <w:rFonts w:ascii="Franklin Gothic Book" w:hAnsi="Franklin Gothic Book"/>
        </w:rPr>
      </w:pPr>
      <w:r w:rsidRPr="00207E7E">
        <w:rPr>
          <w:rFonts w:ascii="Franklin Gothic Book" w:hAnsi="Franklin Gothic Book"/>
        </w:rPr>
        <w:t>“The RCPAQAP have offered a molecular Coronavirus SARS-CoV-2 proficiency testing program since March 2020. In October 2020, the program was added to RCPAQAP’s accreditation under ISO/IEC:17043:2010 General</w:t>
      </w:r>
      <w:r w:rsidRPr="00207E7E">
        <w:rPr>
          <w:rStyle w:val="apple-converted-space"/>
          <w:rFonts w:ascii="Franklin Gothic Book" w:hAnsi="Franklin Gothic Book"/>
        </w:rPr>
        <w:t> </w:t>
      </w:r>
      <w:r w:rsidRPr="00207E7E">
        <w:rPr>
          <w:rFonts w:ascii="Franklin Gothic Book" w:hAnsi="Franklin Gothic Book"/>
        </w:rPr>
        <w:t>requirements for proficiency testing.</w:t>
      </w:r>
      <w:r w:rsidRPr="00207E7E">
        <w:rPr>
          <w:rFonts w:ascii="Franklin Gothic Book" w:hAnsi="Franklin Gothic Book"/>
        </w:rPr>
        <w:br/>
        <w:t>The 2022 Molecular Coronavirus (SARS-CoV-2) Program consisted of four surveys, each containing two specimens, including Delta and Omicron variants at different concentrations, different influenza strains and negative specimens.</w:t>
      </w:r>
    </w:p>
    <w:p w14:paraId="52AC3D9A" w14:textId="23198D29" w:rsidR="00310C3F" w:rsidRPr="00207E7E" w:rsidRDefault="00584DD4" w:rsidP="00035C4C">
      <w:pPr>
        <w:pStyle w:val="CommentText"/>
        <w:ind w:left="720"/>
        <w:rPr>
          <w:rFonts w:ascii="Franklin Gothic Book" w:hAnsi="Franklin Gothic Book"/>
        </w:rPr>
      </w:pPr>
      <w:r w:rsidRPr="00207E7E">
        <w:rPr>
          <w:rFonts w:ascii="Franklin Gothic Book" w:hAnsi="Franklin Gothic Book"/>
        </w:rPr>
        <w:t>A total of 369 Australian laboratories were enrolled in the Molecular Coronavirus (SARS-CoV-2) Program in 2022."</w:t>
      </w:r>
    </w:p>
    <w:p w14:paraId="44C3B242" w14:textId="66F4A3E6" w:rsidR="00772829" w:rsidRDefault="00CB2E78" w:rsidP="002A18BE">
      <w:pPr>
        <w:pStyle w:val="Heading2"/>
        <w:numPr>
          <w:ilvl w:val="0"/>
          <w:numId w:val="0"/>
        </w:numPr>
      </w:pPr>
      <w:bookmarkStart w:id="11" w:name="_Toc133832618"/>
      <w:r>
        <w:t>6</w:t>
      </w:r>
      <w:r w:rsidR="00C36633">
        <w:t>.</w:t>
      </w:r>
      <w:r w:rsidR="00C36633">
        <w:tab/>
      </w:r>
      <w:r w:rsidR="00772829" w:rsidRPr="00CE28E3">
        <w:t>Proposal for public funding</w:t>
      </w:r>
      <w:bookmarkEnd w:id="11"/>
    </w:p>
    <w:p w14:paraId="2C10604A" w14:textId="7A4B1FC6" w:rsidR="00AD58D4" w:rsidRDefault="00AD58D4" w:rsidP="00AD58D4">
      <w:r>
        <w:t xml:space="preserve">The </w:t>
      </w:r>
      <w:r w:rsidR="00520667">
        <w:t xml:space="preserve">Parameters </w:t>
      </w:r>
      <w:proofErr w:type="gramStart"/>
      <w:r w:rsidR="00520667">
        <w:t>stated</w:t>
      </w:r>
      <w:proofErr w:type="gramEnd"/>
      <w:r w:rsidR="00520667">
        <w:t xml:space="preserve"> “</w:t>
      </w:r>
      <w:r w:rsidR="00520667" w:rsidRPr="00520667">
        <w:t>The proposed permanent items could use the same structure and item descriptors as the temporary SARS-CoV-2 test MBS items</w:t>
      </w:r>
      <w:r w:rsidR="00520667">
        <w:t xml:space="preserve">”, leaving latitude for the DCAR to make an alternative proposal if this was considered appropriate. </w:t>
      </w:r>
      <w:r w:rsidR="00627A9B">
        <w:t>Consequently</w:t>
      </w:r>
      <w:r w:rsidR="00E308E3">
        <w:t>,</w:t>
      </w:r>
      <w:r w:rsidR="00627A9B">
        <w:t xml:space="preserve"> t</w:t>
      </w:r>
      <w:r w:rsidR="00C811EA">
        <w:t xml:space="preserve">he DCAR </w:t>
      </w:r>
      <w:r w:rsidR="00E308E3">
        <w:t>examined</w:t>
      </w:r>
      <w:r w:rsidR="00C811EA">
        <w:t xml:space="preserve"> two options for the intervention:</w:t>
      </w:r>
    </w:p>
    <w:p w14:paraId="5E4B3B87" w14:textId="68318D3B" w:rsidR="00C811EA" w:rsidRDefault="0086579B" w:rsidP="00CB2E78">
      <w:pPr>
        <w:pStyle w:val="ListParagraph"/>
        <w:numPr>
          <w:ilvl w:val="0"/>
          <w:numId w:val="20"/>
        </w:numPr>
      </w:pPr>
      <w:r>
        <w:t xml:space="preserve">A two-step </w:t>
      </w:r>
      <w:r w:rsidR="008B44CF">
        <w:t xml:space="preserve">multi-pathogen testing </w:t>
      </w:r>
      <w:r>
        <w:t xml:space="preserve">ladder proposed </w:t>
      </w:r>
      <w:r w:rsidR="00D206E3">
        <w:t xml:space="preserve">by the HTA group </w:t>
      </w:r>
      <w:r>
        <w:t>based on best clinical practice</w:t>
      </w:r>
      <w:r w:rsidR="00FF60A4">
        <w:t>. Includes two sub-scenarios:</w:t>
      </w:r>
    </w:p>
    <w:p w14:paraId="244E709C" w14:textId="03C5B805" w:rsidR="00540E44" w:rsidRDefault="00D93C4D" w:rsidP="00CB2E78">
      <w:pPr>
        <w:pStyle w:val="ListParagraph"/>
        <w:numPr>
          <w:ilvl w:val="1"/>
          <w:numId w:val="20"/>
        </w:numPr>
      </w:pPr>
      <w:r>
        <w:t>SARS-CoV-2 testing uses items XXXX, YYYY</w:t>
      </w:r>
    </w:p>
    <w:p w14:paraId="1AC9B62A" w14:textId="5D75A70E" w:rsidR="007C5B38" w:rsidRDefault="00D93C4D" w:rsidP="00CB2E78">
      <w:pPr>
        <w:pStyle w:val="ListParagraph"/>
        <w:numPr>
          <w:ilvl w:val="1"/>
          <w:numId w:val="20"/>
        </w:numPr>
      </w:pPr>
      <w:r>
        <w:t xml:space="preserve">SARS-CoV-2 testing uses items XXXX, YYYY, and </w:t>
      </w:r>
      <w:r w:rsidR="00AD275C">
        <w:t>69494</w:t>
      </w:r>
    </w:p>
    <w:p w14:paraId="65E388AE" w14:textId="7A4303CF" w:rsidR="00D206E3" w:rsidRPr="0078130E" w:rsidRDefault="00540E44" w:rsidP="00CB2E78">
      <w:pPr>
        <w:pStyle w:val="ListParagraph"/>
        <w:numPr>
          <w:ilvl w:val="0"/>
          <w:numId w:val="20"/>
        </w:numPr>
      </w:pPr>
      <w:r>
        <w:t xml:space="preserve">The current temporary items </w:t>
      </w:r>
      <w:r w:rsidR="00AD275C">
        <w:t xml:space="preserve">are </w:t>
      </w:r>
      <w:r>
        <w:t>made permanent (with minor modifications)</w:t>
      </w:r>
    </w:p>
    <w:p w14:paraId="7876C06A" w14:textId="647C66D4" w:rsidR="00310C3F" w:rsidRDefault="00B01475" w:rsidP="002C20A7">
      <w:pPr>
        <w:pStyle w:val="Heading3"/>
      </w:pPr>
      <w:bookmarkStart w:id="12" w:name="_Toc133832620"/>
      <w:r>
        <w:t xml:space="preserve">Option 1: </w:t>
      </w:r>
      <w:r w:rsidR="0087295A">
        <w:t>Two-step multi-pathogen ladder (</w:t>
      </w:r>
      <w:r w:rsidR="00342976" w:rsidRPr="002C20A7">
        <w:t>HTA group</w:t>
      </w:r>
      <w:r w:rsidR="00E46DAB">
        <w:t xml:space="preserve"> option</w:t>
      </w:r>
      <w:bookmarkEnd w:id="12"/>
      <w:r w:rsidR="0087295A">
        <w:t>)</w:t>
      </w:r>
    </w:p>
    <w:p w14:paraId="595F0DD6" w14:textId="51C7A9DF" w:rsidR="00D1232D" w:rsidRDefault="00D1232D" w:rsidP="00D1232D">
      <w:pPr>
        <w:rPr>
          <w:shd w:val="clear" w:color="auto" w:fill="FFFFFF"/>
        </w:rPr>
      </w:pPr>
      <w:r>
        <w:rPr>
          <w:shd w:val="clear" w:color="auto" w:fill="FFFFFF"/>
        </w:rPr>
        <w:t>The HTA group has included for consideration</w:t>
      </w:r>
      <w:r w:rsidR="00314846">
        <w:rPr>
          <w:shd w:val="clear" w:color="auto" w:fill="FFFFFF"/>
        </w:rPr>
        <w:t xml:space="preserve"> an </w:t>
      </w:r>
      <w:r w:rsidR="00EF0ABB">
        <w:rPr>
          <w:shd w:val="clear" w:color="auto" w:fill="FFFFFF"/>
        </w:rPr>
        <w:t xml:space="preserve">alternative </w:t>
      </w:r>
      <w:r w:rsidR="00B01475">
        <w:rPr>
          <w:shd w:val="clear" w:color="auto" w:fill="FFFFFF"/>
        </w:rPr>
        <w:t xml:space="preserve">scenario of the intervention </w:t>
      </w:r>
      <w:r w:rsidR="00884B96">
        <w:rPr>
          <w:shd w:val="clear" w:color="auto" w:fill="FFFFFF"/>
        </w:rPr>
        <w:t xml:space="preserve">that </w:t>
      </w:r>
      <w:r w:rsidR="00194F2E">
        <w:t>tak</w:t>
      </w:r>
      <w:r w:rsidR="00884B96">
        <w:t>es</w:t>
      </w:r>
      <w:r w:rsidR="00194F2E">
        <w:t xml:space="preserve"> into account advice from public health and infectious diseases experts on the optimal structure and laddering that would best reflect current clinical practice</w:t>
      </w:r>
      <w:r w:rsidR="00FC3B01">
        <w:t xml:space="preserve"> (</w:t>
      </w:r>
      <w:r w:rsidR="00884B96">
        <w:t xml:space="preserve">both test </w:t>
      </w:r>
      <w:r w:rsidR="00FC3B01">
        <w:t>requesting and provision)</w:t>
      </w:r>
      <w:r w:rsidR="00194F2E">
        <w:t xml:space="preserve">, </w:t>
      </w:r>
      <w:r>
        <w:t>an analysis of the current utilisation of the temporary MBS items (which are the same as those proposed for permanent inclusion in the MBS)</w:t>
      </w:r>
      <w:r w:rsidR="00194F2E">
        <w:t xml:space="preserve"> and</w:t>
      </w:r>
      <w:r>
        <w:t xml:space="preserve"> costing of the </w:t>
      </w:r>
      <w:r w:rsidR="00AB530D">
        <w:t xml:space="preserve">various </w:t>
      </w:r>
      <w:r>
        <w:t xml:space="preserve">panels </w:t>
      </w:r>
      <w:r>
        <w:lastRenderedPageBreak/>
        <w:t xml:space="preserve">proposed. </w:t>
      </w:r>
      <w:r>
        <w:rPr>
          <w:shd w:val="clear" w:color="auto" w:fill="FFFFFF"/>
        </w:rPr>
        <w:t>These integrate SARS-CoV-2 testing into a four-pathogen panel as one item, and a second item for broader respiratory pathogen testing</w:t>
      </w:r>
      <w:r w:rsidR="00884B96">
        <w:rPr>
          <w:shd w:val="clear" w:color="auto" w:fill="FFFFFF"/>
        </w:rPr>
        <w:t xml:space="preserve"> (</w:t>
      </w:r>
      <w:r w:rsidR="00884B96">
        <w:rPr>
          <w:shd w:val="clear" w:color="auto" w:fill="FFFFFF"/>
        </w:rPr>
        <w:fldChar w:fldCharType="begin"/>
      </w:r>
      <w:r w:rsidR="00884B96">
        <w:rPr>
          <w:shd w:val="clear" w:color="auto" w:fill="FFFFFF"/>
        </w:rPr>
        <w:instrText xml:space="preserve"> REF _Ref130398034 \h </w:instrText>
      </w:r>
      <w:r w:rsidR="00884B96">
        <w:rPr>
          <w:shd w:val="clear" w:color="auto" w:fill="FFFFFF"/>
        </w:rPr>
      </w:r>
      <w:r w:rsidR="00884B96">
        <w:rPr>
          <w:shd w:val="clear" w:color="auto" w:fill="FFFFFF"/>
        </w:rPr>
        <w:fldChar w:fldCharType="separate"/>
      </w:r>
      <w:r w:rsidR="00525416">
        <w:t xml:space="preserve">Table </w:t>
      </w:r>
      <w:r w:rsidR="00525416">
        <w:rPr>
          <w:noProof/>
        </w:rPr>
        <w:t>3</w:t>
      </w:r>
      <w:r w:rsidR="00884B96">
        <w:rPr>
          <w:shd w:val="clear" w:color="auto" w:fill="FFFFFF"/>
        </w:rPr>
        <w:fldChar w:fldCharType="end"/>
      </w:r>
      <w:r w:rsidR="00884B96">
        <w:rPr>
          <w:shd w:val="clear" w:color="auto" w:fill="FFFFFF"/>
        </w:rPr>
        <w:t>)</w:t>
      </w:r>
      <w:r>
        <w:rPr>
          <w:shd w:val="clear" w:color="auto" w:fill="FFFFFF"/>
        </w:rPr>
        <w:t>.</w:t>
      </w:r>
      <w:r>
        <w:t xml:space="preserve"> These </w:t>
      </w:r>
      <w:r w:rsidR="007B2ED0">
        <w:t xml:space="preserve">alternative </w:t>
      </w:r>
      <w:r w:rsidR="00ED51B4">
        <w:t>tests</w:t>
      </w:r>
      <w:r w:rsidR="00A13236">
        <w:t xml:space="preserve"> proposed by the HTA group</w:t>
      </w:r>
      <w:r w:rsidR="00E42EDB">
        <w:t xml:space="preserve"> would</w:t>
      </w:r>
      <w:r>
        <w:t xml:space="preserve"> complement the existing </w:t>
      </w:r>
      <w:r w:rsidR="00BD459D">
        <w:t>permanent</w:t>
      </w:r>
      <w:r w:rsidR="00300D8C">
        <w:t xml:space="preserve"> </w:t>
      </w:r>
      <w:r>
        <w:t>generic MBS items rather than duplicate their scope of testing.</w:t>
      </w:r>
      <w:r w:rsidR="00884B96" w:rsidRPr="00884B96">
        <w:rPr>
          <w:shd w:val="clear" w:color="auto" w:fill="FFFFFF"/>
        </w:rPr>
        <w:t xml:space="preserve"> </w:t>
      </w:r>
    </w:p>
    <w:p w14:paraId="66A1A1DE" w14:textId="603BE23A" w:rsidR="00366BB9" w:rsidRDefault="00366BB9" w:rsidP="00366BB9">
      <w:pPr>
        <w:pStyle w:val="Caption"/>
      </w:pPr>
      <w:bookmarkStart w:id="13" w:name="_Ref130398034"/>
      <w:r>
        <w:t xml:space="preserve">Table </w:t>
      </w:r>
      <w:r>
        <w:fldChar w:fldCharType="begin"/>
      </w:r>
      <w:r>
        <w:instrText>SEQ Table \* ARABIC</w:instrText>
      </w:r>
      <w:r>
        <w:fldChar w:fldCharType="separate"/>
      </w:r>
      <w:r w:rsidR="00525416">
        <w:rPr>
          <w:noProof/>
        </w:rPr>
        <w:t>3</w:t>
      </w:r>
      <w:r>
        <w:fldChar w:fldCharType="end"/>
      </w:r>
      <w:bookmarkEnd w:id="13"/>
      <w:r>
        <w:t xml:space="preserve"> </w:t>
      </w:r>
      <w:r w:rsidR="00D16568">
        <w:t>Proposed MBS items for the two-step multi-pathogen ladder (</w:t>
      </w:r>
      <w:r w:rsidR="0036097E">
        <w:t xml:space="preserve">option 1, </w:t>
      </w:r>
      <w:r>
        <w:t>HTA group option</w:t>
      </w:r>
      <w:r w:rsidR="00D16568">
        <w:t>)</w:t>
      </w:r>
    </w:p>
    <w:tbl>
      <w:tblPr>
        <w:tblStyle w:val="TableGrid"/>
        <w:tblW w:w="9016" w:type="dxa"/>
        <w:tblLook w:val="04A0" w:firstRow="1" w:lastRow="0" w:firstColumn="1" w:lastColumn="0" w:noHBand="0" w:noVBand="1"/>
      </w:tblPr>
      <w:tblGrid>
        <w:gridCol w:w="4508"/>
        <w:gridCol w:w="4508"/>
      </w:tblGrid>
      <w:tr w:rsidR="00366BB9" w:rsidRPr="0001290C" w14:paraId="4B58BFDD" w14:textId="77777777" w:rsidTr="00650385">
        <w:trPr>
          <w:cantSplit/>
          <w:trHeight w:val="350"/>
          <w:tblHeader/>
        </w:trPr>
        <w:tc>
          <w:tcPr>
            <w:tcW w:w="4508" w:type="dxa"/>
          </w:tcPr>
          <w:p w14:paraId="61CBBA6E" w14:textId="35B1BB5A" w:rsidR="00366BB9" w:rsidRPr="00DD12E0" w:rsidRDefault="00366BB9" w:rsidP="00650385">
            <w:pPr>
              <w:pStyle w:val="TableFigureHeading"/>
              <w:rPr>
                <w:rFonts w:asciiTheme="minorHAnsi" w:hAnsiTheme="minorHAnsi" w:cstheme="minorHAnsi"/>
              </w:rPr>
            </w:pPr>
            <w:r w:rsidRPr="00DD12E0">
              <w:t>Category 6 – PATHOLOGY SERVICE</w:t>
            </w:r>
          </w:p>
        </w:tc>
        <w:tc>
          <w:tcPr>
            <w:tcW w:w="4508" w:type="dxa"/>
          </w:tcPr>
          <w:p w14:paraId="5FBC06AB" w14:textId="77777777" w:rsidR="00366BB9" w:rsidRPr="00AA0FEE" w:rsidRDefault="00366BB9" w:rsidP="00650385">
            <w:pPr>
              <w:pStyle w:val="TableFigureHeading"/>
              <w:rPr>
                <w:rFonts w:asciiTheme="minorHAnsi" w:hAnsiTheme="minorHAnsi" w:cstheme="minorHAnsi"/>
              </w:rPr>
            </w:pPr>
            <w:r w:rsidRPr="00AA0FEE">
              <w:t xml:space="preserve">Group </w:t>
            </w:r>
            <w:r w:rsidRPr="00532690">
              <w:t>P3 - Microbiology</w:t>
            </w:r>
          </w:p>
        </w:tc>
      </w:tr>
      <w:tr w:rsidR="00366BB9" w:rsidRPr="0001290C" w14:paraId="106C5AC6" w14:textId="77777777" w:rsidTr="00650385">
        <w:trPr>
          <w:cantSplit/>
          <w:tblHeader/>
        </w:trPr>
        <w:tc>
          <w:tcPr>
            <w:tcW w:w="9016" w:type="dxa"/>
            <w:gridSpan w:val="2"/>
          </w:tcPr>
          <w:p w14:paraId="26C550C9" w14:textId="77777777" w:rsidR="00366BB9" w:rsidRPr="00DD12E0" w:rsidRDefault="00366BB9" w:rsidP="00650385">
            <w:pPr>
              <w:pStyle w:val="Tabletext0"/>
              <w:rPr>
                <w:lang w:val="en-US"/>
              </w:rPr>
            </w:pPr>
            <w:r w:rsidRPr="00DD12E0">
              <w:rPr>
                <w:lang w:val="en-US"/>
              </w:rPr>
              <w:t xml:space="preserve">MBS item </w:t>
            </w:r>
            <w:r>
              <w:rPr>
                <w:lang w:val="en-US"/>
              </w:rPr>
              <w:t>XXXX</w:t>
            </w:r>
          </w:p>
          <w:p w14:paraId="25FAA417" w14:textId="77777777" w:rsidR="00366BB9" w:rsidRPr="00DD12E0" w:rsidRDefault="00366BB9" w:rsidP="00CB2E78">
            <w:pPr>
              <w:pStyle w:val="Tabletext0"/>
              <w:spacing w:before="240"/>
            </w:pPr>
            <w:r w:rsidRPr="00465DC4">
              <w:t xml:space="preserve">Detection of </w:t>
            </w:r>
            <w:r w:rsidRPr="00DD12E0">
              <w:t>SARS-CoV-2, Influenza A and B</w:t>
            </w:r>
            <w:r>
              <w:t>, and respiratory syncytial virus</w:t>
            </w:r>
            <w:r w:rsidRPr="00465DC4">
              <w:t xml:space="preserve"> nucleic acid </w:t>
            </w:r>
            <w:r>
              <w:t xml:space="preserve">from </w:t>
            </w:r>
            <w:r w:rsidRPr="008128BE">
              <w:t>a nasal swab, throat swab, nasopharyngeal aspirate and/or lower respiratory tract sample</w:t>
            </w:r>
          </w:p>
          <w:p w14:paraId="1B75C752" w14:textId="77777777" w:rsidR="00366BB9" w:rsidRPr="00DD12E0" w:rsidRDefault="00366BB9" w:rsidP="00650385">
            <w:pPr>
              <w:pStyle w:val="Tabletext0"/>
              <w:rPr>
                <w:snapToGrid w:val="0"/>
              </w:rPr>
            </w:pPr>
            <w:r w:rsidRPr="00DD12E0">
              <w:rPr>
                <w:snapToGrid w:val="0"/>
              </w:rPr>
              <w:t>4 pathogens</w:t>
            </w:r>
          </w:p>
        </w:tc>
      </w:tr>
      <w:tr w:rsidR="00366BB9" w:rsidRPr="0001290C" w14:paraId="50DFA942" w14:textId="77777777" w:rsidTr="00650385">
        <w:trPr>
          <w:cantSplit/>
          <w:trHeight w:val="223"/>
          <w:tblHeader/>
        </w:trPr>
        <w:tc>
          <w:tcPr>
            <w:tcW w:w="9016" w:type="dxa"/>
            <w:gridSpan w:val="2"/>
          </w:tcPr>
          <w:p w14:paraId="27E32A6F" w14:textId="77777777" w:rsidR="00366BB9" w:rsidRPr="00DD12E0" w:rsidRDefault="00366BB9" w:rsidP="00650385">
            <w:pPr>
              <w:pStyle w:val="Tabletext0"/>
              <w:rPr>
                <w:rFonts w:asciiTheme="minorHAnsi" w:hAnsiTheme="minorHAnsi" w:cstheme="minorHAnsi"/>
                <w:snapToGrid w:val="0"/>
              </w:rPr>
            </w:pPr>
            <w:r w:rsidRPr="00DD12E0">
              <w:rPr>
                <w:shd w:val="clear" w:color="auto" w:fill="FBFBFB"/>
              </w:rPr>
              <w:t>Fee: $78.</w:t>
            </w:r>
            <w:r>
              <w:rPr>
                <w:shd w:val="clear" w:color="auto" w:fill="FBFBFB"/>
              </w:rPr>
              <w:t>25</w:t>
            </w:r>
            <w:r w:rsidRPr="00DD12E0">
              <w:rPr>
                <w:shd w:val="clear" w:color="auto" w:fill="FBFBFB"/>
              </w:rPr>
              <w:t> Benefit: 75% = $58.</w:t>
            </w:r>
            <w:r>
              <w:rPr>
                <w:shd w:val="clear" w:color="auto" w:fill="FBFBFB"/>
              </w:rPr>
              <w:t>69</w:t>
            </w:r>
            <w:r w:rsidRPr="00DD12E0">
              <w:rPr>
                <w:shd w:val="clear" w:color="auto" w:fill="FBFBFB"/>
              </w:rPr>
              <w:t xml:space="preserve"> 85% = $</w:t>
            </w:r>
            <w:r>
              <w:rPr>
                <w:shd w:val="clear" w:color="auto" w:fill="FBFBFB"/>
              </w:rPr>
              <w:t>66.51</w:t>
            </w:r>
          </w:p>
        </w:tc>
      </w:tr>
      <w:tr w:rsidR="00366BB9" w:rsidRPr="0001290C" w14:paraId="538F59D9" w14:textId="77777777" w:rsidTr="00650385">
        <w:trPr>
          <w:cantSplit/>
          <w:trHeight w:val="350"/>
          <w:tblHeader/>
        </w:trPr>
        <w:tc>
          <w:tcPr>
            <w:tcW w:w="4508" w:type="dxa"/>
          </w:tcPr>
          <w:p w14:paraId="2F6D2703" w14:textId="7A739FAA" w:rsidR="00366BB9" w:rsidRPr="00DD12E0" w:rsidRDefault="00366BB9" w:rsidP="00650385">
            <w:pPr>
              <w:pStyle w:val="In-tableHeading"/>
              <w:rPr>
                <w:rFonts w:asciiTheme="minorHAnsi" w:hAnsiTheme="minorHAnsi" w:cstheme="minorHAnsi"/>
              </w:rPr>
            </w:pPr>
            <w:r w:rsidRPr="00DD12E0">
              <w:t>Category 6 – PATHOLOGY SERVICE</w:t>
            </w:r>
          </w:p>
        </w:tc>
        <w:tc>
          <w:tcPr>
            <w:tcW w:w="4508" w:type="dxa"/>
          </w:tcPr>
          <w:p w14:paraId="097E765C" w14:textId="77777777" w:rsidR="00366BB9" w:rsidRPr="0001290C" w:rsidRDefault="00366BB9" w:rsidP="00650385">
            <w:pPr>
              <w:pStyle w:val="TableFigureHeading"/>
              <w:rPr>
                <w:rFonts w:asciiTheme="minorHAnsi" w:hAnsiTheme="minorHAnsi" w:cstheme="minorHAnsi"/>
              </w:rPr>
            </w:pPr>
            <w:r w:rsidRPr="000D6EAF">
              <w:t xml:space="preserve">Group </w:t>
            </w:r>
            <w:r w:rsidRPr="00532690">
              <w:t>P3 - Microbiology</w:t>
            </w:r>
          </w:p>
        </w:tc>
      </w:tr>
      <w:tr w:rsidR="00366BB9" w:rsidRPr="0001290C" w14:paraId="38905B52" w14:textId="77777777" w:rsidTr="00650385">
        <w:trPr>
          <w:cantSplit/>
          <w:tblHeader/>
        </w:trPr>
        <w:tc>
          <w:tcPr>
            <w:tcW w:w="9016" w:type="dxa"/>
            <w:gridSpan w:val="2"/>
          </w:tcPr>
          <w:p w14:paraId="0F3EEEFE" w14:textId="7E779250" w:rsidR="00366BB9" w:rsidRPr="00DD12E0" w:rsidRDefault="00366BB9" w:rsidP="00650385">
            <w:pPr>
              <w:pStyle w:val="TableText"/>
            </w:pPr>
            <w:r w:rsidRPr="00DD12E0">
              <w:t xml:space="preserve">MBS item </w:t>
            </w:r>
            <w:r>
              <w:t>YYYY</w:t>
            </w:r>
          </w:p>
          <w:p w14:paraId="7C634F40" w14:textId="77777777" w:rsidR="00366BB9" w:rsidRPr="00DD12E0" w:rsidRDefault="00366BB9" w:rsidP="00CB2E78">
            <w:pPr>
              <w:pStyle w:val="TableText"/>
              <w:spacing w:before="240"/>
            </w:pPr>
            <w:r w:rsidRPr="00465DC4">
              <w:rPr>
                <w:szCs w:val="20"/>
              </w:rPr>
              <w:t xml:space="preserve">Detection of a viral, fungal, atypical pneumonia pathogen or Bordetella species nucleic acid </w:t>
            </w:r>
            <w:r>
              <w:rPr>
                <w:szCs w:val="20"/>
              </w:rPr>
              <w:t xml:space="preserve">from </w:t>
            </w:r>
            <w:r w:rsidRPr="008128BE">
              <w:t>a nasal swab, throat swab, nasopharyngeal aspirate and/or lower respiratory tract sample</w:t>
            </w:r>
            <w:r>
              <w:t xml:space="preserve"> </w:t>
            </w:r>
            <w:r w:rsidRPr="00DD12E0">
              <w:t xml:space="preserve">including </w:t>
            </w:r>
            <w:r>
              <w:t>a</w:t>
            </w:r>
            <w:r w:rsidRPr="00DD12E0">
              <w:t xml:space="preserve"> service </w:t>
            </w:r>
            <w:r>
              <w:t>described</w:t>
            </w:r>
            <w:r w:rsidRPr="00DD12E0">
              <w:t xml:space="preserve"> in Item </w:t>
            </w:r>
            <w:r>
              <w:t>XXXX</w:t>
            </w:r>
          </w:p>
          <w:p w14:paraId="08E4474F" w14:textId="77777777" w:rsidR="00366BB9" w:rsidRPr="00DD12E0" w:rsidRDefault="00366BB9" w:rsidP="00650385">
            <w:pPr>
              <w:pStyle w:val="TableText"/>
              <w:rPr>
                <w:lang w:eastAsia="ja-JP"/>
              </w:rPr>
            </w:pPr>
            <w:r w:rsidRPr="00DD12E0">
              <w:t>5 or more pathogens</w:t>
            </w:r>
          </w:p>
        </w:tc>
      </w:tr>
      <w:tr w:rsidR="00366BB9" w:rsidRPr="0001290C" w14:paraId="0E2A913E" w14:textId="77777777" w:rsidTr="00650385">
        <w:trPr>
          <w:cantSplit/>
          <w:trHeight w:val="223"/>
          <w:tblHeader/>
        </w:trPr>
        <w:tc>
          <w:tcPr>
            <w:tcW w:w="9016" w:type="dxa"/>
            <w:gridSpan w:val="2"/>
          </w:tcPr>
          <w:p w14:paraId="150C266B" w14:textId="77777777" w:rsidR="00366BB9" w:rsidRPr="00DD12E0" w:rsidRDefault="00366BB9" w:rsidP="00650385">
            <w:pPr>
              <w:pStyle w:val="TableText"/>
              <w:rPr>
                <w:lang w:eastAsia="ja-JP"/>
              </w:rPr>
            </w:pPr>
            <w:r w:rsidRPr="00DD12E0">
              <w:rPr>
                <w:lang w:eastAsia="ja-JP"/>
              </w:rPr>
              <w:t>Fee: $</w:t>
            </w:r>
            <w:r>
              <w:rPr>
                <w:lang w:eastAsia="ja-JP"/>
              </w:rPr>
              <w:t>85.56</w:t>
            </w:r>
            <w:r w:rsidRPr="00DD12E0">
              <w:rPr>
                <w:lang w:eastAsia="ja-JP"/>
              </w:rPr>
              <w:t> Benefit: 75% = $64.</w:t>
            </w:r>
            <w:r>
              <w:rPr>
                <w:lang w:eastAsia="ja-JP"/>
              </w:rPr>
              <w:t>17</w:t>
            </w:r>
            <w:r w:rsidRPr="00DD12E0">
              <w:rPr>
                <w:lang w:eastAsia="ja-JP"/>
              </w:rPr>
              <w:t xml:space="preserve"> 85% = $</w:t>
            </w:r>
            <w:r>
              <w:rPr>
                <w:lang w:eastAsia="ja-JP"/>
              </w:rPr>
              <w:t>72.73</w:t>
            </w:r>
            <w:r w:rsidRPr="00DD12E0">
              <w:rPr>
                <w:lang w:eastAsia="ja-JP"/>
              </w:rPr>
              <w:t xml:space="preserve"> </w:t>
            </w:r>
          </w:p>
        </w:tc>
      </w:tr>
    </w:tbl>
    <w:p w14:paraId="09D8791E" w14:textId="2F7BD30E" w:rsidR="008B5ABD" w:rsidRDefault="008B5ABD" w:rsidP="008B5ABD">
      <w:pPr>
        <w:pStyle w:val="TableFooter"/>
      </w:pPr>
      <w:r>
        <w:t>Source: DCAR Table 3</w:t>
      </w:r>
    </w:p>
    <w:p w14:paraId="349810E7" w14:textId="77777777" w:rsidR="00C16E81" w:rsidRDefault="00C16E81" w:rsidP="00C16E81">
      <w:pPr>
        <w:rPr>
          <w:shd w:val="clear" w:color="auto" w:fill="FFFFFF"/>
        </w:rPr>
      </w:pPr>
      <w:r>
        <w:rPr>
          <w:shd w:val="clear" w:color="auto" w:fill="FFFFFF"/>
        </w:rPr>
        <w:t>The HTA group option item descriptor wording replaced the term ‘test(s)’ with ‘pathogen(s)’ after discussion with clinical experts, as this defined the scope of the test more clearly than the number of ‘tests’ required to provide the service. It was also more supportive of the Government’s stated intention of encouraging multiplex testing</w:t>
      </w:r>
      <w:r>
        <w:rPr>
          <w:rStyle w:val="FootnoteReference"/>
          <w:shd w:val="clear" w:color="auto" w:fill="FFFFFF"/>
        </w:rPr>
        <w:footnoteReference w:id="12"/>
      </w:r>
      <w:r>
        <w:rPr>
          <w:shd w:val="clear" w:color="auto" w:fill="FFFFFF"/>
        </w:rPr>
        <w:t xml:space="preserve"> when introducing the current temporary item ladder structure on October 1, 2022.</w:t>
      </w:r>
      <w:r w:rsidRPr="006B683E">
        <w:rPr>
          <w:shd w:val="clear" w:color="auto" w:fill="FFFFFF"/>
        </w:rPr>
        <w:t xml:space="preserve"> </w:t>
      </w:r>
    </w:p>
    <w:p w14:paraId="2C6A08FC" w14:textId="46EE69F0" w:rsidR="0074245B" w:rsidRDefault="0074245B" w:rsidP="0074245B">
      <w:pPr>
        <w:pStyle w:val="Heading4"/>
      </w:pPr>
      <w:r>
        <w:rPr>
          <w:shd w:val="clear" w:color="auto" w:fill="FFFFFF"/>
        </w:rPr>
        <w:t>Costing</w:t>
      </w:r>
    </w:p>
    <w:p w14:paraId="2202AD17" w14:textId="3DAB0332" w:rsidR="005F56DE" w:rsidRPr="001A02F6" w:rsidRDefault="005F56DE" w:rsidP="001A02F6">
      <w:pPr>
        <w:pStyle w:val="Heading5"/>
      </w:pPr>
      <w:r w:rsidRPr="001A02F6">
        <w:t>Item XXXX</w:t>
      </w:r>
    </w:p>
    <w:p w14:paraId="7087F653" w14:textId="0C255276" w:rsidR="0074245B" w:rsidRDefault="0074245B" w:rsidP="00F76653">
      <w:r>
        <w:t>Costings for the</w:t>
      </w:r>
      <w:r w:rsidR="00027142">
        <w:t xml:space="preserve"> HTA group’s</w:t>
      </w:r>
      <w:r>
        <w:t xml:space="preserve"> four-pathogen panel </w:t>
      </w:r>
      <w:r w:rsidR="00321A96">
        <w:t xml:space="preserve">NAAT </w:t>
      </w:r>
      <w:r>
        <w:t xml:space="preserve">(Item </w:t>
      </w:r>
      <w:r w:rsidR="008E0BC8">
        <w:t>XXXX</w:t>
      </w:r>
      <w:r>
        <w:t xml:space="preserve">) </w:t>
      </w:r>
      <w:r w:rsidR="00125B45">
        <w:t>were based on the</w:t>
      </w:r>
      <w:r w:rsidR="000816AF">
        <w:t xml:space="preserve"> </w:t>
      </w:r>
      <w:r w:rsidR="00321A96">
        <w:t xml:space="preserve">average of the </w:t>
      </w:r>
      <w:r w:rsidR="000816AF">
        <w:t>actual</w:t>
      </w:r>
      <w:r w:rsidR="00125B45">
        <w:t xml:space="preserve"> </w:t>
      </w:r>
      <w:r w:rsidR="00321A96">
        <w:t xml:space="preserve">reagent </w:t>
      </w:r>
      <w:r w:rsidR="00125B45">
        <w:t>costs</w:t>
      </w:r>
      <w:r w:rsidR="00321A96">
        <w:t xml:space="preserve"> to laboratories for five commercially available assays (average $28.69) plus </w:t>
      </w:r>
      <w:r w:rsidR="00125B45">
        <w:t xml:space="preserve">consumables, </w:t>
      </w:r>
      <w:r w:rsidR="000816AF">
        <w:t>labour, report preparation</w:t>
      </w:r>
      <w:r w:rsidR="00DD7770">
        <w:t>, quality assurance measures</w:t>
      </w:r>
      <w:r w:rsidR="000816AF">
        <w:t xml:space="preserve"> and repeat tests where the initial test failed</w:t>
      </w:r>
      <w:r w:rsidR="001A02F6">
        <w:t xml:space="preserve"> (</w:t>
      </w:r>
      <w:fldSimple w:instr=" REF _Ref139292320 ">
        <w:r w:rsidR="00525416">
          <w:t xml:space="preserve">Table </w:t>
        </w:r>
        <w:r w:rsidR="00525416">
          <w:rPr>
            <w:noProof/>
          </w:rPr>
          <w:t>4</w:t>
        </w:r>
      </w:fldSimple>
      <w:r w:rsidR="001A02F6">
        <w:t>)</w:t>
      </w:r>
      <w:r>
        <w:t>.</w:t>
      </w:r>
      <w:r w:rsidR="00321A96">
        <w:t xml:space="preserve"> </w:t>
      </w:r>
    </w:p>
    <w:p w14:paraId="11F7AF77" w14:textId="1BCD469D" w:rsidR="005F56DE" w:rsidRPr="00CB5605" w:rsidRDefault="005F56DE" w:rsidP="001A02F6">
      <w:pPr>
        <w:pStyle w:val="Heading5"/>
      </w:pPr>
      <w:r w:rsidRPr="00CB5605">
        <w:t xml:space="preserve">Item </w:t>
      </w:r>
      <w:r>
        <w:t>YYYY</w:t>
      </w:r>
    </w:p>
    <w:p w14:paraId="5388C797" w14:textId="66F2159A" w:rsidR="008564F9" w:rsidRDefault="00F76653" w:rsidP="00FD67A7">
      <w:r>
        <w:t xml:space="preserve">Item </w:t>
      </w:r>
      <w:r w:rsidR="00321A96">
        <w:t>YYYY</w:t>
      </w:r>
      <w:r>
        <w:t xml:space="preserve"> collates the three largest test panels from the current temporary items (and the proposed items) and makes this a single test panel option</w:t>
      </w:r>
      <w:r w:rsidR="004E6044">
        <w:t xml:space="preserve"> of five or more pathogens</w:t>
      </w:r>
      <w:r>
        <w:t xml:space="preserve">. </w:t>
      </w:r>
      <w:r w:rsidR="00027142">
        <w:t>No</w:t>
      </w:r>
      <w:r>
        <w:t xml:space="preserve"> difference in the costing for</w:t>
      </w:r>
      <w:r w:rsidR="00027142">
        <w:t xml:space="preserve"> provision of</w:t>
      </w:r>
      <w:r>
        <w:t xml:space="preserve"> the ‘5-8 tests’ and ‘9-12 tests’ could be identified by the HTA group (or Australian Pathology</w:t>
      </w:r>
      <w:proofErr w:type="gramStart"/>
      <w:r>
        <w:t>),</w:t>
      </w:r>
      <w:proofErr w:type="gramEnd"/>
      <w:r>
        <w:t xml:space="preserve"> </w:t>
      </w:r>
      <w:r w:rsidR="00027142">
        <w:t xml:space="preserve">therefore </w:t>
      </w:r>
      <w:r>
        <w:t xml:space="preserve">an empirically derived fee was calculated for </w:t>
      </w:r>
      <w:r w:rsidR="00F04B84">
        <w:t>testing 5-12 pathogens</w:t>
      </w:r>
      <w:r w:rsidR="00027142">
        <w:t xml:space="preserve"> (</w:t>
      </w:r>
      <w:r w:rsidR="00EA1D8C">
        <w:t xml:space="preserve">assuming </w:t>
      </w:r>
      <w:r w:rsidR="00027142">
        <w:t xml:space="preserve">a $5 increment on the costing </w:t>
      </w:r>
      <w:r w:rsidR="00EA1D8C">
        <w:t xml:space="preserve">of reagents </w:t>
      </w:r>
      <w:r w:rsidR="00027142">
        <w:t>for the 4-pathogen panel). Similarly, a separate costing for the</w:t>
      </w:r>
      <w:r>
        <w:t xml:space="preserve"> </w:t>
      </w:r>
      <w:r w:rsidR="00215522">
        <w:t xml:space="preserve">reagents for testing </w:t>
      </w:r>
      <w:r>
        <w:t xml:space="preserve">13 or more </w:t>
      </w:r>
      <w:r w:rsidR="00215522">
        <w:t xml:space="preserve">pathogens </w:t>
      </w:r>
      <w:r w:rsidR="00027142">
        <w:t>could not be established</w:t>
      </w:r>
      <w:r w:rsidR="00EA4745">
        <w:t>, so</w:t>
      </w:r>
      <w:r w:rsidR="00027142">
        <w:t xml:space="preserve"> </w:t>
      </w:r>
      <w:r>
        <w:t xml:space="preserve">a $5 increment on the costing for the </w:t>
      </w:r>
      <w:r w:rsidR="00027142">
        <w:t xml:space="preserve">combined </w:t>
      </w:r>
      <w:r>
        <w:t xml:space="preserve">5-12 </w:t>
      </w:r>
      <w:r w:rsidR="00027142">
        <w:t>tests</w:t>
      </w:r>
      <w:r w:rsidR="00896A4F">
        <w:t xml:space="preserve"> was applied</w:t>
      </w:r>
      <w:r w:rsidR="00F04B84">
        <w:t>.</w:t>
      </w:r>
      <w:r>
        <w:t xml:space="preserve"> </w:t>
      </w:r>
    </w:p>
    <w:p w14:paraId="39E7DC71" w14:textId="647D5468" w:rsidR="00FD67A7" w:rsidRPr="008651A5" w:rsidRDefault="00FD67A7" w:rsidP="00FD67A7">
      <w:pPr>
        <w:rPr>
          <w:shd w:val="clear" w:color="auto" w:fill="FFFFFF"/>
        </w:rPr>
      </w:pPr>
      <w:r>
        <w:t xml:space="preserve">For YYYY, a weighted average of these costs based on current utilisation of the three largest panels from 1 October 2022 – 31 January 2023 was used to calculate the 85% benefit of $72.73. </w:t>
      </w:r>
      <w:r w:rsidR="00CE2977">
        <w:t>D</w:t>
      </w:r>
      <w:r w:rsidR="00CE2977" w:rsidRPr="00CE2977">
        <w:t>uring that period, the current ‘5-8 pathogen’ MBS item</w:t>
      </w:r>
      <w:r w:rsidR="00C072E1">
        <w:t xml:space="preserve"> </w:t>
      </w:r>
      <w:r w:rsidR="00CE2977">
        <w:t>was</w:t>
      </w:r>
      <w:r w:rsidR="00CE2977" w:rsidRPr="00CE2977">
        <w:t xml:space="preserve"> used more often (36.3%) </w:t>
      </w:r>
      <w:r w:rsidR="00CE2977" w:rsidRPr="00CE2977">
        <w:lastRenderedPageBreak/>
        <w:t>than either the ‘9-12 pathogen’ item</w:t>
      </w:r>
      <w:r w:rsidR="005C078C">
        <w:t xml:space="preserve"> </w:t>
      </w:r>
      <w:r w:rsidR="00CE2977" w:rsidRPr="00CE2977">
        <w:t>(8.4%) or the ‘≥13 pathogen’ item</w:t>
      </w:r>
      <w:r w:rsidR="005C078C">
        <w:t xml:space="preserve"> </w:t>
      </w:r>
      <w:r w:rsidR="00CE2977" w:rsidRPr="00CE2977">
        <w:t xml:space="preserve">(7.5%). The </w:t>
      </w:r>
      <w:r w:rsidR="00CE2977">
        <w:t>proposed</w:t>
      </w:r>
      <w:r w:rsidR="00CE2977" w:rsidRPr="00CE2977">
        <w:t xml:space="preserve"> fee of $85.56 and 85% benefit of $72.73 would be sufficient to cover the costs for a single panel test if these proportions </w:t>
      </w:r>
      <w:r w:rsidR="00CE2977">
        <w:t>we</w:t>
      </w:r>
      <w:r w:rsidR="00CE2977" w:rsidRPr="00CE2977">
        <w:t>re maintained</w:t>
      </w:r>
      <w:r w:rsidR="001A02F6">
        <w:t xml:space="preserve"> (</w:t>
      </w:r>
      <w:fldSimple w:instr=" REF _Ref139292320 ">
        <w:r w:rsidR="00525416">
          <w:t xml:space="preserve">Table </w:t>
        </w:r>
        <w:r w:rsidR="00525416">
          <w:rPr>
            <w:noProof/>
          </w:rPr>
          <w:t>4</w:t>
        </w:r>
      </w:fldSimple>
      <w:r w:rsidR="001A02F6">
        <w:t>)</w:t>
      </w:r>
      <w:r w:rsidR="00CE2977">
        <w:t>.</w:t>
      </w:r>
    </w:p>
    <w:p w14:paraId="0C35D4E9" w14:textId="1538F0CA" w:rsidR="001B7AA2" w:rsidRDefault="001B7AA2" w:rsidP="008564F9">
      <w:pPr>
        <w:pStyle w:val="Caption"/>
      </w:pPr>
      <w:bookmarkStart w:id="14" w:name="_Ref139292320"/>
      <w:r>
        <w:t xml:space="preserve">Table </w:t>
      </w:r>
      <w:fldSimple w:instr=" SEQ Table \* ARABIC ">
        <w:r w:rsidR="00525416">
          <w:rPr>
            <w:noProof/>
          </w:rPr>
          <w:t>4</w:t>
        </w:r>
      </w:fldSimple>
      <w:bookmarkEnd w:id="14"/>
      <w:r w:rsidRPr="001B7AA2">
        <w:t xml:space="preserve"> </w:t>
      </w:r>
      <w:r>
        <w:t>C</w:t>
      </w:r>
      <w:r w:rsidRPr="0060110F">
        <w:t xml:space="preserve">osting estimates per sample for </w:t>
      </w:r>
      <w:proofErr w:type="gramStart"/>
      <w:r w:rsidRPr="0060110F">
        <w:t>laboratory-based</w:t>
      </w:r>
      <w:proofErr w:type="gramEnd"/>
      <w:r w:rsidRPr="0060110F">
        <w:t xml:space="preserve"> standard NAAT for respiratory pathogens</w:t>
      </w:r>
    </w:p>
    <w:tbl>
      <w:tblPr>
        <w:tblStyle w:val="TableGrid1"/>
        <w:tblW w:w="8846" w:type="dxa"/>
        <w:tblLook w:val="04A0" w:firstRow="1" w:lastRow="0" w:firstColumn="1" w:lastColumn="0" w:noHBand="0" w:noVBand="1"/>
      </w:tblPr>
      <w:tblGrid>
        <w:gridCol w:w="3402"/>
        <w:gridCol w:w="1361"/>
        <w:gridCol w:w="1186"/>
        <w:gridCol w:w="1701"/>
        <w:gridCol w:w="1196"/>
      </w:tblGrid>
      <w:tr w:rsidR="00954F74" w:rsidRPr="00CB5605" w14:paraId="6980CA0F" w14:textId="77777777" w:rsidTr="001B7AA2">
        <w:trPr>
          <w:cnfStyle w:val="100000000000" w:firstRow="1" w:lastRow="0" w:firstColumn="0" w:lastColumn="0" w:oddVBand="0" w:evenVBand="0" w:oddHBand="0" w:evenHBand="0" w:firstRowFirstColumn="0" w:firstRowLastColumn="0" w:lastRowFirstColumn="0" w:lastRowLastColumn="0"/>
          <w:trHeight w:val="613"/>
        </w:trPr>
        <w:tc>
          <w:tcPr>
            <w:tcW w:w="3402" w:type="dxa"/>
          </w:tcPr>
          <w:p w14:paraId="6AE809C0" w14:textId="77777777" w:rsidR="00FD67A7" w:rsidRPr="0060110F" w:rsidRDefault="00FD67A7" w:rsidP="00DA4DB0">
            <w:pPr>
              <w:pStyle w:val="TableFigureHeading"/>
            </w:pPr>
            <w:r w:rsidRPr="0060110F">
              <w:t>Parameter</w:t>
            </w:r>
          </w:p>
        </w:tc>
        <w:tc>
          <w:tcPr>
            <w:tcW w:w="1361" w:type="dxa"/>
            <w:hideMark/>
          </w:tcPr>
          <w:p w14:paraId="62CB01F6" w14:textId="77777777" w:rsidR="00FD67A7" w:rsidRPr="0060110F" w:rsidRDefault="00FD67A7" w:rsidP="00DA4DB0">
            <w:pPr>
              <w:pStyle w:val="TableFigureHeading"/>
            </w:pPr>
            <w:r w:rsidRPr="0060110F">
              <w:t>Single SARS-CoV-2 test</w:t>
            </w:r>
          </w:p>
        </w:tc>
        <w:tc>
          <w:tcPr>
            <w:tcW w:w="1186" w:type="dxa"/>
            <w:hideMark/>
          </w:tcPr>
          <w:p w14:paraId="211713E9" w14:textId="77777777" w:rsidR="00FD67A7" w:rsidRPr="0060110F" w:rsidRDefault="00FD67A7" w:rsidP="00DA4DB0">
            <w:pPr>
              <w:pStyle w:val="TableFigureHeading"/>
            </w:pPr>
            <w:r w:rsidRPr="0060110F">
              <w:t>4 pathogens</w:t>
            </w:r>
          </w:p>
          <w:p w14:paraId="0D638772" w14:textId="77777777" w:rsidR="00FD67A7" w:rsidRPr="0060110F" w:rsidRDefault="00FD67A7" w:rsidP="00DA4DB0">
            <w:pPr>
              <w:pStyle w:val="TableFigureHeading"/>
            </w:pPr>
          </w:p>
        </w:tc>
        <w:tc>
          <w:tcPr>
            <w:tcW w:w="1701" w:type="dxa"/>
            <w:hideMark/>
          </w:tcPr>
          <w:p w14:paraId="3E4FE3ED" w14:textId="77777777" w:rsidR="00FD67A7" w:rsidRPr="0060110F" w:rsidRDefault="00FD67A7" w:rsidP="00DA4DB0">
            <w:pPr>
              <w:pStyle w:val="TableFigureHeading"/>
            </w:pPr>
            <w:r w:rsidRPr="0060110F">
              <w:t>5-12 pathogens</w:t>
            </w:r>
          </w:p>
        </w:tc>
        <w:tc>
          <w:tcPr>
            <w:tcW w:w="1196" w:type="dxa"/>
            <w:hideMark/>
          </w:tcPr>
          <w:p w14:paraId="19E7C7D4" w14:textId="77777777" w:rsidR="00FD67A7" w:rsidRPr="0060110F" w:rsidRDefault="00FD67A7" w:rsidP="00DA4DB0">
            <w:pPr>
              <w:pStyle w:val="TableFigureHeading"/>
            </w:pPr>
            <w:r w:rsidRPr="0060110F">
              <w:t>13 or more pathogens</w:t>
            </w:r>
          </w:p>
        </w:tc>
      </w:tr>
      <w:tr w:rsidR="00954F74" w:rsidRPr="00CB5605" w14:paraId="2105E961" w14:textId="77777777" w:rsidTr="001B7AA2">
        <w:trPr>
          <w:trHeight w:val="320"/>
        </w:trPr>
        <w:tc>
          <w:tcPr>
            <w:tcW w:w="3402" w:type="dxa"/>
          </w:tcPr>
          <w:p w14:paraId="01FD8A73" w14:textId="77777777" w:rsidR="00FD67A7" w:rsidRPr="0006735B" w:rsidRDefault="00FD67A7" w:rsidP="00DA4DB0">
            <w:pPr>
              <w:pStyle w:val="Tabletext0"/>
              <w:jc w:val="left"/>
              <w:rPr>
                <w:szCs w:val="22"/>
              </w:rPr>
            </w:pPr>
            <w:r w:rsidRPr="0006735B">
              <w:rPr>
                <w:rFonts w:cs="Calibri"/>
                <w:color w:val="000000"/>
              </w:rPr>
              <w:t>Sample collection incl swab &amp; collection media</w:t>
            </w:r>
          </w:p>
        </w:tc>
        <w:tc>
          <w:tcPr>
            <w:tcW w:w="1361" w:type="dxa"/>
            <w:hideMark/>
          </w:tcPr>
          <w:p w14:paraId="76B510F3" w14:textId="77777777" w:rsidR="00FD67A7" w:rsidRPr="0006735B" w:rsidRDefault="00FD67A7" w:rsidP="00DA4DB0">
            <w:pPr>
              <w:pStyle w:val="Tabletext0"/>
              <w:jc w:val="left"/>
              <w:rPr>
                <w:szCs w:val="22"/>
              </w:rPr>
            </w:pPr>
            <w:r w:rsidRPr="0006735B">
              <w:rPr>
                <w:szCs w:val="22"/>
              </w:rPr>
              <w:t>$3.63</w:t>
            </w:r>
          </w:p>
        </w:tc>
        <w:tc>
          <w:tcPr>
            <w:tcW w:w="1186" w:type="dxa"/>
            <w:hideMark/>
          </w:tcPr>
          <w:p w14:paraId="1B583CCF" w14:textId="77777777" w:rsidR="00FD67A7" w:rsidRPr="0006735B" w:rsidRDefault="00FD67A7" w:rsidP="00DA4DB0">
            <w:pPr>
              <w:pStyle w:val="Tabletext0"/>
              <w:jc w:val="left"/>
              <w:rPr>
                <w:szCs w:val="22"/>
              </w:rPr>
            </w:pPr>
            <w:r w:rsidRPr="0006735B">
              <w:rPr>
                <w:szCs w:val="22"/>
              </w:rPr>
              <w:t>$3.63</w:t>
            </w:r>
          </w:p>
        </w:tc>
        <w:tc>
          <w:tcPr>
            <w:tcW w:w="1701" w:type="dxa"/>
            <w:hideMark/>
          </w:tcPr>
          <w:p w14:paraId="2321856D" w14:textId="77777777" w:rsidR="00FD67A7" w:rsidRPr="0006735B" w:rsidRDefault="00FD67A7" w:rsidP="00DA4DB0">
            <w:pPr>
              <w:pStyle w:val="Tabletext0"/>
              <w:jc w:val="left"/>
              <w:rPr>
                <w:szCs w:val="22"/>
              </w:rPr>
            </w:pPr>
            <w:r w:rsidRPr="0006735B">
              <w:rPr>
                <w:szCs w:val="22"/>
              </w:rPr>
              <w:t>$3.63</w:t>
            </w:r>
          </w:p>
        </w:tc>
        <w:tc>
          <w:tcPr>
            <w:tcW w:w="1196" w:type="dxa"/>
            <w:hideMark/>
          </w:tcPr>
          <w:p w14:paraId="5808713A" w14:textId="77777777" w:rsidR="00FD67A7" w:rsidRPr="0006735B" w:rsidRDefault="00FD67A7" w:rsidP="00DA4DB0">
            <w:pPr>
              <w:pStyle w:val="Tabletext0"/>
              <w:jc w:val="left"/>
              <w:rPr>
                <w:szCs w:val="22"/>
              </w:rPr>
            </w:pPr>
            <w:r w:rsidRPr="0006735B">
              <w:rPr>
                <w:szCs w:val="22"/>
              </w:rPr>
              <w:t>$3.63</w:t>
            </w:r>
          </w:p>
        </w:tc>
      </w:tr>
      <w:tr w:rsidR="00954F74" w:rsidRPr="00CB5605" w14:paraId="5AB82849" w14:textId="77777777" w:rsidTr="001B7AA2">
        <w:trPr>
          <w:trHeight w:val="320"/>
        </w:trPr>
        <w:tc>
          <w:tcPr>
            <w:tcW w:w="3402" w:type="dxa"/>
          </w:tcPr>
          <w:p w14:paraId="4D0E1D02" w14:textId="6E941995" w:rsidR="00FD67A7" w:rsidRPr="0006735B" w:rsidRDefault="00FD67A7" w:rsidP="00DA4DB0">
            <w:pPr>
              <w:pStyle w:val="Tabletext0"/>
              <w:jc w:val="left"/>
              <w:rPr>
                <w:szCs w:val="22"/>
              </w:rPr>
            </w:pPr>
            <w:r w:rsidRPr="0006735B">
              <w:rPr>
                <w:rFonts w:cs="Calibri"/>
                <w:color w:val="000000"/>
              </w:rPr>
              <w:t xml:space="preserve">Sample </w:t>
            </w:r>
            <w:r w:rsidR="00EB4FAE">
              <w:rPr>
                <w:rFonts w:cs="Calibri"/>
                <w:color w:val="000000"/>
              </w:rPr>
              <w:t>p</w:t>
            </w:r>
            <w:r w:rsidRPr="0006735B">
              <w:rPr>
                <w:rFonts w:cs="Calibri"/>
                <w:color w:val="000000"/>
              </w:rPr>
              <w:t>rocessing (incl accessioning, inspection, processing, etc)</w:t>
            </w:r>
          </w:p>
        </w:tc>
        <w:tc>
          <w:tcPr>
            <w:tcW w:w="1361" w:type="dxa"/>
            <w:hideMark/>
          </w:tcPr>
          <w:p w14:paraId="317BA4A1" w14:textId="77777777" w:rsidR="00FD67A7" w:rsidRPr="0006735B" w:rsidRDefault="00FD67A7" w:rsidP="00DA4DB0">
            <w:pPr>
              <w:pStyle w:val="Tabletext0"/>
              <w:jc w:val="left"/>
              <w:rPr>
                <w:szCs w:val="22"/>
              </w:rPr>
            </w:pPr>
            <w:r w:rsidRPr="0006735B">
              <w:rPr>
                <w:szCs w:val="22"/>
              </w:rPr>
              <w:t>$7.59</w:t>
            </w:r>
          </w:p>
        </w:tc>
        <w:tc>
          <w:tcPr>
            <w:tcW w:w="1186" w:type="dxa"/>
            <w:hideMark/>
          </w:tcPr>
          <w:p w14:paraId="6F67723A" w14:textId="77777777" w:rsidR="00FD67A7" w:rsidRPr="0006735B" w:rsidRDefault="00FD67A7" w:rsidP="00DA4DB0">
            <w:pPr>
              <w:pStyle w:val="Tabletext0"/>
              <w:jc w:val="left"/>
              <w:rPr>
                <w:szCs w:val="22"/>
              </w:rPr>
            </w:pPr>
            <w:r w:rsidRPr="0006735B">
              <w:rPr>
                <w:szCs w:val="22"/>
              </w:rPr>
              <w:t>$7.59</w:t>
            </w:r>
          </w:p>
        </w:tc>
        <w:tc>
          <w:tcPr>
            <w:tcW w:w="1701" w:type="dxa"/>
            <w:hideMark/>
          </w:tcPr>
          <w:p w14:paraId="6E960EAF" w14:textId="77777777" w:rsidR="00FD67A7" w:rsidRPr="0006735B" w:rsidRDefault="00FD67A7" w:rsidP="00DA4DB0">
            <w:pPr>
              <w:pStyle w:val="Tabletext0"/>
              <w:jc w:val="left"/>
              <w:rPr>
                <w:szCs w:val="22"/>
              </w:rPr>
            </w:pPr>
            <w:r w:rsidRPr="0006735B">
              <w:rPr>
                <w:szCs w:val="22"/>
              </w:rPr>
              <w:t>$7.59</w:t>
            </w:r>
          </w:p>
        </w:tc>
        <w:tc>
          <w:tcPr>
            <w:tcW w:w="1196" w:type="dxa"/>
            <w:hideMark/>
          </w:tcPr>
          <w:p w14:paraId="0DBE33E8" w14:textId="77777777" w:rsidR="00FD67A7" w:rsidRPr="0006735B" w:rsidRDefault="00FD67A7" w:rsidP="00DA4DB0">
            <w:pPr>
              <w:pStyle w:val="Tabletext0"/>
              <w:jc w:val="left"/>
              <w:rPr>
                <w:szCs w:val="22"/>
              </w:rPr>
            </w:pPr>
            <w:r w:rsidRPr="0006735B">
              <w:rPr>
                <w:szCs w:val="22"/>
              </w:rPr>
              <w:t>$7.59</w:t>
            </w:r>
          </w:p>
        </w:tc>
      </w:tr>
      <w:tr w:rsidR="00954F74" w:rsidRPr="00CB5605" w14:paraId="55EB9535" w14:textId="77777777" w:rsidTr="001B7AA2">
        <w:trPr>
          <w:trHeight w:val="320"/>
        </w:trPr>
        <w:tc>
          <w:tcPr>
            <w:tcW w:w="3402" w:type="dxa"/>
          </w:tcPr>
          <w:p w14:paraId="4B511BAA" w14:textId="2C691AB1" w:rsidR="00FD67A7" w:rsidRPr="0006735B" w:rsidRDefault="00FD67A7" w:rsidP="00DA4DB0">
            <w:pPr>
              <w:pStyle w:val="Tabletext0"/>
              <w:jc w:val="left"/>
            </w:pPr>
            <w:r w:rsidRPr="0006735B">
              <w:rPr>
                <w:rFonts w:cs="Calibri"/>
                <w:color w:val="000000"/>
              </w:rPr>
              <w:t xml:space="preserve">Nucleic </w:t>
            </w:r>
            <w:r w:rsidR="00EB4FAE">
              <w:rPr>
                <w:rFonts w:cs="Calibri"/>
                <w:color w:val="000000"/>
              </w:rPr>
              <w:t>a</w:t>
            </w:r>
            <w:r w:rsidRPr="0006735B">
              <w:rPr>
                <w:rFonts w:cs="Calibri"/>
                <w:color w:val="000000"/>
              </w:rPr>
              <w:t xml:space="preserve">cid extraction reagents/consumables per sample </w:t>
            </w:r>
          </w:p>
        </w:tc>
        <w:tc>
          <w:tcPr>
            <w:tcW w:w="1361" w:type="dxa"/>
            <w:noWrap/>
            <w:hideMark/>
          </w:tcPr>
          <w:p w14:paraId="019F20F4" w14:textId="77777777" w:rsidR="00FD67A7" w:rsidRPr="0006735B" w:rsidRDefault="00FD67A7" w:rsidP="00DA4DB0">
            <w:pPr>
              <w:pStyle w:val="Tabletext0"/>
              <w:jc w:val="left"/>
            </w:pPr>
            <w:r w:rsidRPr="0006735B">
              <w:t>$13.40</w:t>
            </w:r>
          </w:p>
        </w:tc>
        <w:tc>
          <w:tcPr>
            <w:tcW w:w="1186" w:type="dxa"/>
            <w:noWrap/>
            <w:hideMark/>
          </w:tcPr>
          <w:p w14:paraId="50BFDC19" w14:textId="77777777" w:rsidR="00FD67A7" w:rsidRPr="0006735B" w:rsidRDefault="00FD67A7" w:rsidP="00DA4DB0">
            <w:pPr>
              <w:pStyle w:val="Tabletext0"/>
              <w:jc w:val="left"/>
            </w:pPr>
            <w:r w:rsidRPr="0006735B">
              <w:t>$13.40</w:t>
            </w:r>
          </w:p>
        </w:tc>
        <w:tc>
          <w:tcPr>
            <w:tcW w:w="1701" w:type="dxa"/>
            <w:noWrap/>
            <w:hideMark/>
          </w:tcPr>
          <w:p w14:paraId="6B6B9268" w14:textId="77777777" w:rsidR="00FD67A7" w:rsidRPr="0006735B" w:rsidRDefault="00FD67A7" w:rsidP="00DA4DB0">
            <w:pPr>
              <w:pStyle w:val="Tabletext0"/>
              <w:jc w:val="left"/>
            </w:pPr>
            <w:r w:rsidRPr="0006735B">
              <w:t>$13.40</w:t>
            </w:r>
          </w:p>
        </w:tc>
        <w:tc>
          <w:tcPr>
            <w:tcW w:w="1196" w:type="dxa"/>
            <w:noWrap/>
            <w:hideMark/>
          </w:tcPr>
          <w:p w14:paraId="18DC9798" w14:textId="77777777" w:rsidR="00FD67A7" w:rsidRPr="0006735B" w:rsidRDefault="00FD67A7" w:rsidP="00DA4DB0">
            <w:pPr>
              <w:pStyle w:val="Tabletext0"/>
              <w:jc w:val="left"/>
            </w:pPr>
            <w:r w:rsidRPr="0006735B">
              <w:t>$13.40</w:t>
            </w:r>
          </w:p>
        </w:tc>
      </w:tr>
      <w:tr w:rsidR="00954F74" w:rsidRPr="00CB5605" w14:paraId="0D23273A" w14:textId="77777777" w:rsidTr="001B7AA2">
        <w:trPr>
          <w:trHeight w:val="320"/>
        </w:trPr>
        <w:tc>
          <w:tcPr>
            <w:tcW w:w="3402" w:type="dxa"/>
          </w:tcPr>
          <w:p w14:paraId="4763C1D9" w14:textId="77777777" w:rsidR="00FD67A7" w:rsidRPr="0006735B" w:rsidRDefault="00FD67A7" w:rsidP="00DA4DB0">
            <w:pPr>
              <w:pStyle w:val="Tabletext0"/>
              <w:jc w:val="left"/>
            </w:pPr>
            <w:r w:rsidRPr="0006735B">
              <w:rPr>
                <w:rFonts w:cs="Calibri"/>
                <w:color w:val="000000"/>
              </w:rPr>
              <w:t xml:space="preserve">RT-PCR reagents/consumables per sample </w:t>
            </w:r>
          </w:p>
        </w:tc>
        <w:tc>
          <w:tcPr>
            <w:tcW w:w="1361" w:type="dxa"/>
            <w:noWrap/>
            <w:hideMark/>
          </w:tcPr>
          <w:p w14:paraId="59108EB4" w14:textId="77777777" w:rsidR="00FD67A7" w:rsidRPr="0006735B" w:rsidRDefault="00FD67A7" w:rsidP="00DA4DB0">
            <w:pPr>
              <w:pStyle w:val="Tabletext0"/>
              <w:jc w:val="left"/>
            </w:pPr>
            <w:r w:rsidRPr="0006735B">
              <w:t>$7.08</w:t>
            </w:r>
          </w:p>
        </w:tc>
        <w:tc>
          <w:tcPr>
            <w:tcW w:w="1186" w:type="dxa"/>
            <w:noWrap/>
            <w:hideMark/>
          </w:tcPr>
          <w:p w14:paraId="6B3F664E" w14:textId="77777777" w:rsidR="00FD67A7" w:rsidRPr="0006735B" w:rsidRDefault="00FD67A7" w:rsidP="00DA4DB0">
            <w:pPr>
              <w:pStyle w:val="Tabletext0"/>
              <w:jc w:val="left"/>
            </w:pPr>
            <w:r w:rsidRPr="0006735B">
              <w:t>$28.69</w:t>
            </w:r>
          </w:p>
        </w:tc>
        <w:tc>
          <w:tcPr>
            <w:tcW w:w="1701" w:type="dxa"/>
            <w:noWrap/>
            <w:hideMark/>
          </w:tcPr>
          <w:p w14:paraId="7A44B325" w14:textId="77777777" w:rsidR="00FD67A7" w:rsidRPr="0006735B" w:rsidRDefault="00FD67A7" w:rsidP="00DA4DB0">
            <w:pPr>
              <w:pStyle w:val="Tabletext0"/>
              <w:jc w:val="left"/>
            </w:pPr>
            <w:r w:rsidRPr="0006735B">
              <w:t>*$33.69</w:t>
            </w:r>
          </w:p>
        </w:tc>
        <w:tc>
          <w:tcPr>
            <w:tcW w:w="1196" w:type="dxa"/>
            <w:noWrap/>
            <w:hideMark/>
          </w:tcPr>
          <w:p w14:paraId="3899998A" w14:textId="77777777" w:rsidR="00FD67A7" w:rsidRPr="0006735B" w:rsidRDefault="00FD67A7" w:rsidP="00DA4DB0">
            <w:pPr>
              <w:pStyle w:val="Tabletext0"/>
              <w:jc w:val="left"/>
            </w:pPr>
            <w:r w:rsidRPr="0006735B">
              <w:t>*$38.69</w:t>
            </w:r>
          </w:p>
        </w:tc>
      </w:tr>
      <w:tr w:rsidR="00954F74" w:rsidRPr="00CB5605" w14:paraId="281AB319" w14:textId="77777777" w:rsidTr="001B7AA2">
        <w:trPr>
          <w:trHeight w:val="320"/>
        </w:trPr>
        <w:tc>
          <w:tcPr>
            <w:tcW w:w="3402" w:type="dxa"/>
          </w:tcPr>
          <w:p w14:paraId="6B186F3C" w14:textId="77777777" w:rsidR="00FD67A7" w:rsidRPr="0006735B" w:rsidRDefault="00FD67A7" w:rsidP="00DA4DB0">
            <w:pPr>
              <w:pStyle w:val="Tabletext0"/>
              <w:jc w:val="left"/>
            </w:pPr>
            <w:r w:rsidRPr="0006735B">
              <w:rPr>
                <w:rFonts w:cs="Calibri"/>
                <w:color w:val="000000"/>
              </w:rPr>
              <w:t>Personal protective equipment (gloves, masks</w:t>
            </w:r>
          </w:p>
        </w:tc>
        <w:tc>
          <w:tcPr>
            <w:tcW w:w="1361" w:type="dxa"/>
            <w:noWrap/>
            <w:hideMark/>
          </w:tcPr>
          <w:p w14:paraId="23703D85" w14:textId="77777777" w:rsidR="00FD67A7" w:rsidRPr="0006735B" w:rsidRDefault="00FD67A7" w:rsidP="00DA4DB0">
            <w:pPr>
              <w:pStyle w:val="Tabletext0"/>
              <w:jc w:val="left"/>
            </w:pPr>
            <w:r w:rsidRPr="0006735B">
              <w:t>$7.00</w:t>
            </w:r>
          </w:p>
        </w:tc>
        <w:tc>
          <w:tcPr>
            <w:tcW w:w="1186" w:type="dxa"/>
            <w:noWrap/>
            <w:hideMark/>
          </w:tcPr>
          <w:p w14:paraId="23F4E060" w14:textId="77777777" w:rsidR="00FD67A7" w:rsidRPr="0006735B" w:rsidRDefault="00FD67A7" w:rsidP="00DA4DB0">
            <w:pPr>
              <w:pStyle w:val="Tabletext0"/>
              <w:jc w:val="left"/>
            </w:pPr>
            <w:r w:rsidRPr="0006735B">
              <w:t>$7.00</w:t>
            </w:r>
          </w:p>
        </w:tc>
        <w:tc>
          <w:tcPr>
            <w:tcW w:w="1701" w:type="dxa"/>
            <w:noWrap/>
            <w:hideMark/>
          </w:tcPr>
          <w:p w14:paraId="04507A2D" w14:textId="77777777" w:rsidR="00FD67A7" w:rsidRPr="0006735B" w:rsidRDefault="00FD67A7" w:rsidP="00DA4DB0">
            <w:pPr>
              <w:pStyle w:val="Tabletext0"/>
              <w:jc w:val="left"/>
            </w:pPr>
            <w:r w:rsidRPr="0006735B">
              <w:t>$7.00</w:t>
            </w:r>
          </w:p>
        </w:tc>
        <w:tc>
          <w:tcPr>
            <w:tcW w:w="1196" w:type="dxa"/>
            <w:noWrap/>
            <w:hideMark/>
          </w:tcPr>
          <w:p w14:paraId="1E6BC5C6" w14:textId="77777777" w:rsidR="00FD67A7" w:rsidRPr="0006735B" w:rsidRDefault="00FD67A7" w:rsidP="00DA4DB0">
            <w:pPr>
              <w:pStyle w:val="Tabletext0"/>
              <w:jc w:val="left"/>
            </w:pPr>
            <w:r w:rsidRPr="0006735B">
              <w:t>$7.00</w:t>
            </w:r>
          </w:p>
        </w:tc>
      </w:tr>
      <w:tr w:rsidR="00954F74" w:rsidRPr="00CB5605" w14:paraId="159295DD" w14:textId="77777777" w:rsidTr="001B7AA2">
        <w:trPr>
          <w:trHeight w:val="320"/>
        </w:trPr>
        <w:tc>
          <w:tcPr>
            <w:tcW w:w="3402" w:type="dxa"/>
          </w:tcPr>
          <w:p w14:paraId="3497D5B3" w14:textId="3E766DA5" w:rsidR="00FD67A7" w:rsidRPr="0006735B" w:rsidRDefault="00FD67A7" w:rsidP="00DA4DB0">
            <w:pPr>
              <w:pStyle w:val="Tabletext0"/>
              <w:jc w:val="left"/>
            </w:pPr>
            <w:r w:rsidRPr="0006735B">
              <w:rPr>
                <w:rFonts w:cs="Calibri"/>
                <w:color w:val="000000"/>
              </w:rPr>
              <w:t>Assay set up RT-PCR (Scientist)</w:t>
            </w:r>
          </w:p>
        </w:tc>
        <w:tc>
          <w:tcPr>
            <w:tcW w:w="1361" w:type="dxa"/>
            <w:noWrap/>
            <w:hideMark/>
          </w:tcPr>
          <w:p w14:paraId="3FEE0BFE" w14:textId="77777777" w:rsidR="00FD67A7" w:rsidRPr="0006735B" w:rsidRDefault="00FD67A7" w:rsidP="00DA4DB0">
            <w:pPr>
              <w:pStyle w:val="Tabletext0"/>
              <w:jc w:val="left"/>
            </w:pPr>
            <w:r w:rsidRPr="0006735B">
              <w:t>$1.58</w:t>
            </w:r>
          </w:p>
        </w:tc>
        <w:tc>
          <w:tcPr>
            <w:tcW w:w="1186" w:type="dxa"/>
            <w:noWrap/>
            <w:hideMark/>
          </w:tcPr>
          <w:p w14:paraId="2A4EF28E" w14:textId="77777777" w:rsidR="00FD67A7" w:rsidRPr="0006735B" w:rsidRDefault="00FD67A7" w:rsidP="00DA4DB0">
            <w:pPr>
              <w:pStyle w:val="Tabletext0"/>
              <w:jc w:val="left"/>
            </w:pPr>
            <w:r w:rsidRPr="0006735B">
              <w:t>$1.58</w:t>
            </w:r>
          </w:p>
        </w:tc>
        <w:tc>
          <w:tcPr>
            <w:tcW w:w="1701" w:type="dxa"/>
            <w:noWrap/>
            <w:hideMark/>
          </w:tcPr>
          <w:p w14:paraId="31BBFEEA" w14:textId="77777777" w:rsidR="00FD67A7" w:rsidRPr="0006735B" w:rsidRDefault="00FD67A7" w:rsidP="00DA4DB0">
            <w:pPr>
              <w:pStyle w:val="Tabletext0"/>
              <w:jc w:val="left"/>
            </w:pPr>
            <w:r w:rsidRPr="0006735B">
              <w:t>$1.58</w:t>
            </w:r>
          </w:p>
        </w:tc>
        <w:tc>
          <w:tcPr>
            <w:tcW w:w="1196" w:type="dxa"/>
            <w:noWrap/>
            <w:hideMark/>
          </w:tcPr>
          <w:p w14:paraId="142F1BDF" w14:textId="77777777" w:rsidR="00FD67A7" w:rsidRPr="0006735B" w:rsidRDefault="00FD67A7" w:rsidP="00DA4DB0">
            <w:pPr>
              <w:pStyle w:val="Tabletext0"/>
              <w:jc w:val="left"/>
            </w:pPr>
            <w:r w:rsidRPr="0006735B">
              <w:t>$1.58</w:t>
            </w:r>
          </w:p>
        </w:tc>
      </w:tr>
      <w:tr w:rsidR="00954F74" w:rsidRPr="00CB5605" w14:paraId="22C2A0D9" w14:textId="77777777" w:rsidTr="001B7AA2">
        <w:trPr>
          <w:trHeight w:val="320"/>
        </w:trPr>
        <w:tc>
          <w:tcPr>
            <w:tcW w:w="3402" w:type="dxa"/>
          </w:tcPr>
          <w:p w14:paraId="17D54ADF" w14:textId="77777777" w:rsidR="00FD67A7" w:rsidRPr="0006735B" w:rsidRDefault="00FD67A7" w:rsidP="00DA4DB0">
            <w:pPr>
              <w:pStyle w:val="Tabletext0"/>
              <w:jc w:val="left"/>
            </w:pPr>
            <w:r w:rsidRPr="0006735B">
              <w:rPr>
                <w:rFonts w:cs="Calibri"/>
                <w:color w:val="000000"/>
              </w:rPr>
              <w:t>Failed test rate due to non-operator and operator errors (3%)</w:t>
            </w:r>
          </w:p>
        </w:tc>
        <w:tc>
          <w:tcPr>
            <w:tcW w:w="1361" w:type="dxa"/>
            <w:noWrap/>
            <w:hideMark/>
          </w:tcPr>
          <w:p w14:paraId="6CA5FF23" w14:textId="77777777" w:rsidR="00FD67A7" w:rsidRPr="0006735B" w:rsidRDefault="00FD67A7" w:rsidP="00DA4DB0">
            <w:pPr>
              <w:pStyle w:val="Tabletext0"/>
              <w:jc w:val="left"/>
            </w:pPr>
            <w:r w:rsidRPr="0006735B">
              <w:t>$1.10</w:t>
            </w:r>
          </w:p>
        </w:tc>
        <w:tc>
          <w:tcPr>
            <w:tcW w:w="1186" w:type="dxa"/>
            <w:noWrap/>
            <w:hideMark/>
          </w:tcPr>
          <w:p w14:paraId="3739CF69" w14:textId="77777777" w:rsidR="00FD67A7" w:rsidRPr="0006735B" w:rsidRDefault="00FD67A7" w:rsidP="00DA4DB0">
            <w:pPr>
              <w:pStyle w:val="Tabletext0"/>
              <w:jc w:val="left"/>
            </w:pPr>
            <w:r w:rsidRPr="0006735B">
              <w:t>$1.75</w:t>
            </w:r>
          </w:p>
        </w:tc>
        <w:tc>
          <w:tcPr>
            <w:tcW w:w="1701" w:type="dxa"/>
            <w:noWrap/>
            <w:hideMark/>
          </w:tcPr>
          <w:p w14:paraId="3FD6C5FD" w14:textId="77777777" w:rsidR="00FD67A7" w:rsidRPr="0006735B" w:rsidRDefault="00FD67A7" w:rsidP="00DA4DB0">
            <w:pPr>
              <w:pStyle w:val="Tabletext0"/>
              <w:jc w:val="left"/>
            </w:pPr>
            <w:r w:rsidRPr="0006735B">
              <w:t>$1.90</w:t>
            </w:r>
          </w:p>
        </w:tc>
        <w:tc>
          <w:tcPr>
            <w:tcW w:w="1196" w:type="dxa"/>
            <w:noWrap/>
            <w:hideMark/>
          </w:tcPr>
          <w:p w14:paraId="2D764265" w14:textId="77777777" w:rsidR="00FD67A7" w:rsidRPr="0006735B" w:rsidRDefault="00FD67A7" w:rsidP="00DA4DB0">
            <w:pPr>
              <w:pStyle w:val="Tabletext0"/>
              <w:jc w:val="left"/>
            </w:pPr>
            <w:r w:rsidRPr="0006735B">
              <w:t>$2.05</w:t>
            </w:r>
          </w:p>
        </w:tc>
      </w:tr>
      <w:tr w:rsidR="00954F74" w:rsidRPr="00CB5605" w14:paraId="1005629A" w14:textId="77777777" w:rsidTr="001B7AA2">
        <w:trPr>
          <w:trHeight w:val="320"/>
        </w:trPr>
        <w:tc>
          <w:tcPr>
            <w:tcW w:w="3402" w:type="dxa"/>
          </w:tcPr>
          <w:p w14:paraId="562B8069" w14:textId="4415DA41" w:rsidR="00FD67A7" w:rsidRPr="0006735B" w:rsidRDefault="00FD67A7" w:rsidP="00DA4DB0">
            <w:pPr>
              <w:pStyle w:val="Tabletext0"/>
              <w:jc w:val="left"/>
            </w:pPr>
            <w:r w:rsidRPr="0006735B">
              <w:rPr>
                <w:rFonts w:cs="Calibri"/>
                <w:color w:val="000000"/>
              </w:rPr>
              <w:t>QA</w:t>
            </w:r>
            <w:r w:rsidR="000700EE">
              <w:rPr>
                <w:rFonts w:cs="Calibri"/>
                <w:color w:val="000000"/>
              </w:rPr>
              <w:t>,</w:t>
            </w:r>
            <w:r w:rsidRPr="0006735B">
              <w:rPr>
                <w:rFonts w:cs="Calibri"/>
                <w:color w:val="000000"/>
              </w:rPr>
              <w:t xml:space="preserve"> internal and external</w:t>
            </w:r>
          </w:p>
        </w:tc>
        <w:tc>
          <w:tcPr>
            <w:tcW w:w="1361" w:type="dxa"/>
            <w:noWrap/>
            <w:hideMark/>
          </w:tcPr>
          <w:p w14:paraId="5DEA21AC" w14:textId="77777777" w:rsidR="00FD67A7" w:rsidRPr="0006735B" w:rsidRDefault="00FD67A7" w:rsidP="00DA4DB0">
            <w:pPr>
              <w:pStyle w:val="Tabletext0"/>
              <w:jc w:val="left"/>
            </w:pPr>
            <w:r w:rsidRPr="0006735B">
              <w:t>$1.20</w:t>
            </w:r>
          </w:p>
        </w:tc>
        <w:tc>
          <w:tcPr>
            <w:tcW w:w="1186" w:type="dxa"/>
            <w:noWrap/>
            <w:hideMark/>
          </w:tcPr>
          <w:p w14:paraId="7A1AA20A" w14:textId="77777777" w:rsidR="00FD67A7" w:rsidRPr="0006735B" w:rsidRDefault="00FD67A7" w:rsidP="00DA4DB0">
            <w:pPr>
              <w:pStyle w:val="Tabletext0"/>
              <w:jc w:val="left"/>
            </w:pPr>
            <w:r w:rsidRPr="0006735B">
              <w:t>$1.87</w:t>
            </w:r>
          </w:p>
        </w:tc>
        <w:tc>
          <w:tcPr>
            <w:tcW w:w="1701" w:type="dxa"/>
            <w:noWrap/>
            <w:hideMark/>
          </w:tcPr>
          <w:p w14:paraId="6AC762AD" w14:textId="77777777" w:rsidR="00FD67A7" w:rsidRPr="0006735B" w:rsidRDefault="00FD67A7" w:rsidP="00DA4DB0">
            <w:pPr>
              <w:pStyle w:val="Tabletext0"/>
              <w:jc w:val="left"/>
            </w:pPr>
            <w:r w:rsidRPr="0006735B">
              <w:t>$2.03</w:t>
            </w:r>
          </w:p>
        </w:tc>
        <w:tc>
          <w:tcPr>
            <w:tcW w:w="1196" w:type="dxa"/>
            <w:noWrap/>
            <w:hideMark/>
          </w:tcPr>
          <w:p w14:paraId="7E21693A" w14:textId="77777777" w:rsidR="00FD67A7" w:rsidRPr="0006735B" w:rsidRDefault="00FD67A7" w:rsidP="00DA4DB0">
            <w:pPr>
              <w:pStyle w:val="Tabletext0"/>
              <w:jc w:val="left"/>
            </w:pPr>
            <w:r w:rsidRPr="0006735B">
              <w:t>$2.19</w:t>
            </w:r>
          </w:p>
        </w:tc>
      </w:tr>
      <w:tr w:rsidR="00954F74" w:rsidRPr="00CB5605" w14:paraId="4554B3E4" w14:textId="77777777" w:rsidTr="001B7AA2">
        <w:trPr>
          <w:trHeight w:val="320"/>
        </w:trPr>
        <w:tc>
          <w:tcPr>
            <w:tcW w:w="3402" w:type="dxa"/>
          </w:tcPr>
          <w:p w14:paraId="31196E8B" w14:textId="77777777" w:rsidR="00FD67A7" w:rsidRPr="0006735B" w:rsidRDefault="00FD67A7" w:rsidP="00DA4DB0">
            <w:pPr>
              <w:pStyle w:val="Tabletext0"/>
              <w:jc w:val="left"/>
            </w:pPr>
            <w:r w:rsidRPr="0006735B">
              <w:rPr>
                <w:rFonts w:cs="Calibri"/>
                <w:color w:val="000000"/>
              </w:rPr>
              <w:t>Report production</w:t>
            </w:r>
          </w:p>
        </w:tc>
        <w:tc>
          <w:tcPr>
            <w:tcW w:w="1361" w:type="dxa"/>
            <w:noWrap/>
            <w:hideMark/>
          </w:tcPr>
          <w:p w14:paraId="37B29FEA" w14:textId="77777777" w:rsidR="00FD67A7" w:rsidRPr="0006735B" w:rsidRDefault="00FD67A7" w:rsidP="00DA4DB0">
            <w:pPr>
              <w:pStyle w:val="Tabletext0"/>
              <w:jc w:val="left"/>
            </w:pPr>
            <w:r w:rsidRPr="0006735B">
              <w:t>$1.00</w:t>
            </w:r>
          </w:p>
        </w:tc>
        <w:tc>
          <w:tcPr>
            <w:tcW w:w="1186" w:type="dxa"/>
            <w:noWrap/>
            <w:hideMark/>
          </w:tcPr>
          <w:p w14:paraId="5AADB08B" w14:textId="77777777" w:rsidR="00FD67A7" w:rsidRPr="0006735B" w:rsidRDefault="00FD67A7" w:rsidP="00DA4DB0">
            <w:pPr>
              <w:pStyle w:val="Tabletext0"/>
              <w:jc w:val="left"/>
            </w:pPr>
            <w:r w:rsidRPr="0006735B">
              <w:t>$1.00</w:t>
            </w:r>
          </w:p>
        </w:tc>
        <w:tc>
          <w:tcPr>
            <w:tcW w:w="1701" w:type="dxa"/>
            <w:noWrap/>
            <w:hideMark/>
          </w:tcPr>
          <w:p w14:paraId="545AAAD9" w14:textId="77777777" w:rsidR="00FD67A7" w:rsidRPr="0006735B" w:rsidRDefault="00FD67A7" w:rsidP="00DA4DB0">
            <w:pPr>
              <w:pStyle w:val="Tabletext0"/>
              <w:jc w:val="left"/>
            </w:pPr>
            <w:r w:rsidRPr="0006735B">
              <w:t>$1.00</w:t>
            </w:r>
          </w:p>
        </w:tc>
        <w:tc>
          <w:tcPr>
            <w:tcW w:w="1196" w:type="dxa"/>
            <w:noWrap/>
            <w:hideMark/>
          </w:tcPr>
          <w:p w14:paraId="35592551" w14:textId="77777777" w:rsidR="00FD67A7" w:rsidRPr="0006735B" w:rsidRDefault="00FD67A7" w:rsidP="00DA4DB0">
            <w:pPr>
              <w:pStyle w:val="Tabletext0"/>
              <w:jc w:val="left"/>
            </w:pPr>
            <w:r w:rsidRPr="0006735B">
              <w:t>$2.00</w:t>
            </w:r>
          </w:p>
        </w:tc>
      </w:tr>
      <w:tr w:rsidR="00954F74" w:rsidRPr="00CB5605" w14:paraId="557BB3C3" w14:textId="77777777" w:rsidTr="001B7AA2">
        <w:trPr>
          <w:trHeight w:val="320"/>
        </w:trPr>
        <w:tc>
          <w:tcPr>
            <w:tcW w:w="3402" w:type="dxa"/>
          </w:tcPr>
          <w:p w14:paraId="774FD524" w14:textId="0B1D2278" w:rsidR="00FD67A7" w:rsidRPr="0006735B" w:rsidRDefault="00FD67A7" w:rsidP="00DA4DB0">
            <w:pPr>
              <w:pStyle w:val="Tabletext0"/>
              <w:jc w:val="left"/>
            </w:pPr>
            <w:r w:rsidRPr="0006735B">
              <w:rPr>
                <w:rFonts w:cs="Calibri"/>
                <w:color w:val="000000"/>
              </w:rPr>
              <w:t xml:space="preserve">Total </w:t>
            </w:r>
            <w:r w:rsidR="00292BFF">
              <w:rPr>
                <w:rFonts w:cs="Calibri"/>
                <w:color w:val="000000"/>
              </w:rPr>
              <w:t>(</w:t>
            </w:r>
            <w:r w:rsidRPr="0006735B">
              <w:rPr>
                <w:rFonts w:cs="Calibri"/>
                <w:color w:val="000000"/>
              </w:rPr>
              <w:t>excl</w:t>
            </w:r>
            <w:r w:rsidR="00292BFF">
              <w:rPr>
                <w:rFonts w:cs="Calibri"/>
                <w:color w:val="000000"/>
              </w:rPr>
              <w:t>uding</w:t>
            </w:r>
            <w:r w:rsidRPr="0006735B">
              <w:rPr>
                <w:rFonts w:cs="Calibri"/>
                <w:color w:val="000000"/>
              </w:rPr>
              <w:t xml:space="preserve"> repeat where test failed</w:t>
            </w:r>
            <w:r w:rsidR="00292BFF">
              <w:rPr>
                <w:rFonts w:cs="Calibri"/>
                <w:color w:val="000000"/>
              </w:rPr>
              <w:t>)</w:t>
            </w:r>
          </w:p>
        </w:tc>
        <w:tc>
          <w:tcPr>
            <w:tcW w:w="1361" w:type="dxa"/>
            <w:noWrap/>
            <w:hideMark/>
          </w:tcPr>
          <w:p w14:paraId="4CB0AB88" w14:textId="77777777" w:rsidR="00FD67A7" w:rsidRPr="0006735B" w:rsidRDefault="00FD67A7" w:rsidP="00DA4DB0">
            <w:pPr>
              <w:pStyle w:val="Tabletext0"/>
              <w:jc w:val="left"/>
            </w:pPr>
            <w:r w:rsidRPr="0006735B">
              <w:t>$42.63</w:t>
            </w:r>
          </w:p>
        </w:tc>
        <w:tc>
          <w:tcPr>
            <w:tcW w:w="1186" w:type="dxa"/>
            <w:noWrap/>
            <w:hideMark/>
          </w:tcPr>
          <w:p w14:paraId="30B15826" w14:textId="77777777" w:rsidR="00FD67A7" w:rsidRPr="0006735B" w:rsidRDefault="00FD67A7" w:rsidP="00DA4DB0">
            <w:pPr>
              <w:pStyle w:val="Tabletext0"/>
              <w:jc w:val="left"/>
            </w:pPr>
            <w:r w:rsidRPr="0006735B">
              <w:t>$64.92</w:t>
            </w:r>
          </w:p>
        </w:tc>
        <w:tc>
          <w:tcPr>
            <w:tcW w:w="1701" w:type="dxa"/>
            <w:noWrap/>
            <w:hideMark/>
          </w:tcPr>
          <w:p w14:paraId="1E8F782F" w14:textId="77777777" w:rsidR="00FD67A7" w:rsidRPr="0006735B" w:rsidRDefault="00FD67A7" w:rsidP="00DA4DB0">
            <w:pPr>
              <w:pStyle w:val="Tabletext0"/>
              <w:jc w:val="left"/>
            </w:pPr>
            <w:r w:rsidRPr="0006735B">
              <w:t>$70.07</w:t>
            </w:r>
          </w:p>
        </w:tc>
        <w:tc>
          <w:tcPr>
            <w:tcW w:w="1196" w:type="dxa"/>
            <w:noWrap/>
            <w:hideMark/>
          </w:tcPr>
          <w:p w14:paraId="01025667" w14:textId="77777777" w:rsidR="00FD67A7" w:rsidRPr="0006735B" w:rsidRDefault="00FD67A7" w:rsidP="00DA4DB0">
            <w:pPr>
              <w:pStyle w:val="Tabletext0"/>
              <w:jc w:val="left"/>
            </w:pPr>
            <w:r w:rsidRPr="0006735B">
              <w:t>$76.23</w:t>
            </w:r>
          </w:p>
        </w:tc>
      </w:tr>
      <w:tr w:rsidR="00954F74" w:rsidRPr="00CB5605" w14:paraId="20B73FDF" w14:textId="77777777" w:rsidTr="001B7AA2">
        <w:trPr>
          <w:trHeight w:val="320"/>
        </w:trPr>
        <w:tc>
          <w:tcPr>
            <w:tcW w:w="3402" w:type="dxa"/>
          </w:tcPr>
          <w:p w14:paraId="5236C6CD" w14:textId="74CD5097" w:rsidR="00FD67A7" w:rsidRPr="0006735B" w:rsidRDefault="00FD67A7" w:rsidP="00DA4DB0">
            <w:pPr>
              <w:pStyle w:val="Tabletext0"/>
              <w:jc w:val="left"/>
            </w:pPr>
            <w:r w:rsidRPr="0006735B">
              <w:rPr>
                <w:rFonts w:cs="Calibri"/>
                <w:color w:val="000000"/>
              </w:rPr>
              <w:t>Cost of test failure</w:t>
            </w:r>
            <w:r w:rsidR="00292BFF">
              <w:rPr>
                <w:rFonts w:cs="Calibri"/>
                <w:color w:val="000000"/>
              </w:rPr>
              <w:t xml:space="preserve"> per </w:t>
            </w:r>
            <w:r w:rsidRPr="0006735B">
              <w:rPr>
                <w:rFonts w:cs="Calibri"/>
                <w:color w:val="000000"/>
              </w:rPr>
              <w:t>sample</w:t>
            </w:r>
          </w:p>
        </w:tc>
        <w:tc>
          <w:tcPr>
            <w:tcW w:w="1361" w:type="dxa"/>
            <w:noWrap/>
            <w:hideMark/>
          </w:tcPr>
          <w:p w14:paraId="1A757F6A" w14:textId="77777777" w:rsidR="00FD67A7" w:rsidRPr="0006735B" w:rsidRDefault="00FD67A7" w:rsidP="00DA4DB0">
            <w:pPr>
              <w:pStyle w:val="Tabletext0"/>
              <w:jc w:val="left"/>
            </w:pPr>
            <w:r w:rsidRPr="0006735B">
              <w:t>$1.10</w:t>
            </w:r>
          </w:p>
        </w:tc>
        <w:tc>
          <w:tcPr>
            <w:tcW w:w="1186" w:type="dxa"/>
            <w:noWrap/>
            <w:hideMark/>
          </w:tcPr>
          <w:p w14:paraId="28A5D04A" w14:textId="77777777" w:rsidR="00FD67A7" w:rsidRPr="0006735B" w:rsidRDefault="00FD67A7" w:rsidP="00DA4DB0">
            <w:pPr>
              <w:pStyle w:val="Tabletext0"/>
              <w:jc w:val="left"/>
            </w:pPr>
            <w:r w:rsidRPr="0006735B">
              <w:t>$1.75</w:t>
            </w:r>
          </w:p>
        </w:tc>
        <w:tc>
          <w:tcPr>
            <w:tcW w:w="1701" w:type="dxa"/>
            <w:noWrap/>
            <w:hideMark/>
          </w:tcPr>
          <w:p w14:paraId="7C3464FF" w14:textId="77777777" w:rsidR="00FD67A7" w:rsidRPr="0006735B" w:rsidRDefault="00FD67A7" w:rsidP="00DA4DB0">
            <w:pPr>
              <w:pStyle w:val="Tabletext0"/>
              <w:jc w:val="left"/>
            </w:pPr>
            <w:r w:rsidRPr="0006735B">
              <w:t>$1.90</w:t>
            </w:r>
          </w:p>
        </w:tc>
        <w:tc>
          <w:tcPr>
            <w:tcW w:w="1196" w:type="dxa"/>
            <w:noWrap/>
            <w:hideMark/>
          </w:tcPr>
          <w:p w14:paraId="01137ABC" w14:textId="77777777" w:rsidR="00FD67A7" w:rsidRPr="0006735B" w:rsidRDefault="00FD67A7" w:rsidP="00DA4DB0">
            <w:pPr>
              <w:pStyle w:val="Tabletext0"/>
              <w:jc w:val="left"/>
            </w:pPr>
            <w:r w:rsidRPr="0006735B">
              <w:t>$2.05</w:t>
            </w:r>
          </w:p>
        </w:tc>
      </w:tr>
      <w:tr w:rsidR="00954F74" w:rsidRPr="00CB5605" w14:paraId="76436A54" w14:textId="77777777" w:rsidTr="001B7AA2">
        <w:trPr>
          <w:trHeight w:val="320"/>
        </w:trPr>
        <w:tc>
          <w:tcPr>
            <w:tcW w:w="3402" w:type="dxa"/>
          </w:tcPr>
          <w:p w14:paraId="47F35C31" w14:textId="79A1E789" w:rsidR="00FD67A7" w:rsidRPr="0020723B" w:rsidRDefault="00FD67A7" w:rsidP="00DA4DB0">
            <w:pPr>
              <w:pStyle w:val="Tabletext0"/>
              <w:jc w:val="left"/>
              <w:rPr>
                <w:b/>
                <w:bCs/>
                <w:u w:val="single"/>
              </w:rPr>
            </w:pPr>
            <w:r w:rsidRPr="0006735B">
              <w:rPr>
                <w:rFonts w:cs="Calibri"/>
                <w:b/>
                <w:bCs/>
                <w:color w:val="000000"/>
              </w:rPr>
              <w:t xml:space="preserve">Total cost (basis for 85% </w:t>
            </w:r>
            <w:r w:rsidR="00292BFF">
              <w:rPr>
                <w:rFonts w:cs="Calibri"/>
                <w:b/>
                <w:bCs/>
                <w:color w:val="000000"/>
              </w:rPr>
              <w:t xml:space="preserve">MBS </w:t>
            </w:r>
            <w:r w:rsidRPr="0006735B">
              <w:rPr>
                <w:rFonts w:cs="Calibri"/>
                <w:b/>
                <w:bCs/>
                <w:color w:val="000000"/>
              </w:rPr>
              <w:t>rebate</w:t>
            </w:r>
            <w:r w:rsidR="00292BFF">
              <w:rPr>
                <w:rFonts w:cs="Calibri"/>
                <w:b/>
                <w:bCs/>
                <w:color w:val="000000"/>
              </w:rPr>
              <w:t xml:space="preserve"> </w:t>
            </w:r>
            <w:r w:rsidR="00EE0926">
              <w:rPr>
                <w:rFonts w:cs="Calibri"/>
                <w:b/>
                <w:bCs/>
                <w:color w:val="000000"/>
              </w:rPr>
              <w:t xml:space="preserve">for </w:t>
            </w:r>
            <w:r w:rsidR="00292BFF">
              <w:rPr>
                <w:rFonts w:cs="Calibri"/>
                <w:b/>
                <w:bCs/>
                <w:color w:val="000000"/>
              </w:rPr>
              <w:t>items XXXX, YYYY</w:t>
            </w:r>
            <w:r w:rsidRPr="0006735B">
              <w:rPr>
                <w:rFonts w:cs="Calibri"/>
                <w:b/>
                <w:bCs/>
                <w:color w:val="000000"/>
              </w:rPr>
              <w:t>)</w:t>
            </w:r>
            <w:r w:rsidR="001A02F6">
              <w:rPr>
                <w:rFonts w:cs="Calibri"/>
                <w:b/>
                <w:bCs/>
                <w:color w:val="000000"/>
              </w:rPr>
              <w:t xml:space="preserve"> – </w:t>
            </w:r>
            <w:r w:rsidR="001A02F6" w:rsidRPr="0020723B">
              <w:rPr>
                <w:rFonts w:cs="Calibri"/>
                <w:b/>
                <w:bCs/>
                <w:color w:val="000000"/>
                <w:u w:val="single"/>
              </w:rPr>
              <w:t>o</w:t>
            </w:r>
            <w:r w:rsidR="001A02F6">
              <w:rPr>
                <w:rFonts w:cs="Calibri"/>
                <w:b/>
                <w:bCs/>
                <w:color w:val="000000"/>
                <w:u w:val="single"/>
              </w:rPr>
              <w:t>ption 1</w:t>
            </w:r>
          </w:p>
        </w:tc>
        <w:tc>
          <w:tcPr>
            <w:tcW w:w="1361" w:type="dxa"/>
            <w:noWrap/>
            <w:hideMark/>
          </w:tcPr>
          <w:p w14:paraId="5E2499AB" w14:textId="77777777" w:rsidR="00FD67A7" w:rsidRPr="0006735B" w:rsidRDefault="00FD67A7" w:rsidP="00DA4DB0">
            <w:pPr>
              <w:pStyle w:val="Tabletext0"/>
              <w:jc w:val="left"/>
              <w:rPr>
                <w:b/>
                <w:bCs/>
              </w:rPr>
            </w:pPr>
            <w:r w:rsidRPr="0006735B">
              <w:rPr>
                <w:b/>
                <w:bCs/>
              </w:rPr>
              <w:t>$43.58</w:t>
            </w:r>
          </w:p>
        </w:tc>
        <w:tc>
          <w:tcPr>
            <w:tcW w:w="1186" w:type="dxa"/>
            <w:noWrap/>
            <w:hideMark/>
          </w:tcPr>
          <w:p w14:paraId="3D28151B" w14:textId="77777777" w:rsidR="00FD67A7" w:rsidRPr="0006735B" w:rsidRDefault="00FD67A7" w:rsidP="00DA4DB0">
            <w:pPr>
              <w:pStyle w:val="Tabletext0"/>
              <w:jc w:val="left"/>
              <w:rPr>
                <w:b/>
                <w:bCs/>
              </w:rPr>
            </w:pPr>
            <w:r w:rsidRPr="0006735B">
              <w:rPr>
                <w:b/>
                <w:bCs/>
              </w:rPr>
              <w:t>$66.51</w:t>
            </w:r>
          </w:p>
        </w:tc>
        <w:tc>
          <w:tcPr>
            <w:tcW w:w="1701" w:type="dxa"/>
            <w:noWrap/>
            <w:hideMark/>
          </w:tcPr>
          <w:p w14:paraId="45BE7A6F" w14:textId="77777777" w:rsidR="00FD67A7" w:rsidRPr="0006735B" w:rsidRDefault="00FD67A7" w:rsidP="00DA4DB0">
            <w:pPr>
              <w:pStyle w:val="Tabletext0"/>
              <w:jc w:val="left"/>
              <w:rPr>
                <w:b/>
                <w:bCs/>
              </w:rPr>
            </w:pPr>
            <w:r w:rsidRPr="0006735B">
              <w:rPr>
                <w:b/>
                <w:bCs/>
              </w:rPr>
              <w:t>$71.82**</w:t>
            </w:r>
          </w:p>
        </w:tc>
        <w:tc>
          <w:tcPr>
            <w:tcW w:w="1196" w:type="dxa"/>
            <w:noWrap/>
            <w:hideMark/>
          </w:tcPr>
          <w:p w14:paraId="376BD50F" w14:textId="77777777" w:rsidR="00FD67A7" w:rsidRPr="0006735B" w:rsidRDefault="00FD67A7" w:rsidP="00DA4DB0">
            <w:pPr>
              <w:pStyle w:val="Tabletext0"/>
              <w:jc w:val="left"/>
              <w:rPr>
                <w:b/>
                <w:bCs/>
              </w:rPr>
            </w:pPr>
            <w:r w:rsidRPr="0006735B">
              <w:rPr>
                <w:b/>
                <w:bCs/>
              </w:rPr>
              <w:t>$78.13**</w:t>
            </w:r>
          </w:p>
        </w:tc>
      </w:tr>
      <w:tr w:rsidR="00954F74" w:rsidRPr="00CB5605" w14:paraId="32922962" w14:textId="77777777" w:rsidTr="001B7AA2">
        <w:trPr>
          <w:trHeight w:val="320"/>
        </w:trPr>
        <w:tc>
          <w:tcPr>
            <w:tcW w:w="3402" w:type="dxa"/>
          </w:tcPr>
          <w:p w14:paraId="35527BCB" w14:textId="3A575ECD" w:rsidR="00FD67A7" w:rsidRPr="0006735B" w:rsidRDefault="00FD67A7" w:rsidP="00DA4DB0">
            <w:pPr>
              <w:pStyle w:val="Tabletext0"/>
              <w:jc w:val="left"/>
              <w:rPr>
                <w:b/>
                <w:bCs/>
              </w:rPr>
            </w:pPr>
            <w:r w:rsidRPr="0006735B">
              <w:rPr>
                <w:rFonts w:cs="Calibri"/>
                <w:b/>
                <w:bCs/>
                <w:color w:val="000000"/>
              </w:rPr>
              <w:t>85% MBS rebate</w:t>
            </w:r>
            <w:r w:rsidR="00EE0926">
              <w:rPr>
                <w:rFonts w:cs="Calibri"/>
                <w:b/>
                <w:bCs/>
                <w:color w:val="000000"/>
              </w:rPr>
              <w:t xml:space="preserve"> for</w:t>
            </w:r>
            <w:r w:rsidRPr="0006735B">
              <w:rPr>
                <w:rFonts w:cs="Calibri"/>
                <w:b/>
                <w:bCs/>
                <w:color w:val="000000"/>
              </w:rPr>
              <w:t xml:space="preserve"> items AAAA-EEEE</w:t>
            </w:r>
            <w:r w:rsidR="004C7DE7">
              <w:rPr>
                <w:rFonts w:cs="Calibri"/>
                <w:b/>
                <w:bCs/>
                <w:color w:val="000000"/>
              </w:rPr>
              <w:t xml:space="preserve"> (</w:t>
            </w:r>
            <w:r w:rsidR="001A02F6">
              <w:rPr>
                <w:rFonts w:cs="Calibri"/>
                <w:b/>
                <w:bCs/>
                <w:color w:val="000000"/>
              </w:rPr>
              <w:t xml:space="preserve">based on </w:t>
            </w:r>
            <w:r w:rsidR="004C7DE7">
              <w:rPr>
                <w:rFonts w:cs="Calibri"/>
                <w:b/>
                <w:bCs/>
                <w:color w:val="000000"/>
              </w:rPr>
              <w:t>items 69511-5</w:t>
            </w:r>
            <w:r w:rsidR="00EE0926">
              <w:rPr>
                <w:rFonts w:cs="Calibri"/>
                <w:b/>
                <w:bCs/>
                <w:color w:val="000000"/>
              </w:rPr>
              <w:t>)</w:t>
            </w:r>
            <w:r w:rsidR="001A02F6">
              <w:rPr>
                <w:rFonts w:cs="Calibri"/>
                <w:b/>
                <w:bCs/>
                <w:color w:val="000000"/>
              </w:rPr>
              <w:t xml:space="preserve"> – </w:t>
            </w:r>
            <w:r w:rsidR="001A02F6" w:rsidRPr="0020723B">
              <w:rPr>
                <w:rFonts w:cs="Calibri"/>
                <w:b/>
                <w:bCs/>
                <w:color w:val="000000"/>
                <w:u w:val="single"/>
              </w:rPr>
              <w:t>option 2</w:t>
            </w:r>
          </w:p>
        </w:tc>
        <w:tc>
          <w:tcPr>
            <w:tcW w:w="1361" w:type="dxa"/>
            <w:noWrap/>
            <w:hideMark/>
          </w:tcPr>
          <w:p w14:paraId="3863E513" w14:textId="77777777" w:rsidR="00FD67A7" w:rsidRPr="0006735B" w:rsidRDefault="00FD67A7" w:rsidP="00DA4DB0">
            <w:pPr>
              <w:pStyle w:val="Tabletext0"/>
              <w:jc w:val="left"/>
              <w:rPr>
                <w:b/>
                <w:bCs/>
              </w:rPr>
            </w:pPr>
            <w:r w:rsidRPr="0006735B">
              <w:rPr>
                <w:b/>
                <w:bCs/>
              </w:rPr>
              <w:t>$58.55</w:t>
            </w:r>
          </w:p>
        </w:tc>
        <w:tc>
          <w:tcPr>
            <w:tcW w:w="1186" w:type="dxa"/>
            <w:noWrap/>
            <w:hideMark/>
          </w:tcPr>
          <w:p w14:paraId="6B57EAEF" w14:textId="77777777" w:rsidR="00FD67A7" w:rsidRPr="0006735B" w:rsidRDefault="00FD67A7" w:rsidP="00DA4DB0">
            <w:pPr>
              <w:pStyle w:val="Tabletext0"/>
              <w:jc w:val="left"/>
              <w:rPr>
                <w:b/>
                <w:bCs/>
              </w:rPr>
            </w:pPr>
            <w:r w:rsidRPr="0006735B">
              <w:rPr>
                <w:b/>
                <w:bCs/>
              </w:rPr>
              <w:t>$63.55 (2-4 tests)</w:t>
            </w:r>
          </w:p>
        </w:tc>
        <w:tc>
          <w:tcPr>
            <w:tcW w:w="1701" w:type="dxa"/>
            <w:noWrap/>
            <w:hideMark/>
          </w:tcPr>
          <w:p w14:paraId="26DCB548" w14:textId="77777777" w:rsidR="00FD67A7" w:rsidRPr="0006735B" w:rsidRDefault="00FD67A7" w:rsidP="00DA4DB0">
            <w:pPr>
              <w:pStyle w:val="Tabletext0"/>
              <w:jc w:val="left"/>
              <w:rPr>
                <w:b/>
                <w:bCs/>
              </w:rPr>
            </w:pPr>
            <w:r w:rsidRPr="0006735B">
              <w:rPr>
                <w:b/>
                <w:bCs/>
              </w:rPr>
              <w:t>$68.60 (5-8 tests</w:t>
            </w:r>
            <w:proofErr w:type="gramStart"/>
            <w:r w:rsidRPr="0006735B">
              <w:rPr>
                <w:b/>
                <w:bCs/>
              </w:rPr>
              <w:t>);</w:t>
            </w:r>
            <w:proofErr w:type="gramEnd"/>
            <w:r w:rsidRPr="0006735B">
              <w:rPr>
                <w:b/>
                <w:bCs/>
              </w:rPr>
              <w:t xml:space="preserve"> </w:t>
            </w:r>
          </w:p>
          <w:p w14:paraId="7C2358B4" w14:textId="77777777" w:rsidR="00FD67A7" w:rsidRPr="0006735B" w:rsidRDefault="00FD67A7" w:rsidP="00DA4DB0">
            <w:pPr>
              <w:pStyle w:val="Tabletext0"/>
              <w:jc w:val="left"/>
              <w:rPr>
                <w:b/>
                <w:bCs/>
              </w:rPr>
            </w:pPr>
            <w:r w:rsidRPr="0006735B">
              <w:rPr>
                <w:b/>
                <w:bCs/>
              </w:rPr>
              <w:t>$73.60 (9-12 tests)</w:t>
            </w:r>
          </w:p>
        </w:tc>
        <w:tc>
          <w:tcPr>
            <w:tcW w:w="1196" w:type="dxa"/>
            <w:noWrap/>
            <w:hideMark/>
          </w:tcPr>
          <w:p w14:paraId="730EF184" w14:textId="77777777" w:rsidR="00FD67A7" w:rsidRPr="0006735B" w:rsidRDefault="00FD67A7" w:rsidP="00DA4DB0">
            <w:pPr>
              <w:pStyle w:val="Tabletext0"/>
              <w:jc w:val="left"/>
              <w:rPr>
                <w:b/>
                <w:bCs/>
              </w:rPr>
            </w:pPr>
            <w:r w:rsidRPr="0006735B">
              <w:rPr>
                <w:b/>
                <w:bCs/>
              </w:rPr>
              <w:t>$78.60</w:t>
            </w:r>
          </w:p>
        </w:tc>
      </w:tr>
    </w:tbl>
    <w:p w14:paraId="26DD5718" w14:textId="305695E1" w:rsidR="00C337F8" w:rsidRDefault="00C337F8" w:rsidP="00C337F8">
      <w:pPr>
        <w:pStyle w:val="TableFooter"/>
        <w:jc w:val="left"/>
      </w:pPr>
      <w:r w:rsidRPr="00C337F8">
        <w:t>QA= quality assurance</w:t>
      </w:r>
      <w:r w:rsidR="00EB4FAE">
        <w:t>; RT-PCR</w:t>
      </w:r>
      <w:r w:rsidR="00F373D8">
        <w:t xml:space="preserve"> = reverse transcriptase polymerase chain reaction.</w:t>
      </w:r>
      <w:r w:rsidRPr="00C337F8">
        <w:t xml:space="preserve"> </w:t>
      </w:r>
    </w:p>
    <w:p w14:paraId="294D8298" w14:textId="2CD67B87" w:rsidR="00C337F8" w:rsidRDefault="00C337F8" w:rsidP="00C337F8">
      <w:pPr>
        <w:pStyle w:val="TableFooter"/>
        <w:jc w:val="left"/>
      </w:pPr>
      <w:r w:rsidRPr="00C337F8">
        <w:t xml:space="preserve">* </w:t>
      </w:r>
      <w:r>
        <w:t>C</w:t>
      </w:r>
      <w:r w:rsidRPr="00C337F8">
        <w:t xml:space="preserve">ost estimated </w:t>
      </w:r>
      <w:r w:rsidR="001A02F6">
        <w:t>to be</w:t>
      </w:r>
      <w:r w:rsidRPr="00C337F8">
        <w:t xml:space="preserve"> $5 increment compared with previous panel size due to lack of information regarding commercial cost</w:t>
      </w:r>
      <w:r>
        <w:t>.</w:t>
      </w:r>
    </w:p>
    <w:p w14:paraId="5EC30491" w14:textId="012EBDEB" w:rsidR="00C337F8" w:rsidRPr="00C337F8" w:rsidRDefault="00C337F8" w:rsidP="00C337F8">
      <w:pPr>
        <w:pStyle w:val="TableFooter"/>
        <w:jc w:val="left"/>
      </w:pPr>
      <w:r w:rsidRPr="00C337F8">
        <w:t>**</w:t>
      </w:r>
      <w:r>
        <w:t xml:space="preserve"> C</w:t>
      </w:r>
      <w:r w:rsidRPr="00C337F8">
        <w:t>ostings used as basis for subsequent calculation of MBS fee and benefit for item YYYY (weighted according to utilisation of current temporary items 1 October 2022 – 31 January 2023).</w:t>
      </w:r>
    </w:p>
    <w:p w14:paraId="1226B043" w14:textId="4C546C66" w:rsidR="00123B95" w:rsidRDefault="00FD67A7" w:rsidP="00C337F8">
      <w:pPr>
        <w:pStyle w:val="TableFooter"/>
        <w:jc w:val="left"/>
      </w:pPr>
      <w:r w:rsidRPr="0006735B">
        <w:t xml:space="preserve">Source: </w:t>
      </w:r>
      <w:r w:rsidR="00CD24E3">
        <w:t>DCAR Table 23.</w:t>
      </w:r>
    </w:p>
    <w:p w14:paraId="51E2D9B1" w14:textId="28436EEB" w:rsidR="00F04B84" w:rsidRPr="00F04B84" w:rsidRDefault="00F04B84" w:rsidP="00F04B84">
      <w:pPr>
        <w:pStyle w:val="Heading4"/>
      </w:pPr>
      <w:r w:rsidRPr="00F04B84">
        <w:t>Margin</w:t>
      </w:r>
    </w:p>
    <w:p w14:paraId="36598591" w14:textId="2BD89094" w:rsidR="00FC3B01" w:rsidRDefault="00FC3B01" w:rsidP="00D1232D">
      <w:r>
        <w:t>The HTA</w:t>
      </w:r>
      <w:r w:rsidR="00286A5A">
        <w:t xml:space="preserve"> group</w:t>
      </w:r>
      <w:r>
        <w:t xml:space="preserve">’s fee structure is based on the cost to deliver the service for the 85% rebate </w:t>
      </w:r>
      <w:r w:rsidR="00884B96">
        <w:t>and currently</w:t>
      </w:r>
      <w:r>
        <w:t xml:space="preserve"> does not incorporate any margin for </w:t>
      </w:r>
      <w:r w:rsidR="00884B96">
        <w:t>increas</w:t>
      </w:r>
      <w:r w:rsidR="00A01749">
        <w:t>ing</w:t>
      </w:r>
      <w:r>
        <w:t xml:space="preserve"> </w:t>
      </w:r>
      <w:r w:rsidR="005C64C9">
        <w:t>staff costs, reagent costs (many are sourced overseas)</w:t>
      </w:r>
      <w:r>
        <w:t xml:space="preserve"> </w:t>
      </w:r>
      <w:r w:rsidR="00884B96">
        <w:t>n</w:t>
      </w:r>
      <w:r>
        <w:t>or development of tests to accommodate any new genetic variants or pathogens.</w:t>
      </w:r>
      <w:r w:rsidR="005C64C9">
        <w:t xml:space="preserve"> </w:t>
      </w:r>
      <w:r w:rsidR="00C35EF4">
        <w:t>The HTA group</w:t>
      </w:r>
      <w:r w:rsidR="00A624ED">
        <w:t xml:space="preserve"> expert</w:t>
      </w:r>
      <w:r w:rsidR="008C1055">
        <w:t xml:space="preserve"> undertaking the costings</w:t>
      </w:r>
      <w:r w:rsidR="00C35EF4">
        <w:t xml:space="preserve"> consider</w:t>
      </w:r>
      <w:r w:rsidR="00F0021F">
        <w:t>ed</w:t>
      </w:r>
      <w:r w:rsidR="00C35EF4">
        <w:t xml:space="preserve"> a</w:t>
      </w:r>
      <w:r w:rsidR="005C64C9">
        <w:t xml:space="preserve"> margin</w:t>
      </w:r>
      <w:r w:rsidR="00BA5409">
        <w:t xml:space="preserve"> to allow for such cost changes</w:t>
      </w:r>
      <w:r w:rsidR="005C64C9">
        <w:t xml:space="preserve"> of 20% </w:t>
      </w:r>
      <w:r w:rsidR="00C35EF4">
        <w:t>a</w:t>
      </w:r>
      <w:r w:rsidR="005C64C9">
        <w:t>s standard, but t</w:t>
      </w:r>
      <w:r>
        <w:t xml:space="preserve">he magnitude is referred for MSAC’s consideration, </w:t>
      </w:r>
      <w:r w:rsidR="00C35EF4">
        <w:t>noting the high throughput of the tests (except for rapid NAATs). S</w:t>
      </w:r>
      <w:r>
        <w:t xml:space="preserve">takeholders </w:t>
      </w:r>
      <w:r w:rsidR="00C35EF4">
        <w:t>provided data indicating margins of</w:t>
      </w:r>
      <w:r w:rsidR="005C64C9">
        <w:t xml:space="preserve"> </w:t>
      </w:r>
      <w:r w:rsidR="009343D8" w:rsidRPr="00655E1C">
        <w:rPr>
          <w:i/>
          <w:iCs/>
        </w:rPr>
        <w:t>Redacted</w:t>
      </w:r>
      <w:r>
        <w:t>%</w:t>
      </w:r>
      <w:r w:rsidR="00C35EF4">
        <w:rPr>
          <w:rStyle w:val="FootnoteReference"/>
        </w:rPr>
        <w:footnoteReference w:id="13"/>
      </w:r>
      <w:r>
        <w:t xml:space="preserve"> for the various items during consultation with the Government </w:t>
      </w:r>
      <w:r w:rsidR="00C5275B">
        <w:t>prior to commencement of the current</w:t>
      </w:r>
      <w:r>
        <w:t xml:space="preserve"> temporary items and </w:t>
      </w:r>
      <w:r w:rsidR="00C5275B">
        <w:t xml:space="preserve">from </w:t>
      </w:r>
      <w:r>
        <w:t xml:space="preserve">feedback on their continuation beyond </w:t>
      </w:r>
      <w:r w:rsidR="00E42EDB">
        <w:t xml:space="preserve">1 </w:t>
      </w:r>
      <w:r>
        <w:t>January 2023</w:t>
      </w:r>
      <w:r w:rsidR="00C5275B">
        <w:t>.</w:t>
      </w:r>
    </w:p>
    <w:p w14:paraId="0073B702" w14:textId="23476112" w:rsidR="00746907" w:rsidRDefault="00FB2E34" w:rsidP="00746907">
      <w:pPr>
        <w:rPr>
          <w:shd w:val="clear" w:color="auto" w:fill="FFFFFF"/>
        </w:rPr>
      </w:pPr>
      <w:r>
        <w:rPr>
          <w:shd w:val="clear" w:color="auto" w:fill="FFFFFF"/>
        </w:rPr>
        <w:lastRenderedPageBreak/>
        <w:t xml:space="preserve">Both the proposed items and the HTA group option rely on the current generic MBS item, but without a fee increase, </w:t>
      </w:r>
      <w:r w:rsidR="001B7AA2">
        <w:rPr>
          <w:shd w:val="clear" w:color="auto" w:fill="FFFFFF"/>
        </w:rPr>
        <w:t xml:space="preserve">if testing is to be Medicare-funded then </w:t>
      </w:r>
      <w:r>
        <w:rPr>
          <w:shd w:val="clear" w:color="auto" w:fill="FFFFFF"/>
        </w:rPr>
        <w:t xml:space="preserve">there </w:t>
      </w:r>
      <w:r w:rsidR="008D17A1">
        <w:rPr>
          <w:shd w:val="clear" w:color="auto" w:fill="FFFFFF"/>
        </w:rPr>
        <w:t>w</w:t>
      </w:r>
      <w:r>
        <w:rPr>
          <w:shd w:val="clear" w:color="auto" w:fill="FFFFFF"/>
        </w:rPr>
        <w:t>ould</w:t>
      </w:r>
      <w:r w:rsidR="008D17A1">
        <w:rPr>
          <w:shd w:val="clear" w:color="auto" w:fill="FFFFFF"/>
        </w:rPr>
        <w:t xml:space="preserve"> either</w:t>
      </w:r>
      <w:r>
        <w:rPr>
          <w:shd w:val="clear" w:color="auto" w:fill="FFFFFF"/>
        </w:rPr>
        <w:t xml:space="preserve"> be </w:t>
      </w:r>
      <w:r w:rsidR="008D17A1">
        <w:rPr>
          <w:shd w:val="clear" w:color="auto" w:fill="FFFFFF"/>
        </w:rPr>
        <w:t>a loss to the provider</w:t>
      </w:r>
      <w:r>
        <w:rPr>
          <w:shd w:val="clear" w:color="auto" w:fill="FFFFFF"/>
        </w:rPr>
        <w:t xml:space="preserve"> or gap fees </w:t>
      </w:r>
      <w:r w:rsidR="00A624ED">
        <w:rPr>
          <w:shd w:val="clear" w:color="auto" w:fill="FFFFFF"/>
        </w:rPr>
        <w:t>that would have to be met by other funding sources</w:t>
      </w:r>
      <w:r w:rsidR="008D17A1">
        <w:rPr>
          <w:rStyle w:val="CommentReference"/>
          <w:rFonts w:ascii="Calibri" w:eastAsia="Times New Roman" w:hAnsi="Calibri" w:cs="Times New Roman"/>
          <w:color w:val="000000"/>
          <w:lang w:eastAsia="en-AU"/>
        </w:rPr>
        <w:t xml:space="preserve"> </w:t>
      </w:r>
      <w:r>
        <w:rPr>
          <w:shd w:val="clear" w:color="auto" w:fill="FFFFFF"/>
        </w:rPr>
        <w:t>(</w:t>
      </w:r>
      <w:r w:rsidR="00345052">
        <w:rPr>
          <w:shd w:val="clear" w:color="auto" w:fill="FFFFFF"/>
        </w:rPr>
        <w:fldChar w:fldCharType="begin"/>
      </w:r>
      <w:r w:rsidR="00345052">
        <w:rPr>
          <w:shd w:val="clear" w:color="auto" w:fill="FFFFFF"/>
        </w:rPr>
        <w:instrText xml:space="preserve"> REF _Ref138414869 </w:instrText>
      </w:r>
      <w:r w:rsidR="00345052">
        <w:rPr>
          <w:shd w:val="clear" w:color="auto" w:fill="FFFFFF"/>
        </w:rPr>
        <w:fldChar w:fldCharType="separate"/>
      </w:r>
      <w:r w:rsidR="00525416" w:rsidRPr="00B71A0C">
        <w:t xml:space="preserve">Table </w:t>
      </w:r>
      <w:r w:rsidR="00525416">
        <w:rPr>
          <w:noProof/>
        </w:rPr>
        <w:t>5</w:t>
      </w:r>
      <w:r w:rsidR="00345052">
        <w:rPr>
          <w:shd w:val="clear" w:color="auto" w:fill="FFFFFF"/>
        </w:rPr>
        <w:fldChar w:fldCharType="end"/>
      </w:r>
      <w:r>
        <w:rPr>
          <w:shd w:val="clear" w:color="auto" w:fill="FFFFFF"/>
        </w:rPr>
        <w:t>).</w:t>
      </w:r>
      <w:r w:rsidR="00536C01">
        <w:rPr>
          <w:shd w:val="clear" w:color="auto" w:fill="FFFFFF"/>
        </w:rPr>
        <w:t xml:space="preserve"> </w:t>
      </w:r>
    </w:p>
    <w:p w14:paraId="39120956" w14:textId="37122AC3" w:rsidR="00C16E81" w:rsidRDefault="00C16E81" w:rsidP="00C16E81">
      <w:pPr>
        <w:pStyle w:val="Caption"/>
      </w:pPr>
      <w:bookmarkStart w:id="15" w:name="_Ref138414869"/>
      <w:r w:rsidRPr="00B71A0C">
        <w:t xml:space="preserve">Table </w:t>
      </w:r>
      <w:r>
        <w:fldChar w:fldCharType="begin"/>
      </w:r>
      <w:r>
        <w:instrText>SEQ Table \* ARABIC</w:instrText>
      </w:r>
      <w:r>
        <w:fldChar w:fldCharType="separate"/>
      </w:r>
      <w:r w:rsidR="00525416">
        <w:rPr>
          <w:noProof/>
        </w:rPr>
        <w:t>5</w:t>
      </w:r>
      <w:r>
        <w:fldChar w:fldCharType="end"/>
      </w:r>
      <w:bookmarkEnd w:id="15"/>
      <w:r w:rsidRPr="00B71A0C">
        <w:t xml:space="preserve"> Difference between the estimated cost to provide the test and the 85% benefit for comparator, proposed, HTA group option without a margin (negative figure represents a gap fee)</w:t>
      </w:r>
    </w:p>
    <w:tbl>
      <w:tblPr>
        <w:tblStyle w:val="TableGrid"/>
        <w:tblW w:w="9067" w:type="dxa"/>
        <w:tblLook w:val="04A0" w:firstRow="1" w:lastRow="0" w:firstColumn="1" w:lastColumn="0" w:noHBand="0" w:noVBand="1"/>
      </w:tblPr>
      <w:tblGrid>
        <w:gridCol w:w="2405"/>
        <w:gridCol w:w="1665"/>
        <w:gridCol w:w="1666"/>
        <w:gridCol w:w="1665"/>
        <w:gridCol w:w="1666"/>
      </w:tblGrid>
      <w:tr w:rsidR="00C16E81" w14:paraId="3EF53C5C" w14:textId="77777777" w:rsidTr="0078130E">
        <w:tc>
          <w:tcPr>
            <w:tcW w:w="2405" w:type="dxa"/>
          </w:tcPr>
          <w:p w14:paraId="03FD023C" w14:textId="77777777" w:rsidR="00C16E81" w:rsidRPr="009130FC" w:rsidRDefault="00C16E81" w:rsidP="0078130E">
            <w:pPr>
              <w:pStyle w:val="Tabletext0"/>
              <w:jc w:val="left"/>
              <w:rPr>
                <w:b/>
                <w:bCs/>
                <w:shd w:val="clear" w:color="auto" w:fill="FFFFFF"/>
              </w:rPr>
            </w:pPr>
            <w:r>
              <w:rPr>
                <w:b/>
                <w:bCs/>
                <w:shd w:val="clear" w:color="auto" w:fill="FFFFFF"/>
              </w:rPr>
              <w:t>Nucleic acid amplification test</w:t>
            </w:r>
          </w:p>
        </w:tc>
        <w:tc>
          <w:tcPr>
            <w:tcW w:w="1665" w:type="dxa"/>
          </w:tcPr>
          <w:p w14:paraId="1C4B710B" w14:textId="77777777" w:rsidR="00C16E81" w:rsidRPr="009130FC" w:rsidRDefault="00C16E81" w:rsidP="0078130E">
            <w:pPr>
              <w:pStyle w:val="Tabletext0"/>
              <w:jc w:val="left"/>
              <w:rPr>
                <w:b/>
                <w:bCs/>
                <w:shd w:val="clear" w:color="auto" w:fill="FFFFFF"/>
              </w:rPr>
            </w:pPr>
            <w:r>
              <w:rPr>
                <w:b/>
                <w:bCs/>
                <w:shd w:val="clear" w:color="auto" w:fill="FFFFFF"/>
              </w:rPr>
              <w:t>E</w:t>
            </w:r>
            <w:r w:rsidRPr="009130FC">
              <w:rPr>
                <w:b/>
                <w:bCs/>
                <w:shd w:val="clear" w:color="auto" w:fill="FFFFFF"/>
              </w:rPr>
              <w:t>stimate</w:t>
            </w:r>
            <w:r>
              <w:rPr>
                <w:b/>
                <w:bCs/>
                <w:shd w:val="clear" w:color="auto" w:fill="FFFFFF"/>
              </w:rPr>
              <w:t>d cost to provide the test</w:t>
            </w:r>
          </w:p>
        </w:tc>
        <w:tc>
          <w:tcPr>
            <w:tcW w:w="1666" w:type="dxa"/>
          </w:tcPr>
          <w:p w14:paraId="153C8425" w14:textId="77777777" w:rsidR="00C16E81" w:rsidRPr="009130FC" w:rsidRDefault="00C16E81" w:rsidP="0078130E">
            <w:pPr>
              <w:pStyle w:val="Tabletext0"/>
              <w:jc w:val="left"/>
              <w:rPr>
                <w:b/>
                <w:bCs/>
                <w:shd w:val="clear" w:color="auto" w:fill="FFFFFF"/>
              </w:rPr>
            </w:pPr>
            <w:r w:rsidRPr="009130FC">
              <w:rPr>
                <w:b/>
                <w:bCs/>
                <w:shd w:val="clear" w:color="auto" w:fill="FFFFFF"/>
              </w:rPr>
              <w:t>Comparator</w:t>
            </w:r>
            <w:r>
              <w:rPr>
                <w:b/>
                <w:bCs/>
                <w:shd w:val="clear" w:color="auto" w:fill="FFFFFF"/>
              </w:rPr>
              <w:t xml:space="preserve"> 85% benefit less estimated cost to provide the test</w:t>
            </w:r>
          </w:p>
        </w:tc>
        <w:tc>
          <w:tcPr>
            <w:tcW w:w="1665" w:type="dxa"/>
          </w:tcPr>
          <w:p w14:paraId="4DA64E6A" w14:textId="77777777" w:rsidR="00C16E81" w:rsidRPr="009130FC" w:rsidRDefault="00C16E81" w:rsidP="0078130E">
            <w:pPr>
              <w:pStyle w:val="Tabletext0"/>
              <w:jc w:val="left"/>
              <w:rPr>
                <w:b/>
                <w:bCs/>
                <w:shd w:val="clear" w:color="auto" w:fill="FFFFFF"/>
              </w:rPr>
            </w:pPr>
            <w:r>
              <w:rPr>
                <w:b/>
                <w:bCs/>
                <w:shd w:val="clear" w:color="auto" w:fill="FFFFFF"/>
              </w:rPr>
              <w:t>P</w:t>
            </w:r>
            <w:r w:rsidRPr="009130FC">
              <w:rPr>
                <w:b/>
                <w:bCs/>
                <w:shd w:val="clear" w:color="auto" w:fill="FFFFFF"/>
              </w:rPr>
              <w:t xml:space="preserve">roposed </w:t>
            </w:r>
            <w:r>
              <w:rPr>
                <w:b/>
                <w:bCs/>
                <w:shd w:val="clear" w:color="auto" w:fill="FFFFFF"/>
              </w:rPr>
              <w:t xml:space="preserve">85% benefit less estimated </w:t>
            </w:r>
            <w:proofErr w:type="gramStart"/>
            <w:r>
              <w:rPr>
                <w:b/>
                <w:bCs/>
                <w:shd w:val="clear" w:color="auto" w:fill="FFFFFF"/>
              </w:rPr>
              <w:t>costs</w:t>
            </w:r>
            <w:proofErr w:type="gramEnd"/>
          </w:p>
          <w:p w14:paraId="001B2396" w14:textId="77777777" w:rsidR="00C16E81" w:rsidRPr="009130FC" w:rsidRDefault="00C16E81" w:rsidP="0078130E">
            <w:pPr>
              <w:pStyle w:val="Tabletext0"/>
              <w:jc w:val="left"/>
              <w:rPr>
                <w:b/>
                <w:bCs/>
                <w:shd w:val="clear" w:color="auto" w:fill="FFFFFF"/>
              </w:rPr>
            </w:pPr>
          </w:p>
        </w:tc>
        <w:tc>
          <w:tcPr>
            <w:tcW w:w="1666" w:type="dxa"/>
          </w:tcPr>
          <w:p w14:paraId="2C30D443" w14:textId="77777777" w:rsidR="00C16E81" w:rsidRPr="009130FC" w:rsidRDefault="00C16E81" w:rsidP="0078130E">
            <w:pPr>
              <w:pStyle w:val="Tabletext0"/>
              <w:jc w:val="left"/>
              <w:rPr>
                <w:b/>
                <w:bCs/>
                <w:shd w:val="clear" w:color="auto" w:fill="FFFFFF"/>
              </w:rPr>
            </w:pPr>
            <w:r>
              <w:rPr>
                <w:b/>
                <w:bCs/>
                <w:shd w:val="clear" w:color="auto" w:fill="FFFFFF"/>
              </w:rPr>
              <w:t>*</w:t>
            </w:r>
            <w:r w:rsidRPr="009130FC">
              <w:rPr>
                <w:b/>
                <w:bCs/>
                <w:shd w:val="clear" w:color="auto" w:fill="FFFFFF"/>
              </w:rPr>
              <w:t xml:space="preserve">HTA </w:t>
            </w:r>
            <w:r>
              <w:rPr>
                <w:b/>
                <w:bCs/>
                <w:shd w:val="clear" w:color="auto" w:fill="FFFFFF"/>
              </w:rPr>
              <w:t>option with no margin less estimated costs</w:t>
            </w:r>
          </w:p>
          <w:p w14:paraId="684BCC9B" w14:textId="77777777" w:rsidR="00C16E81" w:rsidRPr="009130FC" w:rsidRDefault="00C16E81" w:rsidP="0078130E">
            <w:pPr>
              <w:pStyle w:val="Tabletext0"/>
              <w:jc w:val="left"/>
              <w:rPr>
                <w:b/>
                <w:bCs/>
                <w:shd w:val="clear" w:color="auto" w:fill="FFFFFF"/>
              </w:rPr>
            </w:pPr>
          </w:p>
        </w:tc>
      </w:tr>
      <w:tr w:rsidR="00855A3A" w14:paraId="5C7DD820" w14:textId="77777777" w:rsidTr="007B74B9">
        <w:tc>
          <w:tcPr>
            <w:tcW w:w="9067" w:type="dxa"/>
            <w:gridSpan w:val="5"/>
          </w:tcPr>
          <w:p w14:paraId="382AC96B" w14:textId="77777777" w:rsidR="00855A3A" w:rsidRPr="00AC5924" w:rsidRDefault="00855A3A" w:rsidP="0078130E">
            <w:pPr>
              <w:pStyle w:val="Tabletext0"/>
              <w:jc w:val="left"/>
              <w:rPr>
                <w:b/>
                <w:bCs/>
              </w:rPr>
            </w:pPr>
            <w:r>
              <w:rPr>
                <w:b/>
                <w:bCs/>
              </w:rPr>
              <w:t>Option 1: Two-step multi-pathogen ladder (</w:t>
            </w:r>
            <w:r w:rsidRPr="00AC5924">
              <w:rPr>
                <w:b/>
                <w:bCs/>
              </w:rPr>
              <w:t>HTA group</w:t>
            </w:r>
            <w:r>
              <w:rPr>
                <w:b/>
                <w:bCs/>
              </w:rPr>
              <w:t xml:space="preserve"> option)</w:t>
            </w:r>
          </w:p>
        </w:tc>
      </w:tr>
      <w:tr w:rsidR="00855A3A" w14:paraId="691468E4" w14:textId="77777777" w:rsidTr="0078130E">
        <w:tc>
          <w:tcPr>
            <w:tcW w:w="2405" w:type="dxa"/>
          </w:tcPr>
          <w:p w14:paraId="62D91DB0" w14:textId="77777777" w:rsidR="00855A3A" w:rsidRDefault="00855A3A" w:rsidP="0078130E">
            <w:pPr>
              <w:pStyle w:val="Tabletext0"/>
              <w:jc w:val="left"/>
              <w:rPr>
                <w:shd w:val="clear" w:color="auto" w:fill="FFFFFF"/>
              </w:rPr>
            </w:pPr>
            <w:r>
              <w:rPr>
                <w:shd w:val="clear" w:color="auto" w:fill="FFFFFF"/>
              </w:rPr>
              <w:t>XXXX 4 pathogens</w:t>
            </w:r>
          </w:p>
        </w:tc>
        <w:tc>
          <w:tcPr>
            <w:tcW w:w="1665" w:type="dxa"/>
          </w:tcPr>
          <w:p w14:paraId="3E54CF84" w14:textId="77777777" w:rsidR="00855A3A" w:rsidRPr="008246F1" w:rsidRDefault="00855A3A" w:rsidP="007B74B9">
            <w:pPr>
              <w:pStyle w:val="Tabletext0"/>
            </w:pPr>
            <w:r>
              <w:rPr>
                <w:shd w:val="clear" w:color="auto" w:fill="FFFFFF"/>
              </w:rPr>
              <w:t>$66.51</w:t>
            </w:r>
          </w:p>
        </w:tc>
        <w:tc>
          <w:tcPr>
            <w:tcW w:w="1666" w:type="dxa"/>
          </w:tcPr>
          <w:p w14:paraId="56A9C7FA" w14:textId="77777777" w:rsidR="00855A3A" w:rsidRPr="008246F1" w:rsidRDefault="00855A3A" w:rsidP="007B74B9">
            <w:pPr>
              <w:pStyle w:val="Tabletext0"/>
            </w:pPr>
            <w:r>
              <w:rPr>
                <w:shd w:val="clear" w:color="auto" w:fill="FFFFFF"/>
              </w:rPr>
              <w:t>-$30.06</w:t>
            </w:r>
          </w:p>
        </w:tc>
        <w:tc>
          <w:tcPr>
            <w:tcW w:w="1665" w:type="dxa"/>
          </w:tcPr>
          <w:p w14:paraId="4A69B788" w14:textId="77777777" w:rsidR="00855A3A" w:rsidRPr="008246F1" w:rsidRDefault="00855A3A" w:rsidP="007B74B9">
            <w:pPr>
              <w:pStyle w:val="Tabletext0"/>
            </w:pPr>
            <w:r>
              <w:rPr>
                <w:shd w:val="clear" w:color="auto" w:fill="FFFFFF"/>
              </w:rPr>
              <w:t>-$2.96</w:t>
            </w:r>
          </w:p>
        </w:tc>
        <w:tc>
          <w:tcPr>
            <w:tcW w:w="1666" w:type="dxa"/>
          </w:tcPr>
          <w:p w14:paraId="54B2C3F5" w14:textId="77777777" w:rsidR="00855A3A" w:rsidRPr="008246F1" w:rsidRDefault="00855A3A" w:rsidP="007B74B9">
            <w:pPr>
              <w:pStyle w:val="Tabletext0"/>
            </w:pPr>
            <w:r>
              <w:rPr>
                <w:shd w:val="clear" w:color="auto" w:fill="FFFFFF"/>
              </w:rPr>
              <w:t>$0</w:t>
            </w:r>
          </w:p>
        </w:tc>
      </w:tr>
      <w:tr w:rsidR="00855A3A" w14:paraId="518B2E80" w14:textId="77777777" w:rsidTr="0078130E">
        <w:tc>
          <w:tcPr>
            <w:tcW w:w="2405" w:type="dxa"/>
          </w:tcPr>
          <w:p w14:paraId="4F08D954" w14:textId="77777777" w:rsidR="00855A3A" w:rsidRDefault="00855A3A" w:rsidP="0078130E">
            <w:pPr>
              <w:pStyle w:val="Tabletext0"/>
              <w:jc w:val="left"/>
              <w:rPr>
                <w:shd w:val="clear" w:color="auto" w:fill="FFFFFF"/>
              </w:rPr>
            </w:pPr>
            <w:r>
              <w:rPr>
                <w:shd w:val="clear" w:color="auto" w:fill="FFFFFF"/>
              </w:rPr>
              <w:t>YYYY ≥5 pathogens</w:t>
            </w:r>
          </w:p>
        </w:tc>
        <w:tc>
          <w:tcPr>
            <w:tcW w:w="1665" w:type="dxa"/>
          </w:tcPr>
          <w:p w14:paraId="218657F0" w14:textId="77777777" w:rsidR="00855A3A" w:rsidRPr="008246F1" w:rsidRDefault="00855A3A" w:rsidP="007B74B9">
            <w:pPr>
              <w:pStyle w:val="Tabletext0"/>
            </w:pPr>
            <w:r w:rsidRPr="008246F1">
              <w:t>$</w:t>
            </w:r>
            <w:r>
              <w:t>72.73</w:t>
            </w:r>
            <w:r w:rsidRPr="007D16F3">
              <w:rPr>
                <w:vertAlign w:val="superscript"/>
              </w:rPr>
              <w:t>#</w:t>
            </w:r>
          </w:p>
        </w:tc>
        <w:tc>
          <w:tcPr>
            <w:tcW w:w="1666" w:type="dxa"/>
          </w:tcPr>
          <w:p w14:paraId="39E865A9" w14:textId="77777777" w:rsidR="00855A3A" w:rsidRPr="008246F1" w:rsidRDefault="00855A3A" w:rsidP="007B74B9">
            <w:pPr>
              <w:pStyle w:val="Tabletext0"/>
            </w:pPr>
            <w:r w:rsidRPr="008246F1">
              <w:t>-$</w:t>
            </w:r>
            <w:r>
              <w:t>36.28</w:t>
            </w:r>
          </w:p>
        </w:tc>
        <w:tc>
          <w:tcPr>
            <w:tcW w:w="1665" w:type="dxa"/>
          </w:tcPr>
          <w:p w14:paraId="2390C536" w14:textId="77777777" w:rsidR="00855A3A" w:rsidRPr="008246F1" w:rsidRDefault="00855A3A" w:rsidP="007B74B9">
            <w:pPr>
              <w:pStyle w:val="Tabletext0"/>
            </w:pPr>
            <w:r w:rsidRPr="008246F1">
              <w:t>$68.60</w:t>
            </w:r>
            <w:r>
              <w:t xml:space="preserve"> to </w:t>
            </w:r>
            <w:r w:rsidRPr="008246F1">
              <w:t>$78.60</w:t>
            </w:r>
          </w:p>
        </w:tc>
        <w:tc>
          <w:tcPr>
            <w:tcW w:w="1666" w:type="dxa"/>
          </w:tcPr>
          <w:p w14:paraId="03EA60AB" w14:textId="77777777" w:rsidR="00855A3A" w:rsidRDefault="00855A3A" w:rsidP="007B74B9">
            <w:pPr>
              <w:pStyle w:val="Tabletext0"/>
            </w:pPr>
            <w:r>
              <w:t>$0.91 to -$5.40</w:t>
            </w:r>
          </w:p>
        </w:tc>
      </w:tr>
      <w:tr w:rsidR="00C16E81" w14:paraId="2A12D4E4" w14:textId="77777777" w:rsidTr="00650385">
        <w:tc>
          <w:tcPr>
            <w:tcW w:w="9067" w:type="dxa"/>
            <w:gridSpan w:val="5"/>
          </w:tcPr>
          <w:p w14:paraId="61197E65" w14:textId="46A3B498" w:rsidR="00C16E81" w:rsidRPr="001C14CA" w:rsidRDefault="00A11183" w:rsidP="0078130E">
            <w:pPr>
              <w:pStyle w:val="Tabletext0"/>
              <w:jc w:val="left"/>
              <w:rPr>
                <w:b/>
                <w:bCs/>
                <w:shd w:val="clear" w:color="auto" w:fill="FFFFFF"/>
              </w:rPr>
            </w:pPr>
            <w:r>
              <w:rPr>
                <w:b/>
                <w:bCs/>
                <w:shd w:val="clear" w:color="auto" w:fill="FFFFFF"/>
              </w:rPr>
              <w:t xml:space="preserve">Option 2: </w:t>
            </w:r>
            <w:r w:rsidR="0065773D">
              <w:rPr>
                <w:b/>
                <w:bCs/>
                <w:shd w:val="clear" w:color="auto" w:fill="FFFFFF"/>
              </w:rPr>
              <w:t>Make the c</w:t>
            </w:r>
            <w:r w:rsidR="009562B9">
              <w:rPr>
                <w:b/>
                <w:bCs/>
                <w:shd w:val="clear" w:color="auto" w:fill="FFFFFF"/>
              </w:rPr>
              <w:t xml:space="preserve">urrent temporary </w:t>
            </w:r>
            <w:r w:rsidR="00C16E81" w:rsidRPr="001C14CA">
              <w:rPr>
                <w:b/>
                <w:bCs/>
                <w:shd w:val="clear" w:color="auto" w:fill="FFFFFF"/>
              </w:rPr>
              <w:t>items</w:t>
            </w:r>
            <w:r w:rsidR="0065773D">
              <w:rPr>
                <w:b/>
                <w:bCs/>
                <w:shd w:val="clear" w:color="auto" w:fill="FFFFFF"/>
              </w:rPr>
              <w:t xml:space="preserve"> permanent</w:t>
            </w:r>
          </w:p>
        </w:tc>
      </w:tr>
      <w:tr w:rsidR="00C16E81" w14:paraId="413A6D5E" w14:textId="77777777" w:rsidTr="0078130E">
        <w:tc>
          <w:tcPr>
            <w:tcW w:w="2405" w:type="dxa"/>
          </w:tcPr>
          <w:p w14:paraId="2F7DED65" w14:textId="5FF30679" w:rsidR="00C16E81" w:rsidRDefault="00C16E81" w:rsidP="0078130E">
            <w:pPr>
              <w:pStyle w:val="Tabletext0"/>
              <w:jc w:val="left"/>
              <w:rPr>
                <w:shd w:val="clear" w:color="auto" w:fill="FFFFFF"/>
              </w:rPr>
            </w:pPr>
            <w:r>
              <w:rPr>
                <w:shd w:val="clear" w:color="auto" w:fill="FFFFFF"/>
              </w:rPr>
              <w:t>AAAA SARS-CoV-2</w:t>
            </w:r>
            <w:r w:rsidR="0065773D">
              <w:rPr>
                <w:shd w:val="clear" w:color="auto" w:fill="FFFFFF"/>
              </w:rPr>
              <w:t xml:space="preserve"> only</w:t>
            </w:r>
          </w:p>
        </w:tc>
        <w:tc>
          <w:tcPr>
            <w:tcW w:w="1665" w:type="dxa"/>
          </w:tcPr>
          <w:p w14:paraId="0D0908DF" w14:textId="77777777" w:rsidR="00C16E81" w:rsidRDefault="00C16E81" w:rsidP="00650385">
            <w:pPr>
              <w:pStyle w:val="Tabletext0"/>
              <w:rPr>
                <w:shd w:val="clear" w:color="auto" w:fill="FFFFFF"/>
              </w:rPr>
            </w:pPr>
            <w:r>
              <w:rPr>
                <w:shd w:val="clear" w:color="auto" w:fill="FFFFFF"/>
              </w:rPr>
              <w:t xml:space="preserve">$43.73 </w:t>
            </w:r>
          </w:p>
        </w:tc>
        <w:tc>
          <w:tcPr>
            <w:tcW w:w="1666" w:type="dxa"/>
          </w:tcPr>
          <w:p w14:paraId="2EA609EF" w14:textId="77777777" w:rsidR="00C16E81" w:rsidRDefault="00C16E81" w:rsidP="00650385">
            <w:pPr>
              <w:pStyle w:val="Tabletext0"/>
              <w:rPr>
                <w:shd w:val="clear" w:color="auto" w:fill="FFFFFF"/>
              </w:rPr>
            </w:pPr>
            <w:r>
              <w:rPr>
                <w:shd w:val="clear" w:color="auto" w:fill="FFFFFF"/>
              </w:rPr>
              <w:t>-$19.33</w:t>
            </w:r>
          </w:p>
        </w:tc>
        <w:tc>
          <w:tcPr>
            <w:tcW w:w="1665" w:type="dxa"/>
          </w:tcPr>
          <w:p w14:paraId="32D7F522" w14:textId="77777777" w:rsidR="00C16E81" w:rsidRDefault="00C16E81" w:rsidP="00650385">
            <w:pPr>
              <w:pStyle w:val="Tabletext0"/>
              <w:rPr>
                <w:shd w:val="clear" w:color="auto" w:fill="FFFFFF"/>
              </w:rPr>
            </w:pPr>
            <w:r>
              <w:rPr>
                <w:shd w:val="clear" w:color="auto" w:fill="FFFFFF"/>
              </w:rPr>
              <w:t>$14.97</w:t>
            </w:r>
          </w:p>
        </w:tc>
        <w:tc>
          <w:tcPr>
            <w:tcW w:w="1666" w:type="dxa"/>
          </w:tcPr>
          <w:p w14:paraId="21E3F4FE" w14:textId="77777777" w:rsidR="00C16E81" w:rsidRDefault="00C16E81" w:rsidP="00650385">
            <w:pPr>
              <w:pStyle w:val="Tabletext0"/>
              <w:rPr>
                <w:shd w:val="clear" w:color="auto" w:fill="FFFFFF"/>
              </w:rPr>
            </w:pPr>
            <w:r>
              <w:rPr>
                <w:shd w:val="clear" w:color="auto" w:fill="FFFFFF"/>
              </w:rPr>
              <w:t>N/A</w:t>
            </w:r>
          </w:p>
        </w:tc>
      </w:tr>
      <w:tr w:rsidR="00C16E81" w14:paraId="74A77594" w14:textId="77777777" w:rsidTr="0078130E">
        <w:tc>
          <w:tcPr>
            <w:tcW w:w="2405" w:type="dxa"/>
          </w:tcPr>
          <w:p w14:paraId="798298B8" w14:textId="77777777" w:rsidR="00C16E81" w:rsidRDefault="00C16E81" w:rsidP="0078130E">
            <w:pPr>
              <w:pStyle w:val="Tabletext0"/>
              <w:jc w:val="left"/>
              <w:rPr>
                <w:shd w:val="clear" w:color="auto" w:fill="FFFFFF"/>
              </w:rPr>
            </w:pPr>
            <w:r>
              <w:rPr>
                <w:shd w:val="clear" w:color="auto" w:fill="FFFFFF"/>
              </w:rPr>
              <w:t>BBBB 2-4 tests</w:t>
            </w:r>
          </w:p>
        </w:tc>
        <w:tc>
          <w:tcPr>
            <w:tcW w:w="1665" w:type="dxa"/>
          </w:tcPr>
          <w:p w14:paraId="2229C86D" w14:textId="77777777" w:rsidR="00C16E81" w:rsidRDefault="00C16E81" w:rsidP="00650385">
            <w:pPr>
              <w:pStyle w:val="Tabletext0"/>
              <w:rPr>
                <w:shd w:val="clear" w:color="auto" w:fill="FFFFFF"/>
              </w:rPr>
            </w:pPr>
            <w:r>
              <w:rPr>
                <w:shd w:val="clear" w:color="auto" w:fill="FFFFFF"/>
              </w:rPr>
              <w:t>$66.51</w:t>
            </w:r>
          </w:p>
        </w:tc>
        <w:tc>
          <w:tcPr>
            <w:tcW w:w="1666" w:type="dxa"/>
          </w:tcPr>
          <w:p w14:paraId="37FAC18F" w14:textId="77777777" w:rsidR="00C16E81" w:rsidRDefault="00C16E81" w:rsidP="00650385">
            <w:pPr>
              <w:pStyle w:val="Tabletext0"/>
              <w:rPr>
                <w:shd w:val="clear" w:color="auto" w:fill="FFFFFF"/>
              </w:rPr>
            </w:pPr>
            <w:r>
              <w:rPr>
                <w:shd w:val="clear" w:color="auto" w:fill="FFFFFF"/>
              </w:rPr>
              <w:t>-$30.06</w:t>
            </w:r>
          </w:p>
        </w:tc>
        <w:tc>
          <w:tcPr>
            <w:tcW w:w="1665" w:type="dxa"/>
          </w:tcPr>
          <w:p w14:paraId="29E05B20" w14:textId="77777777" w:rsidR="00C16E81" w:rsidRDefault="00C16E81" w:rsidP="00650385">
            <w:pPr>
              <w:pStyle w:val="Tabletext0"/>
              <w:rPr>
                <w:shd w:val="clear" w:color="auto" w:fill="FFFFFF"/>
              </w:rPr>
            </w:pPr>
            <w:r>
              <w:rPr>
                <w:shd w:val="clear" w:color="auto" w:fill="FFFFFF"/>
              </w:rPr>
              <w:t>-$2.96</w:t>
            </w:r>
          </w:p>
        </w:tc>
        <w:tc>
          <w:tcPr>
            <w:tcW w:w="1666" w:type="dxa"/>
          </w:tcPr>
          <w:p w14:paraId="1F149BBD" w14:textId="77777777" w:rsidR="00C16E81" w:rsidRDefault="00C16E81" w:rsidP="00650385">
            <w:pPr>
              <w:pStyle w:val="Tabletext0"/>
              <w:rPr>
                <w:shd w:val="clear" w:color="auto" w:fill="FFFFFF"/>
              </w:rPr>
            </w:pPr>
            <w:r>
              <w:rPr>
                <w:shd w:val="clear" w:color="auto" w:fill="FFFFFF"/>
              </w:rPr>
              <w:t>N/A</w:t>
            </w:r>
          </w:p>
        </w:tc>
      </w:tr>
      <w:tr w:rsidR="00C16E81" w14:paraId="593FA2E9" w14:textId="77777777" w:rsidTr="0078130E">
        <w:tc>
          <w:tcPr>
            <w:tcW w:w="2405" w:type="dxa"/>
          </w:tcPr>
          <w:p w14:paraId="57569963" w14:textId="77777777" w:rsidR="00C16E81" w:rsidRDefault="00C16E81" w:rsidP="0078130E">
            <w:pPr>
              <w:pStyle w:val="Tabletext0"/>
              <w:jc w:val="left"/>
              <w:rPr>
                <w:shd w:val="clear" w:color="auto" w:fill="FFFFFF"/>
              </w:rPr>
            </w:pPr>
            <w:r>
              <w:rPr>
                <w:shd w:val="clear" w:color="auto" w:fill="FFFFFF"/>
              </w:rPr>
              <w:t>CCCC 5-8 tests</w:t>
            </w:r>
          </w:p>
        </w:tc>
        <w:tc>
          <w:tcPr>
            <w:tcW w:w="1665" w:type="dxa"/>
          </w:tcPr>
          <w:p w14:paraId="30475716" w14:textId="77777777" w:rsidR="00C16E81" w:rsidRDefault="00C16E81" w:rsidP="00650385">
            <w:pPr>
              <w:pStyle w:val="Tabletext0"/>
              <w:rPr>
                <w:shd w:val="clear" w:color="auto" w:fill="FFFFFF"/>
              </w:rPr>
            </w:pPr>
            <w:r>
              <w:rPr>
                <w:shd w:val="clear" w:color="auto" w:fill="FFFFFF"/>
              </w:rPr>
              <w:t>$71.97</w:t>
            </w:r>
          </w:p>
        </w:tc>
        <w:tc>
          <w:tcPr>
            <w:tcW w:w="1666" w:type="dxa"/>
          </w:tcPr>
          <w:p w14:paraId="3BE4C4F4" w14:textId="77777777" w:rsidR="00C16E81" w:rsidRDefault="00C16E81" w:rsidP="00650385">
            <w:pPr>
              <w:pStyle w:val="Tabletext0"/>
              <w:rPr>
                <w:shd w:val="clear" w:color="auto" w:fill="FFFFFF"/>
              </w:rPr>
            </w:pPr>
            <w:r>
              <w:rPr>
                <w:shd w:val="clear" w:color="auto" w:fill="FFFFFF"/>
              </w:rPr>
              <w:t>-$35.37</w:t>
            </w:r>
          </w:p>
        </w:tc>
        <w:tc>
          <w:tcPr>
            <w:tcW w:w="1665" w:type="dxa"/>
          </w:tcPr>
          <w:p w14:paraId="526495F0" w14:textId="77777777" w:rsidR="00C16E81" w:rsidRDefault="00C16E81" w:rsidP="00650385">
            <w:pPr>
              <w:pStyle w:val="Tabletext0"/>
              <w:rPr>
                <w:shd w:val="clear" w:color="auto" w:fill="FFFFFF"/>
              </w:rPr>
            </w:pPr>
            <w:r>
              <w:rPr>
                <w:shd w:val="clear" w:color="auto" w:fill="FFFFFF"/>
              </w:rPr>
              <w:t>-$3.37</w:t>
            </w:r>
          </w:p>
        </w:tc>
        <w:tc>
          <w:tcPr>
            <w:tcW w:w="1666" w:type="dxa"/>
          </w:tcPr>
          <w:p w14:paraId="77D8F518" w14:textId="5260F0EF" w:rsidR="00C16E81" w:rsidRDefault="00C16E81" w:rsidP="00650385">
            <w:pPr>
              <w:pStyle w:val="Tabletext0"/>
              <w:rPr>
                <w:shd w:val="clear" w:color="auto" w:fill="FFFFFF"/>
              </w:rPr>
            </w:pPr>
            <w:r>
              <w:rPr>
                <w:shd w:val="clear" w:color="auto" w:fill="FFFFFF"/>
              </w:rPr>
              <w:t>$0.91</w:t>
            </w:r>
            <w:r w:rsidR="00296098" w:rsidRPr="00752B51">
              <w:rPr>
                <w:vertAlign w:val="superscript"/>
              </w:rPr>
              <w:t>#</w:t>
            </w:r>
          </w:p>
        </w:tc>
      </w:tr>
      <w:tr w:rsidR="00C16E81" w14:paraId="1A27024A" w14:textId="77777777" w:rsidTr="0078130E">
        <w:tc>
          <w:tcPr>
            <w:tcW w:w="2405" w:type="dxa"/>
          </w:tcPr>
          <w:p w14:paraId="7959B4F5" w14:textId="77777777" w:rsidR="00C16E81" w:rsidRPr="008246F1" w:rsidRDefault="00C16E81" w:rsidP="0078130E">
            <w:pPr>
              <w:pStyle w:val="Tabletext0"/>
              <w:jc w:val="left"/>
            </w:pPr>
            <w:r>
              <w:t xml:space="preserve">DDDD </w:t>
            </w:r>
            <w:r w:rsidRPr="008246F1">
              <w:t>9-12 tests</w:t>
            </w:r>
          </w:p>
        </w:tc>
        <w:tc>
          <w:tcPr>
            <w:tcW w:w="1665" w:type="dxa"/>
          </w:tcPr>
          <w:p w14:paraId="018025ED" w14:textId="77777777" w:rsidR="00C16E81" w:rsidRPr="008246F1" w:rsidRDefault="00C16E81" w:rsidP="00650385">
            <w:pPr>
              <w:pStyle w:val="Tabletext0"/>
            </w:pPr>
            <w:r w:rsidRPr="008246F1">
              <w:t>$71.97</w:t>
            </w:r>
          </w:p>
        </w:tc>
        <w:tc>
          <w:tcPr>
            <w:tcW w:w="1666" w:type="dxa"/>
          </w:tcPr>
          <w:p w14:paraId="2C3B9F95" w14:textId="77777777" w:rsidR="00C16E81" w:rsidRPr="008246F1" w:rsidRDefault="00C16E81" w:rsidP="00650385">
            <w:pPr>
              <w:pStyle w:val="Tabletext0"/>
            </w:pPr>
            <w:r w:rsidRPr="008246F1">
              <w:t>-$</w:t>
            </w:r>
            <w:r>
              <w:rPr>
                <w:shd w:val="clear" w:color="auto" w:fill="FFFFFF"/>
              </w:rPr>
              <w:t>35.37</w:t>
            </w:r>
          </w:p>
        </w:tc>
        <w:tc>
          <w:tcPr>
            <w:tcW w:w="1665" w:type="dxa"/>
          </w:tcPr>
          <w:p w14:paraId="0665F099" w14:textId="77777777" w:rsidR="00C16E81" w:rsidRPr="008246F1" w:rsidRDefault="00C16E81" w:rsidP="00650385">
            <w:pPr>
              <w:pStyle w:val="Tabletext0"/>
            </w:pPr>
            <w:r>
              <w:t>$1.63</w:t>
            </w:r>
          </w:p>
        </w:tc>
        <w:tc>
          <w:tcPr>
            <w:tcW w:w="1666" w:type="dxa"/>
          </w:tcPr>
          <w:p w14:paraId="0FCBD7EB" w14:textId="6C07E214" w:rsidR="00C16E81" w:rsidRPr="008246F1" w:rsidRDefault="00C16E81" w:rsidP="00650385">
            <w:pPr>
              <w:pStyle w:val="Tabletext0"/>
            </w:pPr>
            <w:r>
              <w:t>$0.91</w:t>
            </w:r>
            <w:r w:rsidR="00296098" w:rsidRPr="00752B51">
              <w:rPr>
                <w:vertAlign w:val="superscript"/>
              </w:rPr>
              <w:t>#</w:t>
            </w:r>
          </w:p>
        </w:tc>
      </w:tr>
      <w:tr w:rsidR="00C16E81" w14:paraId="4C22FAF2" w14:textId="77777777" w:rsidTr="0078130E">
        <w:tc>
          <w:tcPr>
            <w:tcW w:w="2405" w:type="dxa"/>
          </w:tcPr>
          <w:p w14:paraId="658F9DA5" w14:textId="77777777" w:rsidR="00C16E81" w:rsidRDefault="00C16E81" w:rsidP="0078130E">
            <w:pPr>
              <w:pStyle w:val="Tabletext0"/>
              <w:jc w:val="left"/>
              <w:rPr>
                <w:shd w:val="clear" w:color="auto" w:fill="FFFFFF"/>
              </w:rPr>
            </w:pPr>
            <w:r>
              <w:rPr>
                <w:shd w:val="clear" w:color="auto" w:fill="FFFFFF"/>
              </w:rPr>
              <w:t>EEEE ≥13 tests</w:t>
            </w:r>
          </w:p>
        </w:tc>
        <w:tc>
          <w:tcPr>
            <w:tcW w:w="1665" w:type="dxa"/>
          </w:tcPr>
          <w:p w14:paraId="519FB372" w14:textId="77777777" w:rsidR="00C16E81" w:rsidRDefault="00C16E81" w:rsidP="00650385">
            <w:pPr>
              <w:pStyle w:val="Tabletext0"/>
              <w:rPr>
                <w:shd w:val="clear" w:color="auto" w:fill="FFFFFF"/>
              </w:rPr>
            </w:pPr>
            <w:r>
              <w:rPr>
                <w:shd w:val="clear" w:color="auto" w:fill="FFFFFF"/>
              </w:rPr>
              <w:t>$78.28</w:t>
            </w:r>
          </w:p>
        </w:tc>
        <w:tc>
          <w:tcPr>
            <w:tcW w:w="1666" w:type="dxa"/>
          </w:tcPr>
          <w:p w14:paraId="76B3FF2B" w14:textId="77777777" w:rsidR="00C16E81" w:rsidRDefault="00C16E81" w:rsidP="00650385">
            <w:pPr>
              <w:pStyle w:val="Tabletext0"/>
              <w:rPr>
                <w:shd w:val="clear" w:color="auto" w:fill="FFFFFF"/>
              </w:rPr>
            </w:pPr>
            <w:r>
              <w:rPr>
                <w:shd w:val="clear" w:color="auto" w:fill="FFFFFF"/>
              </w:rPr>
              <w:t>-$41.98</w:t>
            </w:r>
          </w:p>
        </w:tc>
        <w:tc>
          <w:tcPr>
            <w:tcW w:w="1665" w:type="dxa"/>
          </w:tcPr>
          <w:p w14:paraId="7250FDE5" w14:textId="77777777" w:rsidR="00C16E81" w:rsidRDefault="00C16E81" w:rsidP="00650385">
            <w:pPr>
              <w:pStyle w:val="Tabletext0"/>
              <w:rPr>
                <w:shd w:val="clear" w:color="auto" w:fill="FFFFFF"/>
              </w:rPr>
            </w:pPr>
            <w:r>
              <w:rPr>
                <w:shd w:val="clear" w:color="auto" w:fill="FFFFFF"/>
              </w:rPr>
              <w:t>-$0.32</w:t>
            </w:r>
          </w:p>
        </w:tc>
        <w:tc>
          <w:tcPr>
            <w:tcW w:w="1666" w:type="dxa"/>
          </w:tcPr>
          <w:p w14:paraId="28291BFA" w14:textId="057910A1" w:rsidR="00C16E81" w:rsidRDefault="00C16E81" w:rsidP="00650385">
            <w:pPr>
              <w:pStyle w:val="Tabletext0"/>
              <w:rPr>
                <w:shd w:val="clear" w:color="auto" w:fill="FFFFFF"/>
              </w:rPr>
            </w:pPr>
            <w:r>
              <w:rPr>
                <w:shd w:val="clear" w:color="auto" w:fill="FFFFFF"/>
              </w:rPr>
              <w:t>-$5.40</w:t>
            </w:r>
            <w:r w:rsidR="002817DD" w:rsidRPr="00752B51">
              <w:rPr>
                <w:vertAlign w:val="superscript"/>
              </w:rPr>
              <w:t>#</w:t>
            </w:r>
          </w:p>
        </w:tc>
      </w:tr>
      <w:tr w:rsidR="00C16E81" w14:paraId="7DFA95AC" w14:textId="77777777" w:rsidTr="00650385">
        <w:tc>
          <w:tcPr>
            <w:tcW w:w="9067" w:type="dxa"/>
            <w:gridSpan w:val="5"/>
          </w:tcPr>
          <w:p w14:paraId="527C19E7" w14:textId="77777777" w:rsidR="00C16E81" w:rsidRPr="00B55448" w:rsidRDefault="00C16E81" w:rsidP="0078130E">
            <w:pPr>
              <w:pStyle w:val="Tabletext0"/>
              <w:jc w:val="left"/>
              <w:rPr>
                <w:b/>
                <w:bCs/>
              </w:rPr>
            </w:pPr>
            <w:r w:rsidRPr="00B55448">
              <w:rPr>
                <w:b/>
                <w:bCs/>
              </w:rPr>
              <w:t>Rapid NAATs</w:t>
            </w:r>
          </w:p>
        </w:tc>
      </w:tr>
      <w:tr w:rsidR="00C16E81" w14:paraId="01B89118" w14:textId="77777777" w:rsidTr="0078130E">
        <w:tc>
          <w:tcPr>
            <w:tcW w:w="2405" w:type="dxa"/>
          </w:tcPr>
          <w:p w14:paraId="114CD0C3" w14:textId="77777777" w:rsidR="00C16E81" w:rsidRDefault="00C16E81" w:rsidP="0078130E">
            <w:pPr>
              <w:pStyle w:val="Tabletext0"/>
              <w:jc w:val="left"/>
              <w:rPr>
                <w:shd w:val="clear" w:color="auto" w:fill="FFFFFF"/>
              </w:rPr>
            </w:pPr>
            <w:r w:rsidRPr="008246F1">
              <w:t>Rapid NAAT 4 pathogens</w:t>
            </w:r>
          </w:p>
        </w:tc>
        <w:tc>
          <w:tcPr>
            <w:tcW w:w="1665" w:type="dxa"/>
          </w:tcPr>
          <w:p w14:paraId="4AF18442" w14:textId="77777777" w:rsidR="00C16E81" w:rsidRPr="008246F1" w:rsidRDefault="00C16E81" w:rsidP="00650385">
            <w:pPr>
              <w:pStyle w:val="Tabletext0"/>
            </w:pPr>
            <w:r w:rsidRPr="008246F1">
              <w:t>$79.</w:t>
            </w:r>
            <w:r>
              <w:t>00</w:t>
            </w:r>
          </w:p>
        </w:tc>
        <w:tc>
          <w:tcPr>
            <w:tcW w:w="1666" w:type="dxa"/>
          </w:tcPr>
          <w:p w14:paraId="2E6BB364" w14:textId="77777777" w:rsidR="00C16E81" w:rsidRPr="008246F1" w:rsidRDefault="00C16E81" w:rsidP="00650385">
            <w:pPr>
              <w:pStyle w:val="Tabletext0"/>
            </w:pPr>
            <w:r w:rsidRPr="008246F1">
              <w:t>-$42.55</w:t>
            </w:r>
          </w:p>
        </w:tc>
        <w:tc>
          <w:tcPr>
            <w:tcW w:w="1665" w:type="dxa"/>
          </w:tcPr>
          <w:p w14:paraId="74CDCDE1" w14:textId="77777777" w:rsidR="00C16E81" w:rsidRPr="008246F1" w:rsidRDefault="00C16E81" w:rsidP="00650385">
            <w:pPr>
              <w:pStyle w:val="Tabletext0"/>
            </w:pPr>
            <w:r w:rsidRPr="008246F1">
              <w:t>-$15.60</w:t>
            </w:r>
          </w:p>
        </w:tc>
        <w:tc>
          <w:tcPr>
            <w:tcW w:w="1666" w:type="dxa"/>
          </w:tcPr>
          <w:p w14:paraId="166026AE" w14:textId="77777777" w:rsidR="00C16E81" w:rsidRDefault="00C16E81" w:rsidP="00650385">
            <w:pPr>
              <w:pStyle w:val="Tabletext0"/>
            </w:pPr>
            <w:r>
              <w:t>-</w:t>
            </w:r>
            <w:r w:rsidRPr="008246F1">
              <w:t>$</w:t>
            </w:r>
            <w:r>
              <w:t>13.15</w:t>
            </w:r>
          </w:p>
        </w:tc>
      </w:tr>
      <w:tr w:rsidR="00C16E81" w14:paraId="2FB8B458" w14:textId="77777777" w:rsidTr="0078130E">
        <w:tc>
          <w:tcPr>
            <w:tcW w:w="2405" w:type="dxa"/>
          </w:tcPr>
          <w:p w14:paraId="20A2FBD2" w14:textId="77777777" w:rsidR="00C16E81" w:rsidRDefault="00C16E81" w:rsidP="0078130E">
            <w:pPr>
              <w:pStyle w:val="Tabletext0"/>
              <w:jc w:val="left"/>
              <w:rPr>
                <w:shd w:val="clear" w:color="auto" w:fill="FFFFFF"/>
              </w:rPr>
            </w:pPr>
            <w:r>
              <w:t>Rapid NAAT (</w:t>
            </w:r>
            <w:proofErr w:type="spellStart"/>
            <w:r>
              <w:t>BioFire</w:t>
            </w:r>
            <w:proofErr w:type="spellEnd"/>
            <w:r>
              <w:t xml:space="preserve"> 22 pathogens)</w:t>
            </w:r>
          </w:p>
        </w:tc>
        <w:tc>
          <w:tcPr>
            <w:tcW w:w="1665" w:type="dxa"/>
          </w:tcPr>
          <w:p w14:paraId="27A36050" w14:textId="77777777" w:rsidR="00C16E81" w:rsidRPr="008246F1" w:rsidRDefault="00C16E81" w:rsidP="00650385">
            <w:pPr>
              <w:pStyle w:val="Tabletext0"/>
            </w:pPr>
            <w:r>
              <w:t>$144.89</w:t>
            </w:r>
          </w:p>
        </w:tc>
        <w:tc>
          <w:tcPr>
            <w:tcW w:w="1666" w:type="dxa"/>
          </w:tcPr>
          <w:p w14:paraId="41B2B04F" w14:textId="77777777" w:rsidR="00C16E81" w:rsidRPr="008246F1" w:rsidRDefault="00C16E81" w:rsidP="00650385">
            <w:pPr>
              <w:pStyle w:val="Tabletext0"/>
            </w:pPr>
            <w:r>
              <w:t>-$108.29</w:t>
            </w:r>
          </w:p>
        </w:tc>
        <w:tc>
          <w:tcPr>
            <w:tcW w:w="1665" w:type="dxa"/>
          </w:tcPr>
          <w:p w14:paraId="7F2298F8" w14:textId="77777777" w:rsidR="00C16E81" w:rsidRPr="008246F1" w:rsidRDefault="00C16E81" w:rsidP="00650385">
            <w:pPr>
              <w:pStyle w:val="Tabletext0"/>
            </w:pPr>
            <w:r>
              <w:t>-$81.49</w:t>
            </w:r>
          </w:p>
        </w:tc>
        <w:tc>
          <w:tcPr>
            <w:tcW w:w="1666" w:type="dxa"/>
          </w:tcPr>
          <w:p w14:paraId="6D534CDD" w14:textId="77777777" w:rsidR="00C16E81" w:rsidRDefault="00C16E81" w:rsidP="00650385">
            <w:pPr>
              <w:pStyle w:val="Tabletext0"/>
            </w:pPr>
            <w:r>
              <w:t>-$66.29</w:t>
            </w:r>
          </w:p>
        </w:tc>
      </w:tr>
    </w:tbl>
    <w:p w14:paraId="5BEB69C3" w14:textId="77777777" w:rsidR="00C16E81" w:rsidRDefault="00C16E81" w:rsidP="00C16E81">
      <w:pPr>
        <w:pStyle w:val="TableFooter"/>
      </w:pPr>
      <w:r>
        <w:t>NAAT=nucleic acid amplification test; N/A=not applicable.</w:t>
      </w:r>
    </w:p>
    <w:p w14:paraId="714536DA" w14:textId="77777777" w:rsidR="00C16E81" w:rsidRDefault="00C16E81" w:rsidP="00C16E81">
      <w:pPr>
        <w:pStyle w:val="TableFooter"/>
      </w:pPr>
      <w:r>
        <w:t xml:space="preserve">*No margin </w:t>
      </w:r>
      <w:proofErr w:type="gramStart"/>
      <w:r>
        <w:t>included;</w:t>
      </w:r>
      <w:proofErr w:type="gramEnd"/>
      <w:r>
        <w:t xml:space="preserve"> </w:t>
      </w:r>
    </w:p>
    <w:p w14:paraId="0756414F" w14:textId="77777777" w:rsidR="00C16E81" w:rsidRDefault="00C16E81" w:rsidP="00C16E81">
      <w:pPr>
        <w:pStyle w:val="TableFooter"/>
      </w:pPr>
      <w:r w:rsidRPr="00752B51">
        <w:rPr>
          <w:vertAlign w:val="superscript"/>
        </w:rPr>
        <w:t>#</w:t>
      </w:r>
      <w:r>
        <w:t xml:space="preserve">85% benefit weighted based on the current proportions of MBS items 69513, 69514 and 69515 in utilisation </w:t>
      </w:r>
      <w:proofErr w:type="gramStart"/>
      <w:r>
        <w:t>data</w:t>
      </w:r>
      <w:proofErr w:type="gramEnd"/>
    </w:p>
    <w:p w14:paraId="7D86FF6C" w14:textId="3FD31253" w:rsidR="008B5ABD" w:rsidRPr="00913A23" w:rsidRDefault="008B5ABD" w:rsidP="00C16E81">
      <w:pPr>
        <w:pStyle w:val="TableFooter"/>
      </w:pPr>
      <w:r>
        <w:t>Source: DCAR Table 4</w:t>
      </w:r>
    </w:p>
    <w:p w14:paraId="6A9C3C56" w14:textId="00CAAD65" w:rsidR="0074245B" w:rsidRDefault="00E008F4" w:rsidP="00E54240">
      <w:pPr>
        <w:rPr>
          <w:shd w:val="clear" w:color="auto" w:fill="FFFFFF"/>
        </w:rPr>
      </w:pPr>
      <w:r w:rsidRPr="003E6AC9">
        <w:rPr>
          <w:shd w:val="clear" w:color="auto" w:fill="FFFFFF"/>
        </w:rPr>
        <w:t>Based on the HTA</w:t>
      </w:r>
      <w:r w:rsidR="00AF31A6" w:rsidRPr="003E6AC9">
        <w:rPr>
          <w:shd w:val="clear" w:color="auto" w:fill="FFFFFF"/>
        </w:rPr>
        <w:t xml:space="preserve"> group’s</w:t>
      </w:r>
      <w:r w:rsidRPr="003E6AC9">
        <w:rPr>
          <w:shd w:val="clear" w:color="auto" w:fill="FFFFFF"/>
        </w:rPr>
        <w:t xml:space="preserve"> cost estimates, the current/proposed 85% benefit for the single SARS-CoV-2 testing yields a margin of $</w:t>
      </w:r>
      <w:r w:rsidR="00495D73" w:rsidRPr="003E6AC9">
        <w:rPr>
          <w:shd w:val="clear" w:color="auto" w:fill="FFFFFF"/>
        </w:rPr>
        <w:t>14.97</w:t>
      </w:r>
      <w:r w:rsidRPr="003E6AC9">
        <w:rPr>
          <w:shd w:val="clear" w:color="auto" w:fill="FFFFFF"/>
        </w:rPr>
        <w:t xml:space="preserve"> per test whereas, the 2-4 test panel</w:t>
      </w:r>
      <w:r w:rsidR="008D17A1" w:rsidRPr="003E6AC9">
        <w:rPr>
          <w:shd w:val="clear" w:color="auto" w:fill="FFFFFF"/>
        </w:rPr>
        <w:t xml:space="preserve"> results in a loss or gap fee</w:t>
      </w:r>
      <w:r w:rsidRPr="003E6AC9">
        <w:rPr>
          <w:shd w:val="clear" w:color="auto" w:fill="FFFFFF"/>
        </w:rPr>
        <w:t xml:space="preserve"> </w:t>
      </w:r>
      <w:r w:rsidR="008D17A1" w:rsidRPr="003E6AC9">
        <w:rPr>
          <w:shd w:val="clear" w:color="auto" w:fill="FFFFFF"/>
        </w:rPr>
        <w:t xml:space="preserve">of </w:t>
      </w:r>
      <w:r w:rsidRPr="003E6AC9">
        <w:rPr>
          <w:shd w:val="clear" w:color="auto" w:fill="FFFFFF"/>
        </w:rPr>
        <w:t>$</w:t>
      </w:r>
      <w:r w:rsidR="00495D73" w:rsidRPr="003E6AC9">
        <w:rPr>
          <w:shd w:val="clear" w:color="auto" w:fill="FFFFFF"/>
        </w:rPr>
        <w:t>2.96</w:t>
      </w:r>
      <w:r w:rsidRPr="003E6AC9">
        <w:rPr>
          <w:shd w:val="clear" w:color="auto" w:fill="FFFFFF"/>
        </w:rPr>
        <w:t>; this may have contributed, at least in part to the imbalance in provision between these tests</w:t>
      </w:r>
      <w:r w:rsidR="00E07D64" w:rsidRPr="003E6AC9">
        <w:rPr>
          <w:shd w:val="clear" w:color="auto" w:fill="FFFFFF"/>
        </w:rPr>
        <w:t xml:space="preserve"> despite</w:t>
      </w:r>
      <w:r w:rsidRPr="003E6AC9">
        <w:rPr>
          <w:shd w:val="clear" w:color="auto" w:fill="FFFFFF"/>
        </w:rPr>
        <w:t xml:space="preserve"> the latter </w:t>
      </w:r>
      <w:r w:rsidR="00E07D64" w:rsidRPr="003E6AC9">
        <w:rPr>
          <w:shd w:val="clear" w:color="auto" w:fill="FFFFFF"/>
        </w:rPr>
        <w:t>being recommended</w:t>
      </w:r>
      <w:r w:rsidRPr="003E6AC9">
        <w:rPr>
          <w:shd w:val="clear" w:color="auto" w:fill="FFFFFF"/>
        </w:rPr>
        <w:t xml:space="preserve"> by clinical experts consulted in the</w:t>
      </w:r>
      <w:r>
        <w:rPr>
          <w:shd w:val="clear" w:color="auto" w:fill="FFFFFF"/>
        </w:rPr>
        <w:t xml:space="preserve"> preparation of this </w:t>
      </w:r>
      <w:r w:rsidR="001D2791">
        <w:rPr>
          <w:shd w:val="clear" w:color="auto" w:fill="FFFFFF"/>
        </w:rPr>
        <w:t xml:space="preserve">fit-for-purpose </w:t>
      </w:r>
      <w:r>
        <w:rPr>
          <w:shd w:val="clear" w:color="auto" w:fill="FFFFFF"/>
        </w:rPr>
        <w:t>DCAR.</w:t>
      </w:r>
    </w:p>
    <w:p w14:paraId="15D7F709" w14:textId="77777777" w:rsidR="0074245B" w:rsidRDefault="0074245B" w:rsidP="0074245B">
      <w:pPr>
        <w:pStyle w:val="Heading4"/>
        <w:rPr>
          <w:shd w:val="clear" w:color="auto" w:fill="FFFFFF"/>
        </w:rPr>
      </w:pPr>
      <w:r>
        <w:rPr>
          <w:shd w:val="clear" w:color="auto" w:fill="FFFFFF"/>
        </w:rPr>
        <w:t>Rapid NAATs</w:t>
      </w:r>
    </w:p>
    <w:p w14:paraId="150484B9" w14:textId="31272CA7" w:rsidR="00E54240" w:rsidRPr="00B71A0C" w:rsidRDefault="00E54240" w:rsidP="00E54240">
      <w:pPr>
        <w:rPr>
          <w:shd w:val="clear" w:color="auto" w:fill="FFFFFF"/>
        </w:rPr>
      </w:pPr>
      <w:r>
        <w:rPr>
          <w:shd w:val="clear" w:color="auto" w:fill="FFFFFF"/>
        </w:rPr>
        <w:t>No</w:t>
      </w:r>
      <w:r w:rsidR="00EA34C6">
        <w:rPr>
          <w:shd w:val="clear" w:color="auto" w:fill="FFFFFF"/>
        </w:rPr>
        <w:t xml:space="preserve"> weighted</w:t>
      </w:r>
      <w:r>
        <w:rPr>
          <w:shd w:val="clear" w:color="auto" w:fill="FFFFFF"/>
        </w:rPr>
        <w:t xml:space="preserve"> fee for rapid NAATs could be determined so that the providers delivering the</w:t>
      </w:r>
      <w:r w:rsidR="00EA34C6">
        <w:rPr>
          <w:shd w:val="clear" w:color="auto" w:fill="FFFFFF"/>
        </w:rPr>
        <w:t>se more expensive</w:t>
      </w:r>
      <w:r>
        <w:rPr>
          <w:shd w:val="clear" w:color="auto" w:fill="FFFFFF"/>
        </w:rPr>
        <w:t xml:space="preserve"> tests would receive </w:t>
      </w:r>
      <w:r w:rsidR="00EA34C6">
        <w:rPr>
          <w:shd w:val="clear" w:color="auto" w:fill="FFFFFF"/>
        </w:rPr>
        <w:t xml:space="preserve">sufficient reimbursement to </w:t>
      </w:r>
      <w:r w:rsidR="001E14ED">
        <w:rPr>
          <w:shd w:val="clear" w:color="auto" w:fill="FFFFFF"/>
        </w:rPr>
        <w:t xml:space="preserve">also </w:t>
      </w:r>
      <w:r w:rsidR="00EA34C6">
        <w:rPr>
          <w:shd w:val="clear" w:color="auto" w:fill="FFFFFF"/>
        </w:rPr>
        <w:t>cover</w:t>
      </w:r>
      <w:r w:rsidR="003942A8">
        <w:rPr>
          <w:shd w:val="clear" w:color="auto" w:fill="FFFFFF"/>
        </w:rPr>
        <w:t xml:space="preserve"> the cost of providing </w:t>
      </w:r>
      <w:r>
        <w:rPr>
          <w:shd w:val="clear" w:color="auto" w:fill="FFFFFF"/>
        </w:rPr>
        <w:t xml:space="preserve">these </w:t>
      </w:r>
      <w:r w:rsidRPr="00B71A0C">
        <w:rPr>
          <w:shd w:val="clear" w:color="auto" w:fill="FFFFFF"/>
        </w:rPr>
        <w:t xml:space="preserve">more expensive tests. As costed by the HTA group, provision </w:t>
      </w:r>
      <w:r w:rsidR="0049513C" w:rsidRPr="00B71A0C">
        <w:rPr>
          <w:shd w:val="clear" w:color="auto" w:fill="FFFFFF"/>
        </w:rPr>
        <w:t>with the proposed 85% rebate would result in a $15.60 gap fee</w:t>
      </w:r>
      <w:r w:rsidR="002F419D" w:rsidRPr="00B71A0C">
        <w:rPr>
          <w:shd w:val="clear" w:color="auto" w:fill="FFFFFF"/>
        </w:rPr>
        <w:t xml:space="preserve"> or</w:t>
      </w:r>
      <w:r w:rsidR="0049513C" w:rsidRPr="00B71A0C">
        <w:rPr>
          <w:shd w:val="clear" w:color="auto" w:fill="FFFFFF"/>
        </w:rPr>
        <w:t xml:space="preserve"> $1</w:t>
      </w:r>
      <w:r w:rsidR="00F416DF" w:rsidRPr="00B71A0C">
        <w:rPr>
          <w:shd w:val="clear" w:color="auto" w:fill="FFFFFF"/>
        </w:rPr>
        <w:t>3.15</w:t>
      </w:r>
      <w:r w:rsidR="003D5881" w:rsidRPr="00B71A0C">
        <w:rPr>
          <w:shd w:val="clear" w:color="auto" w:fill="FFFFFF"/>
        </w:rPr>
        <w:t xml:space="preserve"> </w:t>
      </w:r>
      <w:r w:rsidR="0049513C" w:rsidRPr="00B71A0C">
        <w:rPr>
          <w:shd w:val="clear" w:color="auto" w:fill="FFFFFF"/>
        </w:rPr>
        <w:t>with the HTA</w:t>
      </w:r>
      <w:r w:rsidR="001E14ED" w:rsidRPr="00B71A0C">
        <w:rPr>
          <w:shd w:val="clear" w:color="auto" w:fill="FFFFFF"/>
        </w:rPr>
        <w:t xml:space="preserve"> </w:t>
      </w:r>
      <w:r w:rsidR="0049513C" w:rsidRPr="00B71A0C">
        <w:rPr>
          <w:shd w:val="clear" w:color="auto" w:fill="FFFFFF"/>
        </w:rPr>
        <w:t>option’s 85% rebate. The</w:t>
      </w:r>
      <w:r w:rsidRPr="00B71A0C">
        <w:rPr>
          <w:shd w:val="clear" w:color="auto" w:fill="FFFFFF"/>
        </w:rPr>
        <w:t xml:space="preserve"> gap fee </w:t>
      </w:r>
      <w:r w:rsidR="0049513C" w:rsidRPr="00B71A0C">
        <w:rPr>
          <w:shd w:val="clear" w:color="auto" w:fill="FFFFFF"/>
        </w:rPr>
        <w:t>would increase to</w:t>
      </w:r>
      <w:r w:rsidRPr="00B71A0C">
        <w:rPr>
          <w:shd w:val="clear" w:color="auto" w:fill="FFFFFF"/>
        </w:rPr>
        <w:t xml:space="preserve"> $</w:t>
      </w:r>
      <w:r w:rsidR="00DA3D15" w:rsidRPr="00B71A0C">
        <w:rPr>
          <w:shd w:val="clear" w:color="auto" w:fill="FFFFFF"/>
        </w:rPr>
        <w:t>42.55</w:t>
      </w:r>
      <w:r w:rsidRPr="00B71A0C">
        <w:rPr>
          <w:shd w:val="clear" w:color="auto" w:fill="FFFFFF"/>
        </w:rPr>
        <w:t xml:space="preserve"> based on the current </w:t>
      </w:r>
      <w:r w:rsidR="0049513C" w:rsidRPr="00B71A0C">
        <w:rPr>
          <w:shd w:val="clear" w:color="auto" w:fill="FFFFFF"/>
        </w:rPr>
        <w:t xml:space="preserve">85% </w:t>
      </w:r>
      <w:r w:rsidRPr="00B71A0C">
        <w:rPr>
          <w:shd w:val="clear" w:color="auto" w:fill="FFFFFF"/>
        </w:rPr>
        <w:t>rebate for the comparator (item 6949</w:t>
      </w:r>
      <w:r w:rsidR="00DA3D15" w:rsidRPr="00B71A0C">
        <w:rPr>
          <w:shd w:val="clear" w:color="auto" w:fill="FFFFFF"/>
        </w:rPr>
        <w:t>6</w:t>
      </w:r>
      <w:r w:rsidRPr="00B71A0C">
        <w:rPr>
          <w:shd w:val="clear" w:color="auto" w:fill="FFFFFF"/>
        </w:rPr>
        <w:t>)</w:t>
      </w:r>
      <w:r w:rsidR="008E4DD7">
        <w:rPr>
          <w:shd w:val="clear" w:color="auto" w:fill="FFFFFF"/>
        </w:rPr>
        <w:t xml:space="preserve"> </w:t>
      </w:r>
      <w:r w:rsidR="00FB2E34" w:rsidRPr="00B71A0C">
        <w:rPr>
          <w:shd w:val="clear" w:color="auto" w:fill="FFFFFF"/>
        </w:rPr>
        <w:t>(</w:t>
      </w:r>
      <w:r w:rsidR="00345052">
        <w:rPr>
          <w:shd w:val="clear" w:color="auto" w:fill="FFFFFF"/>
        </w:rPr>
        <w:fldChar w:fldCharType="begin"/>
      </w:r>
      <w:r w:rsidR="00345052">
        <w:rPr>
          <w:shd w:val="clear" w:color="auto" w:fill="FFFFFF"/>
        </w:rPr>
        <w:instrText xml:space="preserve"> REF _Ref138414869 </w:instrText>
      </w:r>
      <w:r w:rsidR="00345052">
        <w:rPr>
          <w:shd w:val="clear" w:color="auto" w:fill="FFFFFF"/>
        </w:rPr>
        <w:fldChar w:fldCharType="separate"/>
      </w:r>
      <w:r w:rsidR="00525416" w:rsidRPr="00B71A0C">
        <w:t xml:space="preserve">Table </w:t>
      </w:r>
      <w:r w:rsidR="00525416">
        <w:rPr>
          <w:noProof/>
        </w:rPr>
        <w:t>5</w:t>
      </w:r>
      <w:r w:rsidR="00345052">
        <w:rPr>
          <w:shd w:val="clear" w:color="auto" w:fill="FFFFFF"/>
        </w:rPr>
        <w:fldChar w:fldCharType="end"/>
      </w:r>
      <w:r w:rsidR="00FB2E34" w:rsidRPr="00B71A0C">
        <w:rPr>
          <w:shd w:val="clear" w:color="auto" w:fill="FFFFFF"/>
        </w:rPr>
        <w:t>).</w:t>
      </w:r>
    </w:p>
    <w:p w14:paraId="4BCF97BC" w14:textId="34CBB64B" w:rsidR="00B01475" w:rsidRDefault="00B01475" w:rsidP="00B01475">
      <w:pPr>
        <w:pStyle w:val="Heading3"/>
        <w:rPr>
          <w:shd w:val="clear" w:color="auto" w:fill="FFFFFF"/>
        </w:rPr>
      </w:pPr>
      <w:bookmarkStart w:id="16" w:name="_Toc133832621"/>
      <w:r>
        <w:rPr>
          <w:shd w:val="clear" w:color="auto" w:fill="FFFFFF"/>
        </w:rPr>
        <w:t xml:space="preserve">Option 2: </w:t>
      </w:r>
      <w:r w:rsidR="0036097E">
        <w:rPr>
          <w:shd w:val="clear" w:color="auto" w:fill="FFFFFF"/>
        </w:rPr>
        <w:t>Make the current</w:t>
      </w:r>
      <w:r w:rsidR="00272827">
        <w:rPr>
          <w:shd w:val="clear" w:color="auto" w:fill="FFFFFF"/>
        </w:rPr>
        <w:t xml:space="preserve"> t</w:t>
      </w:r>
      <w:r w:rsidR="0087295A">
        <w:rPr>
          <w:shd w:val="clear" w:color="auto" w:fill="FFFFFF"/>
        </w:rPr>
        <w:t xml:space="preserve">emporary items </w:t>
      </w:r>
      <w:proofErr w:type="gramStart"/>
      <w:r w:rsidR="0087295A">
        <w:rPr>
          <w:shd w:val="clear" w:color="auto" w:fill="FFFFFF"/>
        </w:rPr>
        <w:t>permanent</w:t>
      </w:r>
      <w:proofErr w:type="gramEnd"/>
    </w:p>
    <w:p w14:paraId="75FCF118" w14:textId="4FBDD0AB" w:rsidR="00B01475" w:rsidRDefault="00B01475" w:rsidP="00B01475">
      <w:r>
        <w:t>The</w:t>
      </w:r>
      <w:r w:rsidRPr="0001290C">
        <w:t xml:space="preserve"> funding arrangement being proposed </w:t>
      </w:r>
      <w:r>
        <w:t>is a</w:t>
      </w:r>
      <w:r w:rsidRPr="0001290C">
        <w:t xml:space="preserve"> listing</w:t>
      </w:r>
      <w:r>
        <w:t xml:space="preserve"> of permanent MBS items for “SARS-CoV-2 and/or other respiratory virus nucleic acids”</w:t>
      </w:r>
      <w:r w:rsidRPr="0001290C">
        <w:t xml:space="preserve">, </w:t>
      </w:r>
      <w:r>
        <w:t xml:space="preserve">to be considered from 1 January 2024 when the ten </w:t>
      </w:r>
      <w:r w:rsidRPr="0001290C">
        <w:t>existing</w:t>
      </w:r>
      <w:r>
        <w:t xml:space="preserve"> temporary</w:t>
      </w:r>
      <w:r w:rsidRPr="0001290C">
        <w:t xml:space="preserve"> MBS </w:t>
      </w:r>
      <w:r>
        <w:t xml:space="preserve">items for SARS-CoV-2 testing with or without additional respiratory pathogens would lapse without an extension or amendment. The Parameters state, “The proposed items could use the same structure and item descriptors as the temporary SARS-CoV-2 </w:t>
      </w:r>
      <w:r>
        <w:lastRenderedPageBreak/>
        <w:t xml:space="preserve">test MBS items” and should use the fees for private providers. These are presented in </w:t>
      </w:r>
      <w:r>
        <w:fldChar w:fldCharType="begin"/>
      </w:r>
      <w:r>
        <w:instrText xml:space="preserve"> REF _Ref130657962 \h </w:instrText>
      </w:r>
      <w:r>
        <w:fldChar w:fldCharType="separate"/>
      </w:r>
      <w:r w:rsidR="00525416">
        <w:t xml:space="preserve">Table </w:t>
      </w:r>
      <w:r w:rsidR="00525416">
        <w:rPr>
          <w:noProof/>
        </w:rPr>
        <w:t>6</w:t>
      </w:r>
      <w:r>
        <w:fldChar w:fldCharType="end"/>
      </w:r>
      <w:r>
        <w:t xml:space="preserve"> based on the current temporary MBS items 69511, 69512, 69513, 69514 and 69515. The HTA group has made some suggested edits to the temporary item descriptors as currently implemented (shown in strikethrough and underline), replacing the wording ‘tests’ with pathogens for clarity of scope, and to encourage multiplex testing wherever possible. </w:t>
      </w:r>
      <w:r w:rsidR="005F0FC8">
        <w:t>If these were to be the sole items (i.e., if there was no longer going to be a separate set of items for private and for public pathology laboratory testing), then the item descriptors would require further amendment.</w:t>
      </w:r>
    </w:p>
    <w:p w14:paraId="03BA11D8" w14:textId="2D28CE03" w:rsidR="00B01475" w:rsidRDefault="00B01475" w:rsidP="00B01475">
      <w:pPr>
        <w:pStyle w:val="Caption"/>
      </w:pPr>
      <w:bookmarkStart w:id="17" w:name="_Ref130657962"/>
      <w:r>
        <w:t xml:space="preserve">Table </w:t>
      </w:r>
      <w:r>
        <w:fldChar w:fldCharType="begin"/>
      </w:r>
      <w:r>
        <w:instrText>SEQ Table \* ARABIC</w:instrText>
      </w:r>
      <w:r>
        <w:fldChar w:fldCharType="separate"/>
      </w:r>
      <w:r w:rsidR="00525416">
        <w:rPr>
          <w:noProof/>
        </w:rPr>
        <w:t>6</w:t>
      </w:r>
      <w:r>
        <w:fldChar w:fldCharType="end"/>
      </w:r>
      <w:bookmarkEnd w:id="17"/>
      <w:r>
        <w:t xml:space="preserve"> Proposed MBS items based on current temporary MBS items 69511, 69512, 69513, 69514 and 69515 with HTA group suggested edits </w:t>
      </w:r>
      <w:r w:rsidR="0036097E">
        <w:t>(option 2)</w:t>
      </w:r>
    </w:p>
    <w:tbl>
      <w:tblPr>
        <w:tblStyle w:val="TableGrid"/>
        <w:tblW w:w="9016" w:type="dxa"/>
        <w:tblLook w:val="04A0" w:firstRow="1" w:lastRow="0" w:firstColumn="1" w:lastColumn="0" w:noHBand="0" w:noVBand="1"/>
      </w:tblPr>
      <w:tblGrid>
        <w:gridCol w:w="4508"/>
        <w:gridCol w:w="4508"/>
      </w:tblGrid>
      <w:tr w:rsidR="00B01475" w:rsidRPr="0001290C" w14:paraId="2256CCC3" w14:textId="77777777" w:rsidTr="007B74B9">
        <w:trPr>
          <w:cantSplit/>
          <w:trHeight w:val="350"/>
        </w:trPr>
        <w:tc>
          <w:tcPr>
            <w:tcW w:w="4508" w:type="dxa"/>
          </w:tcPr>
          <w:p w14:paraId="144B4325" w14:textId="77777777" w:rsidR="00B01475" w:rsidRPr="00C60FD5" w:rsidRDefault="00B01475" w:rsidP="007B74B9">
            <w:pPr>
              <w:pStyle w:val="TableFigureHeading"/>
              <w:rPr>
                <w:rFonts w:asciiTheme="minorHAnsi" w:hAnsiTheme="minorHAnsi" w:cstheme="minorHAnsi"/>
              </w:rPr>
            </w:pPr>
            <w:r w:rsidRPr="00C60FD5">
              <w:t xml:space="preserve">Category 6 – PATHOLOGY SERVICE </w:t>
            </w:r>
            <w:r w:rsidRPr="00C60FD5">
              <w:tab/>
              <w:t xml:space="preserve">                                                                     </w:t>
            </w:r>
          </w:p>
        </w:tc>
        <w:tc>
          <w:tcPr>
            <w:tcW w:w="4508" w:type="dxa"/>
          </w:tcPr>
          <w:p w14:paraId="265B9458" w14:textId="77777777" w:rsidR="00B01475" w:rsidRPr="001D278E" w:rsidRDefault="00B01475" w:rsidP="007B74B9">
            <w:pPr>
              <w:pStyle w:val="TableFigureHeading"/>
            </w:pPr>
            <w:r w:rsidRPr="00C60FD5">
              <w:t xml:space="preserve">Group </w:t>
            </w:r>
            <w:r w:rsidRPr="001D278E">
              <w:t>P3 - Microbiology</w:t>
            </w:r>
          </w:p>
        </w:tc>
      </w:tr>
      <w:tr w:rsidR="00B01475" w:rsidRPr="0001290C" w14:paraId="24836944" w14:textId="77777777" w:rsidTr="007B74B9">
        <w:trPr>
          <w:cantSplit/>
        </w:trPr>
        <w:tc>
          <w:tcPr>
            <w:tcW w:w="9016" w:type="dxa"/>
            <w:gridSpan w:val="2"/>
          </w:tcPr>
          <w:p w14:paraId="72852CEE" w14:textId="3EF3C38C" w:rsidR="00B01475" w:rsidRPr="00C60FD5" w:rsidRDefault="00B01475" w:rsidP="007B74B9">
            <w:pPr>
              <w:pStyle w:val="Tabletext0"/>
              <w:rPr>
                <w:lang w:val="en-US"/>
              </w:rPr>
            </w:pPr>
            <w:r w:rsidRPr="00C60FD5">
              <w:rPr>
                <w:lang w:val="en-US"/>
              </w:rPr>
              <w:t>MBS item AAAA</w:t>
            </w:r>
            <w:r w:rsidR="00C3727C">
              <w:rPr>
                <w:lang w:val="en-US"/>
              </w:rPr>
              <w:t xml:space="preserve"> (69511)</w:t>
            </w:r>
          </w:p>
          <w:p w14:paraId="7A1995E0" w14:textId="77777777" w:rsidR="00B01475" w:rsidRPr="00270AE9" w:rsidRDefault="00B01475" w:rsidP="00CB2E78">
            <w:pPr>
              <w:pStyle w:val="Tabletext0"/>
              <w:spacing w:before="240"/>
              <w:rPr>
                <w:strike/>
              </w:rPr>
            </w:pPr>
            <w:r w:rsidRPr="00C60FD5">
              <w:t xml:space="preserve">Detection of a SARS-CoV-2 nucleic acid </w:t>
            </w:r>
            <w:r w:rsidRPr="001D278E">
              <w:t>if:</w:t>
            </w:r>
            <w:r w:rsidRPr="00270AE9">
              <w:rPr>
                <w:strike/>
              </w:rPr>
              <w:t xml:space="preserve"> </w:t>
            </w:r>
          </w:p>
          <w:p w14:paraId="4297B679" w14:textId="77777777" w:rsidR="00B01475" w:rsidRPr="00162D67" w:rsidRDefault="00B01475" w:rsidP="007B74B9">
            <w:pPr>
              <w:pStyle w:val="Tabletext0"/>
              <w:rPr>
                <w:snapToGrid w:val="0"/>
              </w:rPr>
            </w:pPr>
            <w:r w:rsidRPr="00162D67">
              <w:rPr>
                <w:snapToGrid w:val="0"/>
              </w:rPr>
              <w:t>(a) the person is a private patient in a hospital other than a recognised hospital; or</w:t>
            </w:r>
          </w:p>
          <w:p w14:paraId="514022C9" w14:textId="77777777" w:rsidR="00B01475" w:rsidRPr="00C60FD5" w:rsidRDefault="00B01475" w:rsidP="007B74B9">
            <w:pPr>
              <w:pStyle w:val="Tabletext0"/>
              <w:rPr>
                <w:snapToGrid w:val="0"/>
              </w:rPr>
            </w:pPr>
            <w:r w:rsidRPr="00162D67">
              <w:rPr>
                <w:snapToGrid w:val="0"/>
              </w:rPr>
              <w:t>(b) the person receives a bulk-billed service not covered by Item 69506</w:t>
            </w:r>
          </w:p>
        </w:tc>
      </w:tr>
      <w:tr w:rsidR="00B01475" w:rsidRPr="0001290C" w14:paraId="5F7EB4EA" w14:textId="77777777" w:rsidTr="007B74B9">
        <w:trPr>
          <w:cantSplit/>
          <w:trHeight w:val="223"/>
        </w:trPr>
        <w:tc>
          <w:tcPr>
            <w:tcW w:w="9016" w:type="dxa"/>
            <w:gridSpan w:val="2"/>
          </w:tcPr>
          <w:p w14:paraId="606A0CEC" w14:textId="77777777" w:rsidR="00B01475" w:rsidRPr="00C60FD5" w:rsidRDefault="00B01475" w:rsidP="007B74B9">
            <w:pPr>
              <w:pStyle w:val="Tabletext0"/>
              <w:rPr>
                <w:rFonts w:asciiTheme="minorHAnsi" w:hAnsiTheme="minorHAnsi" w:cstheme="minorHAnsi"/>
                <w:snapToGrid w:val="0"/>
              </w:rPr>
            </w:pPr>
            <w:r w:rsidRPr="00C60FD5">
              <w:rPr>
                <w:shd w:val="clear" w:color="auto" w:fill="FBFBFB"/>
              </w:rPr>
              <w:t>Fee: $68.85 Benefit: 75% = $51.65 85% = $58.55</w:t>
            </w:r>
          </w:p>
        </w:tc>
      </w:tr>
      <w:tr w:rsidR="00B01475" w:rsidRPr="0001290C" w14:paraId="58C15FB3" w14:textId="77777777" w:rsidTr="007B74B9">
        <w:trPr>
          <w:cantSplit/>
          <w:trHeight w:val="350"/>
        </w:trPr>
        <w:tc>
          <w:tcPr>
            <w:tcW w:w="4508" w:type="dxa"/>
          </w:tcPr>
          <w:p w14:paraId="1AEF6687" w14:textId="77777777" w:rsidR="00B01475" w:rsidRPr="0001290C" w:rsidRDefault="00B01475" w:rsidP="007B74B9">
            <w:pPr>
              <w:pStyle w:val="In-tableHeading"/>
              <w:rPr>
                <w:rFonts w:asciiTheme="minorHAnsi" w:hAnsiTheme="minorHAnsi" w:cstheme="minorHAnsi"/>
              </w:rPr>
            </w:pPr>
            <w:r w:rsidRPr="000D6EAF">
              <w:t xml:space="preserve">Category 6 – PATHOLOGY SERVICE </w:t>
            </w:r>
            <w:r w:rsidRPr="000D6EAF">
              <w:tab/>
            </w:r>
            <w:r>
              <w:t xml:space="preserve">                                                                     </w:t>
            </w:r>
          </w:p>
        </w:tc>
        <w:tc>
          <w:tcPr>
            <w:tcW w:w="4508" w:type="dxa"/>
          </w:tcPr>
          <w:p w14:paraId="6D3D03A2" w14:textId="77777777" w:rsidR="00B01475" w:rsidRPr="0001290C" w:rsidRDefault="00B01475" w:rsidP="007B74B9">
            <w:pPr>
              <w:pStyle w:val="TableFigureHeading"/>
              <w:rPr>
                <w:rFonts w:asciiTheme="minorHAnsi" w:hAnsiTheme="minorHAnsi" w:cstheme="minorHAnsi"/>
              </w:rPr>
            </w:pPr>
            <w:r w:rsidRPr="000D6EAF">
              <w:t xml:space="preserve">Group </w:t>
            </w:r>
            <w:r w:rsidRPr="001D278E">
              <w:t>P3 - Microbiology</w:t>
            </w:r>
          </w:p>
        </w:tc>
      </w:tr>
      <w:tr w:rsidR="00B01475" w:rsidRPr="0001290C" w14:paraId="2EEC27B5" w14:textId="77777777" w:rsidTr="007B74B9">
        <w:trPr>
          <w:cantSplit/>
        </w:trPr>
        <w:tc>
          <w:tcPr>
            <w:tcW w:w="9016" w:type="dxa"/>
            <w:gridSpan w:val="2"/>
          </w:tcPr>
          <w:p w14:paraId="3499B555" w14:textId="390BCCE0" w:rsidR="00B01475" w:rsidRPr="008128BE" w:rsidRDefault="00B01475" w:rsidP="007B74B9">
            <w:pPr>
              <w:pStyle w:val="TableText"/>
            </w:pPr>
            <w:r w:rsidRPr="008128BE">
              <w:t>MBS item BBBB</w:t>
            </w:r>
            <w:r w:rsidR="00C3727C">
              <w:t xml:space="preserve"> (69512)</w:t>
            </w:r>
          </w:p>
          <w:p w14:paraId="07CE503B" w14:textId="77777777" w:rsidR="00B01475" w:rsidRPr="008128BE" w:rsidRDefault="00B01475" w:rsidP="00CB2E78">
            <w:pPr>
              <w:pStyle w:val="TableText"/>
              <w:spacing w:before="240"/>
            </w:pPr>
            <w:r w:rsidRPr="00465DC4">
              <w:rPr>
                <w:szCs w:val="20"/>
              </w:rPr>
              <w:t xml:space="preserve">Detection of a viral, fungal, atypical pneumonia pathogen or Bordetella species nucleic acid </w:t>
            </w:r>
            <w:r>
              <w:rPr>
                <w:szCs w:val="20"/>
              </w:rPr>
              <w:t xml:space="preserve">from </w:t>
            </w:r>
            <w:r w:rsidRPr="008128BE">
              <w:t xml:space="preserve">a nasal swab, throat swab, nasopharyngeal aspirate and/or lower respiratory tract sample, </w:t>
            </w:r>
            <w:r w:rsidRPr="00C60FD5">
              <w:t xml:space="preserve">including a service described in Item AAAA, </w:t>
            </w:r>
            <w:r w:rsidRPr="008128BE">
              <w:t>if:</w:t>
            </w:r>
          </w:p>
          <w:p w14:paraId="10E88C74" w14:textId="77777777" w:rsidR="00B01475" w:rsidRPr="00162D67" w:rsidRDefault="00B01475" w:rsidP="007B74B9">
            <w:pPr>
              <w:pStyle w:val="TableText"/>
            </w:pPr>
            <w:r w:rsidRPr="00162D67">
              <w:t>(a) the person is a private patient in a hospital other than a recognised hospital; or</w:t>
            </w:r>
          </w:p>
          <w:p w14:paraId="54955DEB" w14:textId="3FB25C6E" w:rsidR="00B01475" w:rsidRDefault="00B01475" w:rsidP="007B74B9">
            <w:pPr>
              <w:pStyle w:val="TableText"/>
            </w:pPr>
            <w:r w:rsidRPr="00162D67">
              <w:t>(b) the person receives a bulk-billed service not covered by item 69507</w:t>
            </w:r>
          </w:p>
          <w:p w14:paraId="0140D305" w14:textId="77777777" w:rsidR="00B01475" w:rsidRPr="00570B27" w:rsidRDefault="00B01475" w:rsidP="00CB2E78">
            <w:pPr>
              <w:pStyle w:val="TableText"/>
              <w:spacing w:before="240"/>
              <w:rPr>
                <w:lang w:eastAsia="ja-JP"/>
              </w:rPr>
            </w:pPr>
            <w:r w:rsidRPr="00570B27">
              <w:t xml:space="preserve">2 to 4 </w:t>
            </w:r>
            <w:r w:rsidRPr="00AC70A6">
              <w:rPr>
                <w:strike/>
              </w:rPr>
              <w:t>tests</w:t>
            </w:r>
            <w:r w:rsidRPr="00AC70A6">
              <w:t xml:space="preserve"> </w:t>
            </w:r>
            <w:r w:rsidRPr="00022C9D">
              <w:rPr>
                <w:u w:val="single"/>
              </w:rPr>
              <w:t>pathogens</w:t>
            </w:r>
          </w:p>
        </w:tc>
      </w:tr>
      <w:tr w:rsidR="00B01475" w:rsidRPr="0001290C" w14:paraId="2CCFA6B1" w14:textId="77777777" w:rsidTr="007B74B9">
        <w:trPr>
          <w:cantSplit/>
          <w:trHeight w:val="223"/>
        </w:trPr>
        <w:tc>
          <w:tcPr>
            <w:tcW w:w="9016" w:type="dxa"/>
            <w:gridSpan w:val="2"/>
          </w:tcPr>
          <w:p w14:paraId="34BC09C5" w14:textId="77777777" w:rsidR="00B01475" w:rsidRPr="008128BE" w:rsidRDefault="00B01475" w:rsidP="007B74B9">
            <w:pPr>
              <w:pStyle w:val="TableText"/>
              <w:rPr>
                <w:lang w:eastAsia="ja-JP"/>
              </w:rPr>
            </w:pPr>
            <w:r w:rsidRPr="008128BE">
              <w:rPr>
                <w:lang w:eastAsia="ja-JP"/>
              </w:rPr>
              <w:t>Fee: $74.75 Benefit: 75% = $56.10 85% = $63.55</w:t>
            </w:r>
          </w:p>
        </w:tc>
      </w:tr>
      <w:tr w:rsidR="00B01475" w:rsidRPr="0001290C" w14:paraId="74FC3FD0" w14:textId="77777777" w:rsidTr="007B74B9">
        <w:trPr>
          <w:cantSplit/>
          <w:trHeight w:val="350"/>
        </w:trPr>
        <w:tc>
          <w:tcPr>
            <w:tcW w:w="4508" w:type="dxa"/>
          </w:tcPr>
          <w:p w14:paraId="353AA782" w14:textId="77777777" w:rsidR="00B01475" w:rsidRPr="0001290C" w:rsidRDefault="00B01475" w:rsidP="007B74B9">
            <w:pPr>
              <w:pStyle w:val="In-tableHeading"/>
              <w:rPr>
                <w:rFonts w:asciiTheme="minorHAnsi" w:hAnsiTheme="minorHAnsi" w:cstheme="minorHAnsi"/>
              </w:rPr>
            </w:pPr>
            <w:r w:rsidRPr="000D6EAF">
              <w:t xml:space="preserve">Category 6 – PATHOLOGY SERVICE </w:t>
            </w:r>
            <w:r w:rsidRPr="000D6EAF">
              <w:tab/>
            </w:r>
            <w:r>
              <w:t xml:space="preserve">                                                                     </w:t>
            </w:r>
          </w:p>
        </w:tc>
        <w:tc>
          <w:tcPr>
            <w:tcW w:w="4508" w:type="dxa"/>
          </w:tcPr>
          <w:p w14:paraId="26390832" w14:textId="77777777" w:rsidR="00B01475" w:rsidRPr="0001290C" w:rsidRDefault="00B01475" w:rsidP="007B74B9">
            <w:pPr>
              <w:pStyle w:val="TableFigureHeading"/>
              <w:rPr>
                <w:rFonts w:asciiTheme="minorHAnsi" w:hAnsiTheme="minorHAnsi" w:cstheme="minorHAnsi"/>
              </w:rPr>
            </w:pPr>
            <w:r w:rsidRPr="000D6EAF">
              <w:t xml:space="preserve">Group </w:t>
            </w:r>
            <w:r w:rsidRPr="000F7617">
              <w:t>P3 - Microbiology</w:t>
            </w:r>
          </w:p>
        </w:tc>
      </w:tr>
      <w:tr w:rsidR="00B01475" w:rsidRPr="0001290C" w14:paraId="5F361109" w14:textId="77777777" w:rsidTr="007B74B9">
        <w:trPr>
          <w:cantSplit/>
        </w:trPr>
        <w:tc>
          <w:tcPr>
            <w:tcW w:w="9016" w:type="dxa"/>
            <w:gridSpan w:val="2"/>
          </w:tcPr>
          <w:p w14:paraId="1D3281F9" w14:textId="53397410" w:rsidR="00B01475" w:rsidRPr="008128BE" w:rsidRDefault="00B01475" w:rsidP="007B74B9">
            <w:pPr>
              <w:pStyle w:val="Tabletext0"/>
            </w:pPr>
            <w:r w:rsidRPr="008128BE">
              <w:t>MBS item CCCC</w:t>
            </w:r>
            <w:r w:rsidR="00C3727C">
              <w:t xml:space="preserve"> (69513)</w:t>
            </w:r>
          </w:p>
          <w:p w14:paraId="35B0EB0D" w14:textId="77777777" w:rsidR="00B01475" w:rsidRPr="008128BE" w:rsidRDefault="00B01475" w:rsidP="00CB2E78">
            <w:pPr>
              <w:pStyle w:val="Tabletext0"/>
              <w:spacing w:before="240"/>
              <w:rPr>
                <w:rFonts w:ascii="Helvetica Neue" w:hAnsi="Helvetica Neue" w:cs="Times New Roman"/>
                <w:color w:val="222222"/>
              </w:rPr>
            </w:pPr>
            <w:r w:rsidRPr="000F7617">
              <w:t>5 to 8</w:t>
            </w:r>
            <w:r w:rsidRPr="00162D67">
              <w:rPr>
                <w:strike/>
              </w:rPr>
              <w:t xml:space="preserve"> tests</w:t>
            </w:r>
            <w:r w:rsidRPr="00AA00EC">
              <w:t xml:space="preserve"> </w:t>
            </w:r>
            <w:r w:rsidRPr="00022C9D">
              <w:rPr>
                <w:u w:val="single"/>
              </w:rPr>
              <w:t xml:space="preserve">pathogens </w:t>
            </w:r>
            <w:r w:rsidRPr="008128BE">
              <w:t xml:space="preserve">described in Item </w:t>
            </w:r>
            <w:r>
              <w:t>BBBB</w:t>
            </w:r>
          </w:p>
        </w:tc>
      </w:tr>
      <w:tr w:rsidR="00B01475" w:rsidRPr="0001290C" w14:paraId="6897A3A4" w14:textId="77777777" w:rsidTr="007B74B9">
        <w:trPr>
          <w:cantSplit/>
          <w:trHeight w:val="223"/>
        </w:trPr>
        <w:tc>
          <w:tcPr>
            <w:tcW w:w="9016" w:type="dxa"/>
            <w:gridSpan w:val="2"/>
          </w:tcPr>
          <w:p w14:paraId="383872C4" w14:textId="77777777" w:rsidR="00B01475" w:rsidRPr="008128BE" w:rsidRDefault="00B01475" w:rsidP="007B74B9">
            <w:pPr>
              <w:pStyle w:val="TableText"/>
            </w:pPr>
            <w:r w:rsidRPr="008128BE">
              <w:t>Fee: $80.65 Benefit: 75% = $60.50 85% = $68.60</w:t>
            </w:r>
          </w:p>
        </w:tc>
      </w:tr>
      <w:tr w:rsidR="00B01475" w:rsidRPr="0001290C" w14:paraId="58F78470" w14:textId="77777777" w:rsidTr="007B74B9">
        <w:trPr>
          <w:cantSplit/>
          <w:trHeight w:val="350"/>
        </w:trPr>
        <w:tc>
          <w:tcPr>
            <w:tcW w:w="4508" w:type="dxa"/>
          </w:tcPr>
          <w:p w14:paraId="1C6DADA3" w14:textId="77777777" w:rsidR="00B01475" w:rsidRPr="008128BE" w:rsidRDefault="00B01475" w:rsidP="007B74B9">
            <w:pPr>
              <w:pStyle w:val="In-tableHeading"/>
            </w:pPr>
            <w:r w:rsidRPr="008128BE">
              <w:t xml:space="preserve">Category 6 – PATHOLOGY SERVICE </w:t>
            </w:r>
            <w:r w:rsidRPr="008128BE">
              <w:tab/>
              <w:t xml:space="preserve">                                                                     </w:t>
            </w:r>
          </w:p>
        </w:tc>
        <w:tc>
          <w:tcPr>
            <w:tcW w:w="4508" w:type="dxa"/>
          </w:tcPr>
          <w:p w14:paraId="36AAFEA3" w14:textId="77777777" w:rsidR="00B01475" w:rsidRPr="008128BE" w:rsidRDefault="00B01475" w:rsidP="007B74B9">
            <w:pPr>
              <w:pStyle w:val="TableFigureHeading"/>
            </w:pPr>
            <w:r w:rsidRPr="008128BE">
              <w:t>Group P3 - Microbiology</w:t>
            </w:r>
          </w:p>
        </w:tc>
      </w:tr>
      <w:tr w:rsidR="00B01475" w:rsidRPr="0001290C" w14:paraId="5AAE59C4" w14:textId="77777777" w:rsidTr="007B74B9">
        <w:trPr>
          <w:cantSplit/>
        </w:trPr>
        <w:tc>
          <w:tcPr>
            <w:tcW w:w="9016" w:type="dxa"/>
            <w:gridSpan w:val="2"/>
          </w:tcPr>
          <w:p w14:paraId="6D261170" w14:textId="5E41AF01" w:rsidR="00B01475" w:rsidRPr="0001290C" w:rsidRDefault="00B01475" w:rsidP="007B74B9">
            <w:pPr>
              <w:pStyle w:val="Tabletext0"/>
              <w:rPr>
                <w:lang w:val="en-US"/>
              </w:rPr>
            </w:pPr>
            <w:r w:rsidRPr="0001290C">
              <w:rPr>
                <w:lang w:val="en-US"/>
              </w:rPr>
              <w:t xml:space="preserve">MBS item </w:t>
            </w:r>
            <w:r>
              <w:rPr>
                <w:lang w:val="en-US"/>
              </w:rPr>
              <w:t>DDDD</w:t>
            </w:r>
            <w:r w:rsidR="00C3727C">
              <w:rPr>
                <w:lang w:val="en-US"/>
              </w:rPr>
              <w:t xml:space="preserve"> (69514)</w:t>
            </w:r>
          </w:p>
          <w:p w14:paraId="6877E58E" w14:textId="77777777" w:rsidR="00B01475" w:rsidRPr="008128BE" w:rsidRDefault="00B01475" w:rsidP="00CB2E78">
            <w:pPr>
              <w:pStyle w:val="Tabletext0"/>
              <w:spacing w:before="240"/>
            </w:pPr>
            <w:r>
              <w:t xml:space="preserve">9 to 12 </w:t>
            </w:r>
            <w:r w:rsidRPr="00AC70A6">
              <w:rPr>
                <w:strike/>
              </w:rPr>
              <w:t>tests</w:t>
            </w:r>
            <w:r w:rsidRPr="00AA00EC">
              <w:t xml:space="preserve"> </w:t>
            </w:r>
            <w:r w:rsidRPr="00022C9D">
              <w:rPr>
                <w:u w:val="single"/>
              </w:rPr>
              <w:t>pathogens</w:t>
            </w:r>
            <w:r>
              <w:t xml:space="preserve"> described in Item BBBB</w:t>
            </w:r>
          </w:p>
        </w:tc>
      </w:tr>
      <w:tr w:rsidR="00B01475" w:rsidRPr="0001290C" w14:paraId="12D546BE" w14:textId="77777777" w:rsidTr="007B74B9">
        <w:trPr>
          <w:cantSplit/>
          <w:trHeight w:val="223"/>
        </w:trPr>
        <w:tc>
          <w:tcPr>
            <w:tcW w:w="9016" w:type="dxa"/>
            <w:gridSpan w:val="2"/>
          </w:tcPr>
          <w:p w14:paraId="6DB6A498" w14:textId="77777777" w:rsidR="00B01475" w:rsidRPr="008128BE" w:rsidRDefault="00B01475" w:rsidP="007B74B9">
            <w:pPr>
              <w:pStyle w:val="Tabletext0"/>
              <w:rPr>
                <w:rFonts w:asciiTheme="minorHAnsi" w:hAnsiTheme="minorHAnsi" w:cstheme="minorHAnsi"/>
                <w:lang w:eastAsia="ja-JP"/>
              </w:rPr>
            </w:pPr>
            <w:r w:rsidRPr="008128BE">
              <w:rPr>
                <w:shd w:val="clear" w:color="auto" w:fill="FBFBFB"/>
              </w:rPr>
              <w:t>Fee: $86.55 Benefit: 75% = $64.95 85% = $73.60</w:t>
            </w:r>
          </w:p>
        </w:tc>
      </w:tr>
      <w:tr w:rsidR="00B01475" w:rsidRPr="0001290C" w14:paraId="2DC856A3" w14:textId="77777777" w:rsidTr="007B74B9">
        <w:trPr>
          <w:cantSplit/>
          <w:trHeight w:val="350"/>
        </w:trPr>
        <w:tc>
          <w:tcPr>
            <w:tcW w:w="4508" w:type="dxa"/>
          </w:tcPr>
          <w:p w14:paraId="1B07B3AD" w14:textId="77777777" w:rsidR="00B01475" w:rsidRPr="0001290C" w:rsidRDefault="00B01475" w:rsidP="007B74B9">
            <w:pPr>
              <w:pStyle w:val="In-tableHeading"/>
              <w:rPr>
                <w:rFonts w:asciiTheme="minorHAnsi" w:hAnsiTheme="minorHAnsi" w:cstheme="minorHAnsi"/>
              </w:rPr>
            </w:pPr>
            <w:r w:rsidRPr="000D6EAF">
              <w:t xml:space="preserve">Category 6 – PATHOLOGY SERVICE </w:t>
            </w:r>
            <w:r w:rsidRPr="000D6EAF">
              <w:tab/>
            </w:r>
            <w:r>
              <w:t xml:space="preserve">                                                                     </w:t>
            </w:r>
          </w:p>
        </w:tc>
        <w:tc>
          <w:tcPr>
            <w:tcW w:w="4508" w:type="dxa"/>
          </w:tcPr>
          <w:p w14:paraId="1184C6B9" w14:textId="77777777" w:rsidR="00B01475" w:rsidRPr="0001290C" w:rsidRDefault="00B01475" w:rsidP="007B74B9">
            <w:pPr>
              <w:pStyle w:val="TableFigureHeading"/>
              <w:rPr>
                <w:rFonts w:asciiTheme="minorHAnsi" w:hAnsiTheme="minorHAnsi" w:cstheme="minorHAnsi"/>
              </w:rPr>
            </w:pPr>
            <w:r w:rsidRPr="000D6EAF">
              <w:t xml:space="preserve">Group </w:t>
            </w:r>
            <w:r w:rsidRPr="001D278E">
              <w:t>P3 - Microbiology</w:t>
            </w:r>
          </w:p>
        </w:tc>
      </w:tr>
      <w:tr w:rsidR="00B01475" w:rsidRPr="0001290C" w14:paraId="4CD83283" w14:textId="77777777" w:rsidTr="007B74B9">
        <w:trPr>
          <w:cantSplit/>
        </w:trPr>
        <w:tc>
          <w:tcPr>
            <w:tcW w:w="9016" w:type="dxa"/>
            <w:gridSpan w:val="2"/>
          </w:tcPr>
          <w:p w14:paraId="03CD9D2F" w14:textId="2DE0A83C" w:rsidR="00B01475" w:rsidRPr="0001290C" w:rsidRDefault="00B01475" w:rsidP="007B74B9">
            <w:pPr>
              <w:pStyle w:val="Tabletext0"/>
              <w:rPr>
                <w:lang w:val="en-US"/>
              </w:rPr>
            </w:pPr>
            <w:r w:rsidRPr="0001290C">
              <w:rPr>
                <w:lang w:val="en-US"/>
              </w:rPr>
              <w:t xml:space="preserve">MBS item </w:t>
            </w:r>
            <w:r>
              <w:rPr>
                <w:lang w:val="en-US"/>
              </w:rPr>
              <w:t>EEEE</w:t>
            </w:r>
            <w:r w:rsidR="00C3727C">
              <w:rPr>
                <w:lang w:val="en-US"/>
              </w:rPr>
              <w:t xml:space="preserve"> (69415)</w:t>
            </w:r>
          </w:p>
          <w:p w14:paraId="0213CE26" w14:textId="77777777" w:rsidR="00B01475" w:rsidRPr="0001290C" w:rsidRDefault="00B01475" w:rsidP="00CB2E78">
            <w:pPr>
              <w:pStyle w:val="Tabletext0"/>
              <w:spacing w:before="240"/>
            </w:pPr>
            <w:r>
              <w:t xml:space="preserve">13 or </w:t>
            </w:r>
            <w:r w:rsidRPr="00162D67">
              <w:t xml:space="preserve">more </w:t>
            </w:r>
            <w:r w:rsidRPr="000600DD">
              <w:rPr>
                <w:strike/>
              </w:rPr>
              <w:t>tests</w:t>
            </w:r>
            <w:r w:rsidRPr="00AA00EC">
              <w:t xml:space="preserve"> </w:t>
            </w:r>
            <w:r w:rsidRPr="00022C9D">
              <w:rPr>
                <w:u w:val="single"/>
              </w:rPr>
              <w:t>pathogens</w:t>
            </w:r>
            <w:r>
              <w:t xml:space="preserve"> described in Item BBBB</w:t>
            </w:r>
          </w:p>
        </w:tc>
      </w:tr>
      <w:tr w:rsidR="00B01475" w:rsidRPr="00194702" w14:paraId="0BE8F234" w14:textId="77777777" w:rsidTr="007B74B9">
        <w:trPr>
          <w:cantSplit/>
          <w:trHeight w:val="223"/>
        </w:trPr>
        <w:tc>
          <w:tcPr>
            <w:tcW w:w="9016" w:type="dxa"/>
            <w:gridSpan w:val="2"/>
          </w:tcPr>
          <w:p w14:paraId="1D16B9F7" w14:textId="77777777" w:rsidR="00B01475" w:rsidRPr="008128BE" w:rsidRDefault="00B01475" w:rsidP="007B74B9">
            <w:pPr>
              <w:pStyle w:val="TableText"/>
            </w:pPr>
            <w:r w:rsidRPr="008128BE">
              <w:t>Fee: $92.45 Benefit: 75% = $69.35 85% = $78.60</w:t>
            </w:r>
          </w:p>
        </w:tc>
      </w:tr>
    </w:tbl>
    <w:p w14:paraId="02A07495" w14:textId="77777777" w:rsidR="00B01475" w:rsidRDefault="00B01475" w:rsidP="00B01475">
      <w:pPr>
        <w:pStyle w:val="TableFooter"/>
      </w:pPr>
      <w:r>
        <w:t>The HTA group’s suggested deletions are shown in strikethrough, and additions underlined.</w:t>
      </w:r>
    </w:p>
    <w:p w14:paraId="4110E048" w14:textId="593A5277" w:rsidR="008B5ABD" w:rsidRDefault="008B5ABD" w:rsidP="00B01475">
      <w:pPr>
        <w:pStyle w:val="TableFooter"/>
      </w:pPr>
      <w:r>
        <w:t>Source: DCAR Table 2</w:t>
      </w:r>
    </w:p>
    <w:p w14:paraId="60A53ABD" w14:textId="77777777" w:rsidR="00B01475" w:rsidRPr="00637DD4" w:rsidRDefault="00B01475" w:rsidP="00B01475">
      <w:pPr>
        <w:rPr>
          <w:shd w:val="clear" w:color="auto" w:fill="FFFFFF"/>
        </w:rPr>
      </w:pPr>
      <w:r>
        <w:rPr>
          <w:shd w:val="clear" w:color="auto" w:fill="FFFFFF"/>
        </w:rPr>
        <w:t>Information was not available regarding</w:t>
      </w:r>
      <w:r w:rsidRPr="00637DD4">
        <w:rPr>
          <w:shd w:val="clear" w:color="auto" w:fill="FFFFFF"/>
        </w:rPr>
        <w:t xml:space="preserve"> </w:t>
      </w:r>
      <w:r>
        <w:rPr>
          <w:shd w:val="clear" w:color="auto" w:fill="FFFFFF"/>
        </w:rPr>
        <w:t>how the current temporary item ladder structure was decided</w:t>
      </w:r>
      <w:r w:rsidRPr="00637DD4">
        <w:rPr>
          <w:shd w:val="clear" w:color="auto" w:fill="FFFFFF"/>
        </w:rPr>
        <w:t xml:space="preserve"> </w:t>
      </w:r>
      <w:r>
        <w:rPr>
          <w:shd w:val="clear" w:color="auto" w:fill="FFFFFF"/>
        </w:rPr>
        <w:t>and</w:t>
      </w:r>
      <w:r w:rsidRPr="00637DD4">
        <w:rPr>
          <w:shd w:val="clear" w:color="auto" w:fill="FFFFFF"/>
        </w:rPr>
        <w:t xml:space="preserve"> the costings </w:t>
      </w:r>
      <w:r>
        <w:rPr>
          <w:shd w:val="clear" w:color="auto" w:fill="FFFFFF"/>
        </w:rPr>
        <w:t xml:space="preserve">underlying the fees </w:t>
      </w:r>
      <w:r w:rsidRPr="00637DD4">
        <w:rPr>
          <w:shd w:val="clear" w:color="auto" w:fill="FFFFFF"/>
        </w:rPr>
        <w:t>for the</w:t>
      </w:r>
      <w:r>
        <w:rPr>
          <w:shd w:val="clear" w:color="auto" w:fill="FFFFFF"/>
        </w:rPr>
        <w:t>se items</w:t>
      </w:r>
      <w:r w:rsidRPr="00637DD4">
        <w:rPr>
          <w:shd w:val="clear" w:color="auto" w:fill="FFFFFF"/>
        </w:rPr>
        <w:t>, which form the proposed permanent items for this application</w:t>
      </w:r>
      <w:r>
        <w:rPr>
          <w:shd w:val="clear" w:color="auto" w:fill="FFFFFF"/>
        </w:rPr>
        <w:t>.</w:t>
      </w:r>
    </w:p>
    <w:p w14:paraId="3DCB50DC" w14:textId="4EC11DE2" w:rsidR="00B01475" w:rsidRPr="00637DD4" w:rsidRDefault="00B01475" w:rsidP="00B01475">
      <w:pPr>
        <w:rPr>
          <w:shd w:val="clear" w:color="auto" w:fill="FFFFFF"/>
        </w:rPr>
      </w:pPr>
      <w:r>
        <w:rPr>
          <w:shd w:val="clear" w:color="auto" w:fill="FFFFFF"/>
        </w:rPr>
        <w:lastRenderedPageBreak/>
        <w:t xml:space="preserve">Clinical experts consulted by the HTA group indicated that current clinical practice is to test vulnerable individuals with symptoms of an </w:t>
      </w:r>
      <w:r w:rsidR="00A7627E" w:rsidRPr="00BA194C">
        <w:t xml:space="preserve">acute respiratory infection </w:t>
      </w:r>
      <w:r w:rsidR="00A7627E">
        <w:t>(</w:t>
      </w:r>
      <w:r>
        <w:rPr>
          <w:shd w:val="clear" w:color="auto" w:fill="FFFFFF"/>
        </w:rPr>
        <w:t>ARI</w:t>
      </w:r>
      <w:r w:rsidR="00A7627E">
        <w:rPr>
          <w:shd w:val="clear" w:color="auto" w:fill="FFFFFF"/>
        </w:rPr>
        <w:t>)</w:t>
      </w:r>
      <w:r>
        <w:rPr>
          <w:shd w:val="clear" w:color="auto" w:fill="FFFFFF"/>
        </w:rPr>
        <w:t xml:space="preserve"> for a range of pathogens, not just SARS-CoV-2 alone. This advice applies to both the emergency department setting </w:t>
      </w:r>
      <w:proofErr w:type="gramStart"/>
      <w:r>
        <w:rPr>
          <w:shd w:val="clear" w:color="auto" w:fill="FFFFFF"/>
        </w:rPr>
        <w:t>and also</w:t>
      </w:r>
      <w:proofErr w:type="gramEnd"/>
      <w:r>
        <w:rPr>
          <w:shd w:val="clear" w:color="auto" w:fill="FFFFFF"/>
        </w:rPr>
        <w:t xml:space="preserve"> to the community setting, such as residential aged care facilities, for which several states had developed guidelines that specified at a minimum, testing for SARS-CoV-2, Influenza A and B. Over the December 2022 – January 2023 period, both Tasmania and South Australia provided state-run clinics for respiratory pathogen testing in vulnerable individuals that included SARS-CoV-2, Influenza A and B (plus RSV in Tasmania)</w:t>
      </w:r>
      <w:r>
        <w:rPr>
          <w:rStyle w:val="FootnoteReference"/>
          <w:shd w:val="clear" w:color="auto" w:fill="FFFFFF"/>
        </w:rPr>
        <w:footnoteReference w:id="14"/>
      </w:r>
      <w:r>
        <w:rPr>
          <w:shd w:val="clear" w:color="auto" w:fill="FFFFFF"/>
        </w:rPr>
        <w:t>. This broader testing in those at risk of severe disease would influence decisions about the need for treatment as well as the required duration of any isolation period</w:t>
      </w:r>
      <w:r w:rsidRPr="00637DD4">
        <w:rPr>
          <w:shd w:val="clear" w:color="auto" w:fill="FFFFFF"/>
        </w:rPr>
        <w:t xml:space="preserve">. Whether </w:t>
      </w:r>
      <w:r>
        <w:rPr>
          <w:shd w:val="clear" w:color="auto" w:fill="FFFFFF"/>
        </w:rPr>
        <w:t>a</w:t>
      </w:r>
      <w:r w:rsidRPr="00637DD4">
        <w:rPr>
          <w:shd w:val="clear" w:color="auto" w:fill="FFFFFF"/>
        </w:rPr>
        <w:t xml:space="preserve"> </w:t>
      </w:r>
      <w:r>
        <w:rPr>
          <w:shd w:val="clear" w:color="auto" w:fill="FFFFFF"/>
        </w:rPr>
        <w:t xml:space="preserve">continued single SARS-CoV-2 item is warranted </w:t>
      </w:r>
      <w:r w:rsidRPr="00637DD4">
        <w:rPr>
          <w:shd w:val="clear" w:color="auto" w:fill="FFFFFF"/>
        </w:rPr>
        <w:t>is referred for MSAC’s consideration.</w:t>
      </w:r>
    </w:p>
    <w:p w14:paraId="3BE9DD7E" w14:textId="77777777" w:rsidR="00B01475" w:rsidRDefault="00B01475" w:rsidP="00B01475">
      <w:pPr>
        <w:rPr>
          <w:shd w:val="clear" w:color="auto" w:fill="FFFFFF"/>
        </w:rPr>
      </w:pPr>
      <w:r w:rsidRPr="00637DD4">
        <w:rPr>
          <w:shd w:val="clear" w:color="auto" w:fill="FFFFFF"/>
        </w:rPr>
        <w:t xml:space="preserve">The </w:t>
      </w:r>
      <w:r>
        <w:rPr>
          <w:shd w:val="clear" w:color="auto" w:fill="FFFFFF"/>
        </w:rPr>
        <w:t>temporary items ladder includes panels that</w:t>
      </w:r>
      <w:r w:rsidRPr="00637DD4">
        <w:rPr>
          <w:shd w:val="clear" w:color="auto" w:fill="FFFFFF"/>
        </w:rPr>
        <w:t xml:space="preserve"> are very similar in size and do not map clearly to the commercial test kits available </w:t>
      </w:r>
      <w:r>
        <w:rPr>
          <w:shd w:val="clear" w:color="auto" w:fill="FFFFFF"/>
        </w:rPr>
        <w:t>(</w:t>
      </w:r>
      <w:r w:rsidRPr="00637DD4">
        <w:rPr>
          <w:shd w:val="clear" w:color="auto" w:fill="FFFFFF"/>
        </w:rPr>
        <w:t>making costing differences difficult to determine</w:t>
      </w:r>
      <w:r>
        <w:rPr>
          <w:shd w:val="clear" w:color="auto" w:fill="FFFFFF"/>
        </w:rPr>
        <w:t>)</w:t>
      </w:r>
      <w:r w:rsidRPr="00637DD4">
        <w:rPr>
          <w:shd w:val="clear" w:color="auto" w:fill="FFFFFF"/>
        </w:rPr>
        <w:t xml:space="preserve"> and may be provided as multiple individual tests, and/</w:t>
      </w:r>
      <w:r>
        <w:rPr>
          <w:shd w:val="clear" w:color="auto" w:fill="FFFFFF"/>
        </w:rPr>
        <w:t>or laboratory-developed</w:t>
      </w:r>
      <w:r w:rsidRPr="00637DD4">
        <w:rPr>
          <w:shd w:val="clear" w:color="auto" w:fill="FFFFFF"/>
        </w:rPr>
        <w:t xml:space="preserve"> tests. Neither the HTA group nor Australian Pathology (private pathology providers) could provide separate cost</w:t>
      </w:r>
      <w:r>
        <w:rPr>
          <w:shd w:val="clear" w:color="auto" w:fill="FFFFFF"/>
        </w:rPr>
        <w:t>ing</w:t>
      </w:r>
      <w:r w:rsidRPr="00637DD4">
        <w:rPr>
          <w:shd w:val="clear" w:color="auto" w:fill="FFFFFF"/>
        </w:rPr>
        <w:t xml:space="preserve">s for the </w:t>
      </w:r>
      <w:r>
        <w:rPr>
          <w:shd w:val="clear" w:color="auto" w:fill="FFFFFF"/>
        </w:rPr>
        <w:t>‘</w:t>
      </w:r>
      <w:r w:rsidRPr="00637DD4">
        <w:rPr>
          <w:shd w:val="clear" w:color="auto" w:fill="FFFFFF"/>
        </w:rPr>
        <w:t xml:space="preserve">5-8 </w:t>
      </w:r>
      <w:r>
        <w:rPr>
          <w:shd w:val="clear" w:color="auto" w:fill="FFFFFF"/>
        </w:rPr>
        <w:t xml:space="preserve">tests’ </w:t>
      </w:r>
      <w:r w:rsidRPr="00637DD4">
        <w:rPr>
          <w:shd w:val="clear" w:color="auto" w:fill="FFFFFF"/>
        </w:rPr>
        <w:t xml:space="preserve">and </w:t>
      </w:r>
      <w:r>
        <w:rPr>
          <w:shd w:val="clear" w:color="auto" w:fill="FFFFFF"/>
        </w:rPr>
        <w:t>‘</w:t>
      </w:r>
      <w:r w:rsidRPr="00637DD4">
        <w:rPr>
          <w:shd w:val="clear" w:color="auto" w:fill="FFFFFF"/>
        </w:rPr>
        <w:t xml:space="preserve">9-12 </w:t>
      </w:r>
      <w:r>
        <w:rPr>
          <w:shd w:val="clear" w:color="auto" w:fill="FFFFFF"/>
        </w:rPr>
        <w:t>tests’,</w:t>
      </w:r>
      <w:r w:rsidRPr="00637DD4">
        <w:rPr>
          <w:shd w:val="clear" w:color="auto" w:fill="FFFFFF"/>
        </w:rPr>
        <w:t xml:space="preserve"> with the latter </w:t>
      </w:r>
      <w:r>
        <w:rPr>
          <w:shd w:val="clear" w:color="auto" w:fill="FFFFFF"/>
        </w:rPr>
        <w:t xml:space="preserve">reported to be </w:t>
      </w:r>
      <w:r w:rsidRPr="00637DD4">
        <w:rPr>
          <w:shd w:val="clear" w:color="auto" w:fill="FFFFFF"/>
        </w:rPr>
        <w:t>used uncommonly</w:t>
      </w:r>
      <w:r>
        <w:rPr>
          <w:rStyle w:val="FootnoteReference"/>
          <w:shd w:val="clear" w:color="auto" w:fill="FFFFFF"/>
        </w:rPr>
        <w:footnoteReference w:id="15"/>
      </w:r>
      <w:r>
        <w:rPr>
          <w:shd w:val="clear" w:color="auto" w:fill="FFFFFF"/>
        </w:rPr>
        <w:t>.</w:t>
      </w:r>
    </w:p>
    <w:p w14:paraId="15E2EEE3" w14:textId="77777777" w:rsidR="00B01475" w:rsidRDefault="00B01475" w:rsidP="00B01475">
      <w:pPr>
        <w:rPr>
          <w:shd w:val="clear" w:color="auto" w:fill="FFFFFF"/>
        </w:rPr>
      </w:pPr>
      <w:r w:rsidRPr="00637DD4">
        <w:rPr>
          <w:shd w:val="clear" w:color="auto" w:fill="FFFFFF"/>
        </w:rPr>
        <w:t xml:space="preserve">The apparently random utilisation pattern of </w:t>
      </w:r>
      <w:r>
        <w:rPr>
          <w:shd w:val="clear" w:color="auto" w:fill="FFFFFF"/>
        </w:rPr>
        <w:t xml:space="preserve">the different </w:t>
      </w:r>
      <w:r w:rsidRPr="00637DD4">
        <w:rPr>
          <w:shd w:val="clear" w:color="auto" w:fill="FFFFFF"/>
        </w:rPr>
        <w:t>item</w:t>
      </w:r>
      <w:r>
        <w:rPr>
          <w:shd w:val="clear" w:color="auto" w:fill="FFFFFF"/>
        </w:rPr>
        <w:t>s</w:t>
      </w:r>
      <w:r w:rsidRPr="00637DD4">
        <w:rPr>
          <w:shd w:val="clear" w:color="auto" w:fill="FFFFFF"/>
        </w:rPr>
        <w:t xml:space="preserve"> </w:t>
      </w:r>
      <w:r>
        <w:rPr>
          <w:shd w:val="clear" w:color="auto" w:fill="FFFFFF"/>
        </w:rPr>
        <w:t>across the states and territories, and between public and private laboratories, may reflect the complexity of the current item structure and providers’ choices rather than treating practitioners’ requests.</w:t>
      </w:r>
      <w:r w:rsidRPr="009130FC">
        <w:rPr>
          <w:shd w:val="clear" w:color="auto" w:fill="FFFFFF"/>
        </w:rPr>
        <w:t xml:space="preserve"> </w:t>
      </w:r>
    </w:p>
    <w:p w14:paraId="3DF33236" w14:textId="77777777" w:rsidR="00B01475" w:rsidRPr="009130FC" w:rsidRDefault="00B01475" w:rsidP="00B01475">
      <w:pPr>
        <w:rPr>
          <w:shd w:val="clear" w:color="auto" w:fill="FFFFFF"/>
        </w:rPr>
      </w:pPr>
      <w:r w:rsidRPr="00F71EAE">
        <w:rPr>
          <w:shd w:val="clear" w:color="auto" w:fill="FFFFFF"/>
        </w:rPr>
        <w:t>Based on the average of the HTA group’s cost estimates for a single SARS-CoV-2 test of $43.58, the proposed item 85% benefit would offer a margin of $14.97 per test while the 2-4 pathogen panel test was costed at $66.51 but has a proposed 85% benefit of $63.55 resulting in a gap fee of -$2.96.</w:t>
      </w:r>
    </w:p>
    <w:p w14:paraId="34E0B08F" w14:textId="657F0F05" w:rsidR="00772829" w:rsidRPr="006C3A24" w:rsidRDefault="00CB2E78" w:rsidP="00EA34C6">
      <w:pPr>
        <w:pStyle w:val="Heading2"/>
        <w:numPr>
          <w:ilvl w:val="0"/>
          <w:numId w:val="0"/>
        </w:numPr>
      </w:pPr>
      <w:r>
        <w:t>7</w:t>
      </w:r>
      <w:r w:rsidR="00C36633" w:rsidRPr="006C3A24">
        <w:t>.</w:t>
      </w:r>
      <w:r w:rsidR="00C36633" w:rsidRPr="006C3A24">
        <w:tab/>
      </w:r>
      <w:r w:rsidR="00772829" w:rsidRPr="006C3A24">
        <w:t>Population</w:t>
      </w:r>
      <w:bookmarkEnd w:id="16"/>
      <w:r w:rsidR="00772829" w:rsidRPr="006C3A24">
        <w:t xml:space="preserve"> </w:t>
      </w:r>
    </w:p>
    <w:p w14:paraId="1A955ABC" w14:textId="718317A6" w:rsidR="00AA2695" w:rsidRDefault="002C20A7" w:rsidP="00AA2695">
      <w:r>
        <w:t>The HTA group has defined the population as individuals with symptoms and/or signs suggestive of infection with a respiratory pathogen who require a test for the diagnosis and management of their condition.</w:t>
      </w:r>
      <w:r w:rsidR="00AA2695">
        <w:t xml:space="preserve"> This broader definition is intended to reflect:</w:t>
      </w:r>
    </w:p>
    <w:p w14:paraId="6EC6A9AC" w14:textId="62CDC3A9" w:rsidR="00AA2695" w:rsidRPr="00B85FA4" w:rsidRDefault="00AA2695" w:rsidP="00AA2695">
      <w:pPr>
        <w:pStyle w:val="Bullet"/>
        <w:spacing w:before="0"/>
        <w:ind w:left="360"/>
        <w:rPr>
          <w:rFonts w:ascii="Franklin Gothic Book" w:hAnsi="Franklin Gothic Book"/>
        </w:rPr>
      </w:pPr>
      <w:r w:rsidRPr="00B85FA4">
        <w:rPr>
          <w:rFonts w:ascii="Franklin Gothic Book" w:hAnsi="Franklin Gothic Book"/>
        </w:rPr>
        <w:t xml:space="preserve">That </w:t>
      </w:r>
      <w:r w:rsidR="006D3C9B">
        <w:rPr>
          <w:rFonts w:ascii="Franklin Gothic Book" w:hAnsi="Franklin Gothic Book"/>
        </w:rPr>
        <w:t>patients may present with</w:t>
      </w:r>
      <w:r w:rsidR="006D3C9B" w:rsidRPr="00B85FA4">
        <w:rPr>
          <w:rFonts w:ascii="Franklin Gothic Book" w:hAnsi="Franklin Gothic Book"/>
        </w:rPr>
        <w:t xml:space="preserve"> </w:t>
      </w:r>
      <w:r w:rsidRPr="00B85FA4">
        <w:rPr>
          <w:rFonts w:ascii="Franklin Gothic Book" w:hAnsi="Franklin Gothic Book"/>
        </w:rPr>
        <w:t xml:space="preserve">non-specific respiratory symptoms </w:t>
      </w:r>
      <w:r w:rsidR="00403567">
        <w:rPr>
          <w:rFonts w:ascii="Franklin Gothic Book" w:hAnsi="Franklin Gothic Book"/>
        </w:rPr>
        <w:t xml:space="preserve">due to other </w:t>
      </w:r>
      <w:r w:rsidR="00403567" w:rsidRPr="00B85FA4">
        <w:rPr>
          <w:rFonts w:ascii="Franklin Gothic Book" w:hAnsi="Franklin Gothic Book"/>
        </w:rPr>
        <w:t>medical conditions</w:t>
      </w:r>
      <w:r w:rsidR="00403567">
        <w:rPr>
          <w:rFonts w:ascii="Franklin Gothic Book" w:hAnsi="Franklin Gothic Book"/>
        </w:rPr>
        <w:t>, still</w:t>
      </w:r>
      <w:r w:rsidR="00403567" w:rsidRPr="00B85FA4">
        <w:rPr>
          <w:rFonts w:ascii="Franklin Gothic Book" w:hAnsi="Franklin Gothic Book"/>
        </w:rPr>
        <w:t xml:space="preserve"> </w:t>
      </w:r>
      <w:r w:rsidRPr="00B85FA4">
        <w:rPr>
          <w:rFonts w:ascii="Franklin Gothic Book" w:hAnsi="Franklin Gothic Book"/>
        </w:rPr>
        <w:t xml:space="preserve">requiring exclusion of </w:t>
      </w:r>
      <w:r w:rsidR="007858C7">
        <w:rPr>
          <w:rFonts w:ascii="Franklin Gothic Book" w:hAnsi="Franklin Gothic Book"/>
        </w:rPr>
        <w:t xml:space="preserve">an infective </w:t>
      </w:r>
      <w:proofErr w:type="gramStart"/>
      <w:r w:rsidR="007858C7">
        <w:rPr>
          <w:rFonts w:ascii="Franklin Gothic Book" w:hAnsi="Franklin Gothic Book"/>
        </w:rPr>
        <w:t>cause</w:t>
      </w:r>
      <w:proofErr w:type="gramEnd"/>
    </w:p>
    <w:p w14:paraId="56682158" w14:textId="3DD7F568" w:rsidR="00AA2695" w:rsidRPr="00B85FA4" w:rsidRDefault="00AA2695" w:rsidP="00AA2695">
      <w:pPr>
        <w:pStyle w:val="Bullet"/>
        <w:spacing w:before="0"/>
        <w:ind w:left="360"/>
        <w:rPr>
          <w:rFonts w:ascii="Franklin Gothic Book" w:hAnsi="Franklin Gothic Book"/>
        </w:rPr>
      </w:pPr>
      <w:r w:rsidRPr="00B85FA4">
        <w:rPr>
          <w:rFonts w:ascii="Franklin Gothic Book" w:hAnsi="Franklin Gothic Book"/>
        </w:rPr>
        <w:t xml:space="preserve">That there are a range of respiratory pathogens, including but not limited to </w:t>
      </w:r>
      <w:proofErr w:type="gramStart"/>
      <w:r w:rsidRPr="00B85FA4">
        <w:rPr>
          <w:rFonts w:ascii="Franklin Gothic Book" w:hAnsi="Franklin Gothic Book"/>
        </w:rPr>
        <w:t>viruses</w:t>
      </w:r>
      <w:proofErr w:type="gramEnd"/>
      <w:r w:rsidRPr="00B85FA4">
        <w:rPr>
          <w:rFonts w:ascii="Franklin Gothic Book" w:hAnsi="Franklin Gothic Book"/>
        </w:rPr>
        <w:t xml:space="preserve"> </w:t>
      </w:r>
    </w:p>
    <w:p w14:paraId="73D42287" w14:textId="0E79660E" w:rsidR="00AA2695" w:rsidRPr="00B85FA4" w:rsidRDefault="00AA2695" w:rsidP="00AA2695">
      <w:pPr>
        <w:pStyle w:val="Bullet"/>
        <w:spacing w:before="0"/>
        <w:ind w:left="360"/>
        <w:rPr>
          <w:rFonts w:ascii="Franklin Gothic Book" w:hAnsi="Franklin Gothic Book"/>
        </w:rPr>
      </w:pPr>
      <w:r w:rsidRPr="00B85FA4">
        <w:rPr>
          <w:rFonts w:ascii="Franklin Gothic Book" w:hAnsi="Franklin Gothic Book"/>
        </w:rPr>
        <w:t xml:space="preserve">That </w:t>
      </w:r>
      <w:r w:rsidR="004D3524">
        <w:rPr>
          <w:rFonts w:ascii="Franklin Gothic Book" w:hAnsi="Franklin Gothic Book"/>
        </w:rPr>
        <w:t>SARS-CoV-2</w:t>
      </w:r>
      <w:r w:rsidRPr="00B85FA4">
        <w:rPr>
          <w:rFonts w:ascii="Franklin Gothic Book" w:hAnsi="Franklin Gothic Book"/>
        </w:rPr>
        <w:t xml:space="preserve"> is just one of many respiratory pathogens for which there are effective </w:t>
      </w:r>
      <w:proofErr w:type="gramStart"/>
      <w:r w:rsidRPr="00B85FA4">
        <w:rPr>
          <w:rFonts w:ascii="Franklin Gothic Book" w:hAnsi="Franklin Gothic Book"/>
        </w:rPr>
        <w:t>treatments</w:t>
      </w:r>
      <w:proofErr w:type="gramEnd"/>
      <w:r w:rsidRPr="00B85FA4">
        <w:rPr>
          <w:rFonts w:ascii="Franklin Gothic Book" w:hAnsi="Franklin Gothic Book"/>
        </w:rPr>
        <w:t xml:space="preserve"> and which require infection and prevention control measures</w:t>
      </w:r>
    </w:p>
    <w:p w14:paraId="2C3D9506" w14:textId="7EDE7C28" w:rsidR="00AA2695" w:rsidRPr="00B85FA4" w:rsidRDefault="00AA2695" w:rsidP="00CB2E78">
      <w:pPr>
        <w:pStyle w:val="Bullet"/>
        <w:numPr>
          <w:ilvl w:val="1"/>
          <w:numId w:val="5"/>
        </w:numPr>
        <w:spacing w:before="0"/>
        <w:ind w:left="993" w:hanging="426"/>
        <w:rPr>
          <w:rFonts w:ascii="Franklin Gothic Book" w:hAnsi="Franklin Gothic Book"/>
        </w:rPr>
      </w:pPr>
      <w:r w:rsidRPr="00B85FA4">
        <w:rPr>
          <w:rFonts w:ascii="Franklin Gothic Book" w:hAnsi="Franklin Gothic Book"/>
        </w:rPr>
        <w:t xml:space="preserve">For 2024 onwards (the timeframe for the predicted utilisation in this application), </w:t>
      </w:r>
      <w:r w:rsidR="00E925F5" w:rsidRPr="00B85FA4">
        <w:rPr>
          <w:rFonts w:ascii="Franklin Gothic Book" w:hAnsi="Franklin Gothic Book"/>
        </w:rPr>
        <w:t xml:space="preserve">there are not yet any </w:t>
      </w:r>
      <w:r w:rsidRPr="00B85FA4">
        <w:rPr>
          <w:rFonts w:ascii="Franklin Gothic Book" w:hAnsi="Franklin Gothic Book"/>
        </w:rPr>
        <w:t xml:space="preserve">national public health advice, </w:t>
      </w:r>
      <w:proofErr w:type="gramStart"/>
      <w:r w:rsidRPr="00B85FA4">
        <w:rPr>
          <w:rFonts w:ascii="Franklin Gothic Book" w:hAnsi="Franklin Gothic Book"/>
        </w:rPr>
        <w:t>strategies</w:t>
      </w:r>
      <w:proofErr w:type="gramEnd"/>
      <w:r w:rsidRPr="00B85FA4">
        <w:rPr>
          <w:rFonts w:ascii="Franklin Gothic Book" w:hAnsi="Franklin Gothic Book"/>
        </w:rPr>
        <w:t xml:space="preserve"> and documents </w:t>
      </w:r>
      <w:r w:rsidR="00E925F5" w:rsidRPr="00B85FA4">
        <w:rPr>
          <w:rFonts w:ascii="Franklin Gothic Book" w:hAnsi="Franklin Gothic Book"/>
        </w:rPr>
        <w:t>available regarding the approach to ARI in the community apart from high-risk settings</w:t>
      </w:r>
      <w:r w:rsidRPr="00B85FA4">
        <w:rPr>
          <w:rFonts w:ascii="Franklin Gothic Book" w:hAnsi="Franklin Gothic Book"/>
        </w:rPr>
        <w:t xml:space="preserve">. </w:t>
      </w:r>
      <w:r w:rsidR="007858C7">
        <w:rPr>
          <w:rFonts w:ascii="Franklin Gothic Book" w:hAnsi="Franklin Gothic Book"/>
        </w:rPr>
        <w:t>The statistics for hospital admissions with influenza indicate that other infections carry a high risk of severe outcomes,</w:t>
      </w:r>
      <w:r w:rsidR="008624CD">
        <w:rPr>
          <w:rFonts w:ascii="Franklin Gothic Book" w:hAnsi="Franklin Gothic Book"/>
        </w:rPr>
        <w:t xml:space="preserve"> </w:t>
      </w:r>
      <w:r w:rsidR="007858C7">
        <w:rPr>
          <w:rFonts w:ascii="Franklin Gothic Book" w:hAnsi="Franklin Gothic Book"/>
        </w:rPr>
        <w:t>not just COVID-19</w:t>
      </w:r>
      <w:r w:rsidR="00E925F5" w:rsidRPr="00B85FA4">
        <w:rPr>
          <w:rFonts w:ascii="Franklin Gothic Book" w:hAnsi="Franklin Gothic Book"/>
        </w:rPr>
        <w:t>:</w:t>
      </w:r>
    </w:p>
    <w:p w14:paraId="518AC3F2" w14:textId="77777777" w:rsidR="00AA2695" w:rsidRPr="00B85FA4" w:rsidRDefault="00AA2695" w:rsidP="00CB2E78">
      <w:pPr>
        <w:pStyle w:val="Bullet"/>
        <w:numPr>
          <w:ilvl w:val="2"/>
          <w:numId w:val="5"/>
        </w:numPr>
        <w:spacing w:before="0"/>
        <w:ind w:left="1843" w:hanging="425"/>
        <w:rPr>
          <w:rFonts w:ascii="Franklin Gothic Book" w:hAnsi="Franklin Gothic Book"/>
          <w:b/>
        </w:rPr>
      </w:pPr>
      <w:r w:rsidRPr="00B85FA4">
        <w:rPr>
          <w:rFonts w:ascii="Franklin Gothic Book" w:hAnsi="Franklin Gothic Book"/>
        </w:rPr>
        <w:t xml:space="preserve">In 2022, children aged 5–9 years had the highest influenza notification rates during the reporting period, followed by children younger than 5 years. The notification rate was lowest among adults aged 70–74 years. Of the 1,832 patients with confirmed influenza admitted to sentinel hospitals, 55.8% were </w:t>
      </w:r>
      <w:r w:rsidRPr="00B85FA4">
        <w:rPr>
          <w:rFonts w:ascii="Franklin Gothic Book" w:hAnsi="Franklin Gothic Book"/>
        </w:rPr>
        <w:lastRenderedPageBreak/>
        <w:t>children aged younger than 16 years, 24.3% were adults aged 16 to 64 years, and 19.9% were adults aged 65 years or older</w:t>
      </w:r>
      <w:r w:rsidRPr="00B85FA4">
        <w:rPr>
          <w:rStyle w:val="FootnoteReference"/>
          <w:rFonts w:ascii="Franklin Gothic Book" w:hAnsi="Franklin Gothic Book"/>
        </w:rPr>
        <w:footnoteReference w:id="16"/>
      </w:r>
      <w:r w:rsidRPr="00B85FA4">
        <w:rPr>
          <w:rFonts w:ascii="Franklin Gothic Book" w:hAnsi="Franklin Gothic Book"/>
        </w:rPr>
        <w:t>.</w:t>
      </w:r>
    </w:p>
    <w:p w14:paraId="538C00AA" w14:textId="28D4D1BE" w:rsidR="00AA2695" w:rsidRPr="001D278E" w:rsidRDefault="00AA2695" w:rsidP="00CB2E78">
      <w:pPr>
        <w:pStyle w:val="Bullet"/>
        <w:numPr>
          <w:ilvl w:val="1"/>
          <w:numId w:val="5"/>
        </w:numPr>
        <w:spacing w:before="0"/>
        <w:ind w:left="993" w:hanging="426"/>
        <w:rPr>
          <w:rFonts w:ascii="Franklin Gothic Book" w:hAnsi="Franklin Gothic Book"/>
        </w:rPr>
      </w:pPr>
      <w:r w:rsidRPr="00B85FA4">
        <w:rPr>
          <w:rFonts w:ascii="Franklin Gothic Book" w:hAnsi="Franklin Gothic Book"/>
        </w:rPr>
        <w:t>The population and scope of testing required varies by scenario, only some of which are Medicare-</w:t>
      </w:r>
      <w:proofErr w:type="spellStart"/>
      <w:r w:rsidRPr="00B85FA4">
        <w:rPr>
          <w:rFonts w:ascii="Franklin Gothic Book" w:hAnsi="Franklin Gothic Book"/>
        </w:rPr>
        <w:t>rebatable</w:t>
      </w:r>
      <w:proofErr w:type="spellEnd"/>
      <w:r w:rsidRPr="00B85FA4">
        <w:rPr>
          <w:rFonts w:ascii="Franklin Gothic Book" w:hAnsi="Franklin Gothic Book"/>
        </w:rPr>
        <w:t xml:space="preserve"> e.g., for treatment and </w:t>
      </w:r>
      <w:proofErr w:type="spellStart"/>
      <w:r w:rsidRPr="00B85FA4">
        <w:rPr>
          <w:rFonts w:ascii="Franklin Gothic Book" w:hAnsi="Franklin Gothic Book"/>
        </w:rPr>
        <w:t>cohorting</w:t>
      </w:r>
      <w:proofErr w:type="spellEnd"/>
      <w:r w:rsidRPr="00B85FA4">
        <w:rPr>
          <w:rFonts w:ascii="Franklin Gothic Book" w:hAnsi="Franklin Gothic Book"/>
        </w:rPr>
        <w:t xml:space="preserve"> of care facility residents based on infection status (Medicare-</w:t>
      </w:r>
      <w:proofErr w:type="spellStart"/>
      <w:r w:rsidRPr="00B85FA4">
        <w:rPr>
          <w:rFonts w:ascii="Franklin Gothic Book" w:hAnsi="Franklin Gothic Book"/>
        </w:rPr>
        <w:t>rebatable</w:t>
      </w:r>
      <w:proofErr w:type="spellEnd"/>
      <w:r w:rsidRPr="00B85FA4">
        <w:rPr>
          <w:rFonts w:ascii="Franklin Gothic Book" w:hAnsi="Franklin Gothic Book"/>
        </w:rPr>
        <w:t>), to detect a notifiable disease then screen the wider community with Medicare-</w:t>
      </w:r>
      <w:proofErr w:type="spellStart"/>
      <w:r w:rsidRPr="00B85FA4">
        <w:rPr>
          <w:rFonts w:ascii="Franklin Gothic Book" w:hAnsi="Franklin Gothic Book"/>
        </w:rPr>
        <w:t>rebatable</w:t>
      </w:r>
      <w:proofErr w:type="spellEnd"/>
      <w:r w:rsidRPr="00B85FA4">
        <w:rPr>
          <w:rFonts w:ascii="Franklin Gothic Book" w:hAnsi="Franklin Gothic Book"/>
        </w:rPr>
        <w:t xml:space="preserve"> testing. A key population requiring rapid testing are patients wit</w:t>
      </w:r>
      <w:r w:rsidR="00C44149" w:rsidRPr="00B85FA4">
        <w:rPr>
          <w:rFonts w:ascii="Franklin Gothic Book" w:hAnsi="Franklin Gothic Book"/>
        </w:rPr>
        <w:t>h</w:t>
      </w:r>
      <w:r w:rsidRPr="00B85FA4">
        <w:rPr>
          <w:rFonts w:ascii="Franklin Gothic Book" w:hAnsi="Franklin Gothic Book"/>
        </w:rPr>
        <w:t xml:space="preserve"> respiratory symptoms in emergency departments requiring admission to hospital, but this is not </w:t>
      </w:r>
      <w:r w:rsidR="006A04CA" w:rsidRPr="00B85FA4">
        <w:rPr>
          <w:rFonts w:ascii="Franklin Gothic Book" w:hAnsi="Franklin Gothic Book"/>
        </w:rPr>
        <w:t xml:space="preserve">a </w:t>
      </w:r>
      <w:r w:rsidRPr="00B85FA4">
        <w:rPr>
          <w:rFonts w:ascii="Franklin Gothic Book" w:hAnsi="Franklin Gothic Book"/>
        </w:rPr>
        <w:t>Medicare-</w:t>
      </w:r>
      <w:proofErr w:type="spellStart"/>
      <w:r w:rsidRPr="00B85FA4">
        <w:rPr>
          <w:rFonts w:ascii="Franklin Gothic Book" w:hAnsi="Franklin Gothic Book"/>
        </w:rPr>
        <w:t>rebatable</w:t>
      </w:r>
      <w:proofErr w:type="spellEnd"/>
      <w:r w:rsidR="006A04CA" w:rsidRPr="00B85FA4">
        <w:rPr>
          <w:rFonts w:ascii="Franklin Gothic Book" w:hAnsi="Franklin Gothic Book"/>
        </w:rPr>
        <w:t xml:space="preserve"> service</w:t>
      </w:r>
      <w:r w:rsidRPr="00B85FA4">
        <w:rPr>
          <w:rFonts w:ascii="Franklin Gothic Book" w:hAnsi="Franklin Gothic Book"/>
        </w:rPr>
        <w:t>.</w:t>
      </w:r>
    </w:p>
    <w:p w14:paraId="24F929B3" w14:textId="47310679" w:rsidR="00AA2695" w:rsidRPr="001D278E" w:rsidRDefault="00E925F5" w:rsidP="001D278E">
      <w:pPr>
        <w:rPr>
          <w:shd w:val="clear" w:color="auto" w:fill="FFFFFF"/>
        </w:rPr>
      </w:pPr>
      <w:r w:rsidRPr="001D278E">
        <w:rPr>
          <w:shd w:val="clear" w:color="auto" w:fill="FFFFFF"/>
        </w:rPr>
        <w:t>Testing</w:t>
      </w:r>
      <w:r w:rsidR="00AA2695" w:rsidRPr="001D278E">
        <w:rPr>
          <w:shd w:val="clear" w:color="auto" w:fill="FFFFFF"/>
        </w:rPr>
        <w:t xml:space="preserve"> </w:t>
      </w:r>
      <w:r w:rsidR="00AA0812" w:rsidRPr="001D278E">
        <w:rPr>
          <w:shd w:val="clear" w:color="auto" w:fill="FFFFFF"/>
        </w:rPr>
        <w:t>that is primarily</w:t>
      </w:r>
      <w:r w:rsidR="00AA2695" w:rsidRPr="001D278E">
        <w:rPr>
          <w:shd w:val="clear" w:color="auto" w:fill="FFFFFF"/>
        </w:rPr>
        <w:t xml:space="preserve"> for broader public health purposes</w:t>
      </w:r>
      <w:r w:rsidR="00AA0812" w:rsidRPr="001D278E">
        <w:rPr>
          <w:shd w:val="clear" w:color="auto" w:fill="FFFFFF"/>
        </w:rPr>
        <w:t xml:space="preserve"> is not Medicare-</w:t>
      </w:r>
      <w:proofErr w:type="spellStart"/>
      <w:r w:rsidR="00AA0812" w:rsidRPr="001D278E">
        <w:rPr>
          <w:shd w:val="clear" w:color="auto" w:fill="FFFFFF"/>
        </w:rPr>
        <w:t>rebatable</w:t>
      </w:r>
      <w:proofErr w:type="spellEnd"/>
      <w:r w:rsidR="00AA2695" w:rsidRPr="001D278E">
        <w:rPr>
          <w:shd w:val="clear" w:color="auto" w:fill="FFFFFF"/>
        </w:rPr>
        <w:t xml:space="preserve"> (e.g., surveillance activities including whole genome sequencing </w:t>
      </w:r>
      <w:r w:rsidR="00AA0812" w:rsidRPr="001D278E">
        <w:rPr>
          <w:shd w:val="clear" w:color="auto" w:fill="FFFFFF"/>
        </w:rPr>
        <w:t xml:space="preserve">for variant detection </w:t>
      </w:r>
      <w:r w:rsidR="00AA2695" w:rsidRPr="001D278E">
        <w:rPr>
          <w:shd w:val="clear" w:color="auto" w:fill="FFFFFF"/>
        </w:rPr>
        <w:t>performed on a subset of the samples testing positive)</w:t>
      </w:r>
      <w:r w:rsidR="00AA0812" w:rsidRPr="001D278E">
        <w:rPr>
          <w:shd w:val="clear" w:color="auto" w:fill="FFFFFF"/>
        </w:rPr>
        <w:t xml:space="preserve">. This remains </w:t>
      </w:r>
      <w:r w:rsidR="00AA2695" w:rsidRPr="001D278E">
        <w:rPr>
          <w:shd w:val="clear" w:color="auto" w:fill="FFFFFF"/>
        </w:rPr>
        <w:t>the responsibility of state and territory public health testing sites and therefore</w:t>
      </w:r>
      <w:r w:rsidR="004D3393">
        <w:rPr>
          <w:shd w:val="clear" w:color="auto" w:fill="FFFFFF"/>
        </w:rPr>
        <w:t xml:space="preserve"> was</w:t>
      </w:r>
      <w:r w:rsidR="00AA2695" w:rsidRPr="001D278E">
        <w:rPr>
          <w:shd w:val="clear" w:color="auto" w:fill="FFFFFF"/>
        </w:rPr>
        <w:t xml:space="preserve"> out of scope</w:t>
      </w:r>
      <w:r w:rsidR="00D32D27" w:rsidRPr="001D278E">
        <w:rPr>
          <w:shd w:val="clear" w:color="auto" w:fill="FFFFFF"/>
        </w:rPr>
        <w:t xml:space="preserve"> for this assessment</w:t>
      </w:r>
      <w:r w:rsidR="00AA2695" w:rsidRPr="001D278E">
        <w:rPr>
          <w:shd w:val="clear" w:color="auto" w:fill="FFFFFF"/>
        </w:rPr>
        <w:t xml:space="preserve">. </w:t>
      </w:r>
    </w:p>
    <w:p w14:paraId="66BDFCC1" w14:textId="26629B05" w:rsidR="00772829" w:rsidRPr="00CE28E3" w:rsidRDefault="00CB2E78" w:rsidP="002A18BE">
      <w:pPr>
        <w:pStyle w:val="Heading2"/>
        <w:numPr>
          <w:ilvl w:val="0"/>
          <w:numId w:val="0"/>
        </w:numPr>
      </w:pPr>
      <w:bookmarkStart w:id="18" w:name="_Toc133832622"/>
      <w:r>
        <w:t>8</w:t>
      </w:r>
      <w:r w:rsidR="00C36633" w:rsidRPr="007930CD">
        <w:t>.</w:t>
      </w:r>
      <w:r w:rsidR="00C36633" w:rsidRPr="007930CD">
        <w:tab/>
      </w:r>
      <w:r w:rsidR="00772829" w:rsidRPr="007930CD">
        <w:t>Comparator</w:t>
      </w:r>
      <w:bookmarkEnd w:id="18"/>
    </w:p>
    <w:p w14:paraId="6326B14A" w14:textId="09BC3B06" w:rsidR="008004F2" w:rsidRDefault="008004F2" w:rsidP="008004F2">
      <w:r>
        <w:t xml:space="preserve">If the temporary items for </w:t>
      </w:r>
      <w:r w:rsidRPr="002B5F6F">
        <w:t>SARS-CoV-2 testing cease on 31 December 2023</w:t>
      </w:r>
      <w:r>
        <w:t>, then</w:t>
      </w:r>
      <w:r w:rsidRPr="002B5F6F">
        <w:t xml:space="preserve"> testing for suspected SARS-CoV-2, </w:t>
      </w:r>
      <w:r>
        <w:t>with or without</w:t>
      </w:r>
      <w:r w:rsidRPr="002B5F6F">
        <w:t xml:space="preserve"> other respiratory pathogens </w:t>
      </w:r>
      <w:r w:rsidR="00C47B1C">
        <w:t xml:space="preserve">will </w:t>
      </w:r>
      <w:r>
        <w:t xml:space="preserve">be performed </w:t>
      </w:r>
      <w:r w:rsidRPr="002B5F6F">
        <w:t xml:space="preserve">using the generic permanent MBS items for nucleic acid testing </w:t>
      </w:r>
      <w:r w:rsidR="00516FF3">
        <w:t>(</w:t>
      </w:r>
      <w:r w:rsidR="00CB6A4B">
        <w:fldChar w:fldCharType="begin"/>
      </w:r>
      <w:r w:rsidR="00CB6A4B">
        <w:instrText xml:space="preserve"> REF _Ref130559566 \h </w:instrText>
      </w:r>
      <w:r w:rsidR="00CB6A4B">
        <w:fldChar w:fldCharType="separate"/>
      </w:r>
      <w:r w:rsidR="00525416">
        <w:t xml:space="preserve">Table </w:t>
      </w:r>
      <w:r w:rsidR="00525416">
        <w:rPr>
          <w:noProof/>
        </w:rPr>
        <w:t>7</w:t>
      </w:r>
      <w:r w:rsidR="00CB6A4B">
        <w:fldChar w:fldCharType="end"/>
      </w:r>
      <w:r w:rsidR="00516FF3">
        <w:t>)</w:t>
      </w:r>
      <w:r>
        <w:t xml:space="preserve">. Therefore, these </w:t>
      </w:r>
      <w:r w:rsidR="00214BC9">
        <w:t xml:space="preserve">items </w:t>
      </w:r>
      <w:r>
        <w:t>are the comparator.</w:t>
      </w:r>
    </w:p>
    <w:p w14:paraId="5E6C44EA" w14:textId="7A7E26E4" w:rsidR="008004F2" w:rsidRDefault="008004F2" w:rsidP="008004F2">
      <w:pPr>
        <w:pStyle w:val="Caption"/>
      </w:pPr>
      <w:bookmarkStart w:id="19" w:name="_Ref130559566"/>
      <w:r>
        <w:t xml:space="preserve">Table </w:t>
      </w:r>
      <w:r>
        <w:fldChar w:fldCharType="begin"/>
      </w:r>
      <w:r>
        <w:instrText>SEQ Table \* ARABIC</w:instrText>
      </w:r>
      <w:r>
        <w:fldChar w:fldCharType="separate"/>
      </w:r>
      <w:r w:rsidR="00525416">
        <w:rPr>
          <w:noProof/>
        </w:rPr>
        <w:t>7</w:t>
      </w:r>
      <w:r>
        <w:fldChar w:fldCharType="end"/>
      </w:r>
      <w:bookmarkEnd w:id="19"/>
      <w:r w:rsidRPr="008A1B25">
        <w:t xml:space="preserve"> </w:t>
      </w:r>
      <w:r>
        <w:t>Item descriptors for the comparator – current permanent generic nucleic acid amplification test (NAAT) items 69494-69496</w:t>
      </w:r>
      <w:r w:rsidR="00C3727C">
        <w:t xml:space="preserve"> (option 3)</w:t>
      </w:r>
    </w:p>
    <w:tbl>
      <w:tblPr>
        <w:tblStyle w:val="TableGrid"/>
        <w:tblW w:w="9016" w:type="dxa"/>
        <w:tblLook w:val="04A0" w:firstRow="1" w:lastRow="0" w:firstColumn="1" w:lastColumn="0" w:noHBand="0" w:noVBand="1"/>
      </w:tblPr>
      <w:tblGrid>
        <w:gridCol w:w="4508"/>
        <w:gridCol w:w="4508"/>
      </w:tblGrid>
      <w:tr w:rsidR="00274F2B" w:rsidRPr="0001290C" w14:paraId="7E052686" w14:textId="77777777" w:rsidTr="00274F2B">
        <w:trPr>
          <w:cantSplit/>
          <w:trHeight w:val="350"/>
          <w:tblHeader/>
        </w:trPr>
        <w:tc>
          <w:tcPr>
            <w:tcW w:w="4508" w:type="dxa"/>
          </w:tcPr>
          <w:p w14:paraId="45B0AD82" w14:textId="77777777" w:rsidR="00274F2B" w:rsidRPr="00DD12E0" w:rsidRDefault="00274F2B" w:rsidP="00650385">
            <w:pPr>
              <w:pStyle w:val="TableFigureHeading"/>
              <w:rPr>
                <w:rFonts w:asciiTheme="minorHAnsi" w:hAnsiTheme="minorHAnsi" w:cstheme="minorHAnsi"/>
              </w:rPr>
            </w:pPr>
            <w:r w:rsidRPr="00DD12E0">
              <w:t xml:space="preserve">Category 6 – PATHOLOGY SERVICE </w:t>
            </w:r>
            <w:r w:rsidRPr="00DD12E0">
              <w:tab/>
              <w:t xml:space="preserve">                                                                     </w:t>
            </w:r>
          </w:p>
        </w:tc>
        <w:tc>
          <w:tcPr>
            <w:tcW w:w="4508" w:type="dxa"/>
          </w:tcPr>
          <w:p w14:paraId="25FD35C9" w14:textId="77777777" w:rsidR="00274F2B" w:rsidRPr="00AA0FEE" w:rsidRDefault="00274F2B" w:rsidP="00650385">
            <w:pPr>
              <w:pStyle w:val="TableFigureHeading"/>
              <w:rPr>
                <w:rFonts w:asciiTheme="minorHAnsi" w:hAnsiTheme="minorHAnsi" w:cstheme="minorHAnsi"/>
              </w:rPr>
            </w:pPr>
            <w:r w:rsidRPr="00AA0FEE">
              <w:t xml:space="preserve">Group </w:t>
            </w:r>
            <w:r w:rsidRPr="00532690">
              <w:t>P3 - Microbiology</w:t>
            </w:r>
          </w:p>
        </w:tc>
      </w:tr>
      <w:tr w:rsidR="008004F2" w:rsidRPr="00465DC4" w14:paraId="793A9E8B" w14:textId="77777777" w:rsidTr="00274F2B">
        <w:tc>
          <w:tcPr>
            <w:tcW w:w="9016" w:type="dxa"/>
            <w:gridSpan w:val="2"/>
          </w:tcPr>
          <w:p w14:paraId="4642762F" w14:textId="77777777" w:rsidR="008004F2" w:rsidRPr="00465DC4" w:rsidRDefault="008004F2" w:rsidP="0019128E">
            <w:pPr>
              <w:rPr>
                <w:rFonts w:ascii="Arial Narrow" w:hAnsi="Arial Narrow"/>
                <w:b/>
                <w:bCs/>
                <w:sz w:val="20"/>
                <w:szCs w:val="20"/>
              </w:rPr>
            </w:pPr>
            <w:r w:rsidRPr="00465DC4">
              <w:rPr>
                <w:rFonts w:ascii="Arial Narrow" w:hAnsi="Arial Narrow"/>
                <w:b/>
                <w:bCs/>
                <w:sz w:val="20"/>
                <w:szCs w:val="20"/>
              </w:rPr>
              <w:t>69494</w:t>
            </w:r>
          </w:p>
          <w:p w14:paraId="7EBCBE57" w14:textId="77777777" w:rsidR="008004F2" w:rsidRPr="00465DC4" w:rsidRDefault="008004F2" w:rsidP="0019128E">
            <w:pPr>
              <w:rPr>
                <w:rFonts w:ascii="Arial Narrow" w:hAnsi="Arial Narrow"/>
                <w:sz w:val="20"/>
                <w:szCs w:val="20"/>
              </w:rPr>
            </w:pPr>
            <w:r w:rsidRPr="00465DC4">
              <w:rPr>
                <w:rFonts w:ascii="Arial Narrow" w:hAnsi="Arial Narrow"/>
                <w:sz w:val="20"/>
                <w:szCs w:val="20"/>
              </w:rPr>
              <w:t>Detection of a virus or microbial antigen or microbial nucleic acid (not elsewhere specified).</w:t>
            </w:r>
          </w:p>
          <w:p w14:paraId="6BBF1D58" w14:textId="66093694" w:rsidR="008004F2" w:rsidRPr="001D278E" w:rsidRDefault="008004F2" w:rsidP="0019128E">
            <w:pPr>
              <w:rPr>
                <w:rFonts w:ascii="Arial Narrow" w:hAnsi="Arial Narrow"/>
                <w:b/>
                <w:bCs/>
                <w:sz w:val="20"/>
                <w:szCs w:val="20"/>
              </w:rPr>
            </w:pPr>
            <w:r w:rsidRPr="00465DC4">
              <w:rPr>
                <w:rFonts w:ascii="Arial Narrow" w:hAnsi="Arial Narrow"/>
                <w:sz w:val="20"/>
                <w:szCs w:val="20"/>
              </w:rPr>
              <w:t>1 test</w:t>
            </w:r>
          </w:p>
          <w:p w14:paraId="1DD59DAD" w14:textId="77777777" w:rsidR="008004F2" w:rsidRPr="00465DC4" w:rsidRDefault="008004F2" w:rsidP="0019128E">
            <w:pPr>
              <w:rPr>
                <w:rFonts w:ascii="Arial Narrow" w:hAnsi="Arial Narrow"/>
                <w:sz w:val="20"/>
                <w:szCs w:val="20"/>
              </w:rPr>
            </w:pPr>
            <w:r w:rsidRPr="00465DC4">
              <w:rPr>
                <w:rFonts w:ascii="Arial Narrow" w:hAnsi="Arial Narrow"/>
                <w:sz w:val="20"/>
                <w:szCs w:val="20"/>
              </w:rPr>
              <w:t>MBS Fee: $28.65</w:t>
            </w:r>
          </w:p>
          <w:p w14:paraId="270EAE1F" w14:textId="77777777" w:rsidR="008004F2" w:rsidRPr="00465DC4" w:rsidRDefault="008004F2" w:rsidP="001D278E">
            <w:pPr>
              <w:spacing w:before="0"/>
              <w:rPr>
                <w:rFonts w:ascii="Arial Narrow" w:hAnsi="Arial Narrow"/>
                <w:sz w:val="20"/>
                <w:szCs w:val="20"/>
              </w:rPr>
            </w:pPr>
            <w:r w:rsidRPr="00465DC4">
              <w:rPr>
                <w:rFonts w:ascii="Arial Narrow" w:hAnsi="Arial Narrow"/>
                <w:sz w:val="20"/>
                <w:szCs w:val="20"/>
              </w:rPr>
              <w:t>Benefit: 75% = $21.50 85% = $24.40</w:t>
            </w:r>
          </w:p>
        </w:tc>
      </w:tr>
      <w:tr w:rsidR="008004F2" w:rsidRPr="00465DC4" w14:paraId="4A705B70" w14:textId="77777777" w:rsidTr="00274F2B">
        <w:tc>
          <w:tcPr>
            <w:tcW w:w="9016" w:type="dxa"/>
            <w:gridSpan w:val="2"/>
          </w:tcPr>
          <w:p w14:paraId="58E13F0B" w14:textId="77777777" w:rsidR="008004F2" w:rsidRPr="00465DC4" w:rsidRDefault="008004F2" w:rsidP="0019128E">
            <w:pPr>
              <w:rPr>
                <w:rFonts w:ascii="Arial Narrow" w:hAnsi="Arial Narrow"/>
                <w:b/>
                <w:bCs/>
                <w:sz w:val="20"/>
                <w:szCs w:val="20"/>
              </w:rPr>
            </w:pPr>
            <w:r w:rsidRPr="00465DC4">
              <w:rPr>
                <w:rFonts w:ascii="Arial Narrow" w:hAnsi="Arial Narrow"/>
                <w:b/>
                <w:bCs/>
                <w:sz w:val="20"/>
                <w:szCs w:val="20"/>
              </w:rPr>
              <w:t>69495</w:t>
            </w:r>
          </w:p>
          <w:p w14:paraId="2D85A7F3" w14:textId="09C4D369" w:rsidR="008004F2" w:rsidRPr="001D278E" w:rsidRDefault="008004F2" w:rsidP="0019128E">
            <w:pPr>
              <w:rPr>
                <w:rFonts w:ascii="Arial Narrow" w:hAnsi="Arial Narrow"/>
                <w:sz w:val="20"/>
                <w:szCs w:val="20"/>
              </w:rPr>
            </w:pPr>
            <w:r w:rsidRPr="00465DC4">
              <w:rPr>
                <w:rFonts w:ascii="Arial Narrow" w:hAnsi="Arial Narrow"/>
                <w:sz w:val="20"/>
                <w:szCs w:val="20"/>
              </w:rPr>
              <w:t xml:space="preserve">2 tests described in </w:t>
            </w:r>
            <w:proofErr w:type="gramStart"/>
            <w:r w:rsidRPr="00465DC4">
              <w:rPr>
                <w:rFonts w:ascii="Arial Narrow" w:hAnsi="Arial Narrow"/>
                <w:sz w:val="20"/>
                <w:szCs w:val="20"/>
              </w:rPr>
              <w:t>69494</w:t>
            </w:r>
            <w:proofErr w:type="gramEnd"/>
          </w:p>
          <w:p w14:paraId="7B88CEBE" w14:textId="77777777" w:rsidR="008004F2" w:rsidRPr="00465DC4" w:rsidRDefault="008004F2" w:rsidP="0019128E">
            <w:pPr>
              <w:rPr>
                <w:rFonts w:ascii="Arial Narrow" w:hAnsi="Arial Narrow"/>
                <w:b/>
                <w:bCs/>
                <w:sz w:val="20"/>
                <w:szCs w:val="20"/>
              </w:rPr>
            </w:pPr>
            <w:r w:rsidRPr="00465DC4">
              <w:rPr>
                <w:rFonts w:ascii="Arial Narrow" w:hAnsi="Arial Narrow"/>
                <w:sz w:val="20"/>
                <w:szCs w:val="20"/>
              </w:rPr>
              <w:t>MBS fee: $35.85</w:t>
            </w:r>
            <w:r w:rsidRPr="00465DC4">
              <w:rPr>
                <w:rFonts w:ascii="Arial Narrow" w:hAnsi="Arial Narrow"/>
                <w:sz w:val="20"/>
                <w:szCs w:val="20"/>
              </w:rPr>
              <w:br/>
              <w:t>Benefit: 75% = $26.90</w:t>
            </w:r>
            <w:r>
              <w:rPr>
                <w:rFonts w:ascii="Arial Narrow" w:hAnsi="Arial Narrow"/>
                <w:sz w:val="20"/>
                <w:szCs w:val="20"/>
              </w:rPr>
              <w:t xml:space="preserve">. </w:t>
            </w:r>
            <w:r w:rsidRPr="00465DC4">
              <w:rPr>
                <w:rFonts w:ascii="Arial Narrow" w:hAnsi="Arial Narrow"/>
                <w:sz w:val="20"/>
                <w:szCs w:val="20"/>
              </w:rPr>
              <w:t>85% = $30.50</w:t>
            </w:r>
          </w:p>
        </w:tc>
      </w:tr>
      <w:tr w:rsidR="008004F2" w:rsidRPr="00465DC4" w14:paraId="7B4E2E30" w14:textId="77777777" w:rsidTr="00274F2B">
        <w:tc>
          <w:tcPr>
            <w:tcW w:w="9016" w:type="dxa"/>
            <w:gridSpan w:val="2"/>
            <w:hideMark/>
          </w:tcPr>
          <w:p w14:paraId="5370C0D0" w14:textId="77777777" w:rsidR="008004F2" w:rsidRPr="00465DC4" w:rsidRDefault="008004F2" w:rsidP="0019128E">
            <w:pPr>
              <w:rPr>
                <w:rFonts w:ascii="Arial Narrow" w:hAnsi="Arial Narrow"/>
                <w:b/>
                <w:bCs/>
                <w:sz w:val="20"/>
                <w:szCs w:val="20"/>
              </w:rPr>
            </w:pPr>
            <w:r w:rsidRPr="00465DC4">
              <w:rPr>
                <w:rFonts w:ascii="Arial Narrow" w:hAnsi="Arial Narrow"/>
                <w:b/>
                <w:bCs/>
                <w:sz w:val="20"/>
                <w:szCs w:val="20"/>
              </w:rPr>
              <w:t>69496</w:t>
            </w:r>
          </w:p>
          <w:p w14:paraId="0335FC92" w14:textId="0A7FCA8C" w:rsidR="008004F2" w:rsidRPr="00465DC4" w:rsidRDefault="008004F2" w:rsidP="0019128E">
            <w:pPr>
              <w:rPr>
                <w:rFonts w:ascii="Arial Narrow" w:hAnsi="Arial Narrow"/>
                <w:sz w:val="20"/>
                <w:szCs w:val="20"/>
              </w:rPr>
            </w:pPr>
            <w:r w:rsidRPr="00465DC4">
              <w:rPr>
                <w:rFonts w:ascii="Arial Narrow" w:hAnsi="Arial Narrow"/>
                <w:sz w:val="20"/>
                <w:szCs w:val="20"/>
              </w:rPr>
              <w:t xml:space="preserve">3 or more tests described in </w:t>
            </w:r>
            <w:proofErr w:type="gramStart"/>
            <w:r w:rsidRPr="00465DC4">
              <w:rPr>
                <w:rFonts w:ascii="Arial Narrow" w:hAnsi="Arial Narrow"/>
                <w:sz w:val="20"/>
                <w:szCs w:val="20"/>
              </w:rPr>
              <w:t>69494</w:t>
            </w:r>
            <w:proofErr w:type="gramEnd"/>
          </w:p>
          <w:p w14:paraId="4927149A" w14:textId="77777777" w:rsidR="008004F2" w:rsidRPr="00465DC4" w:rsidRDefault="008004F2" w:rsidP="0019128E">
            <w:pPr>
              <w:rPr>
                <w:rFonts w:ascii="Arial Narrow" w:hAnsi="Arial Narrow"/>
                <w:sz w:val="20"/>
                <w:szCs w:val="20"/>
              </w:rPr>
            </w:pPr>
            <w:r w:rsidRPr="00465DC4">
              <w:rPr>
                <w:rFonts w:ascii="Arial Narrow" w:hAnsi="Arial Narrow"/>
                <w:sz w:val="20"/>
                <w:szCs w:val="20"/>
              </w:rPr>
              <w:t>MBS Fee: $43.05</w:t>
            </w:r>
            <w:r w:rsidRPr="00465DC4">
              <w:rPr>
                <w:rFonts w:ascii="Arial Narrow" w:hAnsi="Arial Narrow"/>
                <w:sz w:val="20"/>
                <w:szCs w:val="20"/>
              </w:rPr>
              <w:br/>
              <w:t>Benefit: 75% = $32.30 85% = $36.60</w:t>
            </w:r>
          </w:p>
        </w:tc>
      </w:tr>
    </w:tbl>
    <w:p w14:paraId="6673D818" w14:textId="0C0568D2" w:rsidR="008B5ABD" w:rsidRDefault="008B5ABD" w:rsidP="008B5ABD">
      <w:pPr>
        <w:pStyle w:val="TableFooter"/>
      </w:pPr>
      <w:bookmarkStart w:id="20" w:name="_Toc133832623"/>
      <w:r>
        <w:t>Source: DCAR Table 5</w:t>
      </w:r>
    </w:p>
    <w:p w14:paraId="7FFCE4FC" w14:textId="1CCCC8AE" w:rsidR="008004F2" w:rsidRDefault="00E37B96" w:rsidP="008004F2">
      <w:pPr>
        <w:pStyle w:val="Heading3"/>
      </w:pPr>
      <w:r>
        <w:lastRenderedPageBreak/>
        <w:t>C</w:t>
      </w:r>
      <w:r w:rsidR="008004F2">
        <w:t>omments on the comparator</w:t>
      </w:r>
      <w:bookmarkEnd w:id="20"/>
    </w:p>
    <w:p w14:paraId="23E9A4F0" w14:textId="77777777" w:rsidR="008004F2" w:rsidRDefault="008004F2" w:rsidP="008004F2">
      <w:r>
        <w:t>MSAC may wish to consider the following related to the item descriptor wording and fee for the comparator items:</w:t>
      </w:r>
    </w:p>
    <w:p w14:paraId="55695BBC" w14:textId="4EECBA2C" w:rsidR="008004F2" w:rsidRPr="00CD380E" w:rsidRDefault="008004F2" w:rsidP="008004F2">
      <w:pPr>
        <w:pStyle w:val="Bullet"/>
        <w:rPr>
          <w:rFonts w:ascii="Franklin Gothic Book" w:hAnsi="Franklin Gothic Book"/>
        </w:rPr>
      </w:pPr>
      <w:r w:rsidRPr="00CD380E">
        <w:rPr>
          <w:rFonts w:ascii="Franklin Gothic Book" w:hAnsi="Franklin Gothic Book"/>
        </w:rPr>
        <w:t>Within a single test multiple pathogens may now be tested using multiplex testing. There is ambiguity in the use of the term ‘test’</w:t>
      </w:r>
      <w:r w:rsidR="00BC43FC" w:rsidRPr="00CD380E">
        <w:rPr>
          <w:rFonts w:ascii="Franklin Gothic Book" w:hAnsi="Franklin Gothic Book"/>
        </w:rPr>
        <w:t>.</w:t>
      </w:r>
      <w:r w:rsidRPr="00CD380E">
        <w:rPr>
          <w:rFonts w:ascii="Franklin Gothic Book" w:hAnsi="Franklin Gothic Book"/>
        </w:rPr>
        <w:t xml:space="preserve"> Replacement of ‘test’ with ‘pathogen’ would reduce ambiguity if the intention is to test for a single pathogen; alternatively, if this is intended to allow for the detection of multiple pathogens in a single test then that also is not clear.</w:t>
      </w:r>
    </w:p>
    <w:p w14:paraId="313DCE57" w14:textId="5285B2B5" w:rsidR="00593B8A" w:rsidRPr="00CD380E" w:rsidRDefault="008004F2" w:rsidP="008004F2">
      <w:pPr>
        <w:pStyle w:val="Bullet"/>
        <w:rPr>
          <w:rFonts w:ascii="Franklin Gothic Book" w:hAnsi="Franklin Gothic Book"/>
        </w:rPr>
      </w:pPr>
      <w:r w:rsidRPr="00CD380E">
        <w:rPr>
          <w:rFonts w:ascii="Franklin Gothic Book" w:hAnsi="Franklin Gothic Book"/>
        </w:rPr>
        <w:t>The</w:t>
      </w:r>
      <w:r w:rsidR="00DB1C77" w:rsidRPr="00CD380E">
        <w:rPr>
          <w:rFonts w:ascii="Franklin Gothic Book" w:hAnsi="Franklin Gothic Book"/>
        </w:rPr>
        <w:t xml:space="preserve"> proposed</w:t>
      </w:r>
      <w:r w:rsidRPr="00CD380E">
        <w:rPr>
          <w:rFonts w:ascii="Franklin Gothic Book" w:hAnsi="Franklin Gothic Book"/>
        </w:rPr>
        <w:t xml:space="preserve"> and the HTA group’s </w:t>
      </w:r>
      <w:r w:rsidR="00516FF3">
        <w:rPr>
          <w:rFonts w:ascii="Franklin Gothic Book" w:hAnsi="Franklin Gothic Book"/>
        </w:rPr>
        <w:t>i</w:t>
      </w:r>
      <w:r w:rsidRPr="00CD380E">
        <w:rPr>
          <w:rFonts w:ascii="Franklin Gothic Book" w:hAnsi="Franklin Gothic Book"/>
        </w:rPr>
        <w:t xml:space="preserve">tems </w:t>
      </w:r>
      <w:r w:rsidR="00DB1C77" w:rsidRPr="00CD380E">
        <w:rPr>
          <w:rFonts w:ascii="Franklin Gothic Book" w:hAnsi="Franklin Gothic Book"/>
        </w:rPr>
        <w:t xml:space="preserve">both </w:t>
      </w:r>
      <w:r w:rsidRPr="00CD380E">
        <w:rPr>
          <w:rFonts w:ascii="Franklin Gothic Book" w:hAnsi="Franklin Gothic Book"/>
        </w:rPr>
        <w:t xml:space="preserve">require utilisation of the generic MBS items for any single pathogen testing. </w:t>
      </w:r>
    </w:p>
    <w:p w14:paraId="45F11F40" w14:textId="27D0E62D" w:rsidR="008004F2" w:rsidRPr="00CD380E" w:rsidRDefault="008004F2" w:rsidP="00CB2E78">
      <w:pPr>
        <w:pStyle w:val="Bullet"/>
        <w:numPr>
          <w:ilvl w:val="1"/>
          <w:numId w:val="5"/>
        </w:numPr>
        <w:rPr>
          <w:rFonts w:ascii="Franklin Gothic Book" w:hAnsi="Franklin Gothic Book"/>
        </w:rPr>
      </w:pPr>
      <w:r w:rsidRPr="00CD380E">
        <w:rPr>
          <w:rFonts w:ascii="Franklin Gothic Book" w:hAnsi="Franklin Gothic Book"/>
        </w:rPr>
        <w:t>Based on the costing for single</w:t>
      </w:r>
      <w:r w:rsidR="00593B8A" w:rsidRPr="00CD380E">
        <w:rPr>
          <w:rFonts w:ascii="Franklin Gothic Book" w:hAnsi="Franklin Gothic Book"/>
        </w:rPr>
        <w:t xml:space="preserve"> NAAT for</w:t>
      </w:r>
      <w:r w:rsidRPr="00CD380E">
        <w:rPr>
          <w:rFonts w:ascii="Franklin Gothic Book" w:hAnsi="Franklin Gothic Book"/>
        </w:rPr>
        <w:t xml:space="preserve"> SARS-CoV-</w:t>
      </w:r>
      <w:r w:rsidR="00BA64EF" w:rsidRPr="00CD380E">
        <w:rPr>
          <w:rFonts w:ascii="Franklin Gothic Book" w:hAnsi="Franklin Gothic Book"/>
        </w:rPr>
        <w:t xml:space="preserve">2 </w:t>
      </w:r>
      <w:r w:rsidRPr="00CD380E">
        <w:rPr>
          <w:rFonts w:ascii="Franklin Gothic Book" w:hAnsi="Franklin Gothic Book"/>
        </w:rPr>
        <w:t>($43.</w:t>
      </w:r>
      <w:r w:rsidR="0047521D" w:rsidRPr="00CD380E">
        <w:rPr>
          <w:rFonts w:ascii="Franklin Gothic Book" w:hAnsi="Franklin Gothic Book"/>
        </w:rPr>
        <w:t>58</w:t>
      </w:r>
      <w:r w:rsidRPr="00CD380E">
        <w:rPr>
          <w:rFonts w:ascii="Franklin Gothic Book" w:hAnsi="Franklin Gothic Book"/>
        </w:rPr>
        <w:t>)</w:t>
      </w:r>
      <w:r w:rsidR="00C366B5" w:rsidRPr="00CD380E">
        <w:rPr>
          <w:rFonts w:ascii="Franklin Gothic Book" w:hAnsi="Franklin Gothic Book"/>
        </w:rPr>
        <w:t xml:space="preserve"> which do</w:t>
      </w:r>
      <w:r w:rsidR="00593B8A" w:rsidRPr="00CD380E">
        <w:rPr>
          <w:rFonts w:ascii="Franklin Gothic Book" w:hAnsi="Franklin Gothic Book"/>
        </w:rPr>
        <w:t>es</w:t>
      </w:r>
      <w:r w:rsidR="00C366B5" w:rsidRPr="00CD380E">
        <w:rPr>
          <w:rFonts w:ascii="Franklin Gothic Book" w:hAnsi="Franklin Gothic Book"/>
        </w:rPr>
        <w:t xml:space="preserve"> not include any margin</w:t>
      </w:r>
      <w:r w:rsidRPr="00CD380E">
        <w:rPr>
          <w:rFonts w:ascii="Franklin Gothic Book" w:hAnsi="Franklin Gothic Book"/>
        </w:rPr>
        <w:t>, there would be a gap fee of $19.53 at the current 85% rebate for Item 69494 ($24.20).</w:t>
      </w:r>
    </w:p>
    <w:p w14:paraId="4E48BFED" w14:textId="74692B27" w:rsidR="008004F2" w:rsidRPr="003D2530" w:rsidRDefault="008004F2" w:rsidP="00CB2E78">
      <w:pPr>
        <w:pStyle w:val="Bullet"/>
        <w:numPr>
          <w:ilvl w:val="1"/>
          <w:numId w:val="5"/>
        </w:numPr>
        <w:rPr>
          <w:rFonts w:ascii="Franklin Gothic Book" w:hAnsi="Franklin Gothic Book"/>
        </w:rPr>
      </w:pPr>
      <w:r w:rsidRPr="003D2530">
        <w:rPr>
          <w:rFonts w:ascii="Franklin Gothic Book" w:hAnsi="Franklin Gothic Book"/>
        </w:rPr>
        <w:t>This would result in a gap fee and potentially out-of-pocket expenses for patients, particularly for rapid NAATs.</w:t>
      </w:r>
    </w:p>
    <w:p w14:paraId="69011619" w14:textId="6FD12FD8" w:rsidR="00310C3F" w:rsidRPr="00565A21" w:rsidRDefault="008004F2" w:rsidP="00E76AE0">
      <w:pPr>
        <w:pStyle w:val="Bullet"/>
        <w:rPr>
          <w:rFonts w:ascii="Franklin Gothic Book" w:hAnsi="Franklin Gothic Book"/>
        </w:rPr>
      </w:pPr>
      <w:r w:rsidRPr="00565A21">
        <w:rPr>
          <w:rFonts w:ascii="Franklin Gothic Book" w:hAnsi="Franklin Gothic Book"/>
        </w:rPr>
        <w:t xml:space="preserve">The </w:t>
      </w:r>
      <w:r w:rsidR="00292136" w:rsidRPr="00565A21">
        <w:rPr>
          <w:rFonts w:ascii="Franklin Gothic Book" w:hAnsi="Franklin Gothic Book"/>
        </w:rPr>
        <w:t xml:space="preserve">assessment </w:t>
      </w:r>
      <w:r w:rsidRPr="00565A21">
        <w:rPr>
          <w:rFonts w:ascii="Franklin Gothic Book" w:hAnsi="Franklin Gothic Book"/>
        </w:rPr>
        <w:t xml:space="preserve">has not considered the suitability or otherwise of the current fee or any future increase for microbial antigen testing also captured within the item descriptor. Whether these two very different technologies can </w:t>
      </w:r>
      <w:proofErr w:type="gramStart"/>
      <w:r w:rsidRPr="00565A21">
        <w:rPr>
          <w:rFonts w:ascii="Franklin Gothic Book" w:hAnsi="Franklin Gothic Book"/>
        </w:rPr>
        <w:t>still remain</w:t>
      </w:r>
      <w:proofErr w:type="gramEnd"/>
      <w:r w:rsidRPr="00565A21">
        <w:rPr>
          <w:rFonts w:ascii="Franklin Gothic Book" w:hAnsi="Franklin Gothic Book"/>
        </w:rPr>
        <w:t xml:space="preserve"> bracketed within a single item descriptor and fee is referred for MSAC’s consideration.</w:t>
      </w:r>
    </w:p>
    <w:p w14:paraId="47BC3A84" w14:textId="06C17C90" w:rsidR="00772829" w:rsidRPr="00CE28E3" w:rsidRDefault="00CB2E78" w:rsidP="002A18BE">
      <w:pPr>
        <w:pStyle w:val="Heading2"/>
        <w:numPr>
          <w:ilvl w:val="0"/>
          <w:numId w:val="0"/>
        </w:numPr>
      </w:pPr>
      <w:bookmarkStart w:id="21" w:name="_Toc133832624"/>
      <w:r>
        <w:t>9</w:t>
      </w:r>
      <w:r w:rsidR="00C36633">
        <w:t>.</w:t>
      </w:r>
      <w:r w:rsidR="00C36633">
        <w:tab/>
      </w:r>
      <w:r w:rsidR="00772829" w:rsidRPr="00CE28E3">
        <w:t xml:space="preserve">Summary of public consultation </w:t>
      </w:r>
      <w:r w:rsidR="0052575D">
        <w:t>input</w:t>
      </w:r>
      <w:bookmarkEnd w:id="21"/>
    </w:p>
    <w:p w14:paraId="0E65BE68" w14:textId="41F4B07B" w:rsidR="00F57907" w:rsidRPr="0078130E" w:rsidRDefault="292B8FC3" w:rsidP="5A957A2C">
      <w:pPr>
        <w:spacing w:line="276" w:lineRule="auto"/>
        <w:rPr>
          <w:rFonts w:eastAsia="Calibri" w:cs="Calibri"/>
        </w:rPr>
      </w:pPr>
      <w:r w:rsidRPr="0078130E">
        <w:rPr>
          <w:rFonts w:eastAsia="Calibri" w:cs="Calibri"/>
        </w:rPr>
        <w:t xml:space="preserve">Feedback from targeted consultation was received from four (4) organisations which included representation from pathology providers and industry: </w:t>
      </w:r>
    </w:p>
    <w:p w14:paraId="3F795C1B" w14:textId="04E60E95" w:rsidR="00F57907" w:rsidRPr="00FF692C" w:rsidRDefault="292B8FC3" w:rsidP="00CB2E78">
      <w:pPr>
        <w:pStyle w:val="ListParagraph"/>
        <w:numPr>
          <w:ilvl w:val="0"/>
          <w:numId w:val="2"/>
        </w:numPr>
        <w:rPr>
          <w:rFonts w:eastAsia="Franklin Gothic Book" w:cs="Franklin Gothic Book"/>
        </w:rPr>
      </w:pPr>
      <w:r w:rsidRPr="00654AA8">
        <w:rPr>
          <w:rFonts w:eastAsia="Franklin Gothic Book" w:cs="Franklin Gothic Book"/>
        </w:rPr>
        <w:t xml:space="preserve">Australian Pathology </w:t>
      </w:r>
    </w:p>
    <w:p w14:paraId="0F39669F" w14:textId="70C9F753" w:rsidR="00F57907" w:rsidRPr="009E6EFD" w:rsidRDefault="292B8FC3" w:rsidP="00CB2E78">
      <w:pPr>
        <w:pStyle w:val="ListParagraph"/>
        <w:numPr>
          <w:ilvl w:val="0"/>
          <w:numId w:val="2"/>
        </w:numPr>
        <w:rPr>
          <w:rFonts w:eastAsia="Franklin Gothic Book" w:cs="Franklin Gothic Book"/>
        </w:rPr>
      </w:pPr>
      <w:r w:rsidRPr="0077033D">
        <w:rPr>
          <w:rFonts w:eastAsia="Franklin Gothic Book" w:cs="Franklin Gothic Book"/>
        </w:rPr>
        <w:t xml:space="preserve">Public Pathology Australia </w:t>
      </w:r>
    </w:p>
    <w:p w14:paraId="10F42BB5" w14:textId="31843BE8" w:rsidR="00F57907" w:rsidRPr="004C6880" w:rsidRDefault="292B8FC3" w:rsidP="00CB2E78">
      <w:pPr>
        <w:pStyle w:val="ListParagraph"/>
        <w:numPr>
          <w:ilvl w:val="0"/>
          <w:numId w:val="2"/>
        </w:numPr>
        <w:rPr>
          <w:rFonts w:eastAsia="Franklin Gothic Book" w:cs="Franklin Gothic Book"/>
        </w:rPr>
      </w:pPr>
      <w:r w:rsidRPr="004C6880">
        <w:rPr>
          <w:rFonts w:eastAsia="Franklin Gothic Book" w:cs="Franklin Gothic Book"/>
        </w:rPr>
        <w:t xml:space="preserve">The Royal College of Pathologists of Australasia </w:t>
      </w:r>
    </w:p>
    <w:p w14:paraId="04213AA8" w14:textId="63015716" w:rsidR="00654B66" w:rsidRPr="001E53BA" w:rsidRDefault="292B8FC3" w:rsidP="00CB2E78">
      <w:pPr>
        <w:pStyle w:val="ListParagraph"/>
        <w:numPr>
          <w:ilvl w:val="0"/>
          <w:numId w:val="2"/>
        </w:numPr>
        <w:rPr>
          <w:rFonts w:eastAsia="Franklin Gothic Book" w:cs="Franklin Gothic Book"/>
        </w:rPr>
      </w:pPr>
      <w:r w:rsidRPr="001E53BA">
        <w:rPr>
          <w:rFonts w:eastAsia="Franklin Gothic Book" w:cs="Franklin Gothic Book"/>
        </w:rPr>
        <w:t xml:space="preserve">Roche Diagnostics Australia </w:t>
      </w:r>
    </w:p>
    <w:p w14:paraId="777D8130" w14:textId="2038E378" w:rsidR="00F57907" w:rsidRPr="0078130E" w:rsidRDefault="292B8FC3" w:rsidP="0078130E">
      <w:pPr>
        <w:spacing w:line="276" w:lineRule="auto"/>
        <w:rPr>
          <w:rFonts w:eastAsia="Calibri" w:cs="Calibri"/>
        </w:rPr>
      </w:pPr>
      <w:r w:rsidRPr="0078130E">
        <w:rPr>
          <w:rFonts w:eastAsia="Calibri" w:cs="Calibri"/>
          <w:color w:val="000000" w:themeColor="text1"/>
        </w:rPr>
        <w:t xml:space="preserve">In seeking targeted consultation, the </w:t>
      </w:r>
      <w:r w:rsidR="00210C40">
        <w:rPr>
          <w:rFonts w:eastAsia="Calibri" w:cs="Calibri"/>
          <w:color w:val="000000" w:themeColor="text1"/>
        </w:rPr>
        <w:t>d</w:t>
      </w:r>
      <w:r w:rsidRPr="0078130E">
        <w:rPr>
          <w:rFonts w:eastAsia="Calibri" w:cs="Calibri"/>
          <w:color w:val="000000" w:themeColor="text1"/>
        </w:rPr>
        <w:t xml:space="preserve">epartment requested further information on testing such as turnaround times, actual costs and technology platforms used. </w:t>
      </w:r>
      <w:r w:rsidRPr="0078130E">
        <w:rPr>
          <w:rFonts w:eastAsia="Calibri" w:cs="Calibri"/>
        </w:rPr>
        <w:t xml:space="preserve">Respondents were largely not supportive of the proposed service, except for industry. </w:t>
      </w:r>
    </w:p>
    <w:p w14:paraId="55A11DC2" w14:textId="367BB463" w:rsidR="00F57907" w:rsidRPr="0078130E" w:rsidRDefault="292B8FC3" w:rsidP="0078130E">
      <w:pPr>
        <w:spacing w:line="276" w:lineRule="auto"/>
        <w:rPr>
          <w:rFonts w:eastAsia="Calibri" w:cs="Calibri"/>
        </w:rPr>
      </w:pPr>
      <w:r w:rsidRPr="0078130E">
        <w:rPr>
          <w:rFonts w:eastAsia="Calibri" w:cs="Calibri"/>
        </w:rPr>
        <w:t>In response to turnaround times, respondents described difficulty in providing an average since the time for testing will vary greatly depending on the jurisdiction, rurality and type of platform used. In the context of testing rural patients, transport time is added on where local laboratories are not available. Therefore, turnaround times are more likely to be faster in urban areas (</w:t>
      </w:r>
      <w:proofErr w:type="gramStart"/>
      <w:r w:rsidRPr="0078130E">
        <w:rPr>
          <w:rFonts w:eastAsia="Calibri" w:cs="Calibri"/>
        </w:rPr>
        <w:t>e.g.</w:t>
      </w:r>
      <w:proofErr w:type="gramEnd"/>
      <w:r w:rsidRPr="0078130E">
        <w:rPr>
          <w:rFonts w:eastAsia="Calibri" w:cs="Calibri"/>
        </w:rPr>
        <w:t xml:space="preserve"> few to 12 hours) and longer in rural areas (e.g. &gt; 72 hours). It was noted that this presents an issue of equity in health provision to those living and working in rural, </w:t>
      </w:r>
      <w:proofErr w:type="gramStart"/>
      <w:r w:rsidRPr="0078130E">
        <w:rPr>
          <w:rFonts w:eastAsia="Calibri" w:cs="Calibri"/>
        </w:rPr>
        <w:t>remote</w:t>
      </w:r>
      <w:proofErr w:type="gramEnd"/>
      <w:r w:rsidRPr="0078130E">
        <w:rPr>
          <w:rFonts w:eastAsia="Calibri" w:cs="Calibri"/>
        </w:rPr>
        <w:t xml:space="preserve"> and regional communities. It was also noted that the surge capacity in resources to provide rapid testing during the COVID-19 pandemic is not currently operational so times will be longer based on reduced staffing due to lower demand. </w:t>
      </w:r>
    </w:p>
    <w:p w14:paraId="086FB03D" w14:textId="6575C04C" w:rsidR="00F57907" w:rsidRPr="0078130E" w:rsidRDefault="292B8FC3" w:rsidP="0078130E">
      <w:pPr>
        <w:spacing w:line="276" w:lineRule="auto"/>
        <w:rPr>
          <w:rFonts w:eastAsia="Calibri" w:cs="Calibri"/>
        </w:rPr>
      </w:pPr>
      <w:r w:rsidRPr="0078130E">
        <w:rPr>
          <w:rFonts w:eastAsia="Calibri" w:cs="Calibri"/>
        </w:rPr>
        <w:t xml:space="preserve">All pathology respondents considered the current fee for the temporary items to be underfunded and not reflective of actual costs to deliver testing currently. It was also considered that the genetic MBS items are currently underfunded and therefore there was considerable risk if these items </w:t>
      </w:r>
      <w:r w:rsidR="00BF0849">
        <w:rPr>
          <w:rFonts w:eastAsia="Calibri" w:cs="Calibri"/>
        </w:rPr>
        <w:t>we</w:t>
      </w:r>
      <w:r w:rsidRPr="0078130E">
        <w:rPr>
          <w:rFonts w:eastAsia="Calibri" w:cs="Calibri"/>
        </w:rPr>
        <w:t xml:space="preserve">re used as the comparator to the proposed service in the application. In addition, it was noted that laboratory costs in regional areas are usually higher than in metropolitan areas and </w:t>
      </w:r>
      <w:r w:rsidRPr="0078130E">
        <w:rPr>
          <w:rFonts w:eastAsia="Calibri" w:cs="Calibri"/>
        </w:rPr>
        <w:lastRenderedPageBreak/>
        <w:t xml:space="preserve">that a rural incentive item could be implemented to alleviate this. In response to the proposed item descriptors, pathology respondents made </w:t>
      </w:r>
      <w:proofErr w:type="gramStart"/>
      <w:r w:rsidRPr="0078130E">
        <w:rPr>
          <w:rFonts w:eastAsia="Calibri" w:cs="Calibri"/>
        </w:rPr>
        <w:t>a number of</w:t>
      </w:r>
      <w:proofErr w:type="gramEnd"/>
      <w:r w:rsidRPr="0078130E">
        <w:rPr>
          <w:rFonts w:eastAsia="Calibri" w:cs="Calibri"/>
        </w:rPr>
        <w:t xml:space="preserve"> comments such as considering: </w:t>
      </w:r>
    </w:p>
    <w:p w14:paraId="7D32D75B" w14:textId="5872A41B" w:rsidR="00F57907" w:rsidRPr="0077033D" w:rsidRDefault="292B8FC3" w:rsidP="00CB2E78">
      <w:pPr>
        <w:pStyle w:val="ListParagraph"/>
        <w:numPr>
          <w:ilvl w:val="0"/>
          <w:numId w:val="1"/>
        </w:numPr>
        <w:rPr>
          <w:rFonts w:eastAsia="Franklin Gothic Book" w:cs="Franklin Gothic Book"/>
        </w:rPr>
      </w:pPr>
      <w:r w:rsidRPr="00654AA8">
        <w:rPr>
          <w:rFonts w:eastAsia="Franklin Gothic Book" w:cs="Franklin Gothic Book"/>
        </w:rPr>
        <w:t>The need to remove the distinction between pathol</w:t>
      </w:r>
      <w:r w:rsidRPr="00FF692C">
        <w:rPr>
          <w:rFonts w:eastAsia="Franklin Gothic Book" w:cs="Franklin Gothic Book"/>
        </w:rPr>
        <w:t xml:space="preserve">ogy provider type. </w:t>
      </w:r>
    </w:p>
    <w:p w14:paraId="0E8F1647" w14:textId="0148D436" w:rsidR="00F57907" w:rsidRPr="004C6880" w:rsidRDefault="292B8FC3" w:rsidP="00CB2E78">
      <w:pPr>
        <w:pStyle w:val="ListParagraph"/>
        <w:numPr>
          <w:ilvl w:val="0"/>
          <w:numId w:val="1"/>
        </w:numPr>
        <w:rPr>
          <w:rFonts w:eastAsia="Franklin Gothic Book" w:cs="Franklin Gothic Book"/>
        </w:rPr>
      </w:pPr>
      <w:r w:rsidRPr="009E6EFD">
        <w:rPr>
          <w:rFonts w:eastAsia="Franklin Gothic Book" w:cs="Franklin Gothic Book"/>
        </w:rPr>
        <w:t xml:space="preserve">The need to remove the bulk billing requirement. </w:t>
      </w:r>
    </w:p>
    <w:p w14:paraId="493B10FD" w14:textId="464EE8EC" w:rsidR="00F57907" w:rsidRPr="001E53BA" w:rsidRDefault="292B8FC3" w:rsidP="00CB2E78">
      <w:pPr>
        <w:pStyle w:val="ListParagraph"/>
        <w:numPr>
          <w:ilvl w:val="0"/>
          <w:numId w:val="1"/>
        </w:numPr>
        <w:rPr>
          <w:rFonts w:eastAsia="Franklin Gothic Book" w:cs="Franklin Gothic Book"/>
        </w:rPr>
      </w:pPr>
      <w:r w:rsidRPr="001E53BA">
        <w:rPr>
          <w:rFonts w:eastAsia="Franklin Gothic Book" w:cs="Franklin Gothic Book"/>
        </w:rPr>
        <w:t>Support for the bulk billing incentive to be increased.</w:t>
      </w:r>
    </w:p>
    <w:p w14:paraId="253B561B" w14:textId="715F0085" w:rsidR="00F57907" w:rsidRPr="00F0021F" w:rsidRDefault="292B8FC3" w:rsidP="00CB2E78">
      <w:pPr>
        <w:pStyle w:val="ListParagraph"/>
        <w:numPr>
          <w:ilvl w:val="0"/>
          <w:numId w:val="1"/>
        </w:numPr>
        <w:rPr>
          <w:rFonts w:eastAsia="Franklin Gothic Book" w:cs="Franklin Gothic Book"/>
        </w:rPr>
      </w:pPr>
      <w:r w:rsidRPr="001E53BA">
        <w:rPr>
          <w:rFonts w:eastAsia="Franklin Gothic Book" w:cs="Franklin Gothic Book"/>
        </w:rPr>
        <w:t>The MBS rebate should not be limited to the specific target but rather to the format of testing.</w:t>
      </w:r>
    </w:p>
    <w:p w14:paraId="2ED492FD" w14:textId="66C30AF6" w:rsidR="00F57907" w:rsidRDefault="292B8FC3" w:rsidP="001B73DF">
      <w:pPr>
        <w:rPr>
          <w:rFonts w:eastAsia="Calibri" w:cs="Calibri"/>
        </w:rPr>
      </w:pPr>
      <w:r w:rsidRPr="0078130E">
        <w:rPr>
          <w:rFonts w:eastAsia="Calibri" w:cs="Calibri"/>
        </w:rPr>
        <w:t xml:space="preserve">One respondent believed that the public would be better served if SARS-CoV-2 was included in the broader respiratory panel rather than a permanent MBS item for testing on its own. </w:t>
      </w:r>
      <w:r w:rsidR="000F3C08">
        <w:rPr>
          <w:rFonts w:eastAsia="Calibri" w:cs="Calibri"/>
        </w:rPr>
        <w:t>T</w:t>
      </w:r>
      <w:r w:rsidRPr="0078130E">
        <w:rPr>
          <w:rFonts w:eastAsia="Calibri" w:cs="Calibri"/>
        </w:rPr>
        <w:t>hey considered there was a high risk of a gap fee for the test to patients if the fee wasn’t appropriately set, which may lead to patients using rapid antigen tests (because it may be cheaper than the gap cost) or no test at all. They also noted that there was no discussion in the application of the clinical utility of early, accurate diagnosis of COVID-19 in high-risk individuals who are eligible and would benefit from oral antivirals under the PBS.</w:t>
      </w:r>
    </w:p>
    <w:p w14:paraId="1A531A03" w14:textId="77777777" w:rsidR="009765F7" w:rsidRDefault="009765F7" w:rsidP="009765F7">
      <w:pPr>
        <w:rPr>
          <w:rFonts w:cs="Calibri"/>
        </w:rPr>
      </w:pPr>
      <w:r>
        <w:rPr>
          <w:rFonts w:cs="Calibri"/>
        </w:rPr>
        <w:t xml:space="preserve">One respondent considered that the </w:t>
      </w:r>
      <w:r w:rsidRPr="008F5DF1">
        <w:rPr>
          <w:rFonts w:cs="Calibri"/>
        </w:rPr>
        <w:t xml:space="preserve">specific wording of the MBS </w:t>
      </w:r>
      <w:r>
        <w:rPr>
          <w:rFonts w:cs="Calibri"/>
        </w:rPr>
        <w:t>Review r</w:t>
      </w:r>
      <w:r w:rsidRPr="008F5DF1">
        <w:rPr>
          <w:rFonts w:cs="Calibri"/>
        </w:rPr>
        <w:t>ecommendations</w:t>
      </w:r>
      <w:r>
        <w:rPr>
          <w:rFonts w:cs="Calibri"/>
        </w:rPr>
        <w:t xml:space="preserve"> </w:t>
      </w:r>
      <w:r w:rsidRPr="008F5DF1">
        <w:rPr>
          <w:rFonts w:cs="Calibri"/>
        </w:rPr>
        <w:t>by the</w:t>
      </w:r>
      <w:r>
        <w:rPr>
          <w:rFonts w:cs="Calibri"/>
        </w:rPr>
        <w:t xml:space="preserve"> </w:t>
      </w:r>
      <w:r w:rsidRPr="008F5DF1">
        <w:rPr>
          <w:rFonts w:cs="Calibri"/>
        </w:rPr>
        <w:t>Pathology Clinical Committee on Microbiology (2017) for NAATs should be referred to when drafting respiratory NAAT descriptors.</w:t>
      </w:r>
    </w:p>
    <w:p w14:paraId="319C8F5F" w14:textId="79707D57" w:rsidR="008F3075" w:rsidRPr="00F444AC" w:rsidRDefault="008F3075" w:rsidP="009765F7">
      <w:pPr>
        <w:rPr>
          <w:rFonts w:cs="Calibri"/>
        </w:rPr>
      </w:pPr>
      <w:r>
        <w:rPr>
          <w:rFonts w:cs="Calibri"/>
        </w:rPr>
        <w:t xml:space="preserve">The department </w:t>
      </w:r>
      <w:r w:rsidR="00011BEC">
        <w:rPr>
          <w:rFonts w:cs="Calibri"/>
        </w:rPr>
        <w:t xml:space="preserve">also sought further </w:t>
      </w:r>
      <w:r w:rsidR="005D4564">
        <w:rPr>
          <w:rFonts w:cs="Calibri"/>
        </w:rPr>
        <w:t>targeted consultation</w:t>
      </w:r>
      <w:r w:rsidR="000369C3">
        <w:rPr>
          <w:rFonts w:cs="Calibri"/>
        </w:rPr>
        <w:t xml:space="preserve"> </w:t>
      </w:r>
      <w:r w:rsidR="00E75ED9">
        <w:rPr>
          <w:rFonts w:cs="Calibri"/>
        </w:rPr>
        <w:t>at ESC’s request</w:t>
      </w:r>
      <w:r w:rsidR="00AC60BA">
        <w:rPr>
          <w:rFonts w:cs="Calibri"/>
        </w:rPr>
        <w:t xml:space="preserve">, </w:t>
      </w:r>
      <w:r w:rsidR="00A21F82">
        <w:rPr>
          <w:rFonts w:cs="Calibri"/>
        </w:rPr>
        <w:t xml:space="preserve">regarding the </w:t>
      </w:r>
      <w:r w:rsidR="00D8615F">
        <w:rPr>
          <w:rFonts w:cs="Calibri"/>
        </w:rPr>
        <w:t xml:space="preserve">views of the </w:t>
      </w:r>
      <w:proofErr w:type="gramStart"/>
      <w:r w:rsidR="005F38AC">
        <w:rPr>
          <w:rFonts w:cs="Calibri"/>
        </w:rPr>
        <w:t>general public</w:t>
      </w:r>
      <w:proofErr w:type="gramEnd"/>
      <w:r w:rsidR="005F38AC">
        <w:rPr>
          <w:rFonts w:cs="Calibri"/>
        </w:rPr>
        <w:t xml:space="preserve"> view </w:t>
      </w:r>
      <w:r w:rsidR="00D8615F">
        <w:rPr>
          <w:rFonts w:cs="Calibri"/>
        </w:rPr>
        <w:t>and</w:t>
      </w:r>
      <w:r w:rsidR="005F38AC">
        <w:rPr>
          <w:rFonts w:cs="Calibri"/>
        </w:rPr>
        <w:t xml:space="preserve"> those at greater risk of infection</w:t>
      </w:r>
      <w:r w:rsidR="00F444AC">
        <w:rPr>
          <w:rFonts w:cs="Calibri"/>
        </w:rPr>
        <w:t xml:space="preserve"> about making MBS-funded COVID-19 testing permanent. </w:t>
      </w:r>
      <w:r w:rsidR="002F165F">
        <w:t>A single</w:t>
      </w:r>
      <w:r w:rsidR="00A7627E">
        <w:t xml:space="preserve"> consumer organisation</w:t>
      </w:r>
      <w:r w:rsidR="00744AF6">
        <w:t xml:space="preserve">, Lung Foundation Australia, </w:t>
      </w:r>
      <w:r w:rsidR="002F165F">
        <w:t>provided response</w:t>
      </w:r>
      <w:r w:rsidR="00BD0F1E">
        <w:t xml:space="preserve"> in support of the applicatio</w:t>
      </w:r>
      <w:r w:rsidR="0004135E">
        <w:t>n</w:t>
      </w:r>
      <w:r w:rsidR="00D8615F">
        <w:t>.</w:t>
      </w:r>
      <w:r w:rsidR="00E66CFA">
        <w:t xml:space="preserve"> They considered that the</w:t>
      </w:r>
      <w:r w:rsidR="00545D85">
        <w:t xml:space="preserve"> </w:t>
      </w:r>
      <w:r w:rsidR="007E2E75">
        <w:t xml:space="preserve">current </w:t>
      </w:r>
      <w:r w:rsidR="00545D85">
        <w:t xml:space="preserve">temporary </w:t>
      </w:r>
      <w:r w:rsidR="007E2E75">
        <w:t>arrangements</w:t>
      </w:r>
      <w:r w:rsidR="00E66CFA">
        <w:t xml:space="preserve"> should be extended</w:t>
      </w:r>
      <w:r w:rsidR="00545D85">
        <w:t xml:space="preserve"> as </w:t>
      </w:r>
      <w:r w:rsidR="007E2E75">
        <w:t>the prevalence</w:t>
      </w:r>
      <w:r w:rsidR="00710C60">
        <w:t xml:space="preserve"> of COVID-19</w:t>
      </w:r>
      <w:r w:rsidR="007E2E75">
        <w:t xml:space="preserve"> within the community </w:t>
      </w:r>
      <w:r w:rsidR="00710C60">
        <w:t>is still high</w:t>
      </w:r>
      <w:r w:rsidR="00D8615F">
        <w:t>,</w:t>
      </w:r>
      <w:r w:rsidR="00E66CFA">
        <w:t xml:space="preserve"> and </w:t>
      </w:r>
      <w:r w:rsidR="00A110BD">
        <w:t>noted the</w:t>
      </w:r>
      <w:r w:rsidR="00227385">
        <w:t xml:space="preserve"> lived experience</w:t>
      </w:r>
      <w:r w:rsidR="00CD35A1">
        <w:t xml:space="preserve"> of patients with</w:t>
      </w:r>
      <w:r w:rsidR="00A110BD">
        <w:t xml:space="preserve"> the condition and</w:t>
      </w:r>
      <w:r w:rsidR="00227385">
        <w:t xml:space="preserve"> advantages of the</w:t>
      </w:r>
      <w:r w:rsidR="00F115CC">
        <w:t xml:space="preserve"> proposed testing</w:t>
      </w:r>
      <w:r w:rsidR="00227385">
        <w:t xml:space="preserve"> to patients</w:t>
      </w:r>
      <w:r w:rsidR="00CD35A1">
        <w:t>, and their families and carers.</w:t>
      </w:r>
    </w:p>
    <w:p w14:paraId="5C602187" w14:textId="4CD337FB" w:rsidR="009765F7" w:rsidRPr="00BC422E" w:rsidRDefault="003A5217" w:rsidP="001B73DF">
      <w:pPr>
        <w:rPr>
          <w:rFonts w:cs="Calibri"/>
        </w:rPr>
      </w:pPr>
      <w:r>
        <w:t>The department also sought</w:t>
      </w:r>
      <w:r w:rsidR="00B75F35">
        <w:t xml:space="preserve"> further</w:t>
      </w:r>
      <w:r>
        <w:t xml:space="preserve"> </w:t>
      </w:r>
      <w:r w:rsidR="003E0386">
        <w:t xml:space="preserve">targeted consultation </w:t>
      </w:r>
      <w:r w:rsidR="00BD2D45">
        <w:t xml:space="preserve">from </w:t>
      </w:r>
      <w:r w:rsidR="00EE2413">
        <w:t xml:space="preserve">the </w:t>
      </w:r>
      <w:r>
        <w:t xml:space="preserve">public health </w:t>
      </w:r>
      <w:r w:rsidR="00EE2413">
        <w:t>perspective</w:t>
      </w:r>
      <w:r w:rsidR="00DE4806">
        <w:t xml:space="preserve"> </w:t>
      </w:r>
      <w:r w:rsidR="00BD2D45">
        <w:t xml:space="preserve">on </w:t>
      </w:r>
      <w:r w:rsidR="001D6CD5">
        <w:t>permanent</w:t>
      </w:r>
      <w:r w:rsidR="00BD2D45">
        <w:rPr>
          <w:rFonts w:cs="Calibri"/>
        </w:rPr>
        <w:t xml:space="preserve"> MBS-funded </w:t>
      </w:r>
      <w:r w:rsidR="001D6CD5">
        <w:rPr>
          <w:rFonts w:cs="Calibri"/>
        </w:rPr>
        <w:t>SARS-CoV-2</w:t>
      </w:r>
      <w:r w:rsidR="00BD2D45">
        <w:rPr>
          <w:rFonts w:cs="Calibri"/>
        </w:rPr>
        <w:t xml:space="preserve"> testing</w:t>
      </w:r>
      <w:r w:rsidR="001D6CD5">
        <w:rPr>
          <w:rFonts w:cs="Calibri"/>
        </w:rPr>
        <w:t>, and p</w:t>
      </w:r>
      <w:r w:rsidR="00EE2413">
        <w:rPr>
          <w:rFonts w:cs="Calibri"/>
        </w:rPr>
        <w:t xml:space="preserve">ublic health advice was received </w:t>
      </w:r>
      <w:r w:rsidR="001D6CD5">
        <w:rPr>
          <w:rFonts w:cs="Calibri"/>
        </w:rPr>
        <w:t xml:space="preserve">from the </w:t>
      </w:r>
      <w:r w:rsidR="00D8615F">
        <w:rPr>
          <w:rFonts w:cs="Calibri"/>
        </w:rPr>
        <w:t>Chief Medical Officer (</w:t>
      </w:r>
      <w:r w:rsidR="001D6CD5">
        <w:rPr>
          <w:rFonts w:cs="Calibri"/>
        </w:rPr>
        <w:t>CMO</w:t>
      </w:r>
      <w:r w:rsidR="00D8615F">
        <w:rPr>
          <w:rFonts w:cs="Calibri"/>
        </w:rPr>
        <w:t>)</w:t>
      </w:r>
      <w:r w:rsidR="001D6CD5">
        <w:rPr>
          <w:rFonts w:cs="Calibri"/>
        </w:rPr>
        <w:t xml:space="preserve"> Group, Office of Health Protection Division, Commonwealth Department of </w:t>
      </w:r>
      <w:proofErr w:type="gramStart"/>
      <w:r w:rsidR="001D6CD5">
        <w:rPr>
          <w:rFonts w:cs="Calibri"/>
        </w:rPr>
        <w:t>Health</w:t>
      </w:r>
      <w:proofErr w:type="gramEnd"/>
      <w:r w:rsidR="001D6CD5">
        <w:rPr>
          <w:rFonts w:cs="Calibri"/>
        </w:rPr>
        <w:t xml:space="preserve"> and Aged Care. Key points from the public health advice</w:t>
      </w:r>
      <w:r w:rsidR="00EE2413">
        <w:rPr>
          <w:rFonts w:cs="Calibri"/>
        </w:rPr>
        <w:t xml:space="preserve"> </w:t>
      </w:r>
      <w:r w:rsidR="001D6CD5">
        <w:rPr>
          <w:rFonts w:cs="Calibri"/>
        </w:rPr>
        <w:t>were</w:t>
      </w:r>
      <w:r w:rsidR="00DF4F7A">
        <w:rPr>
          <w:rFonts w:cs="Calibri"/>
        </w:rPr>
        <w:t xml:space="preserve"> that m</w:t>
      </w:r>
      <w:r w:rsidR="00DF4F7A" w:rsidRPr="00DF4F7A">
        <w:rPr>
          <w:rFonts w:cs="Calibri"/>
        </w:rPr>
        <w:t>ulti-pathogen testing for respiratory pathogens is already done to a certain extent</w:t>
      </w:r>
      <w:r w:rsidR="001D6CD5">
        <w:rPr>
          <w:rFonts w:cs="Calibri"/>
        </w:rPr>
        <w:t>, and MBS service volume</w:t>
      </w:r>
      <w:r w:rsidR="00D8615F">
        <w:rPr>
          <w:rFonts w:cs="Calibri"/>
        </w:rPr>
        <w:t xml:space="preserve"> data</w:t>
      </w:r>
      <w:r w:rsidR="001D6CD5">
        <w:rPr>
          <w:rFonts w:cs="Calibri"/>
        </w:rPr>
        <w:t xml:space="preserve"> are used for public health although this is not the purpose of the MBS</w:t>
      </w:r>
      <w:r w:rsidR="00936F87">
        <w:rPr>
          <w:rFonts w:cs="Calibri"/>
        </w:rPr>
        <w:t xml:space="preserve">. </w:t>
      </w:r>
      <w:r w:rsidR="00E31692">
        <w:rPr>
          <w:rFonts w:cs="Calibri"/>
        </w:rPr>
        <w:t xml:space="preserve">The </w:t>
      </w:r>
      <w:r w:rsidR="001D6CD5">
        <w:rPr>
          <w:rFonts w:cs="Calibri"/>
        </w:rPr>
        <w:t xml:space="preserve">main </w:t>
      </w:r>
      <w:r w:rsidR="00E31692">
        <w:rPr>
          <w:rFonts w:cs="Calibri"/>
        </w:rPr>
        <w:t>a</w:t>
      </w:r>
      <w:r w:rsidR="00936F87">
        <w:rPr>
          <w:rFonts w:cs="Calibri"/>
        </w:rPr>
        <w:t>dvantages of</w:t>
      </w:r>
      <w:r w:rsidR="00E31692">
        <w:rPr>
          <w:rFonts w:cs="Calibri"/>
        </w:rPr>
        <w:t xml:space="preserve"> publicly funding</w:t>
      </w:r>
      <w:r w:rsidR="009C6564">
        <w:rPr>
          <w:rFonts w:cs="Calibri"/>
        </w:rPr>
        <w:t xml:space="preserve"> </w:t>
      </w:r>
      <w:r w:rsidR="004F39F2" w:rsidRPr="004F39F2">
        <w:rPr>
          <w:rFonts w:cs="Calibri"/>
        </w:rPr>
        <w:t>multi-pathogen testing</w:t>
      </w:r>
      <w:r w:rsidR="004F39F2">
        <w:rPr>
          <w:rFonts w:cs="Calibri"/>
        </w:rPr>
        <w:t xml:space="preserve"> </w:t>
      </w:r>
      <w:r w:rsidR="001D6CD5">
        <w:rPr>
          <w:rFonts w:cs="Calibri"/>
        </w:rPr>
        <w:t>were that</w:t>
      </w:r>
      <w:r w:rsidR="00936F87">
        <w:rPr>
          <w:rFonts w:cs="Calibri"/>
        </w:rPr>
        <w:t xml:space="preserve"> </w:t>
      </w:r>
      <w:r w:rsidR="00F22D3B">
        <w:rPr>
          <w:rFonts w:cs="Calibri"/>
        </w:rPr>
        <w:t xml:space="preserve">it </w:t>
      </w:r>
      <w:r w:rsidR="00162A45">
        <w:rPr>
          <w:rFonts w:cs="Calibri"/>
        </w:rPr>
        <w:t>could potentially increase the identification of notifiable diseases</w:t>
      </w:r>
      <w:r w:rsidR="001D6CD5">
        <w:rPr>
          <w:rFonts w:cs="Calibri"/>
        </w:rPr>
        <w:t>,</w:t>
      </w:r>
      <w:r w:rsidR="007E1181">
        <w:rPr>
          <w:rFonts w:cs="Calibri"/>
        </w:rPr>
        <w:t xml:space="preserve"> </w:t>
      </w:r>
      <w:proofErr w:type="gramStart"/>
      <w:r w:rsidR="007E1181">
        <w:rPr>
          <w:rFonts w:cs="Calibri"/>
        </w:rPr>
        <w:t>and</w:t>
      </w:r>
      <w:r w:rsidR="00BA129B">
        <w:rPr>
          <w:rFonts w:cs="Calibri"/>
        </w:rPr>
        <w:t xml:space="preserve"> </w:t>
      </w:r>
      <w:r w:rsidR="001D6CD5">
        <w:rPr>
          <w:rFonts w:cs="Calibri"/>
        </w:rPr>
        <w:t>also</w:t>
      </w:r>
      <w:proofErr w:type="gramEnd"/>
      <w:r w:rsidR="001D6CD5">
        <w:rPr>
          <w:rFonts w:cs="Calibri"/>
        </w:rPr>
        <w:t xml:space="preserve"> could potentially </w:t>
      </w:r>
      <w:r w:rsidR="00C20C7B">
        <w:rPr>
          <w:rFonts w:cs="Calibri"/>
        </w:rPr>
        <w:t>detect more cases of infection with other pathogens</w:t>
      </w:r>
      <w:r w:rsidR="001D6CD5">
        <w:rPr>
          <w:rFonts w:cs="Calibri"/>
        </w:rPr>
        <w:t xml:space="preserve"> – both of which would have public health benefits (contact tracing and reducing the spread of disease, and contributing to statistics and epidemiology)</w:t>
      </w:r>
      <w:r w:rsidR="007E1181">
        <w:rPr>
          <w:rFonts w:cs="Calibri"/>
        </w:rPr>
        <w:t xml:space="preserve">. </w:t>
      </w:r>
      <w:r w:rsidR="003C2918">
        <w:rPr>
          <w:rFonts w:cs="Calibri"/>
        </w:rPr>
        <w:t xml:space="preserve">Other </w:t>
      </w:r>
      <w:r w:rsidR="001D6CD5">
        <w:rPr>
          <w:rFonts w:cs="Calibri"/>
        </w:rPr>
        <w:t>points</w:t>
      </w:r>
      <w:r w:rsidR="003C2918">
        <w:rPr>
          <w:rFonts w:cs="Calibri"/>
        </w:rPr>
        <w:t xml:space="preserve"> were</w:t>
      </w:r>
      <w:r w:rsidR="007E1181">
        <w:rPr>
          <w:rFonts w:cs="Calibri"/>
        </w:rPr>
        <w:t xml:space="preserve"> </w:t>
      </w:r>
      <w:r w:rsidR="00231207">
        <w:rPr>
          <w:rFonts w:cs="Calibri"/>
        </w:rPr>
        <w:t>that the</w:t>
      </w:r>
      <w:r w:rsidR="006C7189">
        <w:rPr>
          <w:rFonts w:cs="Calibri"/>
        </w:rPr>
        <w:t xml:space="preserve"> item descriptor should state “respiratory pathogen</w:t>
      </w:r>
      <w:r w:rsidR="001D6CD5">
        <w:rPr>
          <w:rFonts w:cs="Calibri"/>
        </w:rPr>
        <w:t>”</w:t>
      </w:r>
      <w:r w:rsidR="006C7189">
        <w:rPr>
          <w:rFonts w:cs="Calibri"/>
        </w:rPr>
        <w:t xml:space="preserve"> rather than </w:t>
      </w:r>
      <w:r w:rsidR="001D6CD5">
        <w:rPr>
          <w:rFonts w:cs="Calibri"/>
        </w:rPr>
        <w:t>specified pathogens</w:t>
      </w:r>
      <w:r w:rsidR="006C7189" w:rsidRPr="006C7189">
        <w:rPr>
          <w:rFonts w:cs="Calibri"/>
        </w:rPr>
        <w:t xml:space="preserve"> as per the current temporary MBS item</w:t>
      </w:r>
      <w:r w:rsidR="001D6CD5">
        <w:rPr>
          <w:rFonts w:cs="Calibri"/>
        </w:rPr>
        <w:t>s</w:t>
      </w:r>
      <w:r w:rsidR="006C7189">
        <w:rPr>
          <w:rFonts w:cs="Calibri"/>
        </w:rPr>
        <w:t>,</w:t>
      </w:r>
      <w:r w:rsidR="001D71CB">
        <w:rPr>
          <w:rFonts w:cs="Calibri"/>
        </w:rPr>
        <w:t xml:space="preserve"> </w:t>
      </w:r>
      <w:r w:rsidR="00ED6266">
        <w:rPr>
          <w:rFonts w:cs="Calibri"/>
        </w:rPr>
        <w:t xml:space="preserve">advised against </w:t>
      </w:r>
      <w:r w:rsidR="00757DC2">
        <w:rPr>
          <w:rFonts w:cs="Calibri"/>
        </w:rPr>
        <w:t>specify</w:t>
      </w:r>
      <w:r w:rsidR="00ED6266">
        <w:rPr>
          <w:rFonts w:cs="Calibri"/>
        </w:rPr>
        <w:t>ing</w:t>
      </w:r>
      <w:r w:rsidR="00757DC2">
        <w:rPr>
          <w:rFonts w:cs="Calibri"/>
        </w:rPr>
        <w:t xml:space="preserve"> </w:t>
      </w:r>
      <w:r w:rsidR="00757DC2" w:rsidRPr="0078130E">
        <w:rPr>
          <w:rFonts w:eastAsia="Calibri" w:cs="Calibri"/>
        </w:rPr>
        <w:t>SARS-CoV-2</w:t>
      </w:r>
      <w:r w:rsidR="00757DC2">
        <w:rPr>
          <w:rFonts w:eastAsia="Calibri" w:cs="Calibri"/>
        </w:rPr>
        <w:t xml:space="preserve"> in the item descriptor</w:t>
      </w:r>
      <w:r w:rsidR="00ED6266">
        <w:rPr>
          <w:rFonts w:eastAsia="Calibri" w:cs="Calibri"/>
        </w:rPr>
        <w:t>,</w:t>
      </w:r>
      <w:r w:rsidR="00923107">
        <w:rPr>
          <w:rFonts w:cs="Calibri"/>
        </w:rPr>
        <w:t xml:space="preserve"> the methods for NAAT should not be </w:t>
      </w:r>
      <w:r w:rsidR="00D8615F">
        <w:rPr>
          <w:rFonts w:cs="Calibri"/>
        </w:rPr>
        <w:t>restricted</w:t>
      </w:r>
      <w:r w:rsidR="00923107">
        <w:rPr>
          <w:rFonts w:cs="Calibri"/>
        </w:rPr>
        <w:t xml:space="preserve"> to PCR,</w:t>
      </w:r>
      <w:r w:rsidR="00231207">
        <w:rPr>
          <w:rFonts w:cs="Calibri"/>
        </w:rPr>
        <w:t xml:space="preserve"> f</w:t>
      </w:r>
      <w:r w:rsidR="00231207" w:rsidRPr="00231207">
        <w:rPr>
          <w:rFonts w:cs="Calibri"/>
        </w:rPr>
        <w:t>ees for the temporary SARS-CoV-2 MBS items (69511-5) are too high</w:t>
      </w:r>
      <w:r w:rsidR="00056212">
        <w:rPr>
          <w:rFonts w:cs="Calibri"/>
        </w:rPr>
        <w:t xml:space="preserve"> in the post-pandemic setting</w:t>
      </w:r>
      <w:r w:rsidR="00F47436">
        <w:rPr>
          <w:rFonts w:cs="Calibri"/>
        </w:rPr>
        <w:t xml:space="preserve">, </w:t>
      </w:r>
      <w:r w:rsidR="00C2153E">
        <w:rPr>
          <w:rFonts w:cs="Calibri"/>
        </w:rPr>
        <w:t xml:space="preserve">reimbursement </w:t>
      </w:r>
      <w:r w:rsidR="00BB6517">
        <w:rPr>
          <w:rFonts w:cs="Calibri"/>
        </w:rPr>
        <w:t xml:space="preserve">for the proposed multi-pathogen testing </w:t>
      </w:r>
      <w:r w:rsidR="00C2153E">
        <w:rPr>
          <w:rFonts w:cs="Calibri"/>
        </w:rPr>
        <w:t>should be per reportable result</w:t>
      </w:r>
      <w:r w:rsidR="001B747E">
        <w:rPr>
          <w:rFonts w:cs="Calibri"/>
        </w:rPr>
        <w:t xml:space="preserve"> (</w:t>
      </w:r>
      <w:r w:rsidR="001B747E" w:rsidRPr="001B747E">
        <w:rPr>
          <w:rFonts w:cs="Calibri"/>
        </w:rPr>
        <w:t>laboratories withhold results for pathogens not requested/relevant</w:t>
      </w:r>
      <w:r w:rsidR="001B747E">
        <w:rPr>
          <w:rFonts w:cs="Calibri"/>
        </w:rPr>
        <w:t>)</w:t>
      </w:r>
      <w:r w:rsidR="00BA4CD6">
        <w:rPr>
          <w:rFonts w:cs="Calibri"/>
        </w:rPr>
        <w:t xml:space="preserve">, and making </w:t>
      </w:r>
      <w:r w:rsidR="004F6771" w:rsidRPr="004F6771">
        <w:rPr>
          <w:rFonts w:cs="Calibri"/>
        </w:rPr>
        <w:t xml:space="preserve">the MBS items for SARS-CoV-2 permanent might result in an increase in the number of services, </w:t>
      </w:r>
      <w:r w:rsidR="004F6771">
        <w:rPr>
          <w:rFonts w:cs="Calibri"/>
        </w:rPr>
        <w:t>especially for</w:t>
      </w:r>
      <w:r w:rsidR="004F6771" w:rsidRPr="004F6771">
        <w:rPr>
          <w:rFonts w:cs="Calibri"/>
        </w:rPr>
        <w:t xml:space="preserve"> the services with </w:t>
      </w:r>
      <w:r w:rsidR="00D8615F">
        <w:rPr>
          <w:rFonts w:cs="Calibri"/>
        </w:rPr>
        <w:t xml:space="preserve">a </w:t>
      </w:r>
      <w:r w:rsidR="004F6771" w:rsidRPr="004F6771">
        <w:rPr>
          <w:rFonts w:cs="Calibri"/>
        </w:rPr>
        <w:t>higher number of pathogens.</w:t>
      </w:r>
    </w:p>
    <w:p w14:paraId="03C7A1F1" w14:textId="6530AA7E" w:rsidR="00772829" w:rsidRDefault="00CB2E78" w:rsidP="002A18BE">
      <w:pPr>
        <w:pStyle w:val="Heading2"/>
        <w:numPr>
          <w:ilvl w:val="0"/>
          <w:numId w:val="0"/>
        </w:numPr>
      </w:pPr>
      <w:bookmarkStart w:id="22" w:name="_Toc133832625"/>
      <w:r>
        <w:t>10</w:t>
      </w:r>
      <w:r w:rsidR="00C36633">
        <w:t>.</w:t>
      </w:r>
      <w:r w:rsidR="00C36633">
        <w:tab/>
      </w:r>
      <w:r w:rsidR="00772829" w:rsidRPr="00CE28E3">
        <w:t>Characteristics of the evidence base</w:t>
      </w:r>
      <w:bookmarkEnd w:id="22"/>
    </w:p>
    <w:p w14:paraId="7DF38AC5" w14:textId="5E3A6CB1" w:rsidR="004F5231" w:rsidRPr="004F5231" w:rsidRDefault="004F5231" w:rsidP="004F5231">
      <w:r>
        <w:t xml:space="preserve">There is no central publicly available register that identifies all assays currently used in Australia. TGA registration does not necessarily mean they are marketed but sponsors are required to </w:t>
      </w:r>
      <w:r>
        <w:lastRenderedPageBreak/>
        <w:t xml:space="preserve">supply the TGA with monthly reports of the number of units being supplied and any emerging concerns </w:t>
      </w:r>
      <w:r w:rsidR="002317CB">
        <w:t>regarding</w:t>
      </w:r>
      <w:r>
        <w:t xml:space="preserve"> the test performance. However,</w:t>
      </w:r>
      <w:r w:rsidR="002317CB">
        <w:t xml:space="preserve"> due to confidentiality issues,</w:t>
      </w:r>
      <w:r>
        <w:t xml:space="preserve"> the TGA could not disclose whether these were being supplied, nor provide </w:t>
      </w:r>
      <w:r w:rsidR="004D310C">
        <w:t xml:space="preserve">the </w:t>
      </w:r>
      <w:r>
        <w:t xml:space="preserve">Australian Instructions </w:t>
      </w:r>
      <w:proofErr w:type="gramStart"/>
      <w:r w:rsidR="00891A01">
        <w:t>For</w:t>
      </w:r>
      <w:proofErr w:type="gramEnd"/>
      <w:r w:rsidR="00891A01">
        <w:t xml:space="preserve"> Use</w:t>
      </w:r>
      <w:r w:rsidR="00473E57">
        <w:t xml:space="preserve"> (IFU)</w:t>
      </w:r>
      <w:r w:rsidR="00891A01">
        <w:t>, nor any assessment reports without obtaining the consent from each sponsor. The IFU, which details the evidence base supporting the TGA approval and instructions to ensure that the test is performed in a way that is compliant with the approved usage, are only publicly available if the sponsor chooses to make them so.</w:t>
      </w:r>
      <w:r w:rsidR="004D310C">
        <w:t xml:space="preserve"> </w:t>
      </w:r>
      <w:r w:rsidR="00891A01">
        <w:t>Unlike the Product Information for medicine that the sponsors are required to upload to the PI and CMI repository on the TGA website within in a certain timeframe after approval, device manufacturers are not required to upload IFUs to a public repository</w:t>
      </w:r>
      <w:r>
        <w:t xml:space="preserve">. Those assays in current use and the number of </w:t>
      </w:r>
      <w:r w:rsidR="00891A01">
        <w:t>analysers and laboratories</w:t>
      </w:r>
      <w:r>
        <w:t xml:space="preserve"> were provided by the RCPA QAP based on their most recent survey conducted at the end of 2022. </w:t>
      </w:r>
      <w:r w:rsidR="00891A01">
        <w:t>It is possible this list is not comprehensive as other QAPs may be used by sponsors.</w:t>
      </w:r>
    </w:p>
    <w:p w14:paraId="6A58A19F" w14:textId="6D0CA213" w:rsidR="002A3D6A" w:rsidRDefault="002A3D6A" w:rsidP="002A3D6A">
      <w:pPr>
        <w:pStyle w:val="Heading3"/>
      </w:pPr>
      <w:bookmarkStart w:id="23" w:name="_Toc133832626"/>
      <w:r>
        <w:t xml:space="preserve">Technologies utilised for the intervention and the </w:t>
      </w:r>
      <w:proofErr w:type="gramStart"/>
      <w:r>
        <w:t>comparator</w:t>
      </w:r>
      <w:bookmarkEnd w:id="23"/>
      <w:proofErr w:type="gramEnd"/>
    </w:p>
    <w:p w14:paraId="0FAFDEA7" w14:textId="6FD53939" w:rsidR="00524A89" w:rsidRPr="007C603C" w:rsidRDefault="00423BB3" w:rsidP="00524A89">
      <w:r>
        <w:t>As shown below i</w:t>
      </w:r>
      <w:r w:rsidR="00524A89">
        <w:t xml:space="preserve">n </w:t>
      </w:r>
      <w:r w:rsidR="00524A89">
        <w:fldChar w:fldCharType="begin"/>
      </w:r>
      <w:r w:rsidR="00524A89">
        <w:instrText xml:space="preserve"> REF _Ref132631122 \h </w:instrText>
      </w:r>
      <w:r w:rsidR="00524A89">
        <w:fldChar w:fldCharType="separate"/>
      </w:r>
      <w:r w:rsidR="00525416">
        <w:t xml:space="preserve">Table </w:t>
      </w:r>
      <w:r w:rsidR="00525416">
        <w:rPr>
          <w:noProof/>
        </w:rPr>
        <w:t>8</w:t>
      </w:r>
      <w:r w:rsidR="00524A89">
        <w:fldChar w:fldCharType="end"/>
      </w:r>
      <w:r w:rsidR="00524A89">
        <w:t xml:space="preserve">, the Parameters state, “The assessment </w:t>
      </w:r>
      <w:r w:rsidR="00524A89" w:rsidRPr="004B534F">
        <w:t>should examine outcomes that could potentially differ between the intervention and comparator</w:t>
      </w:r>
      <w:r w:rsidR="00524A89">
        <w:t xml:space="preserve">…” The same technologies are utilised to provide the services in </w:t>
      </w:r>
      <w:r w:rsidR="00021B9A">
        <w:t xml:space="preserve">the </w:t>
      </w:r>
      <w:r w:rsidR="00524A89">
        <w:t>proposed items (which are the same current temporary MBS items 69510-69515) for SARS-CoV-2 and respiratory pathogen testing and the generic items for microbial nucleic acid testing</w:t>
      </w:r>
      <w:r w:rsidR="005028A4">
        <w:t xml:space="preserve">. </w:t>
      </w:r>
      <w:r w:rsidR="00524A89">
        <w:t>Therefore, there is no difference between the effectiveness and safety of the intervention and the comparator for any of the outcomes described</w:t>
      </w:r>
      <w:r w:rsidR="007105A0">
        <w:t xml:space="preserve"> in </w:t>
      </w:r>
      <w:r w:rsidR="007105A0">
        <w:fldChar w:fldCharType="begin"/>
      </w:r>
      <w:r w:rsidR="007105A0">
        <w:instrText xml:space="preserve"> REF _Ref132631122 \h </w:instrText>
      </w:r>
      <w:r w:rsidR="007105A0">
        <w:fldChar w:fldCharType="separate"/>
      </w:r>
      <w:r w:rsidR="00525416">
        <w:t xml:space="preserve">Table </w:t>
      </w:r>
      <w:r w:rsidR="00525416">
        <w:rPr>
          <w:noProof/>
        </w:rPr>
        <w:t>8</w:t>
      </w:r>
      <w:r w:rsidR="007105A0">
        <w:fldChar w:fldCharType="end"/>
      </w:r>
      <w:r w:rsidR="00524A89">
        <w:t xml:space="preserve">. </w:t>
      </w:r>
      <w:r w:rsidR="00DC242C">
        <w:t xml:space="preserve">The cost </w:t>
      </w:r>
      <w:r w:rsidR="0082207F">
        <w:t xml:space="preserve">to </w:t>
      </w:r>
      <w:r w:rsidR="008B6379">
        <w:t>conduct each test</w:t>
      </w:r>
      <w:r w:rsidR="0082207F">
        <w:t xml:space="preserve"> </w:t>
      </w:r>
      <w:r w:rsidR="00DC242C">
        <w:t xml:space="preserve">will not be different between the intervention and the comparator as the same tests would be performed. </w:t>
      </w:r>
      <w:r w:rsidR="002217DF">
        <w:t xml:space="preserve">Notably, </w:t>
      </w:r>
      <w:r w:rsidR="00923F48">
        <w:t>‘nucleic acid tests’ (which could be either</w:t>
      </w:r>
      <w:r w:rsidR="00101010">
        <w:t xml:space="preserve"> rapid </w:t>
      </w:r>
      <w:r w:rsidR="0082207F">
        <w:t>or</w:t>
      </w:r>
      <w:r w:rsidR="00101010">
        <w:t xml:space="preserve"> standard NAATs</w:t>
      </w:r>
      <w:r w:rsidR="00923F48">
        <w:t>)</w:t>
      </w:r>
      <w:r w:rsidR="005028A4">
        <w:t xml:space="preserve"> have been MBS-funded for two years</w:t>
      </w:r>
      <w:r w:rsidR="00345F51">
        <w:t xml:space="preserve"> for SARS-CoV-2</w:t>
      </w:r>
      <w:r w:rsidR="00006373">
        <w:t>,</w:t>
      </w:r>
      <w:r w:rsidR="005028A4">
        <w:t xml:space="preserve"> but </w:t>
      </w:r>
      <w:r w:rsidR="00B265C4">
        <w:t>no</w:t>
      </w:r>
      <w:r w:rsidR="00524A89">
        <w:t xml:space="preserve"> documents </w:t>
      </w:r>
      <w:r w:rsidR="0072080F">
        <w:t xml:space="preserve">describing </w:t>
      </w:r>
      <w:r w:rsidR="006077D3">
        <w:t>the basis of</w:t>
      </w:r>
      <w:r w:rsidR="00524A89">
        <w:t xml:space="preserve"> the decision to include SARS-CoV-2 testing in the MBS </w:t>
      </w:r>
      <w:r w:rsidR="00B265C4">
        <w:t>were</w:t>
      </w:r>
      <w:r w:rsidR="00524A89">
        <w:t xml:space="preserve"> available.</w:t>
      </w:r>
    </w:p>
    <w:p w14:paraId="3545CC08" w14:textId="13CDA0C6" w:rsidR="00524A89" w:rsidRDefault="00524A89" w:rsidP="00524A89">
      <w:pPr>
        <w:pStyle w:val="Caption"/>
      </w:pPr>
      <w:bookmarkStart w:id="24" w:name="_Ref132631122"/>
      <w:r>
        <w:t xml:space="preserve">Table </w:t>
      </w:r>
      <w:r>
        <w:fldChar w:fldCharType="begin"/>
      </w:r>
      <w:r>
        <w:instrText>SEQ Table \* ARABIC</w:instrText>
      </w:r>
      <w:r>
        <w:fldChar w:fldCharType="separate"/>
      </w:r>
      <w:r w:rsidR="00525416">
        <w:rPr>
          <w:noProof/>
        </w:rPr>
        <w:t>8</w:t>
      </w:r>
      <w:r>
        <w:fldChar w:fldCharType="end"/>
      </w:r>
      <w:bookmarkEnd w:id="24"/>
      <w:r>
        <w:t xml:space="preserve"> Parameters for comparison of the intervention and the comparator</w:t>
      </w:r>
    </w:p>
    <w:tbl>
      <w:tblPr>
        <w:tblStyle w:val="TableGrid"/>
        <w:tblW w:w="0" w:type="auto"/>
        <w:tblLook w:val="04A0" w:firstRow="1" w:lastRow="0" w:firstColumn="1" w:lastColumn="0" w:noHBand="0" w:noVBand="1"/>
      </w:tblPr>
      <w:tblGrid>
        <w:gridCol w:w="1885"/>
        <w:gridCol w:w="7131"/>
      </w:tblGrid>
      <w:tr w:rsidR="00524A89" w:rsidRPr="00C320AA" w14:paraId="4E174D0D" w14:textId="77777777" w:rsidTr="00650385">
        <w:tc>
          <w:tcPr>
            <w:tcW w:w="1885" w:type="dxa"/>
          </w:tcPr>
          <w:p w14:paraId="3A8D1474" w14:textId="77777777" w:rsidR="00524A89" w:rsidRPr="004A7B64" w:rsidRDefault="00524A89" w:rsidP="00650385">
            <w:pPr>
              <w:rPr>
                <w:rFonts w:ascii="Arial Narrow" w:hAnsi="Arial Narrow"/>
                <w:sz w:val="20"/>
                <w:szCs w:val="20"/>
              </w:rPr>
            </w:pPr>
            <w:r w:rsidRPr="004A7B64">
              <w:rPr>
                <w:rFonts w:ascii="Arial Narrow" w:hAnsi="Arial Narrow"/>
                <w:sz w:val="20"/>
                <w:szCs w:val="20"/>
              </w:rPr>
              <w:t>Reference standard</w:t>
            </w:r>
          </w:p>
        </w:tc>
        <w:tc>
          <w:tcPr>
            <w:tcW w:w="7131" w:type="dxa"/>
          </w:tcPr>
          <w:p w14:paraId="515671BE" w14:textId="77777777" w:rsidR="00524A89" w:rsidRDefault="00524A89" w:rsidP="00650385">
            <w:pPr>
              <w:rPr>
                <w:rFonts w:ascii="Arial Narrow" w:hAnsi="Arial Narrow"/>
                <w:sz w:val="20"/>
                <w:szCs w:val="20"/>
              </w:rPr>
            </w:pPr>
            <w:r w:rsidRPr="004A7B64">
              <w:rPr>
                <w:rFonts w:ascii="Arial Narrow" w:hAnsi="Arial Narrow"/>
                <w:sz w:val="20"/>
                <w:szCs w:val="20"/>
              </w:rPr>
              <w:t>Assessing the</w:t>
            </w:r>
            <w:r>
              <w:rPr>
                <w:rFonts w:ascii="Arial Narrow" w:hAnsi="Arial Narrow"/>
                <w:sz w:val="20"/>
                <w:szCs w:val="20"/>
              </w:rPr>
              <w:t xml:space="preserve"> comparative</w:t>
            </w:r>
            <w:r w:rsidRPr="004A7B64">
              <w:rPr>
                <w:rFonts w:ascii="Arial Narrow" w:hAnsi="Arial Narrow"/>
                <w:sz w:val="20"/>
                <w:szCs w:val="20"/>
              </w:rPr>
              <w:t xml:space="preserve"> analytical validity of different </w:t>
            </w:r>
            <w:r>
              <w:rPr>
                <w:rFonts w:ascii="Arial Narrow" w:hAnsi="Arial Narrow"/>
                <w:sz w:val="20"/>
                <w:szCs w:val="20"/>
              </w:rPr>
              <w:t xml:space="preserve">SARS-CoV-2 </w:t>
            </w:r>
            <w:r w:rsidRPr="004A7B64">
              <w:rPr>
                <w:rFonts w:ascii="Arial Narrow" w:hAnsi="Arial Narrow"/>
                <w:sz w:val="20"/>
                <w:szCs w:val="20"/>
              </w:rPr>
              <w:t>testing strategies comprised of the same tests is not required.</w:t>
            </w:r>
          </w:p>
          <w:p w14:paraId="7C566A6D" w14:textId="77777777" w:rsidR="00524A89" w:rsidRPr="00006BA2" w:rsidRDefault="00524A89" w:rsidP="00650385">
            <w:pPr>
              <w:rPr>
                <w:rFonts w:ascii="Arial Narrow" w:hAnsi="Arial Narrow"/>
                <w:sz w:val="20"/>
                <w:szCs w:val="20"/>
                <w:lang w:val="en-US"/>
              </w:rPr>
            </w:pPr>
          </w:p>
          <w:p w14:paraId="1A3DC0BA" w14:textId="77777777" w:rsidR="00524A89" w:rsidRPr="004A7B64" w:rsidRDefault="00524A89" w:rsidP="00650385">
            <w:pPr>
              <w:rPr>
                <w:rFonts w:ascii="Arial Narrow" w:hAnsi="Arial Narrow"/>
                <w:sz w:val="20"/>
                <w:szCs w:val="20"/>
              </w:rPr>
            </w:pPr>
            <w:r w:rsidRPr="004A7B64">
              <w:rPr>
                <w:rFonts w:ascii="Arial Narrow" w:hAnsi="Arial Narrow"/>
                <w:sz w:val="20"/>
                <w:szCs w:val="20"/>
              </w:rPr>
              <w:t xml:space="preserve">The assessment of the effectiveness of the intervention should include the analytical validity of </w:t>
            </w:r>
            <w:r>
              <w:rPr>
                <w:rFonts w:ascii="Arial Narrow" w:hAnsi="Arial Narrow"/>
                <w:sz w:val="20"/>
                <w:szCs w:val="20"/>
              </w:rPr>
              <w:t xml:space="preserve">the </w:t>
            </w:r>
            <w:r w:rsidRPr="004A7B64">
              <w:rPr>
                <w:rFonts w:ascii="Arial Narrow" w:hAnsi="Arial Narrow"/>
                <w:sz w:val="20"/>
                <w:szCs w:val="20"/>
              </w:rPr>
              <w:t>in-scope test methods (</w:t>
            </w:r>
            <w:proofErr w:type="gramStart"/>
            <w:r>
              <w:rPr>
                <w:rFonts w:ascii="Arial Narrow" w:hAnsi="Arial Narrow"/>
                <w:sz w:val="20"/>
                <w:szCs w:val="20"/>
              </w:rPr>
              <w:t>e.g.</w:t>
            </w:r>
            <w:proofErr w:type="gramEnd"/>
            <w:r>
              <w:rPr>
                <w:rFonts w:ascii="Arial Narrow" w:hAnsi="Arial Narrow"/>
                <w:sz w:val="20"/>
                <w:szCs w:val="20"/>
              </w:rPr>
              <w:t xml:space="preserve"> </w:t>
            </w:r>
            <w:r w:rsidRPr="00C320AA">
              <w:rPr>
                <w:rFonts w:ascii="Arial Narrow" w:hAnsi="Arial Narrow"/>
                <w:sz w:val="20"/>
                <w:szCs w:val="20"/>
              </w:rPr>
              <w:t>sensitivity, specificity, false positive rate, false negative rate, positive predictive value, negative predictive value</w:t>
            </w:r>
            <w:r>
              <w:rPr>
                <w:rFonts w:ascii="Arial Narrow" w:hAnsi="Arial Narrow"/>
                <w:sz w:val="20"/>
                <w:szCs w:val="20"/>
              </w:rPr>
              <w:t>). For this comparison the reference standard is laboratory-based PCR testing.</w:t>
            </w:r>
          </w:p>
        </w:tc>
      </w:tr>
      <w:tr w:rsidR="00524A89" w:rsidRPr="00C320AA" w14:paraId="3752920E" w14:textId="77777777" w:rsidTr="00650385">
        <w:tc>
          <w:tcPr>
            <w:tcW w:w="1885" w:type="dxa"/>
          </w:tcPr>
          <w:p w14:paraId="6EF3CF60" w14:textId="77777777" w:rsidR="00524A89" w:rsidRPr="004A7B64" w:rsidRDefault="00524A89" w:rsidP="00650385">
            <w:pPr>
              <w:rPr>
                <w:rFonts w:ascii="Arial Narrow" w:hAnsi="Arial Narrow"/>
                <w:sz w:val="20"/>
                <w:szCs w:val="20"/>
              </w:rPr>
            </w:pPr>
            <w:r w:rsidRPr="004A7B64">
              <w:rPr>
                <w:rFonts w:ascii="Arial Narrow" w:hAnsi="Arial Narrow"/>
                <w:sz w:val="20"/>
                <w:szCs w:val="20"/>
              </w:rPr>
              <w:t>Outcomes</w:t>
            </w:r>
          </w:p>
        </w:tc>
        <w:tc>
          <w:tcPr>
            <w:tcW w:w="7131" w:type="dxa"/>
          </w:tcPr>
          <w:p w14:paraId="1A67860C" w14:textId="77777777" w:rsidR="00524A89" w:rsidRPr="004A7B64" w:rsidRDefault="00524A89" w:rsidP="00650385">
            <w:pPr>
              <w:rPr>
                <w:rFonts w:ascii="Arial Narrow" w:hAnsi="Arial Narrow"/>
                <w:sz w:val="20"/>
                <w:szCs w:val="20"/>
              </w:rPr>
            </w:pPr>
            <w:r w:rsidRPr="004A7B64">
              <w:rPr>
                <w:rFonts w:ascii="Arial Narrow" w:hAnsi="Arial Narrow"/>
                <w:sz w:val="20"/>
                <w:szCs w:val="20"/>
              </w:rPr>
              <w:t>The assessment should examine outcomes that could potentially differ between the intervention and comparator</w:t>
            </w:r>
            <w:r>
              <w:rPr>
                <w:rFonts w:ascii="Arial Narrow" w:hAnsi="Arial Narrow"/>
                <w:sz w:val="20"/>
                <w:szCs w:val="20"/>
              </w:rPr>
              <w:t>. This includes at least</w:t>
            </w:r>
            <w:r w:rsidRPr="004A7B64">
              <w:rPr>
                <w:rFonts w:ascii="Arial Narrow" w:hAnsi="Arial Narrow"/>
                <w:sz w:val="20"/>
                <w:szCs w:val="20"/>
              </w:rPr>
              <w:t>:</w:t>
            </w:r>
          </w:p>
          <w:p w14:paraId="108E2AB1" w14:textId="77777777" w:rsidR="00524A89" w:rsidRPr="004A7B64" w:rsidRDefault="00524A89" w:rsidP="00CB2E78">
            <w:pPr>
              <w:pStyle w:val="ListParagraph"/>
              <w:numPr>
                <w:ilvl w:val="0"/>
                <w:numId w:val="12"/>
              </w:numPr>
              <w:spacing w:before="0"/>
              <w:rPr>
                <w:rFonts w:ascii="Arial Narrow" w:hAnsi="Arial Narrow"/>
                <w:sz w:val="20"/>
                <w:szCs w:val="20"/>
              </w:rPr>
            </w:pPr>
            <w:r w:rsidRPr="004A7B64">
              <w:rPr>
                <w:rFonts w:ascii="Arial Narrow" w:hAnsi="Arial Narrow"/>
                <w:sz w:val="20"/>
                <w:szCs w:val="20"/>
              </w:rPr>
              <w:t>Diagnostic yield</w:t>
            </w:r>
            <w:r>
              <w:rPr>
                <w:rFonts w:ascii="Arial Narrow" w:hAnsi="Arial Narrow"/>
                <w:sz w:val="20"/>
                <w:szCs w:val="20"/>
              </w:rPr>
              <w:t xml:space="preserve"> of SARS-CoV-2 testing and other relevant viruses, including</w:t>
            </w:r>
            <w:r w:rsidRPr="004A7B64">
              <w:rPr>
                <w:rFonts w:ascii="Arial Narrow" w:hAnsi="Arial Narrow"/>
                <w:sz w:val="20"/>
                <w:szCs w:val="20"/>
              </w:rPr>
              <w:t xml:space="preserve"> in different settings</w:t>
            </w:r>
            <w:r>
              <w:rPr>
                <w:rFonts w:ascii="Arial Narrow" w:hAnsi="Arial Narrow"/>
                <w:sz w:val="20"/>
                <w:szCs w:val="20"/>
              </w:rPr>
              <w:t xml:space="preserve"> with varying incidence, and according to testing strategy</w:t>
            </w:r>
          </w:p>
          <w:p w14:paraId="390881D9" w14:textId="77777777" w:rsidR="00524A89" w:rsidRPr="004A7B64" w:rsidRDefault="00524A89" w:rsidP="00CB2E78">
            <w:pPr>
              <w:pStyle w:val="ListParagraph"/>
              <w:numPr>
                <w:ilvl w:val="0"/>
                <w:numId w:val="12"/>
              </w:numPr>
              <w:spacing w:before="0"/>
              <w:rPr>
                <w:rFonts w:ascii="Arial Narrow" w:hAnsi="Arial Narrow"/>
                <w:sz w:val="20"/>
                <w:szCs w:val="20"/>
              </w:rPr>
            </w:pPr>
            <w:r w:rsidRPr="004A7B64">
              <w:rPr>
                <w:rFonts w:ascii="Arial Narrow" w:hAnsi="Arial Narrow"/>
                <w:sz w:val="20"/>
                <w:szCs w:val="20"/>
              </w:rPr>
              <w:t>T</w:t>
            </w:r>
            <w:r>
              <w:rPr>
                <w:rFonts w:ascii="Arial Narrow" w:hAnsi="Arial Narrow"/>
                <w:sz w:val="20"/>
                <w:szCs w:val="20"/>
              </w:rPr>
              <w:t>est t</w:t>
            </w:r>
            <w:r w:rsidRPr="004A7B64">
              <w:rPr>
                <w:rFonts w:ascii="Arial Narrow" w:hAnsi="Arial Narrow"/>
                <w:sz w:val="20"/>
                <w:szCs w:val="20"/>
              </w:rPr>
              <w:t xml:space="preserve">urnaround time </w:t>
            </w:r>
          </w:p>
          <w:p w14:paraId="166A287E" w14:textId="77777777" w:rsidR="00524A89" w:rsidRDefault="00524A89" w:rsidP="00CB2E78">
            <w:pPr>
              <w:pStyle w:val="ListParagraph"/>
              <w:numPr>
                <w:ilvl w:val="0"/>
                <w:numId w:val="12"/>
              </w:numPr>
              <w:spacing w:before="0"/>
              <w:rPr>
                <w:rFonts w:ascii="Arial Narrow" w:hAnsi="Arial Narrow"/>
                <w:sz w:val="20"/>
                <w:szCs w:val="20"/>
              </w:rPr>
            </w:pPr>
            <w:r>
              <w:rPr>
                <w:rFonts w:ascii="Arial Narrow" w:hAnsi="Arial Narrow"/>
                <w:sz w:val="20"/>
                <w:szCs w:val="20"/>
              </w:rPr>
              <w:t xml:space="preserve">Analytical validity of the in-scope test methods </w:t>
            </w:r>
          </w:p>
          <w:p w14:paraId="01A02845" w14:textId="77777777" w:rsidR="00524A89" w:rsidRDefault="00524A89" w:rsidP="00CB2E78">
            <w:pPr>
              <w:pStyle w:val="ListParagraph"/>
              <w:numPr>
                <w:ilvl w:val="0"/>
                <w:numId w:val="12"/>
              </w:numPr>
              <w:spacing w:before="0"/>
              <w:rPr>
                <w:rFonts w:ascii="Arial Narrow" w:hAnsi="Arial Narrow"/>
                <w:sz w:val="20"/>
                <w:szCs w:val="20"/>
              </w:rPr>
            </w:pPr>
            <w:r>
              <w:rPr>
                <w:rFonts w:ascii="Arial Narrow" w:hAnsi="Arial Narrow"/>
                <w:sz w:val="20"/>
                <w:szCs w:val="20"/>
              </w:rPr>
              <w:t>Any c</w:t>
            </w:r>
            <w:r w:rsidRPr="004A7B64">
              <w:rPr>
                <w:rFonts w:ascii="Arial Narrow" w:hAnsi="Arial Narrow"/>
                <w:sz w:val="20"/>
                <w:szCs w:val="20"/>
              </w:rPr>
              <w:t xml:space="preserve">hanges in management following a positive </w:t>
            </w:r>
            <w:r>
              <w:rPr>
                <w:rFonts w:ascii="Arial Narrow" w:hAnsi="Arial Narrow"/>
                <w:sz w:val="20"/>
                <w:szCs w:val="20"/>
              </w:rPr>
              <w:t>SARS-CoV-2 result that may differ between the intervention and comparator, including</w:t>
            </w:r>
            <w:r w:rsidRPr="004A7B64">
              <w:rPr>
                <w:rFonts w:ascii="Arial Narrow" w:hAnsi="Arial Narrow"/>
                <w:sz w:val="20"/>
                <w:szCs w:val="20"/>
              </w:rPr>
              <w:t xml:space="preserve"> in different </w:t>
            </w:r>
            <w:proofErr w:type="gramStart"/>
            <w:r w:rsidRPr="004A7B64">
              <w:rPr>
                <w:rFonts w:ascii="Arial Narrow" w:hAnsi="Arial Narrow"/>
                <w:sz w:val="20"/>
                <w:szCs w:val="20"/>
              </w:rPr>
              <w:t>settings</w:t>
            </w:r>
            <w:proofErr w:type="gramEnd"/>
            <w:r>
              <w:rPr>
                <w:rFonts w:ascii="Arial Narrow" w:hAnsi="Arial Narrow"/>
                <w:sz w:val="20"/>
                <w:szCs w:val="20"/>
              </w:rPr>
              <w:t xml:space="preserve"> </w:t>
            </w:r>
          </w:p>
          <w:p w14:paraId="78357EE8" w14:textId="77777777" w:rsidR="00524A89" w:rsidRPr="004A7B64" w:rsidRDefault="00524A89" w:rsidP="00CB2E78">
            <w:pPr>
              <w:pStyle w:val="ListParagraph"/>
              <w:numPr>
                <w:ilvl w:val="0"/>
                <w:numId w:val="12"/>
              </w:numPr>
              <w:spacing w:before="0"/>
              <w:rPr>
                <w:rFonts w:ascii="Arial Narrow" w:hAnsi="Arial Narrow"/>
                <w:sz w:val="20"/>
                <w:szCs w:val="20"/>
              </w:rPr>
            </w:pPr>
            <w:r>
              <w:rPr>
                <w:rFonts w:ascii="Arial Narrow" w:hAnsi="Arial Narrow"/>
                <w:sz w:val="20"/>
                <w:szCs w:val="20"/>
              </w:rPr>
              <w:t>Cost of testing strategy and test sequence</w:t>
            </w:r>
          </w:p>
        </w:tc>
      </w:tr>
    </w:tbl>
    <w:p w14:paraId="183B4844" w14:textId="06A9BB0C" w:rsidR="008B5ABD" w:rsidRDefault="008B5ABD" w:rsidP="008B5ABD">
      <w:pPr>
        <w:pStyle w:val="TableFooter"/>
      </w:pPr>
      <w:bookmarkStart w:id="25" w:name="_Toc133832627"/>
      <w:r>
        <w:t xml:space="preserve">Source: DCAR Table </w:t>
      </w:r>
      <w:r w:rsidR="004A6BE6">
        <w:t>6</w:t>
      </w:r>
    </w:p>
    <w:p w14:paraId="4E866990" w14:textId="67547D16" w:rsidR="004B534F" w:rsidRDefault="004B534F" w:rsidP="00411B35">
      <w:pPr>
        <w:pStyle w:val="Heading3"/>
      </w:pPr>
      <w:r>
        <w:t xml:space="preserve">Rapid </w:t>
      </w:r>
      <w:r w:rsidR="009E65E7">
        <w:t xml:space="preserve">and standard </w:t>
      </w:r>
      <w:r>
        <w:t>NAATs</w:t>
      </w:r>
      <w:bookmarkEnd w:id="25"/>
    </w:p>
    <w:p w14:paraId="4521D57E" w14:textId="2B1638E7" w:rsidR="00094B73" w:rsidRDefault="0082207F" w:rsidP="00B353AC">
      <w:r>
        <w:t>No</w:t>
      </w:r>
      <w:r w:rsidR="00094B73">
        <w:t xml:space="preserve"> separate item </w:t>
      </w:r>
      <w:r w:rsidR="0072080F">
        <w:t>wa</w:t>
      </w:r>
      <w:r>
        <w:t xml:space="preserve">s </w:t>
      </w:r>
      <w:r w:rsidR="00094B73">
        <w:t xml:space="preserve">proposed for rapid NAATs and standard NAATs. </w:t>
      </w:r>
      <w:r w:rsidR="00F86EAD">
        <w:t xml:space="preserve">Rapid NAATs use a </w:t>
      </w:r>
      <w:r w:rsidR="00A23675">
        <w:t>modified</w:t>
      </w:r>
      <w:r w:rsidR="00F86EAD">
        <w:t xml:space="preserve"> </w:t>
      </w:r>
      <w:r w:rsidR="00A23675">
        <w:t>approach</w:t>
      </w:r>
      <w:r w:rsidR="00F86EAD">
        <w:t xml:space="preserve"> (single cartridge) to simplify and speed up the test, </w:t>
      </w:r>
      <w:r w:rsidR="00A23675">
        <w:t xml:space="preserve">making these suitable for use both within and outside of the laboratory setting. </w:t>
      </w:r>
      <w:r w:rsidR="009E2941">
        <w:t xml:space="preserve">This has also made this type of testing </w:t>
      </w:r>
      <w:r w:rsidR="009E2941">
        <w:lastRenderedPageBreak/>
        <w:t>more expensive and</w:t>
      </w:r>
      <w:r w:rsidR="00F86EAD">
        <w:t xml:space="preserve"> there is potentially a difference between the clinical performance of the rapid NAATs and the standard NAATs. </w:t>
      </w:r>
    </w:p>
    <w:p w14:paraId="231F2305" w14:textId="7BAF5636" w:rsidR="00094B73" w:rsidRDefault="00F86EAD" w:rsidP="00094B73">
      <w:r>
        <w:t xml:space="preserve">Initially, </w:t>
      </w:r>
      <w:r w:rsidR="00A23675">
        <w:t xml:space="preserve">the Parameters included </w:t>
      </w:r>
      <w:r>
        <w:t xml:space="preserve">point-of-care testing </w:t>
      </w:r>
      <w:r w:rsidR="00A23675">
        <w:t>with</w:t>
      </w:r>
      <w:r>
        <w:t xml:space="preserve">in the scope of the application but </w:t>
      </w:r>
      <w:proofErr w:type="gramStart"/>
      <w:r>
        <w:t>during the course of</w:t>
      </w:r>
      <w:proofErr w:type="gramEnd"/>
      <w:r>
        <w:t xml:space="preserve"> the</w:t>
      </w:r>
      <w:r w:rsidR="00A23675">
        <w:t xml:space="preserve"> fit-for-purpose</w:t>
      </w:r>
      <w:r>
        <w:t xml:space="preserve"> DCAR preparation, the scope was</w:t>
      </w:r>
      <w:r w:rsidR="00A23675">
        <w:t xml:space="preserve"> restricted</w:t>
      </w:r>
      <w:r>
        <w:t xml:space="preserve"> to laboratory-performed </w:t>
      </w:r>
      <w:r w:rsidR="00A23675">
        <w:t>NAATs</w:t>
      </w:r>
      <w:r>
        <w:t xml:space="preserve">. </w:t>
      </w:r>
      <w:r w:rsidR="00343078">
        <w:t xml:space="preserve">This </w:t>
      </w:r>
      <w:r w:rsidR="00655CFA">
        <w:t xml:space="preserve">was to </w:t>
      </w:r>
      <w:r w:rsidR="003F7C11">
        <w:t>align</w:t>
      </w:r>
      <w:r w:rsidR="00655CFA">
        <w:t xml:space="preserve"> the assessment with the requirement under the </w:t>
      </w:r>
      <w:r w:rsidR="00655CFA">
        <w:rPr>
          <w:i/>
          <w:iCs/>
        </w:rPr>
        <w:t xml:space="preserve">Health Insurance Act 1973 </w:t>
      </w:r>
      <w:r w:rsidR="00655CFA">
        <w:t xml:space="preserve">that the MBS-funded test must be provided by an accredited pathology laboratory. </w:t>
      </w:r>
      <w:r>
        <w:t>Thus, point-of-care testing performed in communities and outside of hospital laboratories (</w:t>
      </w:r>
      <w:proofErr w:type="gramStart"/>
      <w:r>
        <w:t>e.g.</w:t>
      </w:r>
      <w:proofErr w:type="gramEnd"/>
      <w:r w:rsidR="009E2941">
        <w:t xml:space="preserve"> with</w:t>
      </w:r>
      <w:r>
        <w:t xml:space="preserve">in emergency </w:t>
      </w:r>
      <w:r w:rsidR="008E2391">
        <w:t>departments</w:t>
      </w:r>
      <w:r>
        <w:t xml:space="preserve">) were excluded. </w:t>
      </w:r>
    </w:p>
    <w:p w14:paraId="7B34F4CA" w14:textId="0E91C35A" w:rsidR="0062740E" w:rsidRDefault="0062740E" w:rsidP="00B353AC">
      <w:r>
        <w:t xml:space="preserve">Laboratory-based PCR </w:t>
      </w:r>
      <w:r w:rsidR="00496CAF">
        <w:t>wa</w:t>
      </w:r>
      <w:r>
        <w:t>s designated in the Parameter</w:t>
      </w:r>
      <w:r w:rsidR="00A23675">
        <w:t>s</w:t>
      </w:r>
      <w:r>
        <w:t xml:space="preserve"> as the reference test –this step is common to both</w:t>
      </w:r>
      <w:r w:rsidR="00A23675">
        <w:t xml:space="preserve"> rapid and standard NAATs</w:t>
      </w:r>
      <w:r>
        <w:t xml:space="preserve"> </w:t>
      </w:r>
      <w:r w:rsidR="00A23675">
        <w:t>for SARS-CoV-2 and respiratory pathogens</w:t>
      </w:r>
      <w:r w:rsidR="00477298">
        <w:t>. The only exception is the</w:t>
      </w:r>
      <w:r w:rsidR="0037455E">
        <w:t xml:space="preserve"> COVID-19 ID NOW assay</w:t>
      </w:r>
      <w:r w:rsidR="0082207F" w:rsidRPr="0082207F">
        <w:t xml:space="preserve"> </w:t>
      </w:r>
      <w:r w:rsidR="0082207F">
        <w:t>(Abbott</w:t>
      </w:r>
      <w:r w:rsidR="00477298">
        <w:t>,</w:t>
      </w:r>
      <w:r w:rsidR="0082207F">
        <w:t>)</w:t>
      </w:r>
      <w:r w:rsidR="0037455E">
        <w:t xml:space="preserve"> which uses loop</w:t>
      </w:r>
      <w:r w:rsidR="00477298">
        <w:t>-</w:t>
      </w:r>
      <w:r w:rsidR="0037455E">
        <w:t xml:space="preserve">mediated </w:t>
      </w:r>
      <w:r w:rsidR="00477298">
        <w:t>iso</w:t>
      </w:r>
      <w:r w:rsidR="0037455E">
        <w:t xml:space="preserve">thermal </w:t>
      </w:r>
      <w:r w:rsidR="00477298">
        <w:t>amplification as an alternative to PCR and is in use in one</w:t>
      </w:r>
      <w:r w:rsidR="00F50C61">
        <w:t xml:space="preserve"> analyser in a</w:t>
      </w:r>
      <w:r w:rsidR="00477298">
        <w:t xml:space="preserve"> laboratory in Australia according to the RCPA QAP</w:t>
      </w:r>
      <w:r>
        <w:t xml:space="preserve">. </w:t>
      </w:r>
    </w:p>
    <w:p w14:paraId="25923240" w14:textId="5072D526" w:rsidR="00A31AD5" w:rsidRDefault="00B353AC" w:rsidP="00B353AC">
      <w:r>
        <w:t xml:space="preserve">Thus, the </w:t>
      </w:r>
      <w:r w:rsidR="0062740E">
        <w:t xml:space="preserve">only comparison </w:t>
      </w:r>
      <w:r w:rsidR="008E2391">
        <w:t>where there may be a difference in the outcomes is not between the intervention and the comparator</w:t>
      </w:r>
      <w:r w:rsidR="00823D90">
        <w:t xml:space="preserve"> as these are </w:t>
      </w:r>
      <w:r w:rsidR="00CA5AF5">
        <w:t xml:space="preserve">comprised of </w:t>
      </w:r>
      <w:r w:rsidR="00823D90">
        <w:t>the same tests</w:t>
      </w:r>
      <w:r w:rsidR="008E2391">
        <w:t>, but between</w:t>
      </w:r>
      <w:r w:rsidR="0062740E">
        <w:t xml:space="preserve"> the rapid NAATs and the standard NAATs</w:t>
      </w:r>
      <w:r w:rsidR="00823D90">
        <w:t xml:space="preserve">. </w:t>
      </w:r>
      <w:r w:rsidR="00AD49C0">
        <w:t>Standard NAATs, with their separate steps for nucleic acid extraction and amplification are the reference standard against which</w:t>
      </w:r>
      <w:r w:rsidR="007435EB">
        <w:t xml:space="preserve"> the clinical performance of</w:t>
      </w:r>
      <w:r w:rsidR="00AD49C0">
        <w:t xml:space="preserve"> rapid NAATs </w:t>
      </w:r>
      <w:proofErr w:type="gramStart"/>
      <w:r w:rsidR="00AD49C0">
        <w:t>are</w:t>
      </w:r>
      <w:proofErr w:type="gramEnd"/>
      <w:r w:rsidR="00AD49C0">
        <w:t xml:space="preserve"> judged. </w:t>
      </w:r>
      <w:r w:rsidR="002D0CB2">
        <w:t xml:space="preserve">The </w:t>
      </w:r>
      <w:r w:rsidR="00823D90">
        <w:t>HTA group</w:t>
      </w:r>
      <w:r w:rsidR="0062740E">
        <w:t xml:space="preserve"> has</w:t>
      </w:r>
      <w:r>
        <w:t xml:space="preserve"> review</w:t>
      </w:r>
      <w:r w:rsidR="0062740E">
        <w:t>ed</w:t>
      </w:r>
      <w:r>
        <w:t xml:space="preserve"> evidence of the clinical performance of rapid NAATs for SARS-CoV-2 and other respiratory pathogens, when performed as a laboratory-based test per the scope of this fit-for-purpose DCAR. </w:t>
      </w:r>
      <w:r w:rsidR="00840E1E">
        <w:t>Rapid NAATs</w:t>
      </w:r>
      <w:r>
        <w:t xml:space="preserve"> constitute a very small proportion of the MBS-</w:t>
      </w:r>
      <w:proofErr w:type="spellStart"/>
      <w:r>
        <w:t>rebatable</w:t>
      </w:r>
      <w:proofErr w:type="spellEnd"/>
      <w:r>
        <w:t xml:space="preserve"> NAATs performed overall due to most </w:t>
      </w:r>
      <w:r w:rsidR="003D6F08">
        <w:t xml:space="preserve">rapid NAATs </w:t>
      </w:r>
      <w:r>
        <w:t>being performed in a setting that is not Medicare-</w:t>
      </w:r>
      <w:proofErr w:type="spellStart"/>
      <w:r>
        <w:t>rebatable</w:t>
      </w:r>
      <w:proofErr w:type="spellEnd"/>
      <w:r>
        <w:t xml:space="preserve"> (</w:t>
      </w:r>
      <w:proofErr w:type="gramStart"/>
      <w:r>
        <w:t>e.g.</w:t>
      </w:r>
      <w:proofErr w:type="gramEnd"/>
      <w:r>
        <w:t xml:space="preserve"> in emergency departments</w:t>
      </w:r>
      <w:r w:rsidR="00BF69AE">
        <w:t>,</w:t>
      </w:r>
      <w:r>
        <w:t xml:space="preserve"> </w:t>
      </w:r>
      <w:r w:rsidR="00840E1E">
        <w:t>or outside of the laboratory e.g. in the community by specifically trained healthcare staff). As a result</w:t>
      </w:r>
      <w:r w:rsidR="005630CB">
        <w:t>,</w:t>
      </w:r>
      <w:r w:rsidR="00823D90">
        <w:t xml:space="preserve"> </w:t>
      </w:r>
      <w:r w:rsidR="00840E1E">
        <w:t xml:space="preserve">most </w:t>
      </w:r>
      <w:r w:rsidR="00823D90">
        <w:t>rapid NAATs are</w:t>
      </w:r>
      <w:r w:rsidR="00F86EAD">
        <w:t xml:space="preserve"> funded by the</w:t>
      </w:r>
      <w:r>
        <w:t xml:space="preserve"> state</w:t>
      </w:r>
      <w:r w:rsidR="00F86EAD">
        <w:t>s</w:t>
      </w:r>
      <w:r>
        <w:t xml:space="preserve"> and territor</w:t>
      </w:r>
      <w:r w:rsidR="00F86EAD">
        <w:t>ies</w:t>
      </w:r>
      <w:r>
        <w:t xml:space="preserve"> or other dedicated programs (</w:t>
      </w:r>
      <w:proofErr w:type="gramStart"/>
      <w:r>
        <w:t>e.g.</w:t>
      </w:r>
      <w:proofErr w:type="gramEnd"/>
      <w:r>
        <w:t xml:space="preserve"> </w:t>
      </w:r>
      <w:r w:rsidR="00BF69AE">
        <w:t xml:space="preserve">the </w:t>
      </w:r>
      <w:r>
        <w:t>Aboriginal and Torres Strait Islander COVID-19 Point-of-Care Testing Program).</w:t>
      </w:r>
    </w:p>
    <w:p w14:paraId="1FCF53DB" w14:textId="0B4F2387" w:rsidR="00B353AC" w:rsidRDefault="00CA508E" w:rsidP="00CA508E">
      <w:pPr>
        <w:pStyle w:val="Heading3"/>
      </w:pPr>
      <w:bookmarkStart w:id="26" w:name="_Toc133832628"/>
      <w:r>
        <w:t>Evidence base</w:t>
      </w:r>
      <w:bookmarkEnd w:id="26"/>
    </w:p>
    <w:p w14:paraId="4478F71C" w14:textId="7AB5B359" w:rsidR="007435EB" w:rsidRDefault="007435EB" w:rsidP="007435EB">
      <w:r>
        <w:t>The place of rapid NAATs as SARS-CoV-2 tests has previously been considered by the Government based on a review undertaken by the Doherty Institute in 2021</w:t>
      </w:r>
      <w:r>
        <w:rPr>
          <w:rStyle w:val="FootnoteReference"/>
        </w:rPr>
        <w:footnoteReference w:id="17"/>
      </w:r>
      <w:r>
        <w:t>.</w:t>
      </w:r>
      <w:r w:rsidR="001E37CA">
        <w:t xml:space="preserve"> This broad assessment was not restricted to those performed in laboratories </w:t>
      </w:r>
      <w:r w:rsidR="008229D3">
        <w:t xml:space="preserve">as </w:t>
      </w:r>
      <w:r w:rsidR="004D411A">
        <w:t>specified</w:t>
      </w:r>
      <w:r w:rsidR="001E37CA">
        <w:t xml:space="preserve"> in </w:t>
      </w:r>
      <w:r w:rsidR="004D411A">
        <w:t xml:space="preserve">the Parameters for </w:t>
      </w:r>
      <w:r w:rsidR="001E37CA">
        <w:t>this fit-for-purpose DCAR.</w:t>
      </w:r>
      <w:r w:rsidR="008229D3">
        <w:t xml:space="preserve"> The Cepheid Xpress </w:t>
      </w:r>
      <w:proofErr w:type="spellStart"/>
      <w:r w:rsidR="008229D3">
        <w:t>Xpert</w:t>
      </w:r>
      <w:proofErr w:type="spellEnd"/>
      <w:r w:rsidR="008229D3">
        <w:t xml:space="preserve"> SARS-CoV-2 assay was identified as having high sensitivity and specificity, and the lower performance of the </w:t>
      </w:r>
      <w:r w:rsidR="0003614B">
        <w:t xml:space="preserve">Abbott </w:t>
      </w:r>
      <w:r w:rsidR="008229D3">
        <w:t>COVID-1</w:t>
      </w:r>
      <w:r w:rsidR="0003614B">
        <w:t>9 ID Now assay was noted</w:t>
      </w:r>
      <w:r w:rsidR="00F50C61">
        <w:t xml:space="preserve"> as requiring further investigation given some studies did not follow the IFU</w:t>
      </w:r>
      <w:r w:rsidR="0003614B">
        <w:t>.</w:t>
      </w:r>
    </w:p>
    <w:p w14:paraId="7E5EBB55" w14:textId="5014768E" w:rsidR="00E34EF4" w:rsidRDefault="00404C79" w:rsidP="00713C9D">
      <w:r>
        <w:t>In this fit-for-purpose DCAR, the</w:t>
      </w:r>
      <w:r w:rsidR="00781778">
        <w:t xml:space="preserve"> evidence </w:t>
      </w:r>
      <w:proofErr w:type="gramStart"/>
      <w:r w:rsidR="00781778">
        <w:t>base</w:t>
      </w:r>
      <w:proofErr w:type="gramEnd"/>
      <w:r w:rsidR="00781778">
        <w:t xml:space="preserve"> for assessment of the analytical validity of rapid NAATs </w:t>
      </w:r>
      <w:r w:rsidR="00E34EF4">
        <w:t xml:space="preserve">performed in the laboratory (scope of this assessment) </w:t>
      </w:r>
      <w:r w:rsidR="00781778">
        <w:t>compared with standard NAATs was examined for each of the rapid NAATs that are registered in Australia.</w:t>
      </w:r>
      <w:r w:rsidR="00E34EF4">
        <w:t xml:space="preserve"> </w:t>
      </w:r>
      <w:r w:rsidR="004107D0">
        <w:t>As</w:t>
      </w:r>
      <w:r w:rsidR="00091C38">
        <w:t xml:space="preserve"> the purpose of these tests is to allow testing outside of laboratory settings, many of the </w:t>
      </w:r>
      <w:r w:rsidR="009C03BD">
        <w:t xml:space="preserve">published </w:t>
      </w:r>
      <w:r w:rsidR="00091C38">
        <w:t>studies were not performed in laboratories</w:t>
      </w:r>
      <w:r w:rsidR="001E37CA">
        <w:t xml:space="preserve"> and any </w:t>
      </w:r>
      <w:r w:rsidR="000364BF">
        <w:t xml:space="preserve">published </w:t>
      </w:r>
      <w:r w:rsidR="001E37CA">
        <w:t xml:space="preserve">meta-analyses included a combination done at the point of care and in laboratories. Early validation studies tend to be performed in </w:t>
      </w:r>
      <w:proofErr w:type="gramStart"/>
      <w:r w:rsidR="001E37CA">
        <w:t>laboratories</w:t>
      </w:r>
      <w:proofErr w:type="gramEnd"/>
      <w:r w:rsidR="001E37CA">
        <w:t xml:space="preserve"> but these have limited generalisability as many </w:t>
      </w:r>
      <w:r w:rsidR="00F74724">
        <w:t>we</w:t>
      </w:r>
      <w:r w:rsidR="001E37CA">
        <w:t xml:space="preserve">re enriched with samples with known infection status from prior testing. </w:t>
      </w:r>
      <w:r w:rsidR="00787C48">
        <w:t>No</w:t>
      </w:r>
      <w:r w:rsidR="00E34EF4">
        <w:t xml:space="preserve"> studies were conducted</w:t>
      </w:r>
      <w:r w:rsidR="00F74724">
        <w:t xml:space="preserve"> specifically</w:t>
      </w:r>
      <w:r w:rsidR="00E34EF4">
        <w:t xml:space="preserve"> in Medicare-eligible settings, </w:t>
      </w:r>
      <w:r w:rsidR="00F74724">
        <w:t xml:space="preserve">therefore, there are no data specifically addressing the outcomes </w:t>
      </w:r>
      <w:r w:rsidR="004107D0">
        <w:t>within the</w:t>
      </w:r>
      <w:r w:rsidR="00F74724">
        <w:t xml:space="preserve"> scope listed in the Parameters</w:t>
      </w:r>
      <w:r w:rsidR="00E34EF4">
        <w:t>.</w:t>
      </w:r>
    </w:p>
    <w:p w14:paraId="1B2FAC04" w14:textId="2EEA4414" w:rsidR="00787C48" w:rsidRDefault="00787C48" w:rsidP="00713C9D">
      <w:r w:rsidRPr="00787C48">
        <w:lastRenderedPageBreak/>
        <w:t xml:space="preserve">As different approaches </w:t>
      </w:r>
      <w:r w:rsidR="00F315D0">
        <w:t xml:space="preserve">were </w:t>
      </w:r>
      <w:r w:rsidRPr="00787C48">
        <w:t xml:space="preserve">used by different manufacturers, </w:t>
      </w:r>
      <w:r>
        <w:t>there were</w:t>
      </w:r>
      <w:r w:rsidRPr="00787C48">
        <w:t xml:space="preserve"> differences in findings for different tests and </w:t>
      </w:r>
      <w:r>
        <w:t>the</w:t>
      </w:r>
      <w:r w:rsidRPr="00787C48">
        <w:t xml:space="preserve"> data </w:t>
      </w:r>
      <w:r>
        <w:t xml:space="preserve">have been considered </w:t>
      </w:r>
      <w:r w:rsidRPr="00787C48">
        <w:t>without aggregation to make this clear.</w:t>
      </w:r>
      <w:r w:rsidR="00CB5020">
        <w:t xml:space="preserve"> Some differences between the studies included:</w:t>
      </w:r>
      <w:r w:rsidRPr="00787C48">
        <w:t xml:space="preserve"> </w:t>
      </w:r>
    </w:p>
    <w:p w14:paraId="79ED4501" w14:textId="5B79FA4F" w:rsidR="00995B70" w:rsidRPr="001D278E" w:rsidRDefault="00995B70" w:rsidP="00787C48">
      <w:pPr>
        <w:pStyle w:val="Bullet"/>
        <w:rPr>
          <w:rFonts w:ascii="Franklin Gothic Book" w:hAnsi="Franklin Gothic Book"/>
        </w:rPr>
      </w:pPr>
      <w:r w:rsidRPr="001D278E">
        <w:rPr>
          <w:rFonts w:ascii="Franklin Gothic Book" w:hAnsi="Franklin Gothic Book"/>
        </w:rPr>
        <w:t>Design: most</w:t>
      </w:r>
      <w:r w:rsidR="000D6540" w:rsidRPr="001D278E">
        <w:rPr>
          <w:rFonts w:ascii="Franklin Gothic Book" w:hAnsi="Franklin Gothic Book"/>
        </w:rPr>
        <w:t xml:space="preserve"> were</w:t>
      </w:r>
      <w:r w:rsidRPr="001D278E">
        <w:rPr>
          <w:rFonts w:ascii="Franklin Gothic Book" w:hAnsi="Franklin Gothic Book"/>
        </w:rPr>
        <w:t xml:space="preserve"> retrospective, </w:t>
      </w:r>
      <w:r w:rsidR="000D6540" w:rsidRPr="001D278E">
        <w:rPr>
          <w:rFonts w:ascii="Franklin Gothic Book" w:hAnsi="Franklin Gothic Book"/>
        </w:rPr>
        <w:t>single-centre studies</w:t>
      </w:r>
      <w:r w:rsidR="00A31AD5" w:rsidRPr="001D278E">
        <w:rPr>
          <w:rFonts w:ascii="Franklin Gothic Book" w:hAnsi="Franklin Gothic Book"/>
        </w:rPr>
        <w:t xml:space="preserve"> </w:t>
      </w:r>
      <w:r w:rsidRPr="001D278E">
        <w:rPr>
          <w:rFonts w:ascii="Franklin Gothic Book" w:hAnsi="Franklin Gothic Book"/>
        </w:rPr>
        <w:t xml:space="preserve">but none </w:t>
      </w:r>
      <w:r w:rsidR="000D6540" w:rsidRPr="001D278E">
        <w:rPr>
          <w:rFonts w:ascii="Franklin Gothic Book" w:hAnsi="Franklin Gothic Book"/>
        </w:rPr>
        <w:t xml:space="preserve">were conducted </w:t>
      </w:r>
      <w:r w:rsidRPr="001D278E">
        <w:rPr>
          <w:rFonts w:ascii="Franklin Gothic Book" w:hAnsi="Franklin Gothic Book"/>
        </w:rPr>
        <w:t>in a Medicare-eligible setting</w:t>
      </w:r>
      <w:r w:rsidR="00A31AD5" w:rsidRPr="001D278E">
        <w:rPr>
          <w:rFonts w:ascii="Franklin Gothic Book" w:hAnsi="Franklin Gothic Book"/>
        </w:rPr>
        <w:t>. Laboratories participating in multicentre studies often used local standard reference tests which will influence positive and negative percentage agreement outcomes.</w:t>
      </w:r>
    </w:p>
    <w:p w14:paraId="406484F9" w14:textId="6067E8F8" w:rsidR="00787C48" w:rsidRPr="001D278E" w:rsidRDefault="00995B70" w:rsidP="00787C48">
      <w:pPr>
        <w:pStyle w:val="Bullet"/>
        <w:rPr>
          <w:rFonts w:ascii="Franklin Gothic Book" w:hAnsi="Franklin Gothic Book"/>
        </w:rPr>
      </w:pPr>
      <w:r w:rsidRPr="001D278E">
        <w:rPr>
          <w:rFonts w:ascii="Franklin Gothic Book" w:hAnsi="Franklin Gothic Book"/>
        </w:rPr>
        <w:t>E</w:t>
      </w:r>
      <w:r w:rsidR="00781778" w:rsidRPr="001D278E">
        <w:rPr>
          <w:rFonts w:ascii="Franklin Gothic Book" w:hAnsi="Franklin Gothic Book"/>
        </w:rPr>
        <w:t>ndpoints</w:t>
      </w:r>
      <w:r w:rsidR="00A935F7" w:rsidRPr="001D278E">
        <w:rPr>
          <w:rFonts w:ascii="Franklin Gothic Book" w:hAnsi="Franklin Gothic Book"/>
        </w:rPr>
        <w:t>:</w:t>
      </w:r>
      <w:r w:rsidRPr="001D278E">
        <w:rPr>
          <w:rFonts w:ascii="Franklin Gothic Book" w:hAnsi="Franklin Gothic Book"/>
        </w:rPr>
        <w:t xml:space="preserve"> s</w:t>
      </w:r>
      <w:r w:rsidR="00781778" w:rsidRPr="001D278E">
        <w:rPr>
          <w:rFonts w:ascii="Franklin Gothic Book" w:hAnsi="Franklin Gothic Book"/>
        </w:rPr>
        <w:t>ome reported positive and negative predictive agreement, and others sensitivity and specificity</w:t>
      </w:r>
      <w:r w:rsidR="00736FB1" w:rsidRPr="001D278E">
        <w:rPr>
          <w:rFonts w:ascii="Franklin Gothic Book" w:hAnsi="Franklin Gothic Book"/>
        </w:rPr>
        <w:t xml:space="preserve">; agreement with the reference standard may have been affected by </w:t>
      </w:r>
      <w:r w:rsidR="007D6A22" w:rsidRPr="001D278E">
        <w:rPr>
          <w:rFonts w:ascii="Franklin Gothic Book" w:hAnsi="Franklin Gothic Book"/>
        </w:rPr>
        <w:t xml:space="preserve">limited </w:t>
      </w:r>
      <w:r w:rsidR="00736FB1" w:rsidRPr="001D278E">
        <w:rPr>
          <w:rFonts w:ascii="Franklin Gothic Book" w:hAnsi="Franklin Gothic Book"/>
        </w:rPr>
        <w:t xml:space="preserve">analytical validity </w:t>
      </w:r>
      <w:r w:rsidR="007D6A22" w:rsidRPr="001D278E">
        <w:rPr>
          <w:rFonts w:ascii="Franklin Gothic Book" w:hAnsi="Franklin Gothic Book"/>
        </w:rPr>
        <w:t>of</w:t>
      </w:r>
      <w:r w:rsidR="00736FB1" w:rsidRPr="001D278E">
        <w:rPr>
          <w:rFonts w:ascii="Franklin Gothic Book" w:hAnsi="Franklin Gothic Book"/>
        </w:rPr>
        <w:t xml:space="preserve"> </w:t>
      </w:r>
      <w:r w:rsidR="007C7931" w:rsidRPr="001D278E">
        <w:rPr>
          <w:rFonts w:ascii="Franklin Gothic Book" w:hAnsi="Franklin Gothic Book"/>
        </w:rPr>
        <w:t xml:space="preserve">the </w:t>
      </w:r>
      <w:r w:rsidR="007D6A22" w:rsidRPr="001D278E">
        <w:rPr>
          <w:rFonts w:ascii="Franklin Gothic Book" w:hAnsi="Franklin Gothic Book"/>
        </w:rPr>
        <w:t>reference standard</w:t>
      </w:r>
      <w:r w:rsidR="00F315D0" w:rsidRPr="001D278E">
        <w:rPr>
          <w:rFonts w:ascii="Franklin Gothic Book" w:hAnsi="Franklin Gothic Book"/>
        </w:rPr>
        <w:t xml:space="preserve">. </w:t>
      </w:r>
      <w:r w:rsidR="000200A5" w:rsidRPr="001D278E">
        <w:rPr>
          <w:rFonts w:ascii="Franklin Gothic Book" w:hAnsi="Franklin Gothic Book"/>
        </w:rPr>
        <w:t>Other outcomes such as turnaround time investigated</w:t>
      </w:r>
      <w:r w:rsidR="00F315D0" w:rsidRPr="001D278E">
        <w:rPr>
          <w:rFonts w:ascii="Franklin Gothic Book" w:hAnsi="Franklin Gothic Book"/>
        </w:rPr>
        <w:t xml:space="preserve"> the test performance for its intended purpose in a non-laboratory setting, </w:t>
      </w:r>
      <w:r w:rsidR="000200A5" w:rsidRPr="001D278E">
        <w:rPr>
          <w:rFonts w:ascii="Franklin Gothic Book" w:hAnsi="Franklin Gothic Book"/>
        </w:rPr>
        <w:t>but introduced user-related variables</w:t>
      </w:r>
      <w:r w:rsidR="00A31AD5" w:rsidRPr="001D278E">
        <w:rPr>
          <w:rFonts w:ascii="Franklin Gothic Book" w:hAnsi="Franklin Gothic Book"/>
        </w:rPr>
        <w:t xml:space="preserve"> not relevant to a laboratory setting</w:t>
      </w:r>
      <w:r w:rsidR="000200A5" w:rsidRPr="001D278E">
        <w:rPr>
          <w:rFonts w:ascii="Franklin Gothic Book" w:hAnsi="Franklin Gothic Book"/>
        </w:rPr>
        <w:t xml:space="preserve"> that may have compromised </w:t>
      </w:r>
      <w:r w:rsidR="00F315D0" w:rsidRPr="001D278E">
        <w:rPr>
          <w:rFonts w:ascii="Franklin Gothic Book" w:hAnsi="Franklin Gothic Book"/>
        </w:rPr>
        <w:t>the sensitivity and specificity of the test.</w:t>
      </w:r>
    </w:p>
    <w:p w14:paraId="550499F5" w14:textId="0F8D719C" w:rsidR="003605FC" w:rsidRPr="001D278E" w:rsidRDefault="00575B9E" w:rsidP="00787C48">
      <w:pPr>
        <w:pStyle w:val="Bullet"/>
        <w:rPr>
          <w:rFonts w:ascii="Franklin Gothic Book" w:hAnsi="Franklin Gothic Book"/>
        </w:rPr>
      </w:pPr>
      <w:r w:rsidRPr="001D278E">
        <w:rPr>
          <w:rFonts w:ascii="Franklin Gothic Book" w:hAnsi="Franklin Gothic Book"/>
        </w:rPr>
        <w:t>The range of s</w:t>
      </w:r>
      <w:r w:rsidR="00CB5020" w:rsidRPr="001D278E">
        <w:rPr>
          <w:rFonts w:ascii="Franklin Gothic Book" w:hAnsi="Franklin Gothic Book"/>
        </w:rPr>
        <w:t>ample types</w:t>
      </w:r>
      <w:r w:rsidR="00A935F7" w:rsidRPr="001D278E">
        <w:rPr>
          <w:rFonts w:ascii="Franklin Gothic Book" w:hAnsi="Franklin Gothic Book"/>
        </w:rPr>
        <w:t xml:space="preserve">: </w:t>
      </w:r>
      <w:r w:rsidR="00CB5020" w:rsidRPr="001D278E">
        <w:rPr>
          <w:rFonts w:ascii="Franklin Gothic Book" w:hAnsi="Franklin Gothic Book"/>
        </w:rPr>
        <w:t xml:space="preserve">most </w:t>
      </w:r>
      <w:r w:rsidR="000200A5" w:rsidRPr="001D278E">
        <w:rPr>
          <w:rFonts w:ascii="Franklin Gothic Book" w:hAnsi="Franklin Gothic Book"/>
        </w:rPr>
        <w:t>laboratory-based studies used</w:t>
      </w:r>
      <w:r w:rsidR="00CB5020" w:rsidRPr="001D278E">
        <w:rPr>
          <w:rFonts w:ascii="Franklin Gothic Book" w:hAnsi="Franklin Gothic Book"/>
        </w:rPr>
        <w:t xml:space="preserve"> ‘convenience’ samples </w:t>
      </w:r>
      <w:r w:rsidR="00995B70" w:rsidRPr="001D278E">
        <w:rPr>
          <w:rFonts w:ascii="Franklin Gothic Book" w:hAnsi="Franklin Gothic Book"/>
        </w:rPr>
        <w:t>t</w:t>
      </w:r>
      <w:r w:rsidR="00787C48" w:rsidRPr="001D278E">
        <w:rPr>
          <w:rFonts w:ascii="Franklin Gothic Book" w:hAnsi="Franklin Gothic Book"/>
        </w:rPr>
        <w:t>hat had been</w:t>
      </w:r>
      <w:r w:rsidR="00F315D0" w:rsidRPr="001D278E">
        <w:rPr>
          <w:rFonts w:ascii="Franklin Gothic Book" w:hAnsi="Franklin Gothic Book"/>
        </w:rPr>
        <w:t xml:space="preserve"> stored or</w:t>
      </w:r>
      <w:r w:rsidR="00781778" w:rsidRPr="001D278E">
        <w:rPr>
          <w:rFonts w:ascii="Franklin Gothic Book" w:hAnsi="Franklin Gothic Book"/>
        </w:rPr>
        <w:t xml:space="preserve"> frozen</w:t>
      </w:r>
      <w:r w:rsidR="00787C48" w:rsidRPr="001D278E">
        <w:rPr>
          <w:rFonts w:ascii="Franklin Gothic Book" w:hAnsi="Franklin Gothic Book"/>
        </w:rPr>
        <w:t xml:space="preserve"> (often more than once), </w:t>
      </w:r>
      <w:r w:rsidR="00F315D0" w:rsidRPr="001D278E">
        <w:rPr>
          <w:rFonts w:ascii="Franklin Gothic Book" w:hAnsi="Franklin Gothic Book"/>
        </w:rPr>
        <w:t xml:space="preserve">and </w:t>
      </w:r>
      <w:r w:rsidR="00A31AD5" w:rsidRPr="001D278E">
        <w:rPr>
          <w:rFonts w:ascii="Franklin Gothic Book" w:hAnsi="Franklin Gothic Book"/>
        </w:rPr>
        <w:t xml:space="preserve">where viral load </w:t>
      </w:r>
      <w:r w:rsidR="00F315D0" w:rsidRPr="001D278E">
        <w:rPr>
          <w:rFonts w:ascii="Franklin Gothic Book" w:hAnsi="Franklin Gothic Book"/>
        </w:rPr>
        <w:t>may have been</w:t>
      </w:r>
      <w:r w:rsidR="00787C48" w:rsidRPr="001D278E">
        <w:rPr>
          <w:rFonts w:ascii="Franklin Gothic Book" w:hAnsi="Franklin Gothic Book"/>
        </w:rPr>
        <w:t xml:space="preserve"> </w:t>
      </w:r>
      <w:r w:rsidR="00A31AD5" w:rsidRPr="001D278E">
        <w:rPr>
          <w:rFonts w:ascii="Franklin Gothic Book" w:hAnsi="Franklin Gothic Book"/>
        </w:rPr>
        <w:t xml:space="preserve">previously assessed or the sample </w:t>
      </w:r>
      <w:r w:rsidR="00787C48" w:rsidRPr="001D278E">
        <w:rPr>
          <w:rFonts w:ascii="Franklin Gothic Book" w:hAnsi="Franklin Gothic Book"/>
        </w:rPr>
        <w:t>spiked</w:t>
      </w:r>
      <w:r w:rsidR="00F315D0" w:rsidRPr="001D278E">
        <w:rPr>
          <w:rFonts w:ascii="Franklin Gothic Book" w:hAnsi="Franklin Gothic Book"/>
        </w:rPr>
        <w:t xml:space="preserve"> (to assess limits of detection)</w:t>
      </w:r>
      <w:r w:rsidR="00B10E58" w:rsidRPr="001D278E">
        <w:rPr>
          <w:rFonts w:ascii="Franklin Gothic Book" w:hAnsi="Franklin Gothic Book"/>
        </w:rPr>
        <w:t xml:space="preserve">; less often, samples were </w:t>
      </w:r>
      <w:r w:rsidR="00CB5020" w:rsidRPr="001D278E">
        <w:rPr>
          <w:rFonts w:ascii="Franklin Gothic Book" w:hAnsi="Franklin Gothic Book"/>
        </w:rPr>
        <w:t>freshly collected from patients</w:t>
      </w:r>
      <w:r w:rsidR="00B10E58" w:rsidRPr="001D278E">
        <w:rPr>
          <w:rFonts w:ascii="Franklin Gothic Book" w:hAnsi="Franklin Gothic Book"/>
        </w:rPr>
        <w:t xml:space="preserve"> and assessed in parallel with the comparator</w:t>
      </w:r>
      <w:r w:rsidR="00995B70" w:rsidRPr="001D278E">
        <w:rPr>
          <w:rFonts w:ascii="Franklin Gothic Book" w:hAnsi="Franklin Gothic Book"/>
        </w:rPr>
        <w:t>; for some the SARS-CoV-2 status was already known</w:t>
      </w:r>
      <w:r w:rsidR="00781778" w:rsidRPr="001D278E">
        <w:rPr>
          <w:rFonts w:ascii="Franklin Gothic Book" w:hAnsi="Franklin Gothic Book"/>
        </w:rPr>
        <w:t xml:space="preserve"> </w:t>
      </w:r>
      <w:r w:rsidR="009E35DE" w:rsidRPr="001D278E">
        <w:rPr>
          <w:rFonts w:ascii="Franklin Gothic Book" w:hAnsi="Franklin Gothic Book"/>
        </w:rPr>
        <w:t xml:space="preserve">and it </w:t>
      </w:r>
      <w:r w:rsidR="00F315D0" w:rsidRPr="001D278E">
        <w:rPr>
          <w:rFonts w:ascii="Franklin Gothic Book" w:hAnsi="Franklin Gothic Book"/>
        </w:rPr>
        <w:t>was often</w:t>
      </w:r>
      <w:r w:rsidR="009E35DE" w:rsidRPr="001D278E">
        <w:rPr>
          <w:rFonts w:ascii="Franklin Gothic Book" w:hAnsi="Franklin Gothic Book"/>
        </w:rPr>
        <w:t xml:space="preserve"> not clear if the </w:t>
      </w:r>
      <w:r w:rsidR="00587FE7" w:rsidRPr="001D278E">
        <w:rPr>
          <w:rFonts w:ascii="Franklin Gothic Book" w:hAnsi="Franklin Gothic Book"/>
        </w:rPr>
        <w:t>investigators were</w:t>
      </w:r>
      <w:r w:rsidR="009E35DE" w:rsidRPr="001D278E">
        <w:rPr>
          <w:rFonts w:ascii="Franklin Gothic Book" w:hAnsi="Franklin Gothic Book"/>
        </w:rPr>
        <w:t xml:space="preserve"> blinded to the known outcome.</w:t>
      </w:r>
    </w:p>
    <w:p w14:paraId="1A7C22B8" w14:textId="40E678B1" w:rsidR="003605FC" w:rsidRPr="001D278E" w:rsidRDefault="00995B70" w:rsidP="00787C48">
      <w:pPr>
        <w:pStyle w:val="Bullet"/>
        <w:rPr>
          <w:rFonts w:ascii="Franklin Gothic Book" w:hAnsi="Franklin Gothic Book"/>
        </w:rPr>
      </w:pPr>
      <w:r w:rsidRPr="001D278E">
        <w:rPr>
          <w:rFonts w:ascii="Franklin Gothic Book" w:hAnsi="Franklin Gothic Book"/>
        </w:rPr>
        <w:t>P</w:t>
      </w:r>
      <w:r w:rsidR="00781778" w:rsidRPr="001D278E">
        <w:rPr>
          <w:rFonts w:ascii="Franklin Gothic Book" w:hAnsi="Franklin Gothic Book"/>
        </w:rPr>
        <w:t>atient characteristics</w:t>
      </w:r>
      <w:r w:rsidR="0023456C" w:rsidRPr="001D278E">
        <w:rPr>
          <w:rFonts w:ascii="Franklin Gothic Book" w:hAnsi="Franklin Gothic Book"/>
        </w:rPr>
        <w:t>, clinical information</w:t>
      </w:r>
      <w:r w:rsidRPr="001D278E">
        <w:rPr>
          <w:rFonts w:ascii="Franklin Gothic Book" w:hAnsi="Franklin Gothic Book"/>
        </w:rPr>
        <w:t xml:space="preserve">: </w:t>
      </w:r>
      <w:r w:rsidR="0023456C" w:rsidRPr="001D278E">
        <w:rPr>
          <w:rFonts w:ascii="Franklin Gothic Book" w:hAnsi="Franklin Gothic Book"/>
        </w:rPr>
        <w:t xml:space="preserve">often little or no information was presented, </w:t>
      </w:r>
      <w:r w:rsidRPr="001D278E">
        <w:rPr>
          <w:rFonts w:ascii="Franklin Gothic Book" w:hAnsi="Franklin Gothic Book"/>
        </w:rPr>
        <w:t xml:space="preserve">samples may have been collected </w:t>
      </w:r>
      <w:r w:rsidR="00D0797C" w:rsidRPr="001D278E">
        <w:rPr>
          <w:rFonts w:ascii="Franklin Gothic Book" w:hAnsi="Franklin Gothic Book"/>
        </w:rPr>
        <w:t xml:space="preserve">from asymptomatic individuals, or </w:t>
      </w:r>
      <w:r w:rsidRPr="001D278E">
        <w:rPr>
          <w:rFonts w:ascii="Franklin Gothic Book" w:hAnsi="Franklin Gothic Book"/>
        </w:rPr>
        <w:t xml:space="preserve">at different time </w:t>
      </w:r>
      <w:r w:rsidR="003605FC" w:rsidRPr="001D278E">
        <w:rPr>
          <w:rFonts w:ascii="Franklin Gothic Book" w:hAnsi="Franklin Gothic Book"/>
        </w:rPr>
        <w:t>course</w:t>
      </w:r>
      <w:r w:rsidRPr="001D278E">
        <w:rPr>
          <w:rFonts w:ascii="Franklin Gothic Book" w:hAnsi="Franklin Gothic Book"/>
        </w:rPr>
        <w:t>s</w:t>
      </w:r>
      <w:r w:rsidR="003605FC" w:rsidRPr="001D278E">
        <w:rPr>
          <w:rFonts w:ascii="Franklin Gothic Book" w:hAnsi="Franklin Gothic Book"/>
        </w:rPr>
        <w:t xml:space="preserve"> of the disease</w:t>
      </w:r>
      <w:r w:rsidR="00F315D0" w:rsidRPr="001D278E">
        <w:rPr>
          <w:rFonts w:ascii="Franklin Gothic Book" w:hAnsi="Franklin Gothic Book"/>
        </w:rPr>
        <w:t>; variable</w:t>
      </w:r>
      <w:r w:rsidR="0023456C" w:rsidRPr="001D278E">
        <w:rPr>
          <w:rFonts w:ascii="Franklin Gothic Book" w:hAnsi="Franklin Gothic Book"/>
        </w:rPr>
        <w:t xml:space="preserve"> </w:t>
      </w:r>
      <w:r w:rsidR="00746E81" w:rsidRPr="001D278E">
        <w:rPr>
          <w:rFonts w:ascii="Franklin Gothic Book" w:hAnsi="Franklin Gothic Book"/>
        </w:rPr>
        <w:t xml:space="preserve">clinical </w:t>
      </w:r>
      <w:r w:rsidR="0023456C" w:rsidRPr="001D278E">
        <w:rPr>
          <w:rFonts w:ascii="Franklin Gothic Book" w:hAnsi="Franklin Gothic Book"/>
        </w:rPr>
        <w:t>information</w:t>
      </w:r>
      <w:r w:rsidR="00F315D0" w:rsidRPr="001D278E">
        <w:rPr>
          <w:rFonts w:ascii="Franklin Gothic Book" w:hAnsi="Franklin Gothic Book"/>
        </w:rPr>
        <w:t xml:space="preserve"> was available</w:t>
      </w:r>
      <w:r w:rsidR="0023456C" w:rsidRPr="001D278E">
        <w:rPr>
          <w:rFonts w:ascii="Franklin Gothic Book" w:hAnsi="Franklin Gothic Book"/>
        </w:rPr>
        <w:t xml:space="preserve"> to support resolution of discrepant results</w:t>
      </w:r>
      <w:r w:rsidR="00F315D0" w:rsidRPr="001D278E">
        <w:rPr>
          <w:rFonts w:ascii="Franklin Gothic Book" w:hAnsi="Franklin Gothic Book"/>
        </w:rPr>
        <w:t>.</w:t>
      </w:r>
    </w:p>
    <w:p w14:paraId="25EDBCD1" w14:textId="391ACD47" w:rsidR="00CB5020" w:rsidRPr="001D278E" w:rsidRDefault="00575B9E" w:rsidP="00787C48">
      <w:pPr>
        <w:pStyle w:val="Bullet"/>
        <w:rPr>
          <w:rFonts w:ascii="Franklin Gothic Book" w:hAnsi="Franklin Gothic Book"/>
        </w:rPr>
      </w:pPr>
      <w:r w:rsidRPr="001D278E">
        <w:rPr>
          <w:rFonts w:ascii="Franklin Gothic Book" w:hAnsi="Franklin Gothic Book"/>
        </w:rPr>
        <w:t>Lack of clarity about w</w:t>
      </w:r>
      <w:r w:rsidR="00995B70" w:rsidRPr="001D278E">
        <w:rPr>
          <w:rFonts w:ascii="Franklin Gothic Book" w:hAnsi="Franklin Gothic Book"/>
        </w:rPr>
        <w:t xml:space="preserve">orkflows: these were often not described in sufficient detail, </w:t>
      </w:r>
      <w:r w:rsidR="00556CE6" w:rsidRPr="001D278E">
        <w:rPr>
          <w:rFonts w:ascii="Franklin Gothic Book" w:hAnsi="Franklin Gothic Book"/>
        </w:rPr>
        <w:t>and</w:t>
      </w:r>
      <w:r w:rsidR="00995B70" w:rsidRPr="001D278E">
        <w:rPr>
          <w:rFonts w:ascii="Franklin Gothic Book" w:hAnsi="Franklin Gothic Book"/>
        </w:rPr>
        <w:t xml:space="preserve"> may not have complied with the IFU</w:t>
      </w:r>
      <w:r w:rsidR="0023456C" w:rsidRPr="001D278E">
        <w:rPr>
          <w:rFonts w:ascii="Franklin Gothic Book" w:hAnsi="Franklin Gothic Book"/>
        </w:rPr>
        <w:t xml:space="preserve"> (e.g., type of sample</w:t>
      </w:r>
      <w:r w:rsidR="000D3391" w:rsidRPr="001D278E">
        <w:rPr>
          <w:rFonts w:ascii="Franklin Gothic Book" w:hAnsi="Franklin Gothic Book"/>
        </w:rPr>
        <w:t xml:space="preserve"> including swab type and site of collection</w:t>
      </w:r>
      <w:r w:rsidR="0023456C" w:rsidRPr="001D278E">
        <w:rPr>
          <w:rFonts w:ascii="Franklin Gothic Book" w:hAnsi="Franklin Gothic Book"/>
        </w:rPr>
        <w:t>, time from collection to analysis, use of transport media not specified in the IFU)</w:t>
      </w:r>
      <w:r w:rsidR="009E35DE" w:rsidRPr="001D278E">
        <w:rPr>
          <w:rFonts w:ascii="Franklin Gothic Book" w:hAnsi="Franklin Gothic Book"/>
        </w:rPr>
        <w:t xml:space="preserve">, </w:t>
      </w:r>
      <w:r w:rsidR="00D0797C" w:rsidRPr="001D278E">
        <w:rPr>
          <w:rFonts w:ascii="Franklin Gothic Book" w:hAnsi="Franklin Gothic Book"/>
        </w:rPr>
        <w:t xml:space="preserve">been tested at different times from the comparator, </w:t>
      </w:r>
      <w:r w:rsidR="00B1206C" w:rsidRPr="001D278E">
        <w:rPr>
          <w:rFonts w:ascii="Franklin Gothic Book" w:hAnsi="Franklin Gothic Book"/>
        </w:rPr>
        <w:t xml:space="preserve">with </w:t>
      </w:r>
      <w:r w:rsidR="00D0797C" w:rsidRPr="001D278E">
        <w:rPr>
          <w:rFonts w:ascii="Franklin Gothic Book" w:hAnsi="Franklin Gothic Book"/>
        </w:rPr>
        <w:t xml:space="preserve">uncertainty </w:t>
      </w:r>
      <w:r w:rsidR="00B1206C" w:rsidRPr="001D278E">
        <w:rPr>
          <w:rFonts w:ascii="Franklin Gothic Book" w:hAnsi="Franklin Gothic Book"/>
        </w:rPr>
        <w:t xml:space="preserve">regarding </w:t>
      </w:r>
      <w:r w:rsidR="009E35DE" w:rsidRPr="001D278E">
        <w:rPr>
          <w:rFonts w:ascii="Franklin Gothic Book" w:hAnsi="Franklin Gothic Book"/>
        </w:rPr>
        <w:t xml:space="preserve">blinding </w:t>
      </w:r>
      <w:r w:rsidR="00B1206C" w:rsidRPr="001D278E">
        <w:rPr>
          <w:rFonts w:ascii="Franklin Gothic Book" w:hAnsi="Franklin Gothic Book"/>
        </w:rPr>
        <w:t>where test outcomes were already</w:t>
      </w:r>
      <w:r w:rsidR="009E35DE" w:rsidRPr="001D278E">
        <w:rPr>
          <w:rFonts w:ascii="Franklin Gothic Book" w:hAnsi="Franklin Gothic Book"/>
        </w:rPr>
        <w:t xml:space="preserve"> known</w:t>
      </w:r>
      <w:r w:rsidR="00F315D0" w:rsidRPr="001D278E">
        <w:rPr>
          <w:rFonts w:ascii="Franklin Gothic Book" w:hAnsi="Franklin Gothic Book"/>
        </w:rPr>
        <w:t>.</w:t>
      </w:r>
    </w:p>
    <w:p w14:paraId="19B911D5" w14:textId="56CAB428" w:rsidR="0023456C" w:rsidRPr="001D278E" w:rsidRDefault="0023456C" w:rsidP="00787C48">
      <w:pPr>
        <w:pStyle w:val="Bullet"/>
        <w:rPr>
          <w:rFonts w:ascii="Franklin Gothic Book" w:hAnsi="Franklin Gothic Book"/>
        </w:rPr>
      </w:pPr>
      <w:r w:rsidRPr="001D278E">
        <w:rPr>
          <w:rFonts w:ascii="Franklin Gothic Book" w:hAnsi="Franklin Gothic Book"/>
        </w:rPr>
        <w:t>Low background prevalence of SARS-CoV-2 in the community</w:t>
      </w:r>
      <w:r w:rsidR="00A935F7" w:rsidRPr="001D278E">
        <w:rPr>
          <w:rFonts w:ascii="Franklin Gothic Book" w:hAnsi="Franklin Gothic Book"/>
        </w:rPr>
        <w:t xml:space="preserve"> being tested often limited</w:t>
      </w:r>
      <w:r w:rsidRPr="001D278E">
        <w:rPr>
          <w:rFonts w:ascii="Franklin Gothic Book" w:hAnsi="Franklin Gothic Book"/>
        </w:rPr>
        <w:t xml:space="preserve"> ability </w:t>
      </w:r>
      <w:r w:rsidR="00BD3F22" w:rsidRPr="001D278E">
        <w:rPr>
          <w:rFonts w:ascii="Franklin Gothic Book" w:hAnsi="Franklin Gothic Book"/>
        </w:rPr>
        <w:t>to</w:t>
      </w:r>
      <w:r w:rsidRPr="001D278E">
        <w:rPr>
          <w:rFonts w:ascii="Franklin Gothic Book" w:hAnsi="Franklin Gothic Book"/>
        </w:rPr>
        <w:t xml:space="preserve"> demonstrate sensitivity</w:t>
      </w:r>
      <w:r w:rsidR="00F315D0" w:rsidRPr="001D278E">
        <w:rPr>
          <w:rFonts w:ascii="Franklin Gothic Book" w:hAnsi="Franklin Gothic Book"/>
        </w:rPr>
        <w:t>.</w:t>
      </w:r>
    </w:p>
    <w:p w14:paraId="73BA6C31" w14:textId="6803115D" w:rsidR="0023456C" w:rsidRPr="001D278E" w:rsidRDefault="0023456C" w:rsidP="00787C48">
      <w:pPr>
        <w:pStyle w:val="Bullet"/>
        <w:rPr>
          <w:rFonts w:ascii="Franklin Gothic Book" w:hAnsi="Franklin Gothic Book"/>
        </w:rPr>
      </w:pPr>
      <w:r w:rsidRPr="001D278E">
        <w:rPr>
          <w:rFonts w:ascii="Franklin Gothic Book" w:hAnsi="Franklin Gothic Book"/>
        </w:rPr>
        <w:t>Variable performance of the reference standard laboratory due to studies being conducted early in the pandemic when these, too</w:t>
      </w:r>
      <w:r w:rsidR="003857ED" w:rsidRPr="001D278E">
        <w:rPr>
          <w:rFonts w:ascii="Franklin Gothic Book" w:hAnsi="Franklin Gothic Book"/>
        </w:rPr>
        <w:t>,</w:t>
      </w:r>
      <w:r w:rsidRPr="001D278E">
        <w:rPr>
          <w:rFonts w:ascii="Franklin Gothic Book" w:hAnsi="Franklin Gothic Book"/>
        </w:rPr>
        <w:t xml:space="preserve"> were still in development</w:t>
      </w:r>
      <w:r w:rsidR="00F315D0" w:rsidRPr="001D278E">
        <w:rPr>
          <w:rFonts w:ascii="Franklin Gothic Book" w:hAnsi="Franklin Gothic Book"/>
        </w:rPr>
        <w:t>.</w:t>
      </w:r>
      <w:r w:rsidRPr="001D278E">
        <w:rPr>
          <w:rFonts w:ascii="Franklin Gothic Book" w:hAnsi="Franklin Gothic Book"/>
        </w:rPr>
        <w:t xml:space="preserve"> </w:t>
      </w:r>
    </w:p>
    <w:p w14:paraId="024ED629" w14:textId="5E2A6177" w:rsidR="00781778" w:rsidRDefault="00781778" w:rsidP="003605FC">
      <w:r>
        <w:t>Overall</w:t>
      </w:r>
      <w:r w:rsidR="00995B70">
        <w:t xml:space="preserve">, due to various combinations of the differences identified above, </w:t>
      </w:r>
      <w:r>
        <w:t>the evidence was of low quality with a high</w:t>
      </w:r>
      <w:r w:rsidR="009E2944">
        <w:t xml:space="preserve"> or unclear</w:t>
      </w:r>
      <w:r>
        <w:t xml:space="preserve"> risk of bias</w:t>
      </w:r>
      <w:r w:rsidR="0023456C">
        <w:t xml:space="preserve">. A summary of the quality of the evidence for the studies and meta-analyses identified in the targeted literature review are presented </w:t>
      </w:r>
      <w:r w:rsidR="002A028E">
        <w:t xml:space="preserve">in </w:t>
      </w:r>
      <w:r w:rsidR="002A028E">
        <w:fldChar w:fldCharType="begin"/>
      </w:r>
      <w:r w:rsidR="002A028E">
        <w:instrText xml:space="preserve"> REF _Ref69725659 \h </w:instrText>
      </w:r>
      <w:r w:rsidR="002A028E">
        <w:fldChar w:fldCharType="separate"/>
      </w:r>
      <w:r w:rsidR="00525416">
        <w:t>Table </w:t>
      </w:r>
      <w:r w:rsidR="00525416">
        <w:rPr>
          <w:noProof/>
        </w:rPr>
        <w:t>9</w:t>
      </w:r>
      <w:r w:rsidR="002A028E">
        <w:fldChar w:fldCharType="end"/>
      </w:r>
      <w:r w:rsidR="0023456C">
        <w:t>.</w:t>
      </w:r>
    </w:p>
    <w:p w14:paraId="70165BE9" w14:textId="244F7930" w:rsidR="003133FE" w:rsidRDefault="003133FE" w:rsidP="003133FE">
      <w:pPr>
        <w:pStyle w:val="Caption"/>
        <w:rPr>
          <w:sz w:val="16"/>
          <w:szCs w:val="16"/>
        </w:rPr>
      </w:pPr>
      <w:bookmarkStart w:id="27" w:name="_Ref69725659"/>
      <w:r>
        <w:lastRenderedPageBreak/>
        <w:t>Table </w:t>
      </w:r>
      <w:r>
        <w:fldChar w:fldCharType="begin"/>
      </w:r>
      <w:r>
        <w:instrText>SEQ Table \* ARABIC</w:instrText>
      </w:r>
      <w:r>
        <w:fldChar w:fldCharType="separate"/>
      </w:r>
      <w:r w:rsidR="00525416">
        <w:rPr>
          <w:noProof/>
        </w:rPr>
        <w:t>9</w:t>
      </w:r>
      <w:r>
        <w:fldChar w:fldCharType="end"/>
      </w:r>
      <w:bookmarkEnd w:id="27"/>
      <w:r>
        <w:tab/>
        <w:t xml:space="preserve">Key features of the included evidence </w:t>
      </w:r>
    </w:p>
    <w:tbl>
      <w:tblPr>
        <w:tblStyle w:val="TableGrid1"/>
        <w:tblW w:w="5000" w:type="pct"/>
        <w:tblLook w:val="04A0" w:firstRow="1" w:lastRow="0" w:firstColumn="1" w:lastColumn="0" w:noHBand="0" w:noVBand="1"/>
      </w:tblPr>
      <w:tblGrid>
        <w:gridCol w:w="1816"/>
        <w:gridCol w:w="3325"/>
        <w:gridCol w:w="1938"/>
        <w:gridCol w:w="1937"/>
      </w:tblGrid>
      <w:tr w:rsidR="005B51A4" w14:paraId="38F86CC3" w14:textId="77777777" w:rsidTr="001D278E">
        <w:trPr>
          <w:cnfStyle w:val="100000000000" w:firstRow="1" w:lastRow="0" w:firstColumn="0" w:lastColumn="0" w:oddVBand="0" w:evenVBand="0" w:oddHBand="0" w:evenHBand="0" w:firstRowFirstColumn="0" w:firstRowLastColumn="0" w:lastRowFirstColumn="0" w:lastRowLastColumn="0"/>
          <w:tblHeader/>
        </w:trPr>
        <w:tc>
          <w:tcPr>
            <w:tcW w:w="1007" w:type="pct"/>
            <w:tcBorders>
              <w:top w:val="single" w:sz="4" w:space="0" w:color="auto"/>
              <w:left w:val="single" w:sz="4" w:space="0" w:color="auto"/>
              <w:bottom w:val="single" w:sz="4" w:space="0" w:color="auto"/>
              <w:right w:val="single" w:sz="4" w:space="0" w:color="auto"/>
            </w:tcBorders>
            <w:vAlign w:val="bottom"/>
            <w:hideMark/>
          </w:tcPr>
          <w:p w14:paraId="24D0F3A1" w14:textId="5132EAFE" w:rsidR="003133FE" w:rsidRDefault="002D0203" w:rsidP="008007DA">
            <w:pPr>
              <w:pStyle w:val="TableText"/>
              <w:keepNext/>
              <w:spacing w:before="0" w:after="0" w:line="256" w:lineRule="auto"/>
              <w:rPr>
                <w:b/>
              </w:rPr>
            </w:pPr>
            <w:bookmarkStart w:id="28" w:name="ColumnTitle_Table4"/>
            <w:bookmarkStart w:id="29" w:name="_Hlk68276288"/>
            <w:bookmarkEnd w:id="28"/>
            <w:r>
              <w:rPr>
                <w:b/>
              </w:rPr>
              <w:t>Rapid NAAT</w:t>
            </w:r>
          </w:p>
        </w:tc>
        <w:tc>
          <w:tcPr>
            <w:tcW w:w="1844" w:type="pct"/>
            <w:tcBorders>
              <w:top w:val="single" w:sz="4" w:space="0" w:color="auto"/>
              <w:left w:val="single" w:sz="4" w:space="0" w:color="auto"/>
              <w:bottom w:val="single" w:sz="4" w:space="0" w:color="auto"/>
              <w:right w:val="single" w:sz="4" w:space="0" w:color="auto"/>
            </w:tcBorders>
            <w:vAlign w:val="bottom"/>
            <w:hideMark/>
          </w:tcPr>
          <w:p w14:paraId="7F1F363C" w14:textId="77777777" w:rsidR="003133FE" w:rsidRDefault="003133FE" w:rsidP="008007DA">
            <w:pPr>
              <w:pStyle w:val="TableText"/>
              <w:keepNext/>
              <w:spacing w:before="0" w:after="0" w:line="256" w:lineRule="auto"/>
              <w:rPr>
                <w:b/>
              </w:rPr>
            </w:pPr>
            <w:r>
              <w:rPr>
                <w:b/>
              </w:rPr>
              <w:t>Type of evidence supplied</w:t>
            </w:r>
          </w:p>
        </w:tc>
        <w:tc>
          <w:tcPr>
            <w:tcW w:w="1075" w:type="pct"/>
            <w:tcBorders>
              <w:top w:val="single" w:sz="4" w:space="0" w:color="auto"/>
              <w:left w:val="single" w:sz="4" w:space="0" w:color="auto"/>
              <w:bottom w:val="single" w:sz="4" w:space="0" w:color="auto"/>
              <w:right w:val="single" w:sz="4" w:space="0" w:color="auto"/>
            </w:tcBorders>
            <w:vAlign w:val="bottom"/>
            <w:hideMark/>
          </w:tcPr>
          <w:p w14:paraId="6B709853" w14:textId="1C8854C7" w:rsidR="003133FE" w:rsidRDefault="003133FE" w:rsidP="008007DA">
            <w:pPr>
              <w:pStyle w:val="TableText"/>
              <w:keepNext/>
              <w:spacing w:before="0" w:after="0" w:line="256" w:lineRule="auto"/>
              <w:rPr>
                <w:b/>
              </w:rPr>
            </w:pPr>
            <w:r>
              <w:rPr>
                <w:b/>
              </w:rPr>
              <w:t>Extent of evidence</w:t>
            </w:r>
          </w:p>
        </w:tc>
        <w:tc>
          <w:tcPr>
            <w:tcW w:w="1074" w:type="pct"/>
            <w:tcBorders>
              <w:top w:val="single" w:sz="4" w:space="0" w:color="auto"/>
              <w:left w:val="single" w:sz="4" w:space="0" w:color="auto"/>
              <w:bottom w:val="single" w:sz="4" w:space="0" w:color="auto"/>
              <w:right w:val="single" w:sz="4" w:space="0" w:color="auto"/>
            </w:tcBorders>
            <w:vAlign w:val="bottom"/>
            <w:hideMark/>
          </w:tcPr>
          <w:p w14:paraId="5990A428" w14:textId="26F52AB9" w:rsidR="003133FE" w:rsidRDefault="003133FE" w:rsidP="008007DA">
            <w:pPr>
              <w:pStyle w:val="TableText"/>
              <w:keepNext/>
              <w:spacing w:before="0" w:after="0" w:line="256" w:lineRule="auto"/>
              <w:rPr>
                <w:b/>
              </w:rPr>
            </w:pPr>
            <w:r>
              <w:rPr>
                <w:b/>
              </w:rPr>
              <w:t>Overall risk of bias in evidence base</w:t>
            </w:r>
            <w:r w:rsidR="007D073B">
              <w:rPr>
                <w:b/>
              </w:rPr>
              <w:t xml:space="preserve"> – QUADAS-2</w:t>
            </w:r>
          </w:p>
        </w:tc>
      </w:tr>
      <w:tr w:rsidR="0017795F" w14:paraId="0BEE681D" w14:textId="77777777" w:rsidTr="001D278E">
        <w:trPr>
          <w:cnfStyle w:val="100000000000" w:firstRow="1" w:lastRow="0" w:firstColumn="0" w:lastColumn="0" w:oddVBand="0" w:evenVBand="0" w:oddHBand="0" w:evenHBand="0" w:firstRowFirstColumn="0" w:firstRowLastColumn="0" w:lastRowFirstColumn="0" w:lastRowLastColumn="0"/>
          <w:tblHeader/>
        </w:trPr>
        <w:tc>
          <w:tcPr>
            <w:tcW w:w="5000" w:type="pct"/>
            <w:gridSpan w:val="4"/>
            <w:tcBorders>
              <w:top w:val="single" w:sz="4" w:space="0" w:color="auto"/>
              <w:left w:val="single" w:sz="4" w:space="0" w:color="auto"/>
              <w:bottom w:val="single" w:sz="4" w:space="0" w:color="auto"/>
              <w:right w:val="single" w:sz="4" w:space="0" w:color="auto"/>
            </w:tcBorders>
          </w:tcPr>
          <w:p w14:paraId="1DEF99DD" w14:textId="4959D5D8" w:rsidR="0017795F" w:rsidRDefault="0017795F" w:rsidP="008007DA">
            <w:pPr>
              <w:pStyle w:val="TableText"/>
              <w:keepNext/>
              <w:spacing w:before="0" w:after="0" w:line="256" w:lineRule="auto"/>
              <w:rPr>
                <w:color w:val="258221"/>
              </w:rPr>
            </w:pPr>
            <w:r w:rsidRPr="0059029F">
              <w:rPr>
                <w:b/>
                <w:bCs/>
              </w:rPr>
              <w:t>Single SARS-CoV-2 only</w:t>
            </w:r>
          </w:p>
        </w:tc>
      </w:tr>
      <w:tr w:rsidR="00C323BE" w14:paraId="69F5669C" w14:textId="77777777" w:rsidTr="00650385">
        <w:tc>
          <w:tcPr>
            <w:tcW w:w="1007" w:type="pct"/>
            <w:vMerge w:val="restart"/>
            <w:tcBorders>
              <w:top w:val="single" w:sz="4" w:space="0" w:color="auto"/>
              <w:left w:val="single" w:sz="4" w:space="0" w:color="auto"/>
              <w:right w:val="single" w:sz="4" w:space="0" w:color="auto"/>
            </w:tcBorders>
            <w:hideMark/>
          </w:tcPr>
          <w:p w14:paraId="3489E8A5" w14:textId="0E51C73C" w:rsidR="00C323BE" w:rsidRDefault="00C323BE" w:rsidP="008007DA">
            <w:pPr>
              <w:pStyle w:val="TableText"/>
              <w:keepNext/>
              <w:spacing w:before="0" w:after="0" w:line="256" w:lineRule="auto"/>
            </w:pPr>
            <w:r>
              <w:t xml:space="preserve">Accuracy and performance of the </w:t>
            </w:r>
            <w:r w:rsidR="0067278C">
              <w:t xml:space="preserve">Cepheid </w:t>
            </w:r>
            <w:proofErr w:type="spellStart"/>
            <w:r w:rsidRPr="00006726">
              <w:t>Xpert</w:t>
            </w:r>
            <w:proofErr w:type="spellEnd"/>
            <w:r w:rsidRPr="00006726">
              <w:t xml:space="preserve"> Xpress </w:t>
            </w:r>
            <w:r>
              <w:t>SARS-</w:t>
            </w:r>
            <w:r w:rsidRPr="00006726">
              <w:t>CoV-2</w:t>
            </w:r>
          </w:p>
          <w:p w14:paraId="3834A151" w14:textId="0B49659F" w:rsidR="00C323BE" w:rsidRDefault="00C323BE" w:rsidP="008007DA">
            <w:pPr>
              <w:pStyle w:val="TableText"/>
              <w:keepNext/>
              <w:spacing w:before="0" w:after="0" w:line="256" w:lineRule="auto"/>
            </w:pPr>
          </w:p>
        </w:tc>
        <w:tc>
          <w:tcPr>
            <w:tcW w:w="1844" w:type="pct"/>
            <w:tcBorders>
              <w:top w:val="single" w:sz="4" w:space="0" w:color="auto"/>
              <w:left w:val="single" w:sz="4" w:space="0" w:color="auto"/>
              <w:bottom w:val="single" w:sz="4" w:space="0" w:color="auto"/>
              <w:right w:val="single" w:sz="4" w:space="0" w:color="auto"/>
            </w:tcBorders>
            <w:hideMark/>
          </w:tcPr>
          <w:p w14:paraId="561D7BEA" w14:textId="28404444" w:rsidR="00C323BE" w:rsidRDefault="00C323BE" w:rsidP="008007DA">
            <w:pPr>
              <w:pStyle w:val="Tabletext0"/>
              <w:spacing w:before="0" w:after="0"/>
            </w:pPr>
            <w:r>
              <w:t>Predominantly retrospective testing of convenience (archived) samples, often enriched with known positive or negative samples.</w:t>
            </w:r>
          </w:p>
        </w:tc>
        <w:tc>
          <w:tcPr>
            <w:tcW w:w="1075" w:type="pct"/>
            <w:tcBorders>
              <w:top w:val="single" w:sz="4" w:space="0" w:color="auto"/>
              <w:left w:val="single" w:sz="4" w:space="0" w:color="auto"/>
              <w:bottom w:val="single" w:sz="4" w:space="0" w:color="auto"/>
              <w:right w:val="single" w:sz="4" w:space="0" w:color="auto"/>
            </w:tcBorders>
            <w:hideMark/>
          </w:tcPr>
          <w:p w14:paraId="0F203BF7" w14:textId="77777777" w:rsidR="00D378BD" w:rsidRDefault="00C323BE" w:rsidP="008007DA">
            <w:pPr>
              <w:pStyle w:val="Tabletext0"/>
              <w:spacing w:before="0" w:after="0"/>
            </w:pPr>
            <w:r>
              <w:t>k=</w:t>
            </w:r>
            <w:r w:rsidR="00D378BD">
              <w:t>5</w:t>
            </w:r>
          </w:p>
          <w:p w14:paraId="44279188" w14:textId="2D396D3B" w:rsidR="00C323BE" w:rsidRDefault="00C323BE" w:rsidP="008007DA">
            <w:pPr>
              <w:pStyle w:val="Tabletext0"/>
              <w:spacing w:before="0" w:after="0"/>
            </w:pPr>
            <w:r>
              <w:t>n=</w:t>
            </w:r>
            <w:r w:rsidR="00152C8F">
              <w:t>1028</w:t>
            </w:r>
            <w:r w:rsidR="00D378BD">
              <w:t xml:space="preserve"> samples</w:t>
            </w:r>
          </w:p>
        </w:tc>
        <w:tc>
          <w:tcPr>
            <w:tcW w:w="1074" w:type="pct"/>
            <w:tcBorders>
              <w:top w:val="single" w:sz="4" w:space="0" w:color="auto"/>
              <w:left w:val="single" w:sz="4" w:space="0" w:color="auto"/>
              <w:bottom w:val="single" w:sz="4" w:space="0" w:color="auto"/>
              <w:right w:val="single" w:sz="4" w:space="0" w:color="auto"/>
            </w:tcBorders>
            <w:hideMark/>
          </w:tcPr>
          <w:p w14:paraId="3D06D9DC" w14:textId="3D6C5DFC" w:rsidR="00C323BE" w:rsidRDefault="00C323BE" w:rsidP="008007DA">
            <w:pPr>
              <w:pStyle w:val="Tabletext0"/>
              <w:spacing w:before="0" w:after="0"/>
            </w:pPr>
            <w:r>
              <w:t xml:space="preserve">High </w:t>
            </w:r>
            <w:r w:rsidR="008D72FC">
              <w:t xml:space="preserve">or unclear </w:t>
            </w:r>
            <w:r>
              <w:t>risk of bias</w:t>
            </w:r>
            <w:r w:rsidR="008D72FC">
              <w:t>.</w:t>
            </w:r>
          </w:p>
        </w:tc>
      </w:tr>
      <w:tr w:rsidR="00C323BE" w14:paraId="58EE5713" w14:textId="77777777" w:rsidTr="00650385">
        <w:tc>
          <w:tcPr>
            <w:tcW w:w="1007" w:type="pct"/>
            <w:vMerge/>
            <w:tcBorders>
              <w:left w:val="single" w:sz="4" w:space="0" w:color="auto"/>
              <w:bottom w:val="single" w:sz="4" w:space="0" w:color="auto"/>
              <w:right w:val="single" w:sz="4" w:space="0" w:color="auto"/>
            </w:tcBorders>
          </w:tcPr>
          <w:p w14:paraId="2990FD1D" w14:textId="77777777" w:rsidR="00C323BE" w:rsidRDefault="00C323BE" w:rsidP="008007DA">
            <w:pPr>
              <w:pStyle w:val="TableText"/>
              <w:keepNext/>
              <w:spacing w:before="0" w:after="0" w:line="256" w:lineRule="auto"/>
            </w:pPr>
          </w:p>
        </w:tc>
        <w:tc>
          <w:tcPr>
            <w:tcW w:w="1844" w:type="pct"/>
            <w:tcBorders>
              <w:top w:val="single" w:sz="4" w:space="0" w:color="auto"/>
              <w:left w:val="single" w:sz="4" w:space="0" w:color="auto"/>
              <w:bottom w:val="single" w:sz="4" w:space="0" w:color="auto"/>
              <w:right w:val="single" w:sz="4" w:space="0" w:color="auto"/>
            </w:tcBorders>
          </w:tcPr>
          <w:p w14:paraId="3A4B1083" w14:textId="62FC2888" w:rsidR="00C323BE" w:rsidRDefault="003A465A" w:rsidP="008007DA">
            <w:pPr>
              <w:pStyle w:val="Tabletext0"/>
              <w:spacing w:before="0" w:after="0"/>
            </w:pPr>
            <w:r>
              <w:t xml:space="preserve">2 </w:t>
            </w:r>
            <w:r w:rsidR="00C323BE">
              <w:t>Meta-analys</w:t>
            </w:r>
            <w:r w:rsidR="00152C8F">
              <w:t>es</w:t>
            </w:r>
            <w:r w:rsidR="00FC00D2">
              <w:t>:</w:t>
            </w:r>
            <w:r w:rsidR="005B1044">
              <w:t xml:space="preserve"> </w:t>
            </w:r>
            <w:r w:rsidR="00FC00D2">
              <w:t xml:space="preserve">pooled </w:t>
            </w:r>
            <w:r w:rsidR="00403E3C">
              <w:t xml:space="preserve">outcomes from 1734 </w:t>
            </w:r>
            <w:r w:rsidR="00FC00D2">
              <w:t>samples</w:t>
            </w:r>
            <w:r w:rsidR="00403E3C">
              <w:t xml:space="preserve"> and 100 samples.</w:t>
            </w:r>
            <w:r w:rsidR="008A5E8F">
              <w:t xml:space="preserve"> Only a proportion performed in laboratories</w:t>
            </w:r>
            <w:r w:rsidR="004C2824">
              <w:t>.</w:t>
            </w:r>
          </w:p>
        </w:tc>
        <w:tc>
          <w:tcPr>
            <w:tcW w:w="1075" w:type="pct"/>
            <w:tcBorders>
              <w:top w:val="single" w:sz="4" w:space="0" w:color="auto"/>
              <w:left w:val="single" w:sz="4" w:space="0" w:color="auto"/>
              <w:bottom w:val="single" w:sz="4" w:space="0" w:color="auto"/>
              <w:right w:val="single" w:sz="4" w:space="0" w:color="auto"/>
            </w:tcBorders>
          </w:tcPr>
          <w:p w14:paraId="19FCDE4D" w14:textId="77777777" w:rsidR="00D126E4" w:rsidRDefault="00152C8F" w:rsidP="008007DA">
            <w:pPr>
              <w:pStyle w:val="Tabletext0"/>
              <w:spacing w:before="0" w:after="0"/>
            </w:pPr>
            <w:r>
              <w:t xml:space="preserve">k=2 </w:t>
            </w:r>
          </w:p>
          <w:p w14:paraId="6CC5364C" w14:textId="171EF72B" w:rsidR="00C323BE" w:rsidRDefault="00152C8F" w:rsidP="008007DA">
            <w:pPr>
              <w:pStyle w:val="Tabletext0"/>
              <w:spacing w:before="0" w:after="0"/>
            </w:pPr>
            <w:r>
              <w:t>n=</w:t>
            </w:r>
            <w:r w:rsidR="0067278C">
              <w:t>1</w:t>
            </w:r>
            <w:r w:rsidR="00D378BD">
              <w:t>8</w:t>
            </w:r>
            <w:r w:rsidR="0067278C">
              <w:t>3</w:t>
            </w:r>
            <w:r w:rsidR="00D378BD">
              <w:t xml:space="preserve">4 samples </w:t>
            </w:r>
          </w:p>
        </w:tc>
        <w:tc>
          <w:tcPr>
            <w:tcW w:w="1074" w:type="pct"/>
            <w:tcBorders>
              <w:top w:val="single" w:sz="4" w:space="0" w:color="auto"/>
              <w:left w:val="single" w:sz="4" w:space="0" w:color="auto"/>
              <w:bottom w:val="single" w:sz="4" w:space="0" w:color="auto"/>
              <w:right w:val="single" w:sz="4" w:space="0" w:color="auto"/>
            </w:tcBorders>
          </w:tcPr>
          <w:p w14:paraId="64C0F11A" w14:textId="4DB1991E" w:rsidR="00C323BE" w:rsidRDefault="003A465A" w:rsidP="008007DA">
            <w:pPr>
              <w:pStyle w:val="Tabletext0"/>
              <w:spacing w:before="0" w:after="0"/>
            </w:pPr>
            <w:r>
              <w:t>Authors i</w:t>
            </w:r>
            <w:r w:rsidR="0067278C">
              <w:t>dentified</w:t>
            </w:r>
            <w:r w:rsidR="00C323BE">
              <w:t xml:space="preserve"> high </w:t>
            </w:r>
            <w:r w:rsidR="00AA4281">
              <w:t xml:space="preserve">or unclear risk </w:t>
            </w:r>
            <w:r w:rsidR="00C323BE">
              <w:t>of bias, generally low quality of evidence</w:t>
            </w:r>
            <w:r w:rsidR="00965FC0">
              <w:t>.</w:t>
            </w:r>
          </w:p>
        </w:tc>
      </w:tr>
      <w:tr w:rsidR="00D378BD" w14:paraId="0BB1BA80" w14:textId="77777777" w:rsidTr="00650385">
        <w:tc>
          <w:tcPr>
            <w:tcW w:w="1007" w:type="pct"/>
            <w:vMerge w:val="restart"/>
            <w:tcBorders>
              <w:top w:val="single" w:sz="4" w:space="0" w:color="auto"/>
              <w:left w:val="single" w:sz="4" w:space="0" w:color="auto"/>
              <w:right w:val="single" w:sz="4" w:space="0" w:color="auto"/>
            </w:tcBorders>
          </w:tcPr>
          <w:p w14:paraId="00930EED" w14:textId="78D8CE0C" w:rsidR="00D378BD" w:rsidRDefault="00D378BD" w:rsidP="008007DA">
            <w:pPr>
              <w:pStyle w:val="TableText"/>
              <w:keepNext/>
              <w:spacing w:before="0" w:after="0" w:line="256" w:lineRule="auto"/>
            </w:pPr>
            <w:r>
              <w:t xml:space="preserve">Accuracy and performance of the Abbott </w:t>
            </w:r>
            <w:r>
              <w:rPr>
                <w:rFonts w:cs="Arial"/>
              </w:rPr>
              <w:t>ID Now COVID-19</w:t>
            </w:r>
          </w:p>
        </w:tc>
        <w:tc>
          <w:tcPr>
            <w:tcW w:w="1844" w:type="pct"/>
            <w:tcBorders>
              <w:top w:val="single" w:sz="4" w:space="0" w:color="auto"/>
              <w:left w:val="single" w:sz="4" w:space="0" w:color="auto"/>
              <w:bottom w:val="single" w:sz="4" w:space="0" w:color="auto"/>
              <w:right w:val="single" w:sz="4" w:space="0" w:color="auto"/>
            </w:tcBorders>
          </w:tcPr>
          <w:p w14:paraId="3E809021" w14:textId="647CCBE5" w:rsidR="00D378BD" w:rsidRDefault="007D6A22" w:rsidP="008007DA">
            <w:pPr>
              <w:pStyle w:val="Tabletext0"/>
              <w:spacing w:before="0" w:after="0"/>
            </w:pPr>
            <w:r>
              <w:t>Two</w:t>
            </w:r>
            <w:r w:rsidR="00D378BD">
              <w:t xml:space="preserve"> retrospective testing of convenience (archived) samples, often enriched with known positive or negative samples.</w:t>
            </w:r>
          </w:p>
          <w:p w14:paraId="24B04A34" w14:textId="266A13E4" w:rsidR="00D378BD" w:rsidRDefault="00D378BD" w:rsidP="008007DA">
            <w:pPr>
              <w:pStyle w:val="Tabletext0"/>
              <w:spacing w:before="0" w:after="0"/>
            </w:pPr>
            <w:r>
              <w:t xml:space="preserve">Single prospective, paired </w:t>
            </w:r>
            <w:r w:rsidR="00172364">
              <w:t xml:space="preserve">sample </w:t>
            </w:r>
            <w:r>
              <w:t>study in emergency department setting</w:t>
            </w:r>
            <w:r w:rsidR="00172364">
              <w:t>, tested in laboratory per IFU</w:t>
            </w:r>
          </w:p>
        </w:tc>
        <w:tc>
          <w:tcPr>
            <w:tcW w:w="1075" w:type="pct"/>
            <w:tcBorders>
              <w:top w:val="single" w:sz="4" w:space="0" w:color="auto"/>
              <w:left w:val="single" w:sz="4" w:space="0" w:color="auto"/>
              <w:bottom w:val="single" w:sz="4" w:space="0" w:color="auto"/>
              <w:right w:val="single" w:sz="4" w:space="0" w:color="auto"/>
            </w:tcBorders>
          </w:tcPr>
          <w:p w14:paraId="79FD95B3" w14:textId="6F0C95BC" w:rsidR="00D378BD" w:rsidRDefault="00FC00D2" w:rsidP="008007DA">
            <w:pPr>
              <w:pStyle w:val="Tabletext0"/>
              <w:spacing w:before="0" w:after="0"/>
            </w:pPr>
            <w:r>
              <w:t>k=</w:t>
            </w:r>
            <w:r w:rsidR="007D6A22">
              <w:t>3</w:t>
            </w:r>
          </w:p>
          <w:p w14:paraId="1A1B77E6" w14:textId="2666D835" w:rsidR="00FC00D2" w:rsidRDefault="00FC00D2" w:rsidP="008007DA">
            <w:pPr>
              <w:pStyle w:val="Tabletext0"/>
              <w:spacing w:before="0" w:after="0"/>
            </w:pPr>
            <w:r>
              <w:t>n=3149</w:t>
            </w:r>
            <w:r w:rsidR="00AA4281">
              <w:t xml:space="preserve"> samples</w:t>
            </w:r>
          </w:p>
        </w:tc>
        <w:tc>
          <w:tcPr>
            <w:tcW w:w="1074" w:type="pct"/>
            <w:tcBorders>
              <w:top w:val="single" w:sz="4" w:space="0" w:color="auto"/>
              <w:left w:val="single" w:sz="4" w:space="0" w:color="auto"/>
              <w:bottom w:val="single" w:sz="4" w:space="0" w:color="auto"/>
              <w:right w:val="single" w:sz="4" w:space="0" w:color="auto"/>
            </w:tcBorders>
          </w:tcPr>
          <w:p w14:paraId="2AD36AB7" w14:textId="72B5E09C" w:rsidR="00D378BD" w:rsidRDefault="007D6A22" w:rsidP="008007DA">
            <w:pPr>
              <w:pStyle w:val="Tabletext0"/>
              <w:spacing w:before="0" w:after="0"/>
            </w:pPr>
            <w:r>
              <w:t xml:space="preserve">High or unclear risk of bias. </w:t>
            </w:r>
          </w:p>
        </w:tc>
      </w:tr>
      <w:tr w:rsidR="00D378BD" w14:paraId="467FAB7F" w14:textId="77777777" w:rsidTr="00650385">
        <w:tc>
          <w:tcPr>
            <w:tcW w:w="1007" w:type="pct"/>
            <w:vMerge/>
            <w:tcBorders>
              <w:left w:val="single" w:sz="4" w:space="0" w:color="auto"/>
              <w:bottom w:val="single" w:sz="4" w:space="0" w:color="auto"/>
              <w:right w:val="single" w:sz="4" w:space="0" w:color="auto"/>
            </w:tcBorders>
          </w:tcPr>
          <w:p w14:paraId="2D3F1535" w14:textId="77777777" w:rsidR="00D378BD" w:rsidRDefault="00D378BD" w:rsidP="008007DA">
            <w:pPr>
              <w:pStyle w:val="TableText"/>
              <w:keepNext/>
              <w:spacing w:before="0" w:after="0" w:line="256" w:lineRule="auto"/>
            </w:pPr>
          </w:p>
        </w:tc>
        <w:tc>
          <w:tcPr>
            <w:tcW w:w="1844" w:type="pct"/>
            <w:tcBorders>
              <w:top w:val="single" w:sz="4" w:space="0" w:color="auto"/>
              <w:left w:val="single" w:sz="4" w:space="0" w:color="auto"/>
              <w:bottom w:val="single" w:sz="4" w:space="0" w:color="auto"/>
              <w:right w:val="single" w:sz="4" w:space="0" w:color="auto"/>
            </w:tcBorders>
          </w:tcPr>
          <w:p w14:paraId="681D6772" w14:textId="5BC5C246" w:rsidR="00D378BD" w:rsidRDefault="00D378BD" w:rsidP="008007DA">
            <w:pPr>
              <w:pStyle w:val="Tabletext0"/>
              <w:spacing w:before="0" w:after="0"/>
            </w:pPr>
            <w:r>
              <w:t xml:space="preserve">3 meta-analyses (1493 </w:t>
            </w:r>
            <w:r w:rsidR="002E5374">
              <w:t>patients</w:t>
            </w:r>
            <w:r>
              <w:t>/3 studies</w:t>
            </w:r>
            <w:r w:rsidR="00FC00D2">
              <w:t xml:space="preserve">; 1778 </w:t>
            </w:r>
            <w:r w:rsidR="002E5374">
              <w:t>patients</w:t>
            </w:r>
            <w:r w:rsidR="00FC00D2">
              <w:t>/10 studies and 812</w:t>
            </w:r>
            <w:r w:rsidR="00DC4760">
              <w:t xml:space="preserve"> patients</w:t>
            </w:r>
            <w:r w:rsidR="00FC00D2">
              <w:t xml:space="preserve">/4 </w:t>
            </w:r>
            <w:r w:rsidR="0026351B">
              <w:t>studies</w:t>
            </w:r>
            <w:r w:rsidR="002E5374">
              <w:t>)</w:t>
            </w:r>
          </w:p>
        </w:tc>
        <w:tc>
          <w:tcPr>
            <w:tcW w:w="1075" w:type="pct"/>
            <w:tcBorders>
              <w:top w:val="single" w:sz="4" w:space="0" w:color="auto"/>
              <w:left w:val="single" w:sz="4" w:space="0" w:color="auto"/>
              <w:bottom w:val="single" w:sz="4" w:space="0" w:color="auto"/>
              <w:right w:val="single" w:sz="4" w:space="0" w:color="auto"/>
            </w:tcBorders>
          </w:tcPr>
          <w:p w14:paraId="3683A2B1" w14:textId="7F5A3EDA" w:rsidR="00D378BD" w:rsidRDefault="00D378BD" w:rsidP="008007DA">
            <w:pPr>
              <w:pStyle w:val="Tabletext0"/>
              <w:spacing w:before="0" w:after="0"/>
            </w:pPr>
            <w:r>
              <w:t>k=3</w:t>
            </w:r>
          </w:p>
          <w:p w14:paraId="4B166E69" w14:textId="00825F9C" w:rsidR="00D378BD" w:rsidRDefault="00D378BD" w:rsidP="008007DA">
            <w:pPr>
              <w:pStyle w:val="Tabletext0"/>
              <w:spacing w:before="0" w:after="0"/>
            </w:pPr>
            <w:r>
              <w:t>n=</w:t>
            </w:r>
            <w:r w:rsidR="00FC00D2">
              <w:t xml:space="preserve">4083 </w:t>
            </w:r>
            <w:r w:rsidR="00AA4281">
              <w:t>samples</w:t>
            </w:r>
          </w:p>
        </w:tc>
        <w:tc>
          <w:tcPr>
            <w:tcW w:w="1074" w:type="pct"/>
            <w:tcBorders>
              <w:top w:val="single" w:sz="4" w:space="0" w:color="auto"/>
              <w:left w:val="single" w:sz="4" w:space="0" w:color="auto"/>
              <w:bottom w:val="single" w:sz="4" w:space="0" w:color="auto"/>
              <w:right w:val="single" w:sz="4" w:space="0" w:color="auto"/>
            </w:tcBorders>
          </w:tcPr>
          <w:p w14:paraId="36967E7F" w14:textId="40C12B94" w:rsidR="00D378BD" w:rsidRDefault="00172364" w:rsidP="008007DA">
            <w:pPr>
              <w:pStyle w:val="Tabletext0"/>
              <w:spacing w:before="0" w:after="0"/>
            </w:pPr>
            <w:r>
              <w:t>Authors identified high or unclear risk of bias, generally low quality of evidence</w:t>
            </w:r>
            <w:r w:rsidR="00965FC0">
              <w:t>.</w:t>
            </w:r>
          </w:p>
        </w:tc>
      </w:tr>
      <w:tr w:rsidR="007D073B" w14:paraId="10097E3C" w14:textId="77777777" w:rsidTr="003133FE">
        <w:tc>
          <w:tcPr>
            <w:tcW w:w="1007" w:type="pct"/>
            <w:tcBorders>
              <w:top w:val="single" w:sz="4" w:space="0" w:color="auto"/>
              <w:left w:val="single" w:sz="4" w:space="0" w:color="auto"/>
              <w:bottom w:val="single" w:sz="4" w:space="0" w:color="auto"/>
              <w:right w:val="single" w:sz="4" w:space="0" w:color="auto"/>
            </w:tcBorders>
          </w:tcPr>
          <w:p w14:paraId="415DD035" w14:textId="77777777" w:rsidR="00362DF5" w:rsidRPr="009E6FBB" w:rsidRDefault="00362DF5" w:rsidP="008007DA">
            <w:pPr>
              <w:spacing w:before="0" w:after="0"/>
              <w:rPr>
                <w:rFonts w:ascii="Arial Narrow" w:hAnsi="Arial Narrow"/>
                <w:color w:val="000000" w:themeColor="text1"/>
              </w:rPr>
            </w:pPr>
            <w:proofErr w:type="spellStart"/>
            <w:r w:rsidRPr="009E6FBB">
              <w:rPr>
                <w:rFonts w:ascii="Arial Narrow" w:hAnsi="Arial Narrow"/>
                <w:color w:val="000000" w:themeColor="text1"/>
              </w:rPr>
              <w:t>Simplexa</w:t>
            </w:r>
            <w:proofErr w:type="spellEnd"/>
            <w:r w:rsidRPr="009E6FBB">
              <w:rPr>
                <w:rFonts w:ascii="Arial Narrow" w:hAnsi="Arial Narrow"/>
                <w:color w:val="000000" w:themeColor="text1"/>
              </w:rPr>
              <w:t xml:space="preserve">™ COVID-19 Direct </w:t>
            </w:r>
          </w:p>
          <w:p w14:paraId="47096582" w14:textId="77777777" w:rsidR="00362DF5" w:rsidRDefault="00362DF5" w:rsidP="008007DA">
            <w:pPr>
              <w:pStyle w:val="Tabletext0"/>
              <w:spacing w:before="0" w:after="0"/>
              <w:rPr>
                <w:lang w:val="en-GB"/>
              </w:rPr>
            </w:pPr>
            <w:r>
              <w:rPr>
                <w:lang w:val="en-GB"/>
              </w:rPr>
              <w:t>(</w:t>
            </w:r>
            <w:proofErr w:type="spellStart"/>
            <w:r>
              <w:rPr>
                <w:lang w:val="en-GB"/>
              </w:rPr>
              <w:t>DiaSorin</w:t>
            </w:r>
            <w:proofErr w:type="spellEnd"/>
            <w:r>
              <w:rPr>
                <w:lang w:val="en-GB"/>
              </w:rPr>
              <w:t>)</w:t>
            </w:r>
          </w:p>
          <w:p w14:paraId="4F4DF5A2" w14:textId="77777777" w:rsidR="007D073B" w:rsidRDefault="007D073B" w:rsidP="008007DA">
            <w:pPr>
              <w:pStyle w:val="TableText"/>
              <w:keepNext/>
              <w:spacing w:before="0" w:after="0" w:line="256" w:lineRule="auto"/>
            </w:pPr>
          </w:p>
        </w:tc>
        <w:tc>
          <w:tcPr>
            <w:tcW w:w="1844" w:type="pct"/>
            <w:tcBorders>
              <w:top w:val="single" w:sz="4" w:space="0" w:color="auto"/>
              <w:left w:val="single" w:sz="4" w:space="0" w:color="auto"/>
              <w:bottom w:val="single" w:sz="4" w:space="0" w:color="auto"/>
              <w:right w:val="single" w:sz="4" w:space="0" w:color="auto"/>
            </w:tcBorders>
          </w:tcPr>
          <w:p w14:paraId="7CD53A30" w14:textId="50063ACA" w:rsidR="007D073B" w:rsidRDefault="00172364" w:rsidP="008007DA">
            <w:pPr>
              <w:pStyle w:val="Tabletext0"/>
              <w:spacing w:before="0" w:after="0"/>
            </w:pPr>
            <w:r>
              <w:t xml:space="preserve">Four retrospective studies </w:t>
            </w:r>
            <w:r w:rsidR="00965FC0">
              <w:t>using</w:t>
            </w:r>
            <w:r>
              <w:t xml:space="preserve"> convenience samples</w:t>
            </w:r>
            <w:r w:rsidR="001020FE">
              <w:t>:</w:t>
            </w:r>
            <w:r w:rsidR="00965FC0">
              <w:t xml:space="preserve"> </w:t>
            </w:r>
            <w:r w:rsidR="004063BA">
              <w:t xml:space="preserve">including </w:t>
            </w:r>
            <w:r w:rsidR="00965FC0">
              <w:t>one</w:t>
            </w:r>
            <w:r w:rsidR="001020FE">
              <w:t xml:space="preserve"> study</w:t>
            </w:r>
            <w:r w:rsidR="00965FC0">
              <w:t xml:space="preserve"> with only known positive samples tested; one study in admitted patients, symptomatic or asymptomatic; </w:t>
            </w:r>
            <w:r w:rsidR="001020FE">
              <w:t>one study in asymptomatic patients only with samples tested at different times with comparator (after freezing)</w:t>
            </w:r>
          </w:p>
        </w:tc>
        <w:tc>
          <w:tcPr>
            <w:tcW w:w="1075" w:type="pct"/>
            <w:tcBorders>
              <w:top w:val="single" w:sz="4" w:space="0" w:color="auto"/>
              <w:left w:val="single" w:sz="4" w:space="0" w:color="auto"/>
              <w:bottom w:val="single" w:sz="4" w:space="0" w:color="auto"/>
              <w:right w:val="single" w:sz="4" w:space="0" w:color="auto"/>
            </w:tcBorders>
          </w:tcPr>
          <w:p w14:paraId="589B7A72" w14:textId="160BA81E" w:rsidR="007D073B" w:rsidRDefault="00923C32" w:rsidP="008007DA">
            <w:pPr>
              <w:pStyle w:val="Tabletext0"/>
              <w:spacing w:before="0" w:after="0"/>
            </w:pPr>
            <w:r>
              <w:t>k</w:t>
            </w:r>
            <w:r w:rsidR="00172364">
              <w:t>=4</w:t>
            </w:r>
          </w:p>
          <w:p w14:paraId="1B264AB0" w14:textId="2C56857F" w:rsidR="00172364" w:rsidRDefault="00172364" w:rsidP="008007DA">
            <w:pPr>
              <w:pStyle w:val="Tabletext0"/>
              <w:spacing w:before="0" w:after="0"/>
            </w:pPr>
            <w:r>
              <w:t>n=792 samples</w:t>
            </w:r>
          </w:p>
        </w:tc>
        <w:tc>
          <w:tcPr>
            <w:tcW w:w="1074" w:type="pct"/>
            <w:tcBorders>
              <w:top w:val="single" w:sz="4" w:space="0" w:color="auto"/>
              <w:left w:val="single" w:sz="4" w:space="0" w:color="auto"/>
              <w:bottom w:val="single" w:sz="4" w:space="0" w:color="auto"/>
              <w:right w:val="single" w:sz="4" w:space="0" w:color="auto"/>
            </w:tcBorders>
          </w:tcPr>
          <w:p w14:paraId="270BF02C" w14:textId="34EF797C" w:rsidR="007D073B" w:rsidRDefault="00965FC0" w:rsidP="008007DA">
            <w:pPr>
              <w:pStyle w:val="TableText"/>
              <w:keepNext/>
              <w:spacing w:before="0" w:after="0" w:line="256" w:lineRule="auto"/>
              <w:rPr>
                <w:color w:val="258221"/>
              </w:rPr>
            </w:pPr>
            <w:r>
              <w:t>High</w:t>
            </w:r>
            <w:r w:rsidR="00487110">
              <w:t xml:space="preserve"> or unclear</w:t>
            </w:r>
            <w:r>
              <w:t xml:space="preserve"> risk of bias in all studies.</w:t>
            </w:r>
          </w:p>
        </w:tc>
      </w:tr>
      <w:tr w:rsidR="007D073B" w14:paraId="561FD5C4" w14:textId="77777777" w:rsidTr="003133FE">
        <w:tc>
          <w:tcPr>
            <w:tcW w:w="1007" w:type="pct"/>
            <w:tcBorders>
              <w:top w:val="single" w:sz="4" w:space="0" w:color="auto"/>
              <w:left w:val="single" w:sz="4" w:space="0" w:color="auto"/>
              <w:bottom w:val="single" w:sz="4" w:space="0" w:color="auto"/>
              <w:right w:val="single" w:sz="4" w:space="0" w:color="auto"/>
            </w:tcBorders>
          </w:tcPr>
          <w:p w14:paraId="3557D908" w14:textId="5F8B9CF8" w:rsidR="007D073B" w:rsidRDefault="00362DF5" w:rsidP="008007DA">
            <w:pPr>
              <w:pStyle w:val="TableText"/>
              <w:keepNext/>
              <w:spacing w:before="0" w:after="0" w:line="256" w:lineRule="auto"/>
            </w:pPr>
            <w:r w:rsidRPr="006B0D1D">
              <w:t xml:space="preserve">GSD </w:t>
            </w:r>
            <w:proofErr w:type="spellStart"/>
            <w:r w:rsidRPr="006B0D1D">
              <w:t>NovaPrime</w:t>
            </w:r>
            <w:proofErr w:type="spellEnd"/>
            <w:r w:rsidRPr="006B0D1D">
              <w:t xml:space="preserve"> SARS-CoV-2 (COVID-19) RT-PCR Kit (1)</w:t>
            </w:r>
          </w:p>
        </w:tc>
        <w:tc>
          <w:tcPr>
            <w:tcW w:w="1844" w:type="pct"/>
            <w:tcBorders>
              <w:top w:val="single" w:sz="4" w:space="0" w:color="auto"/>
              <w:left w:val="single" w:sz="4" w:space="0" w:color="auto"/>
              <w:bottom w:val="single" w:sz="4" w:space="0" w:color="auto"/>
              <w:right w:val="single" w:sz="4" w:space="0" w:color="auto"/>
            </w:tcBorders>
          </w:tcPr>
          <w:p w14:paraId="062DC7AD" w14:textId="136CD620" w:rsidR="007D073B" w:rsidRDefault="00B12259" w:rsidP="008007DA">
            <w:pPr>
              <w:pStyle w:val="Tabletext0"/>
              <w:spacing w:before="0" w:after="0"/>
            </w:pPr>
            <w:r>
              <w:t>Single prospective study of</w:t>
            </w:r>
            <w:r w:rsidR="0038223E">
              <w:t xml:space="preserve"> 99</w:t>
            </w:r>
            <w:r>
              <w:t xml:space="preserve"> paired samples analysed by </w:t>
            </w:r>
            <w:r w:rsidR="0038223E">
              <w:t xml:space="preserve">rapid assay or RT-PCR (2 methods); also </w:t>
            </w:r>
            <w:r w:rsidR="00BA02FF">
              <w:t xml:space="preserve">checked </w:t>
            </w:r>
            <w:r w:rsidR="0038223E">
              <w:t xml:space="preserve">cross-reactivity on 32 </w:t>
            </w:r>
            <w:r w:rsidR="000B0D29">
              <w:t xml:space="preserve">additional </w:t>
            </w:r>
            <w:r w:rsidR="0038223E">
              <w:t>stored samples with other known infection status</w:t>
            </w:r>
          </w:p>
        </w:tc>
        <w:tc>
          <w:tcPr>
            <w:tcW w:w="1075" w:type="pct"/>
            <w:tcBorders>
              <w:top w:val="single" w:sz="4" w:space="0" w:color="auto"/>
              <w:left w:val="single" w:sz="4" w:space="0" w:color="auto"/>
              <w:bottom w:val="single" w:sz="4" w:space="0" w:color="auto"/>
              <w:right w:val="single" w:sz="4" w:space="0" w:color="auto"/>
            </w:tcBorders>
          </w:tcPr>
          <w:p w14:paraId="4D9BDC49" w14:textId="7F1E0E9F" w:rsidR="007D073B" w:rsidRDefault="00B12259" w:rsidP="008007DA">
            <w:pPr>
              <w:pStyle w:val="Tabletext0"/>
              <w:spacing w:before="0" w:after="0"/>
            </w:pPr>
            <w:r>
              <w:t>k=1</w:t>
            </w:r>
          </w:p>
          <w:p w14:paraId="2551DB11" w14:textId="5BD083F5" w:rsidR="00B12259" w:rsidRDefault="00B12259" w:rsidP="008007DA">
            <w:pPr>
              <w:pStyle w:val="Tabletext0"/>
              <w:spacing w:before="0" w:after="0"/>
            </w:pPr>
            <w:r>
              <w:t>n=131 samples</w:t>
            </w:r>
          </w:p>
        </w:tc>
        <w:tc>
          <w:tcPr>
            <w:tcW w:w="1074" w:type="pct"/>
            <w:tcBorders>
              <w:top w:val="single" w:sz="4" w:space="0" w:color="auto"/>
              <w:left w:val="single" w:sz="4" w:space="0" w:color="auto"/>
              <w:bottom w:val="single" w:sz="4" w:space="0" w:color="auto"/>
              <w:right w:val="single" w:sz="4" w:space="0" w:color="auto"/>
            </w:tcBorders>
          </w:tcPr>
          <w:p w14:paraId="504DDCE3" w14:textId="729923CD" w:rsidR="007D073B" w:rsidRDefault="00B12259" w:rsidP="008007DA">
            <w:pPr>
              <w:pStyle w:val="Tabletext0"/>
              <w:spacing w:before="0" w:after="0"/>
            </w:pPr>
            <w:r>
              <w:t>High or unclear risk of bias</w:t>
            </w:r>
            <w:r w:rsidR="008D72FC">
              <w:t>.</w:t>
            </w:r>
          </w:p>
        </w:tc>
      </w:tr>
      <w:tr w:rsidR="00362DF5" w14:paraId="5745F1B4" w14:textId="77777777" w:rsidTr="00362DF5">
        <w:tc>
          <w:tcPr>
            <w:tcW w:w="5000" w:type="pct"/>
            <w:gridSpan w:val="4"/>
            <w:tcBorders>
              <w:top w:val="single" w:sz="4" w:space="0" w:color="auto"/>
              <w:left w:val="single" w:sz="4" w:space="0" w:color="auto"/>
              <w:bottom w:val="single" w:sz="4" w:space="0" w:color="auto"/>
              <w:right w:val="single" w:sz="4" w:space="0" w:color="auto"/>
            </w:tcBorders>
          </w:tcPr>
          <w:p w14:paraId="2FA49070" w14:textId="323D6B9A" w:rsidR="00362DF5" w:rsidRDefault="00362DF5" w:rsidP="008007DA">
            <w:pPr>
              <w:pStyle w:val="TableText"/>
              <w:keepNext/>
              <w:spacing w:before="0" w:after="0" w:line="256" w:lineRule="auto"/>
              <w:rPr>
                <w:color w:val="258221"/>
              </w:rPr>
            </w:pPr>
            <w:r w:rsidRPr="005F3E41">
              <w:rPr>
                <w:b/>
                <w:bCs/>
              </w:rPr>
              <w:t>Multiple pathogen test</w:t>
            </w:r>
          </w:p>
        </w:tc>
      </w:tr>
      <w:tr w:rsidR="007D073B" w14:paraId="2C2D6F92" w14:textId="77777777" w:rsidTr="003133FE">
        <w:tc>
          <w:tcPr>
            <w:tcW w:w="1007" w:type="pct"/>
            <w:tcBorders>
              <w:top w:val="single" w:sz="4" w:space="0" w:color="auto"/>
              <w:left w:val="single" w:sz="4" w:space="0" w:color="auto"/>
              <w:bottom w:val="single" w:sz="4" w:space="0" w:color="auto"/>
              <w:right w:val="single" w:sz="4" w:space="0" w:color="auto"/>
            </w:tcBorders>
          </w:tcPr>
          <w:p w14:paraId="0995C005" w14:textId="0901F75A" w:rsidR="007D073B" w:rsidRDefault="00290C7F" w:rsidP="008007DA">
            <w:pPr>
              <w:pStyle w:val="TableText"/>
              <w:keepNext/>
              <w:spacing w:before="0" w:after="0" w:line="256" w:lineRule="auto"/>
            </w:pPr>
            <w:proofErr w:type="spellStart"/>
            <w:r w:rsidRPr="008404A6">
              <w:t>Xpert</w:t>
            </w:r>
            <w:proofErr w:type="spellEnd"/>
            <w:r w:rsidRPr="008404A6">
              <w:t xml:space="preserve"> Xpress SARS-CoV2/Flu/RSV</w:t>
            </w:r>
          </w:p>
        </w:tc>
        <w:tc>
          <w:tcPr>
            <w:tcW w:w="1844" w:type="pct"/>
            <w:tcBorders>
              <w:top w:val="single" w:sz="4" w:space="0" w:color="auto"/>
              <w:left w:val="single" w:sz="4" w:space="0" w:color="auto"/>
              <w:bottom w:val="single" w:sz="4" w:space="0" w:color="auto"/>
              <w:right w:val="single" w:sz="4" w:space="0" w:color="auto"/>
            </w:tcBorders>
          </w:tcPr>
          <w:p w14:paraId="6ACB8DBD" w14:textId="77777777" w:rsidR="007D073B" w:rsidRDefault="003A1F3D" w:rsidP="008007DA">
            <w:pPr>
              <w:pStyle w:val="Tabletext0"/>
              <w:spacing w:before="0" w:after="0"/>
            </w:pPr>
            <w:r>
              <w:t xml:space="preserve">Three retrospective studies with convenience samples, enriched with samples with known </w:t>
            </w:r>
            <w:proofErr w:type="gramStart"/>
            <w:r>
              <w:t>outcomes</w:t>
            </w:r>
            <w:proofErr w:type="gramEnd"/>
          </w:p>
          <w:p w14:paraId="50F425CE" w14:textId="1C4A7837" w:rsidR="003A1F3D" w:rsidRDefault="003A1F3D" w:rsidP="008007DA">
            <w:pPr>
              <w:pStyle w:val="Tabletext0"/>
              <w:spacing w:before="0" w:after="0"/>
            </w:pPr>
            <w:r>
              <w:t xml:space="preserve">One study </w:t>
            </w:r>
            <w:r w:rsidR="008C7651">
              <w:t>from sponsor with archived specimens</w:t>
            </w:r>
            <w:r w:rsidR="002F1851">
              <w:t>, testing</w:t>
            </w:r>
            <w:r w:rsidR="00FC2834">
              <w:t xml:space="preserve"> for</w:t>
            </w:r>
            <w:r w:rsidR="002F1851">
              <w:t xml:space="preserve"> all 4 viruses</w:t>
            </w:r>
          </w:p>
        </w:tc>
        <w:tc>
          <w:tcPr>
            <w:tcW w:w="1075" w:type="pct"/>
            <w:tcBorders>
              <w:top w:val="single" w:sz="4" w:space="0" w:color="auto"/>
              <w:left w:val="single" w:sz="4" w:space="0" w:color="auto"/>
              <w:bottom w:val="single" w:sz="4" w:space="0" w:color="auto"/>
              <w:right w:val="single" w:sz="4" w:space="0" w:color="auto"/>
            </w:tcBorders>
          </w:tcPr>
          <w:p w14:paraId="60BC3F12" w14:textId="3B84AAF2" w:rsidR="007D073B" w:rsidRDefault="003A1F3D" w:rsidP="008007DA">
            <w:pPr>
              <w:pStyle w:val="Tabletext0"/>
              <w:spacing w:before="0" w:after="0"/>
            </w:pPr>
            <w:r>
              <w:t>k=4</w:t>
            </w:r>
          </w:p>
          <w:p w14:paraId="415B2D32" w14:textId="6EB861D7" w:rsidR="003A1F3D" w:rsidRDefault="003A1F3D" w:rsidP="008007DA">
            <w:pPr>
              <w:pStyle w:val="Tabletext0"/>
              <w:spacing w:before="0" w:after="0"/>
            </w:pPr>
            <w:r>
              <w:t>n=924 samples</w:t>
            </w:r>
          </w:p>
        </w:tc>
        <w:tc>
          <w:tcPr>
            <w:tcW w:w="1074" w:type="pct"/>
            <w:tcBorders>
              <w:top w:val="single" w:sz="4" w:space="0" w:color="auto"/>
              <w:left w:val="single" w:sz="4" w:space="0" w:color="auto"/>
              <w:bottom w:val="single" w:sz="4" w:space="0" w:color="auto"/>
              <w:right w:val="single" w:sz="4" w:space="0" w:color="auto"/>
            </w:tcBorders>
          </w:tcPr>
          <w:p w14:paraId="61E1BD70" w14:textId="3D483BEB" w:rsidR="007D073B" w:rsidRDefault="00EC6930" w:rsidP="008007DA">
            <w:pPr>
              <w:pStyle w:val="Tabletext0"/>
              <w:spacing w:before="0" w:after="0"/>
            </w:pPr>
            <w:r>
              <w:t>High or unclear risk of bias</w:t>
            </w:r>
            <w:r w:rsidR="008D72FC">
              <w:t>.</w:t>
            </w:r>
          </w:p>
        </w:tc>
      </w:tr>
      <w:tr w:rsidR="007D073B" w14:paraId="781C8E43" w14:textId="77777777" w:rsidTr="003133FE">
        <w:tc>
          <w:tcPr>
            <w:tcW w:w="1007" w:type="pct"/>
            <w:tcBorders>
              <w:top w:val="single" w:sz="4" w:space="0" w:color="auto"/>
              <w:left w:val="single" w:sz="4" w:space="0" w:color="auto"/>
              <w:bottom w:val="single" w:sz="4" w:space="0" w:color="auto"/>
              <w:right w:val="single" w:sz="4" w:space="0" w:color="auto"/>
            </w:tcBorders>
          </w:tcPr>
          <w:p w14:paraId="2BA7BAFC" w14:textId="2BA40B51" w:rsidR="007D073B" w:rsidRDefault="00290C7F" w:rsidP="008007DA">
            <w:pPr>
              <w:pStyle w:val="TableText"/>
              <w:keepNext/>
              <w:spacing w:before="0" w:after="0" w:line="256" w:lineRule="auto"/>
            </w:pPr>
            <w:r w:rsidRPr="008404A6">
              <w:t xml:space="preserve">Cobas </w:t>
            </w:r>
            <w:proofErr w:type="spellStart"/>
            <w:r w:rsidRPr="008404A6">
              <w:t>Liat</w:t>
            </w:r>
            <w:proofErr w:type="spellEnd"/>
            <w:r w:rsidRPr="008404A6">
              <w:t xml:space="preserve"> SARS-CoV-2 &amp; Influenza A/B</w:t>
            </w:r>
          </w:p>
        </w:tc>
        <w:tc>
          <w:tcPr>
            <w:tcW w:w="1844" w:type="pct"/>
            <w:tcBorders>
              <w:top w:val="single" w:sz="4" w:space="0" w:color="auto"/>
              <w:left w:val="single" w:sz="4" w:space="0" w:color="auto"/>
              <w:bottom w:val="single" w:sz="4" w:space="0" w:color="auto"/>
              <w:right w:val="single" w:sz="4" w:space="0" w:color="auto"/>
            </w:tcBorders>
          </w:tcPr>
          <w:p w14:paraId="5CBD22B9" w14:textId="156EA2D2" w:rsidR="007D073B" w:rsidRDefault="00EC6930" w:rsidP="008007DA">
            <w:pPr>
              <w:pStyle w:val="Tabletext0"/>
              <w:spacing w:before="0" w:after="0"/>
            </w:pPr>
            <w:r>
              <w:t>Three independent studies</w:t>
            </w:r>
            <w:r w:rsidR="00B77038">
              <w:t xml:space="preserve"> (982 samples)</w:t>
            </w:r>
            <w:r>
              <w:t xml:space="preserve"> comparing samples from screening clinics, and two sponsor </w:t>
            </w:r>
            <w:r w:rsidR="00B77038">
              <w:t xml:space="preserve">validation </w:t>
            </w:r>
            <w:r>
              <w:t>studies</w:t>
            </w:r>
            <w:r w:rsidR="00B77038">
              <w:t xml:space="preserve"> (1929 samples)</w:t>
            </w:r>
            <w:r>
              <w:t xml:space="preserve"> for IFU.</w:t>
            </w:r>
          </w:p>
        </w:tc>
        <w:tc>
          <w:tcPr>
            <w:tcW w:w="1075" w:type="pct"/>
            <w:tcBorders>
              <w:top w:val="single" w:sz="4" w:space="0" w:color="auto"/>
              <w:left w:val="single" w:sz="4" w:space="0" w:color="auto"/>
              <w:bottom w:val="single" w:sz="4" w:space="0" w:color="auto"/>
              <w:right w:val="single" w:sz="4" w:space="0" w:color="auto"/>
            </w:tcBorders>
          </w:tcPr>
          <w:p w14:paraId="78F4E015" w14:textId="04DD836D" w:rsidR="007D073B" w:rsidRDefault="002C0C16" w:rsidP="008007DA">
            <w:pPr>
              <w:pStyle w:val="Tabletext0"/>
              <w:spacing w:before="0" w:after="0"/>
            </w:pPr>
            <w:r>
              <w:t>k</w:t>
            </w:r>
            <w:r w:rsidR="00EC6930">
              <w:t>=5</w:t>
            </w:r>
          </w:p>
          <w:p w14:paraId="5EE9F07E" w14:textId="57DCDB1A" w:rsidR="00EC6930" w:rsidRDefault="002C0C16" w:rsidP="008007DA">
            <w:pPr>
              <w:pStyle w:val="Tabletext0"/>
              <w:spacing w:before="0" w:after="0"/>
            </w:pPr>
            <w:r>
              <w:t>n</w:t>
            </w:r>
            <w:r w:rsidR="00EC6930">
              <w:t xml:space="preserve">=2911 </w:t>
            </w:r>
            <w:r w:rsidR="00D126E4">
              <w:t>samples</w:t>
            </w:r>
          </w:p>
        </w:tc>
        <w:tc>
          <w:tcPr>
            <w:tcW w:w="1074" w:type="pct"/>
            <w:tcBorders>
              <w:top w:val="single" w:sz="4" w:space="0" w:color="auto"/>
              <w:left w:val="single" w:sz="4" w:space="0" w:color="auto"/>
              <w:bottom w:val="single" w:sz="4" w:space="0" w:color="auto"/>
              <w:right w:val="single" w:sz="4" w:space="0" w:color="auto"/>
            </w:tcBorders>
          </w:tcPr>
          <w:p w14:paraId="4FBBF115" w14:textId="79208781" w:rsidR="007D073B" w:rsidRDefault="00EC6930" w:rsidP="008007DA">
            <w:pPr>
              <w:pStyle w:val="Tabletext0"/>
              <w:spacing w:before="0" w:after="0"/>
            </w:pPr>
            <w:r>
              <w:t>High or unclear risk of bias</w:t>
            </w:r>
            <w:r w:rsidR="008D72FC">
              <w:t>.</w:t>
            </w:r>
            <w:r>
              <w:t xml:space="preserve"> </w:t>
            </w:r>
          </w:p>
        </w:tc>
      </w:tr>
      <w:tr w:rsidR="007D073B" w14:paraId="506D70AE" w14:textId="77777777" w:rsidTr="003133FE">
        <w:tc>
          <w:tcPr>
            <w:tcW w:w="1007" w:type="pct"/>
            <w:tcBorders>
              <w:top w:val="single" w:sz="4" w:space="0" w:color="auto"/>
              <w:left w:val="single" w:sz="4" w:space="0" w:color="auto"/>
              <w:bottom w:val="single" w:sz="4" w:space="0" w:color="auto"/>
              <w:right w:val="single" w:sz="4" w:space="0" w:color="auto"/>
            </w:tcBorders>
          </w:tcPr>
          <w:p w14:paraId="5C4FEFAC" w14:textId="77777777" w:rsidR="00290C7F" w:rsidRDefault="00290C7F" w:rsidP="008007DA">
            <w:pPr>
              <w:pStyle w:val="Tabletext0"/>
              <w:spacing w:before="0" w:after="0"/>
            </w:pPr>
            <w:proofErr w:type="spellStart"/>
            <w:r>
              <w:t>QIAstat</w:t>
            </w:r>
            <w:proofErr w:type="spellEnd"/>
            <w:r>
              <w:t>-Dx respiratory SARS-CoV-2 panel (+ 21 other pathogens)</w:t>
            </w:r>
          </w:p>
          <w:p w14:paraId="36F77026" w14:textId="77777777" w:rsidR="007D073B" w:rsidRDefault="007D073B" w:rsidP="008007DA">
            <w:pPr>
              <w:pStyle w:val="TableText"/>
              <w:keepNext/>
              <w:spacing w:before="0" w:after="0" w:line="256" w:lineRule="auto"/>
            </w:pPr>
          </w:p>
        </w:tc>
        <w:tc>
          <w:tcPr>
            <w:tcW w:w="1844" w:type="pct"/>
            <w:tcBorders>
              <w:top w:val="single" w:sz="4" w:space="0" w:color="auto"/>
              <w:left w:val="single" w:sz="4" w:space="0" w:color="auto"/>
              <w:bottom w:val="single" w:sz="4" w:space="0" w:color="auto"/>
              <w:right w:val="single" w:sz="4" w:space="0" w:color="auto"/>
            </w:tcBorders>
          </w:tcPr>
          <w:p w14:paraId="4D96429D" w14:textId="43779CB0" w:rsidR="007D073B" w:rsidRDefault="00695087" w:rsidP="008007DA">
            <w:pPr>
              <w:pStyle w:val="Tabletext0"/>
              <w:spacing w:before="0" w:after="0"/>
            </w:pPr>
            <w:r>
              <w:t>Four retrospective studies comparing convenience samples with reference standard or other rapid NAAT</w:t>
            </w:r>
            <w:r w:rsidR="00662657">
              <w:t>, assessing cross-reactivity.</w:t>
            </w:r>
            <w:r>
              <w:t xml:space="preserve"> </w:t>
            </w:r>
          </w:p>
        </w:tc>
        <w:tc>
          <w:tcPr>
            <w:tcW w:w="1075" w:type="pct"/>
            <w:tcBorders>
              <w:top w:val="single" w:sz="4" w:space="0" w:color="auto"/>
              <w:left w:val="single" w:sz="4" w:space="0" w:color="auto"/>
              <w:bottom w:val="single" w:sz="4" w:space="0" w:color="auto"/>
              <w:right w:val="single" w:sz="4" w:space="0" w:color="auto"/>
            </w:tcBorders>
          </w:tcPr>
          <w:p w14:paraId="53278AEA" w14:textId="3EDCEDC7" w:rsidR="007D073B" w:rsidRDefault="00695087" w:rsidP="008007DA">
            <w:pPr>
              <w:pStyle w:val="Tabletext0"/>
              <w:spacing w:before="0" w:after="0"/>
            </w:pPr>
            <w:r>
              <w:t>k=4</w:t>
            </w:r>
          </w:p>
          <w:p w14:paraId="18864E97" w14:textId="6FB34874" w:rsidR="00695087" w:rsidRDefault="00695087" w:rsidP="008007DA">
            <w:pPr>
              <w:pStyle w:val="Tabletext0"/>
              <w:spacing w:before="0" w:after="0"/>
            </w:pPr>
            <w:r>
              <w:t>n=584</w:t>
            </w:r>
            <w:r w:rsidR="00D126E4">
              <w:t xml:space="preserve"> samples</w:t>
            </w:r>
          </w:p>
        </w:tc>
        <w:tc>
          <w:tcPr>
            <w:tcW w:w="1074" w:type="pct"/>
            <w:tcBorders>
              <w:top w:val="single" w:sz="4" w:space="0" w:color="auto"/>
              <w:left w:val="single" w:sz="4" w:space="0" w:color="auto"/>
              <w:bottom w:val="single" w:sz="4" w:space="0" w:color="auto"/>
              <w:right w:val="single" w:sz="4" w:space="0" w:color="auto"/>
            </w:tcBorders>
          </w:tcPr>
          <w:p w14:paraId="7381AA41" w14:textId="6F7526E5" w:rsidR="007D073B" w:rsidRDefault="00695087" w:rsidP="008007DA">
            <w:pPr>
              <w:pStyle w:val="Tabletext0"/>
              <w:spacing w:before="0" w:after="0"/>
            </w:pPr>
            <w:r>
              <w:t>High or unclear risk of bias.</w:t>
            </w:r>
          </w:p>
        </w:tc>
      </w:tr>
      <w:tr w:rsidR="007D073B" w14:paraId="3564123B" w14:textId="77777777" w:rsidTr="003133FE">
        <w:tc>
          <w:tcPr>
            <w:tcW w:w="1007" w:type="pct"/>
            <w:tcBorders>
              <w:top w:val="single" w:sz="4" w:space="0" w:color="auto"/>
              <w:left w:val="single" w:sz="4" w:space="0" w:color="auto"/>
              <w:bottom w:val="single" w:sz="4" w:space="0" w:color="auto"/>
              <w:right w:val="single" w:sz="4" w:space="0" w:color="auto"/>
            </w:tcBorders>
          </w:tcPr>
          <w:p w14:paraId="1396D1EA" w14:textId="0B03BE16" w:rsidR="007D073B" w:rsidRDefault="00290C7F" w:rsidP="008007DA">
            <w:pPr>
              <w:pStyle w:val="TableText"/>
              <w:keepNext/>
              <w:spacing w:before="0" w:after="0" w:line="256" w:lineRule="auto"/>
            </w:pPr>
            <w:proofErr w:type="spellStart"/>
            <w:r>
              <w:t>BioFire</w:t>
            </w:r>
            <w:proofErr w:type="spellEnd"/>
            <w:r w:rsidRPr="00B44350">
              <w:t xml:space="preserve"> Respiratory Panel 2.1 </w:t>
            </w:r>
          </w:p>
        </w:tc>
        <w:tc>
          <w:tcPr>
            <w:tcW w:w="1844" w:type="pct"/>
            <w:tcBorders>
              <w:top w:val="single" w:sz="4" w:space="0" w:color="auto"/>
              <w:left w:val="single" w:sz="4" w:space="0" w:color="auto"/>
              <w:bottom w:val="single" w:sz="4" w:space="0" w:color="auto"/>
              <w:right w:val="single" w:sz="4" w:space="0" w:color="auto"/>
            </w:tcBorders>
          </w:tcPr>
          <w:p w14:paraId="1BFFB71B" w14:textId="478D82AB" w:rsidR="007D073B" w:rsidRDefault="002B19CC" w:rsidP="008007DA">
            <w:pPr>
              <w:pStyle w:val="Tabletext0"/>
              <w:spacing w:before="0" w:after="0"/>
            </w:pPr>
            <w:r>
              <w:t>Four retrospective studies</w:t>
            </w:r>
            <w:r w:rsidR="00F94D61">
              <w:t xml:space="preserve"> </w:t>
            </w:r>
            <w:r w:rsidR="000B0D29">
              <w:t xml:space="preserve">enriched with samples </w:t>
            </w:r>
            <w:r w:rsidR="00F94D61">
              <w:t>with prior</w:t>
            </w:r>
            <w:r w:rsidR="000B0D29">
              <w:t xml:space="preserve"> testing and</w:t>
            </w:r>
            <w:r w:rsidR="00F94D61">
              <w:t xml:space="preserve"> known infection status,</w:t>
            </w:r>
            <w:r>
              <w:t xml:space="preserve"> one prospective study</w:t>
            </w:r>
            <w:r w:rsidR="00F94D61">
              <w:t xml:space="preserve"> evaluating assay versus range of other SARS-CoV-2</w:t>
            </w:r>
            <w:r w:rsidR="000B0D29">
              <w:t xml:space="preserve"> assays.</w:t>
            </w:r>
          </w:p>
        </w:tc>
        <w:tc>
          <w:tcPr>
            <w:tcW w:w="1075" w:type="pct"/>
            <w:tcBorders>
              <w:top w:val="single" w:sz="4" w:space="0" w:color="auto"/>
              <w:left w:val="single" w:sz="4" w:space="0" w:color="auto"/>
              <w:bottom w:val="single" w:sz="4" w:space="0" w:color="auto"/>
              <w:right w:val="single" w:sz="4" w:space="0" w:color="auto"/>
            </w:tcBorders>
          </w:tcPr>
          <w:p w14:paraId="24E4AB54" w14:textId="781EC0E4" w:rsidR="002B19CC" w:rsidRDefault="002B19CC" w:rsidP="008007DA">
            <w:pPr>
              <w:pStyle w:val="Tabletext0"/>
              <w:spacing w:before="0" w:after="0"/>
            </w:pPr>
            <w:r>
              <w:t>k=5</w:t>
            </w:r>
          </w:p>
          <w:p w14:paraId="3C204A05" w14:textId="231F0760" w:rsidR="007D073B" w:rsidRDefault="002B19CC" w:rsidP="008007DA">
            <w:pPr>
              <w:pStyle w:val="Tabletext0"/>
              <w:spacing w:before="0" w:after="0"/>
            </w:pPr>
            <w:r>
              <w:t>n=889</w:t>
            </w:r>
            <w:r w:rsidR="00D126E4">
              <w:t xml:space="preserve"> samples</w:t>
            </w:r>
          </w:p>
        </w:tc>
        <w:tc>
          <w:tcPr>
            <w:tcW w:w="1074" w:type="pct"/>
            <w:tcBorders>
              <w:top w:val="single" w:sz="4" w:space="0" w:color="auto"/>
              <w:left w:val="single" w:sz="4" w:space="0" w:color="auto"/>
              <w:bottom w:val="single" w:sz="4" w:space="0" w:color="auto"/>
              <w:right w:val="single" w:sz="4" w:space="0" w:color="auto"/>
            </w:tcBorders>
          </w:tcPr>
          <w:p w14:paraId="3DC47909" w14:textId="073FC812" w:rsidR="007D073B" w:rsidRDefault="000900AD" w:rsidP="008007DA">
            <w:pPr>
              <w:pStyle w:val="Tabletext0"/>
              <w:spacing w:before="0" w:after="0"/>
            </w:pPr>
            <w:r>
              <w:t>High or unclear risk of bias.</w:t>
            </w:r>
          </w:p>
        </w:tc>
      </w:tr>
    </w:tbl>
    <w:bookmarkEnd w:id="29"/>
    <w:p w14:paraId="308AB365" w14:textId="46A74F41" w:rsidR="003133FE" w:rsidRDefault="00010DD3" w:rsidP="0020723B">
      <w:pPr>
        <w:pStyle w:val="TableFooter"/>
      </w:pPr>
      <w:r>
        <w:t>NPA</w:t>
      </w:r>
      <w:r w:rsidR="00695087">
        <w:t>=negative percentage agreement, PPA=positive percentage agreement</w:t>
      </w:r>
    </w:p>
    <w:p w14:paraId="69E9F952" w14:textId="40F9CD0A" w:rsidR="002D55A4" w:rsidRDefault="002D55A4" w:rsidP="0020723B">
      <w:pPr>
        <w:pStyle w:val="TableFooter"/>
      </w:pPr>
      <w:r>
        <w:t>Source: DCAR Table 7</w:t>
      </w:r>
    </w:p>
    <w:p w14:paraId="3B9FC2AD" w14:textId="2CEAF32F" w:rsidR="00772829" w:rsidRPr="00CE28E3" w:rsidRDefault="00CB2E78" w:rsidP="002A18BE">
      <w:pPr>
        <w:pStyle w:val="Heading2"/>
        <w:numPr>
          <w:ilvl w:val="0"/>
          <w:numId w:val="0"/>
        </w:numPr>
      </w:pPr>
      <w:bookmarkStart w:id="30" w:name="_Toc133832629"/>
      <w:r>
        <w:lastRenderedPageBreak/>
        <w:t>11</w:t>
      </w:r>
      <w:r w:rsidR="00C36633">
        <w:t>.</w:t>
      </w:r>
      <w:r w:rsidR="00C36633">
        <w:tab/>
      </w:r>
      <w:r w:rsidR="00772829" w:rsidRPr="00CE28E3">
        <w:t>Comparative safety</w:t>
      </w:r>
      <w:bookmarkEnd w:id="30"/>
    </w:p>
    <w:p w14:paraId="55DF5AF6" w14:textId="1F1E6447" w:rsidR="00F64EAA" w:rsidRDefault="00A54BA6" w:rsidP="00AF5431">
      <w:r>
        <w:t>The same</w:t>
      </w:r>
      <w:r w:rsidR="0007777F">
        <w:t xml:space="preserve"> </w:t>
      </w:r>
      <w:proofErr w:type="gramStart"/>
      <w:r w:rsidR="0007777F">
        <w:t>laboratory</w:t>
      </w:r>
      <w:r>
        <w:t>-</w:t>
      </w:r>
      <w:r w:rsidR="0007777F">
        <w:t>based</w:t>
      </w:r>
      <w:proofErr w:type="gramEnd"/>
      <w:r w:rsidR="0007777F">
        <w:t xml:space="preserve"> </w:t>
      </w:r>
      <w:r w:rsidR="00F64EAA">
        <w:t>NAATs</w:t>
      </w:r>
      <w:r>
        <w:t xml:space="preserve"> would be performed when providing a service funded either by the proposed items or the comparator.</w:t>
      </w:r>
      <w:r w:rsidR="00F64EAA">
        <w:t xml:space="preserve"> </w:t>
      </w:r>
      <w:r w:rsidR="00DD1CC9">
        <w:t xml:space="preserve">No new safety issues </w:t>
      </w:r>
      <w:r w:rsidR="00334DFF">
        <w:t>related to sample collection and the testing process we</w:t>
      </w:r>
      <w:r w:rsidR="00DD1CC9">
        <w:t>re identified.</w:t>
      </w:r>
    </w:p>
    <w:p w14:paraId="1ADDA66E" w14:textId="6AAEB25C" w:rsidR="00F64EAA" w:rsidRPr="00CE28E3" w:rsidRDefault="00F64EAA" w:rsidP="00F64EAA">
      <w:pPr>
        <w:pStyle w:val="Heading2"/>
        <w:numPr>
          <w:ilvl w:val="0"/>
          <w:numId w:val="0"/>
        </w:numPr>
      </w:pPr>
      <w:bookmarkStart w:id="31" w:name="_Ref130528247"/>
      <w:bookmarkStart w:id="32" w:name="_Toc133832630"/>
      <w:r>
        <w:t>1</w:t>
      </w:r>
      <w:r w:rsidR="00CB2E78">
        <w:t>2</w:t>
      </w:r>
      <w:r>
        <w:t>.</w:t>
      </w:r>
      <w:r>
        <w:tab/>
      </w:r>
      <w:r w:rsidRPr="00CE28E3">
        <w:t>Comparative effectiveness</w:t>
      </w:r>
      <w:bookmarkEnd w:id="31"/>
      <w:bookmarkEnd w:id="32"/>
    </w:p>
    <w:p w14:paraId="3A64C609" w14:textId="3543B480" w:rsidR="00DD1CC9" w:rsidRDefault="00DD1CC9" w:rsidP="00AD029B">
      <w:r>
        <w:t xml:space="preserve">The following was the summary of the clinical safety and effectiveness from the targeted literature search for the thirteen </w:t>
      </w:r>
      <w:r w:rsidR="00331E9E">
        <w:t>rapid NAATs</w:t>
      </w:r>
      <w:r>
        <w:t xml:space="preserve"> currently identified as TGA-approved and/or in use in Australia, and expanded upon the review of COVID-19 rapid NAATs presented by the Doherty Institute in 2021</w:t>
      </w:r>
      <w:r w:rsidR="00E92297">
        <w:rPr>
          <w:rStyle w:val="FootnoteReference"/>
        </w:rPr>
        <w:footnoteReference w:id="18"/>
      </w:r>
      <w:r w:rsidRPr="00711A90">
        <w:t xml:space="preserve"> </w:t>
      </w:r>
      <w:r>
        <w:t>(</w:t>
      </w:r>
      <w:r>
        <w:fldChar w:fldCharType="begin"/>
      </w:r>
      <w:r>
        <w:instrText xml:space="preserve"> REF _Ref130546313 \h </w:instrText>
      </w:r>
      <w:r>
        <w:fldChar w:fldCharType="separate"/>
      </w:r>
      <w:r w:rsidR="00525416">
        <w:t xml:space="preserve">Table </w:t>
      </w:r>
      <w:r w:rsidR="00525416">
        <w:rPr>
          <w:noProof/>
        </w:rPr>
        <w:t>10</w:t>
      </w:r>
      <w:r>
        <w:fldChar w:fldCharType="end"/>
      </w:r>
      <w:r>
        <w:t>).</w:t>
      </w:r>
    </w:p>
    <w:p w14:paraId="28AC3E4C" w14:textId="6BAE03DA" w:rsidR="00331E9E" w:rsidRDefault="00331E9E" w:rsidP="00F64EAA">
      <w:r>
        <w:t xml:space="preserve">The technology used for the proposed intervention has been in place and MBS-funded since March 2020 for SARS-CoV-2 testing, and </w:t>
      </w:r>
      <w:r w:rsidR="001233D3">
        <w:t>years earlier</w:t>
      </w:r>
      <w:r>
        <w:t xml:space="preserve"> for other infective pathogen tests.</w:t>
      </w:r>
    </w:p>
    <w:p w14:paraId="36237F0A" w14:textId="2A917117" w:rsidR="00AD029B" w:rsidRDefault="00AD029B" w:rsidP="00F64EAA">
      <w:r>
        <w:t xml:space="preserve">The same </w:t>
      </w:r>
      <w:proofErr w:type="gramStart"/>
      <w:r>
        <w:t>laboratory-based</w:t>
      </w:r>
      <w:proofErr w:type="gramEnd"/>
      <w:r>
        <w:t xml:space="preserve"> NAATs (rapid or standard) would be performed when providing a service funded either by the proposed items or the comparator. Therefore, there is no difference between the comparator and proposed items in terms of effectiveness. However, there is potentially a difference between the clinical performance of the rapid NAATs and the standard NAATs (which are the designated standard reference test in the Parameters</w:t>
      </w:r>
      <w:r w:rsidR="006A64FD">
        <w:t xml:space="preserve"> for this comparison</w:t>
      </w:r>
      <w:r>
        <w:t xml:space="preserve">). </w:t>
      </w:r>
      <w:r w:rsidR="006A64FD">
        <w:t xml:space="preserve">This question was more important when the community point-of-care testing was within scope, as most rapid NAATs </w:t>
      </w:r>
      <w:r w:rsidR="00941F70">
        <w:t xml:space="preserve">in Australia </w:t>
      </w:r>
      <w:r w:rsidR="006A64FD">
        <w:t xml:space="preserve">are performed in settings that are not Medicare eligible.  </w:t>
      </w:r>
      <w:r>
        <w:t>Thus, the HTA group reviewed the evidence of the clinical performance of these rapid NAATs for SARS-CoV-2 and other respiratory pathogens.</w:t>
      </w:r>
    </w:p>
    <w:p w14:paraId="2EBB57EF" w14:textId="30438E9A" w:rsidR="00F64EAA" w:rsidRDefault="00F64EAA" w:rsidP="00F64EAA">
      <w:r>
        <w:t>In those assays with high sensitivity and specificity, the simpler method and faster turnaround ensure an accurate result to allow decisions regarding early treatment and appropriate infection prevention and control measures. However, lower sensitivity</w:t>
      </w:r>
      <w:r w:rsidR="004A06A7">
        <w:t xml:space="preserve"> (&lt;90% </w:t>
      </w:r>
      <w:r w:rsidR="00E06598">
        <w:t>compared with the reference standard</w:t>
      </w:r>
      <w:r w:rsidR="004A06A7">
        <w:t>)</w:t>
      </w:r>
      <w:r>
        <w:t xml:space="preserve">, </w:t>
      </w:r>
      <w:r w:rsidR="000C60F3">
        <w:t>increases</w:t>
      </w:r>
      <w:r>
        <w:t xml:space="preserve"> the risk of a false negative which may lead to a misdiagnosis and a failure to treat an individual at high risk of a severe outcome, and/or </w:t>
      </w:r>
      <w:r w:rsidR="004A06A7">
        <w:t xml:space="preserve">a failure to instigate appropriate </w:t>
      </w:r>
      <w:r w:rsidR="00941F70">
        <w:t>infection prevention and control</w:t>
      </w:r>
      <w:r w:rsidR="004A06A7">
        <w:t xml:space="preserve"> measures</w:t>
      </w:r>
      <w:r>
        <w:t>.</w:t>
      </w:r>
    </w:p>
    <w:p w14:paraId="62BBF1DE" w14:textId="56D33CF9" w:rsidR="00F64EAA" w:rsidRDefault="00F64EAA" w:rsidP="00AF5431">
      <w:pPr>
        <w:sectPr w:rsidR="00F64EAA" w:rsidSect="00B064B4">
          <w:headerReference w:type="even" r:id="rId9"/>
          <w:headerReference w:type="default" r:id="rId10"/>
          <w:footerReference w:type="even" r:id="rId11"/>
          <w:footerReference w:type="default" r:id="rId12"/>
          <w:headerReference w:type="first" r:id="rId13"/>
          <w:footerReference w:type="first" r:id="rId14"/>
          <w:type w:val="oddPage"/>
          <w:pgSz w:w="11906" w:h="16838"/>
          <w:pgMar w:top="1440" w:right="1440" w:bottom="1440" w:left="1440" w:header="708" w:footer="708" w:gutter="0"/>
          <w:cols w:space="708"/>
          <w:docGrid w:linePitch="360"/>
        </w:sectPr>
      </w:pPr>
    </w:p>
    <w:p w14:paraId="0C6AD399" w14:textId="29364EA2" w:rsidR="00F64EAA" w:rsidRDefault="00F64EAA" w:rsidP="00F64EAA">
      <w:pPr>
        <w:pStyle w:val="Caption"/>
      </w:pPr>
      <w:bookmarkStart w:id="33" w:name="_Ref130546313"/>
      <w:r>
        <w:lastRenderedPageBreak/>
        <w:t xml:space="preserve">Table </w:t>
      </w:r>
      <w:r>
        <w:fldChar w:fldCharType="begin"/>
      </w:r>
      <w:r>
        <w:instrText>SEQ Table \* ARABIC</w:instrText>
      </w:r>
      <w:r>
        <w:fldChar w:fldCharType="separate"/>
      </w:r>
      <w:r w:rsidR="00525416">
        <w:rPr>
          <w:noProof/>
        </w:rPr>
        <w:t>10</w:t>
      </w:r>
      <w:r>
        <w:fldChar w:fldCharType="end"/>
      </w:r>
      <w:bookmarkEnd w:id="33"/>
      <w:r>
        <w:t xml:space="preserve"> S</w:t>
      </w:r>
      <w:r w:rsidRPr="00A87FAC">
        <w:t xml:space="preserve">ummary of key findings </w:t>
      </w:r>
      <w:r>
        <w:t>from the</w:t>
      </w:r>
      <w:r w:rsidRPr="00A87FAC">
        <w:t xml:space="preserve"> literature review </w:t>
      </w:r>
      <w:r>
        <w:t>for</w:t>
      </w:r>
      <w:r w:rsidRPr="00A87FAC">
        <w:t xml:space="preserve"> </w:t>
      </w:r>
      <w:r>
        <w:t xml:space="preserve">those </w:t>
      </w:r>
      <w:r w:rsidRPr="00A87FAC">
        <w:t>TGA-registered rapid NAATs where R</w:t>
      </w:r>
      <w:r>
        <w:t>oyal College of Pathologists of Australasia</w:t>
      </w:r>
      <w:r w:rsidRPr="00A87FAC">
        <w:t xml:space="preserve"> </w:t>
      </w:r>
      <w:r>
        <w:t xml:space="preserve">Quality Assurance Program </w:t>
      </w:r>
      <w:r w:rsidRPr="00A87FAC">
        <w:t xml:space="preserve">indicates </w:t>
      </w:r>
      <w:r>
        <w:t>there is use on at least one laboratory platform</w:t>
      </w:r>
      <w:r w:rsidRPr="00A87FAC">
        <w:t xml:space="preserve"> in </w:t>
      </w:r>
      <w:proofErr w:type="gramStart"/>
      <w:r w:rsidRPr="00A87FAC">
        <w:t>Austral</w:t>
      </w:r>
      <w:r>
        <w:t>ia</w:t>
      </w:r>
      <w:proofErr w:type="gramEnd"/>
    </w:p>
    <w:tbl>
      <w:tblPr>
        <w:tblStyle w:val="TableGrid"/>
        <w:tblW w:w="14029" w:type="dxa"/>
        <w:tblLayout w:type="fixed"/>
        <w:tblLook w:val="04A0" w:firstRow="1" w:lastRow="0" w:firstColumn="1" w:lastColumn="0" w:noHBand="0" w:noVBand="1"/>
      </w:tblPr>
      <w:tblGrid>
        <w:gridCol w:w="1838"/>
        <w:gridCol w:w="851"/>
        <w:gridCol w:w="1275"/>
        <w:gridCol w:w="1134"/>
        <w:gridCol w:w="1134"/>
        <w:gridCol w:w="1134"/>
        <w:gridCol w:w="851"/>
        <w:gridCol w:w="850"/>
        <w:gridCol w:w="1418"/>
        <w:gridCol w:w="3544"/>
      </w:tblGrid>
      <w:tr w:rsidR="003623C3" w14:paraId="3EDE6B3D" w14:textId="77777777" w:rsidTr="001D278E">
        <w:trPr>
          <w:trHeight w:val="907"/>
          <w:tblHeader/>
        </w:trPr>
        <w:tc>
          <w:tcPr>
            <w:tcW w:w="1838" w:type="dxa"/>
          </w:tcPr>
          <w:p w14:paraId="4DFFDCED" w14:textId="0A86982E" w:rsidR="00F64EAA" w:rsidRDefault="00F64EAA">
            <w:pPr>
              <w:pStyle w:val="TableFigureHeading"/>
            </w:pPr>
            <w:r>
              <w:t>Assay</w:t>
            </w:r>
          </w:p>
        </w:tc>
        <w:tc>
          <w:tcPr>
            <w:tcW w:w="851" w:type="dxa"/>
          </w:tcPr>
          <w:p w14:paraId="30689289" w14:textId="6428ED4A" w:rsidR="00F64EAA" w:rsidRPr="002079E0" w:rsidRDefault="00F64EAA" w:rsidP="001D278E">
            <w:pPr>
              <w:pStyle w:val="TableFigureHeading"/>
            </w:pPr>
            <w:r w:rsidRPr="00A0165C">
              <w:t>Number of</w:t>
            </w:r>
            <w:r w:rsidR="00CC641D">
              <w:t xml:space="preserve"> </w:t>
            </w:r>
            <w:r>
              <w:t>pathogens</w:t>
            </w:r>
          </w:p>
        </w:tc>
        <w:tc>
          <w:tcPr>
            <w:tcW w:w="1275" w:type="dxa"/>
          </w:tcPr>
          <w:p w14:paraId="36CA6850" w14:textId="7525D98B" w:rsidR="00F64EAA" w:rsidRDefault="00F64EAA" w:rsidP="00650385">
            <w:pPr>
              <w:pStyle w:val="TableFigureHeading"/>
            </w:pPr>
            <w:r>
              <w:t xml:space="preserve">Number of </w:t>
            </w:r>
            <w:r w:rsidR="000027F2">
              <w:t>analysers</w:t>
            </w:r>
            <w:r>
              <w:t xml:space="preserve"> in Australia</w:t>
            </w:r>
            <w:r w:rsidR="0079648E">
              <w:t>n</w:t>
            </w:r>
            <w:r>
              <w:t xml:space="preserve"> laboratories 2022 </w:t>
            </w:r>
          </w:p>
        </w:tc>
        <w:tc>
          <w:tcPr>
            <w:tcW w:w="1134" w:type="dxa"/>
          </w:tcPr>
          <w:p w14:paraId="0E10970A" w14:textId="61DCF495" w:rsidR="00F64EAA" w:rsidRDefault="00F64EAA" w:rsidP="00650385">
            <w:pPr>
              <w:pStyle w:val="TableFigureHeading"/>
            </w:pPr>
            <w:r>
              <w:t>IFU</w:t>
            </w:r>
            <w:r w:rsidR="003F7D6E">
              <w:t xml:space="preserve"> or manufacturer website</w:t>
            </w:r>
            <w:r>
              <w:t xml:space="preserve"> TAT</w:t>
            </w:r>
          </w:p>
          <w:p w14:paraId="7CA96CB9" w14:textId="11240FA5" w:rsidR="00F64EAA" w:rsidRPr="00933C62" w:rsidRDefault="00F64EAA" w:rsidP="001D278E">
            <w:pPr>
              <w:pStyle w:val="TableFigureHeading"/>
            </w:pPr>
            <w:r>
              <w:t>(minutes)</w:t>
            </w:r>
          </w:p>
        </w:tc>
        <w:tc>
          <w:tcPr>
            <w:tcW w:w="1134" w:type="dxa"/>
          </w:tcPr>
          <w:p w14:paraId="0ABCE8D3" w14:textId="77777777" w:rsidR="00F64EAA" w:rsidRDefault="00F64EAA" w:rsidP="00650385">
            <w:pPr>
              <w:pStyle w:val="TableFigureHeading"/>
            </w:pPr>
            <w:r>
              <w:t>Sensitivity</w:t>
            </w:r>
          </w:p>
        </w:tc>
        <w:tc>
          <w:tcPr>
            <w:tcW w:w="1134" w:type="dxa"/>
          </w:tcPr>
          <w:p w14:paraId="0C3CA49F" w14:textId="77777777" w:rsidR="00F64EAA" w:rsidRDefault="00F64EAA" w:rsidP="00650385">
            <w:pPr>
              <w:pStyle w:val="TableFigureHeading"/>
            </w:pPr>
            <w:r>
              <w:t>Specificity</w:t>
            </w:r>
          </w:p>
        </w:tc>
        <w:tc>
          <w:tcPr>
            <w:tcW w:w="851" w:type="dxa"/>
          </w:tcPr>
          <w:p w14:paraId="4EB4E2A2" w14:textId="0781B43C" w:rsidR="00F64EAA" w:rsidRPr="00987B2F" w:rsidRDefault="00F64EAA" w:rsidP="001D278E">
            <w:pPr>
              <w:pStyle w:val="TableFigureHeading"/>
            </w:pPr>
            <w:r>
              <w:t>PPA</w:t>
            </w:r>
            <w:r w:rsidR="00CC641D">
              <w:t xml:space="preserve"> </w:t>
            </w:r>
            <w:r>
              <w:t>With RT</w:t>
            </w:r>
            <w:r w:rsidR="00252CE7" w:rsidRPr="00252CE7">
              <w:noBreakHyphen/>
            </w:r>
            <w:r>
              <w:t>PCR</w:t>
            </w:r>
          </w:p>
        </w:tc>
        <w:tc>
          <w:tcPr>
            <w:tcW w:w="850" w:type="dxa"/>
          </w:tcPr>
          <w:p w14:paraId="4976FB18" w14:textId="14C29784" w:rsidR="00F64EAA" w:rsidRDefault="00F64EAA">
            <w:pPr>
              <w:pStyle w:val="TableFigureHeading"/>
            </w:pPr>
            <w:r>
              <w:t>NPA With RT</w:t>
            </w:r>
            <w:r w:rsidR="00252CE7" w:rsidRPr="00252CE7">
              <w:noBreakHyphen/>
            </w:r>
            <w:r>
              <w:t>PCR</w:t>
            </w:r>
          </w:p>
        </w:tc>
        <w:tc>
          <w:tcPr>
            <w:tcW w:w="1418" w:type="dxa"/>
          </w:tcPr>
          <w:p w14:paraId="748B926B" w14:textId="083B6D83" w:rsidR="00F64EAA" w:rsidRDefault="00CE7031">
            <w:pPr>
              <w:pStyle w:val="TableFigureHeading"/>
            </w:pPr>
            <w:r>
              <w:t>Strength of a</w:t>
            </w:r>
            <w:r w:rsidR="00F64EAA">
              <w:t xml:space="preserve">vailable </w:t>
            </w:r>
            <w:r w:rsidR="006A64FD">
              <w:t>independent, peer-</w:t>
            </w:r>
            <w:r>
              <w:t>reviewed</w:t>
            </w:r>
            <w:r w:rsidR="00CC641D">
              <w:t xml:space="preserve"> </w:t>
            </w:r>
            <w:r w:rsidR="00F64EAA">
              <w:t>literature</w:t>
            </w:r>
          </w:p>
        </w:tc>
        <w:tc>
          <w:tcPr>
            <w:tcW w:w="3544" w:type="dxa"/>
          </w:tcPr>
          <w:p w14:paraId="297D16BF" w14:textId="77777777" w:rsidR="00F64EAA" w:rsidRDefault="00F64EAA" w:rsidP="00650385">
            <w:pPr>
              <w:pStyle w:val="TableFigureHeading"/>
            </w:pPr>
            <w:r>
              <w:t>Comments</w:t>
            </w:r>
          </w:p>
        </w:tc>
      </w:tr>
      <w:tr w:rsidR="003623C3" w14:paraId="413DCFEB" w14:textId="77777777" w:rsidTr="001D278E">
        <w:tc>
          <w:tcPr>
            <w:tcW w:w="1838" w:type="dxa"/>
          </w:tcPr>
          <w:p w14:paraId="75C4D26E" w14:textId="77777777" w:rsidR="00F64EAA" w:rsidRDefault="00F64EAA" w:rsidP="00650385">
            <w:pPr>
              <w:pStyle w:val="Tabletext0"/>
            </w:pPr>
            <w:r w:rsidRPr="001E57FA">
              <w:t xml:space="preserve">Cepheid GeneXpert </w:t>
            </w:r>
            <w:proofErr w:type="spellStart"/>
            <w:r w:rsidRPr="001E57FA">
              <w:t>Xpert</w:t>
            </w:r>
            <w:proofErr w:type="spellEnd"/>
            <w:r w:rsidRPr="001E57FA">
              <w:t xml:space="preserve"> Xpress SARS-CoV-2</w:t>
            </w:r>
            <w:r>
              <w:t xml:space="preserve"> </w:t>
            </w:r>
          </w:p>
        </w:tc>
        <w:tc>
          <w:tcPr>
            <w:tcW w:w="851" w:type="dxa"/>
          </w:tcPr>
          <w:p w14:paraId="1AC9CCE9" w14:textId="77777777" w:rsidR="00F64EAA" w:rsidRDefault="00F64EAA" w:rsidP="00650385">
            <w:pPr>
              <w:pStyle w:val="Tabletext0"/>
            </w:pPr>
            <w:r>
              <w:t>1</w:t>
            </w:r>
          </w:p>
        </w:tc>
        <w:tc>
          <w:tcPr>
            <w:tcW w:w="1275" w:type="dxa"/>
          </w:tcPr>
          <w:p w14:paraId="4AC6BF5D" w14:textId="77777777" w:rsidR="00F64EAA" w:rsidRDefault="00F64EAA" w:rsidP="00650385">
            <w:pPr>
              <w:pStyle w:val="Tabletext0"/>
            </w:pPr>
            <w:r>
              <w:t>168</w:t>
            </w:r>
          </w:p>
        </w:tc>
        <w:tc>
          <w:tcPr>
            <w:tcW w:w="1134" w:type="dxa"/>
          </w:tcPr>
          <w:p w14:paraId="45A83FE1" w14:textId="77777777" w:rsidR="00F64EAA" w:rsidRDefault="00F64EAA" w:rsidP="00650385">
            <w:pPr>
              <w:pStyle w:val="Tabletext0"/>
            </w:pPr>
            <w:r>
              <w:t xml:space="preserve">45 </w:t>
            </w:r>
          </w:p>
        </w:tc>
        <w:tc>
          <w:tcPr>
            <w:tcW w:w="1134" w:type="dxa"/>
          </w:tcPr>
          <w:p w14:paraId="62A7868F" w14:textId="77777777" w:rsidR="00F64EAA" w:rsidRDefault="00F64EAA" w:rsidP="00650385">
            <w:pPr>
              <w:pStyle w:val="Tabletext0"/>
            </w:pPr>
            <w:r>
              <w:t>++++</w:t>
            </w:r>
          </w:p>
        </w:tc>
        <w:tc>
          <w:tcPr>
            <w:tcW w:w="1134" w:type="dxa"/>
          </w:tcPr>
          <w:p w14:paraId="4FE20466" w14:textId="77777777" w:rsidR="00F64EAA" w:rsidRDefault="00F64EAA" w:rsidP="00650385">
            <w:pPr>
              <w:pStyle w:val="Tabletext0"/>
            </w:pPr>
            <w:r>
              <w:t>++++</w:t>
            </w:r>
          </w:p>
        </w:tc>
        <w:tc>
          <w:tcPr>
            <w:tcW w:w="851" w:type="dxa"/>
          </w:tcPr>
          <w:p w14:paraId="2CCF9ED6" w14:textId="77777777" w:rsidR="00F64EAA" w:rsidRDefault="00F64EAA" w:rsidP="00650385">
            <w:pPr>
              <w:pStyle w:val="Tabletext0"/>
            </w:pPr>
            <w:r>
              <w:t>++++</w:t>
            </w:r>
          </w:p>
        </w:tc>
        <w:tc>
          <w:tcPr>
            <w:tcW w:w="850" w:type="dxa"/>
          </w:tcPr>
          <w:p w14:paraId="340D5328" w14:textId="77777777" w:rsidR="00F64EAA" w:rsidRDefault="00F64EAA" w:rsidP="00650385">
            <w:pPr>
              <w:pStyle w:val="Tabletext0"/>
            </w:pPr>
            <w:r>
              <w:t>++++</w:t>
            </w:r>
          </w:p>
        </w:tc>
        <w:tc>
          <w:tcPr>
            <w:tcW w:w="1418" w:type="dxa"/>
          </w:tcPr>
          <w:p w14:paraId="7E3BF015" w14:textId="77777777" w:rsidR="00F64EAA" w:rsidRDefault="00F64EAA" w:rsidP="00650385">
            <w:pPr>
              <w:pStyle w:val="Tabletext0"/>
            </w:pPr>
            <w:r>
              <w:t>++++</w:t>
            </w:r>
          </w:p>
        </w:tc>
        <w:tc>
          <w:tcPr>
            <w:tcW w:w="3544" w:type="dxa"/>
          </w:tcPr>
          <w:p w14:paraId="5C764B91" w14:textId="1C910763" w:rsidR="00F64EAA" w:rsidRDefault="00AD442B" w:rsidP="00650385">
            <w:pPr>
              <w:pStyle w:val="Tabletext0"/>
            </w:pPr>
            <w:r>
              <w:t>Manufacturers and A</w:t>
            </w:r>
            <w:r w:rsidR="00F64EAA">
              <w:t xml:space="preserve">ustralian laboratories are shifting away from single SARS-CoV-2 to </w:t>
            </w:r>
            <w:proofErr w:type="spellStart"/>
            <w:r w:rsidR="00F64EAA">
              <w:t>multipathogen</w:t>
            </w:r>
            <w:proofErr w:type="spellEnd"/>
            <w:r w:rsidR="00F64EAA">
              <w:t xml:space="preserve"> assay in hospital labs, community </w:t>
            </w:r>
            <w:proofErr w:type="spellStart"/>
            <w:r w:rsidR="00F64EAA">
              <w:t>PoCT</w:t>
            </w:r>
            <w:proofErr w:type="spellEnd"/>
            <w:r w:rsidR="00F64EAA">
              <w:t xml:space="preserve"> programs</w:t>
            </w:r>
          </w:p>
        </w:tc>
      </w:tr>
      <w:tr w:rsidR="003623C3" w14:paraId="4A8E44EC" w14:textId="77777777" w:rsidTr="001D278E">
        <w:trPr>
          <w:trHeight w:val="726"/>
        </w:trPr>
        <w:tc>
          <w:tcPr>
            <w:tcW w:w="1838" w:type="dxa"/>
          </w:tcPr>
          <w:p w14:paraId="7B5E46D4" w14:textId="77777777" w:rsidR="00F64EAA" w:rsidRPr="001E57FA" w:rsidRDefault="00F64EAA" w:rsidP="00650385">
            <w:pPr>
              <w:pStyle w:val="Tabletext0"/>
            </w:pPr>
            <w:r w:rsidRPr="001E57FA">
              <w:t xml:space="preserve">Cepheid GeneXpert </w:t>
            </w:r>
            <w:proofErr w:type="spellStart"/>
            <w:r w:rsidRPr="001E57FA">
              <w:t>Xpert</w:t>
            </w:r>
            <w:proofErr w:type="spellEnd"/>
            <w:r w:rsidRPr="001E57FA">
              <w:t xml:space="preserve"> Xpress SARS-CoV-2/Flu/RSV</w:t>
            </w:r>
          </w:p>
        </w:tc>
        <w:tc>
          <w:tcPr>
            <w:tcW w:w="851" w:type="dxa"/>
          </w:tcPr>
          <w:p w14:paraId="6AD038C3" w14:textId="77777777" w:rsidR="00F64EAA" w:rsidRDefault="00F64EAA" w:rsidP="00650385">
            <w:pPr>
              <w:pStyle w:val="Tabletext0"/>
            </w:pPr>
            <w:r>
              <w:t>4</w:t>
            </w:r>
          </w:p>
        </w:tc>
        <w:tc>
          <w:tcPr>
            <w:tcW w:w="1275" w:type="dxa"/>
          </w:tcPr>
          <w:p w14:paraId="511E7385" w14:textId="77777777" w:rsidR="00F64EAA" w:rsidRDefault="00F64EAA" w:rsidP="00650385">
            <w:pPr>
              <w:pStyle w:val="Tabletext0"/>
            </w:pPr>
            <w:r>
              <w:t>106</w:t>
            </w:r>
          </w:p>
        </w:tc>
        <w:tc>
          <w:tcPr>
            <w:tcW w:w="1134" w:type="dxa"/>
          </w:tcPr>
          <w:p w14:paraId="184297B3" w14:textId="77777777" w:rsidR="00F64EAA" w:rsidRDefault="00F64EAA" w:rsidP="00650385">
            <w:pPr>
              <w:pStyle w:val="Tabletext0"/>
            </w:pPr>
            <w:r>
              <w:t>45</w:t>
            </w:r>
          </w:p>
        </w:tc>
        <w:tc>
          <w:tcPr>
            <w:tcW w:w="1134" w:type="dxa"/>
          </w:tcPr>
          <w:p w14:paraId="4DC27476" w14:textId="77777777" w:rsidR="00F64EAA" w:rsidRDefault="00F64EAA" w:rsidP="00650385">
            <w:pPr>
              <w:pStyle w:val="Tabletext0"/>
            </w:pPr>
            <w:r>
              <w:t>++++</w:t>
            </w:r>
          </w:p>
        </w:tc>
        <w:tc>
          <w:tcPr>
            <w:tcW w:w="1134" w:type="dxa"/>
          </w:tcPr>
          <w:p w14:paraId="37FAA2D1" w14:textId="77777777" w:rsidR="00F64EAA" w:rsidRDefault="00F64EAA" w:rsidP="00650385">
            <w:pPr>
              <w:pStyle w:val="Tabletext0"/>
            </w:pPr>
            <w:r>
              <w:t>++++</w:t>
            </w:r>
          </w:p>
        </w:tc>
        <w:tc>
          <w:tcPr>
            <w:tcW w:w="851" w:type="dxa"/>
          </w:tcPr>
          <w:p w14:paraId="2544FE80" w14:textId="77777777" w:rsidR="00F64EAA" w:rsidRDefault="00F64EAA" w:rsidP="00650385">
            <w:pPr>
              <w:pStyle w:val="Tabletext0"/>
            </w:pPr>
            <w:r>
              <w:t>++++</w:t>
            </w:r>
          </w:p>
        </w:tc>
        <w:tc>
          <w:tcPr>
            <w:tcW w:w="850" w:type="dxa"/>
          </w:tcPr>
          <w:p w14:paraId="62E42E6B" w14:textId="77777777" w:rsidR="00F64EAA" w:rsidRDefault="00F64EAA" w:rsidP="00650385">
            <w:pPr>
              <w:pStyle w:val="Tabletext0"/>
            </w:pPr>
            <w:r>
              <w:t>++++</w:t>
            </w:r>
          </w:p>
        </w:tc>
        <w:tc>
          <w:tcPr>
            <w:tcW w:w="1418" w:type="dxa"/>
          </w:tcPr>
          <w:p w14:paraId="66D5A85E" w14:textId="77777777" w:rsidR="00F64EAA" w:rsidRDefault="00F64EAA" w:rsidP="00650385">
            <w:pPr>
              <w:pStyle w:val="Tabletext0"/>
            </w:pPr>
            <w:r>
              <w:t>++++</w:t>
            </w:r>
          </w:p>
        </w:tc>
        <w:tc>
          <w:tcPr>
            <w:tcW w:w="3544" w:type="dxa"/>
          </w:tcPr>
          <w:p w14:paraId="2DA914C3" w14:textId="3E154677" w:rsidR="00F64EAA" w:rsidRDefault="00F64EAA" w:rsidP="00650385">
            <w:pPr>
              <w:pStyle w:val="Tabletext0"/>
            </w:pPr>
            <w:r>
              <w:t xml:space="preserve">Likely to be replaced by </w:t>
            </w:r>
            <w:r w:rsidR="00AD442B">
              <w:t>‘</w:t>
            </w:r>
            <w:proofErr w:type="spellStart"/>
            <w:r w:rsidRPr="001E57FA">
              <w:t>Xpert</w:t>
            </w:r>
            <w:proofErr w:type="spellEnd"/>
            <w:r w:rsidRPr="001E57FA">
              <w:t xml:space="preserve"> Xpress SARS-CoV-2/Flu/RSV</w:t>
            </w:r>
            <w:r>
              <w:t xml:space="preserve"> </w:t>
            </w:r>
            <w:proofErr w:type="spellStart"/>
            <w:r>
              <w:t>plus</w:t>
            </w:r>
            <w:r w:rsidR="00AD442B">
              <w:t>’</w:t>
            </w:r>
            <w:proofErr w:type="spellEnd"/>
            <w:r w:rsidR="00AD442B">
              <w:t xml:space="preserve"> (additional SARS-CoV-2 target for specificity) </w:t>
            </w:r>
            <w:r>
              <w:t>but no users identified yet</w:t>
            </w:r>
          </w:p>
        </w:tc>
      </w:tr>
      <w:tr w:rsidR="003623C3" w14:paraId="629E6099" w14:textId="77777777" w:rsidTr="001D278E">
        <w:tc>
          <w:tcPr>
            <w:tcW w:w="1838" w:type="dxa"/>
          </w:tcPr>
          <w:p w14:paraId="4EF6E188" w14:textId="77777777" w:rsidR="00F64EAA" w:rsidRDefault="00F64EAA" w:rsidP="00650385">
            <w:pPr>
              <w:pStyle w:val="Tabletext0"/>
            </w:pPr>
            <w:r w:rsidRPr="001E57FA">
              <w:t xml:space="preserve">Roche Diagnostics </w:t>
            </w:r>
            <w:proofErr w:type="spellStart"/>
            <w:r w:rsidRPr="001E57FA">
              <w:t>cobas</w:t>
            </w:r>
            <w:proofErr w:type="spellEnd"/>
            <w:r w:rsidRPr="001E57FA">
              <w:t xml:space="preserve"> LIAT SARS-CoV-2 &amp; Influenza A/B</w:t>
            </w:r>
          </w:p>
        </w:tc>
        <w:tc>
          <w:tcPr>
            <w:tcW w:w="851" w:type="dxa"/>
          </w:tcPr>
          <w:p w14:paraId="70370967" w14:textId="77777777" w:rsidR="00F64EAA" w:rsidRDefault="00F64EAA" w:rsidP="00650385">
            <w:pPr>
              <w:pStyle w:val="Tabletext0"/>
            </w:pPr>
            <w:r>
              <w:t>3</w:t>
            </w:r>
          </w:p>
        </w:tc>
        <w:tc>
          <w:tcPr>
            <w:tcW w:w="1275" w:type="dxa"/>
          </w:tcPr>
          <w:p w14:paraId="0A709CF2" w14:textId="77777777" w:rsidR="00F64EAA" w:rsidRDefault="00F64EAA" w:rsidP="00650385">
            <w:pPr>
              <w:pStyle w:val="Tabletext0"/>
            </w:pPr>
            <w:r>
              <w:t>64</w:t>
            </w:r>
          </w:p>
        </w:tc>
        <w:tc>
          <w:tcPr>
            <w:tcW w:w="1134" w:type="dxa"/>
          </w:tcPr>
          <w:p w14:paraId="1D41B261" w14:textId="77777777" w:rsidR="00F64EAA" w:rsidRDefault="00F64EAA" w:rsidP="00650385">
            <w:pPr>
              <w:pStyle w:val="Tabletext0"/>
            </w:pPr>
            <w:r>
              <w:t>20</w:t>
            </w:r>
          </w:p>
        </w:tc>
        <w:tc>
          <w:tcPr>
            <w:tcW w:w="1134" w:type="dxa"/>
          </w:tcPr>
          <w:p w14:paraId="7C64EB22" w14:textId="77777777" w:rsidR="00F64EAA" w:rsidRDefault="00F64EAA" w:rsidP="00650385">
            <w:pPr>
              <w:pStyle w:val="Tabletext0"/>
            </w:pPr>
            <w:r>
              <w:t>++++</w:t>
            </w:r>
          </w:p>
        </w:tc>
        <w:tc>
          <w:tcPr>
            <w:tcW w:w="1134" w:type="dxa"/>
          </w:tcPr>
          <w:p w14:paraId="469D6486" w14:textId="77777777" w:rsidR="00F64EAA" w:rsidRDefault="00F64EAA" w:rsidP="00650385">
            <w:pPr>
              <w:pStyle w:val="Tabletext0"/>
            </w:pPr>
            <w:r>
              <w:t>++++</w:t>
            </w:r>
          </w:p>
        </w:tc>
        <w:tc>
          <w:tcPr>
            <w:tcW w:w="851" w:type="dxa"/>
          </w:tcPr>
          <w:p w14:paraId="1F26352F" w14:textId="77777777" w:rsidR="00F64EAA" w:rsidRDefault="00F64EAA" w:rsidP="00650385">
            <w:pPr>
              <w:pStyle w:val="Tabletext0"/>
            </w:pPr>
            <w:r>
              <w:t>++++</w:t>
            </w:r>
          </w:p>
        </w:tc>
        <w:tc>
          <w:tcPr>
            <w:tcW w:w="850" w:type="dxa"/>
          </w:tcPr>
          <w:p w14:paraId="17D31103" w14:textId="77777777" w:rsidR="00F64EAA" w:rsidRDefault="00F64EAA" w:rsidP="00650385">
            <w:pPr>
              <w:pStyle w:val="Tabletext0"/>
            </w:pPr>
            <w:r>
              <w:t>++++</w:t>
            </w:r>
          </w:p>
        </w:tc>
        <w:tc>
          <w:tcPr>
            <w:tcW w:w="1418" w:type="dxa"/>
          </w:tcPr>
          <w:p w14:paraId="174057C4" w14:textId="77777777" w:rsidR="00F64EAA" w:rsidRDefault="00F64EAA" w:rsidP="00650385">
            <w:pPr>
              <w:pStyle w:val="Tabletext0"/>
            </w:pPr>
            <w:r>
              <w:t>++++</w:t>
            </w:r>
          </w:p>
        </w:tc>
        <w:tc>
          <w:tcPr>
            <w:tcW w:w="3544" w:type="dxa"/>
          </w:tcPr>
          <w:p w14:paraId="1A73AC1C" w14:textId="77777777" w:rsidR="00F64EAA" w:rsidRDefault="00F64EAA" w:rsidP="00650385">
            <w:pPr>
              <w:pStyle w:val="Tabletext0"/>
            </w:pPr>
          </w:p>
        </w:tc>
      </w:tr>
      <w:tr w:rsidR="003623C3" w14:paraId="04C90B2C" w14:textId="77777777" w:rsidTr="001D278E">
        <w:tc>
          <w:tcPr>
            <w:tcW w:w="1838" w:type="dxa"/>
          </w:tcPr>
          <w:p w14:paraId="4346FBBE" w14:textId="6AE4E3CC" w:rsidR="00F64EAA" w:rsidRDefault="00F64EAA">
            <w:pPr>
              <w:pStyle w:val="Tabletext0"/>
            </w:pPr>
            <w:r w:rsidRPr="001E57FA">
              <w:t>Roche</w:t>
            </w:r>
            <w:r>
              <w:t xml:space="preserve"> </w:t>
            </w:r>
            <w:r w:rsidRPr="001E57FA">
              <w:t xml:space="preserve">Diagnostics </w:t>
            </w:r>
            <w:proofErr w:type="spellStart"/>
            <w:r w:rsidRPr="001E57FA">
              <w:t>cobas</w:t>
            </w:r>
            <w:proofErr w:type="spellEnd"/>
            <w:r w:rsidRPr="001E57FA">
              <w:t xml:space="preserve"> SARS-CoV-2</w:t>
            </w:r>
          </w:p>
        </w:tc>
        <w:tc>
          <w:tcPr>
            <w:tcW w:w="851" w:type="dxa"/>
          </w:tcPr>
          <w:p w14:paraId="15347115" w14:textId="77777777" w:rsidR="00F64EAA" w:rsidRDefault="00F64EAA" w:rsidP="00650385">
            <w:pPr>
              <w:pStyle w:val="Tabletext0"/>
            </w:pPr>
            <w:r>
              <w:t>1</w:t>
            </w:r>
          </w:p>
        </w:tc>
        <w:tc>
          <w:tcPr>
            <w:tcW w:w="1275" w:type="dxa"/>
          </w:tcPr>
          <w:p w14:paraId="17E2E9EE" w14:textId="77777777" w:rsidR="00F64EAA" w:rsidRDefault="00F64EAA" w:rsidP="00650385">
            <w:pPr>
              <w:pStyle w:val="Tabletext0"/>
            </w:pPr>
            <w:r>
              <w:t>25</w:t>
            </w:r>
          </w:p>
        </w:tc>
        <w:tc>
          <w:tcPr>
            <w:tcW w:w="1134" w:type="dxa"/>
          </w:tcPr>
          <w:p w14:paraId="773504E2" w14:textId="77777777" w:rsidR="00F64EAA" w:rsidRDefault="00F64EAA" w:rsidP="00650385">
            <w:pPr>
              <w:pStyle w:val="Tabletext0"/>
            </w:pPr>
            <w:r>
              <w:t>20</w:t>
            </w:r>
          </w:p>
        </w:tc>
        <w:tc>
          <w:tcPr>
            <w:tcW w:w="1134" w:type="dxa"/>
          </w:tcPr>
          <w:p w14:paraId="48093F7F" w14:textId="77777777" w:rsidR="00F64EAA" w:rsidRDefault="00F64EAA" w:rsidP="00650385">
            <w:pPr>
              <w:pStyle w:val="Tabletext0"/>
            </w:pPr>
            <w:r>
              <w:t>++++</w:t>
            </w:r>
          </w:p>
        </w:tc>
        <w:tc>
          <w:tcPr>
            <w:tcW w:w="1134" w:type="dxa"/>
          </w:tcPr>
          <w:p w14:paraId="25D5CC78" w14:textId="77777777" w:rsidR="00F64EAA" w:rsidRDefault="00F64EAA" w:rsidP="00650385">
            <w:pPr>
              <w:pStyle w:val="Tabletext0"/>
            </w:pPr>
            <w:r>
              <w:t>++++</w:t>
            </w:r>
          </w:p>
        </w:tc>
        <w:tc>
          <w:tcPr>
            <w:tcW w:w="851" w:type="dxa"/>
          </w:tcPr>
          <w:p w14:paraId="1611EF90" w14:textId="77777777" w:rsidR="00F64EAA" w:rsidRDefault="00F64EAA" w:rsidP="00650385">
            <w:pPr>
              <w:pStyle w:val="Tabletext0"/>
            </w:pPr>
            <w:r>
              <w:t>++++</w:t>
            </w:r>
          </w:p>
        </w:tc>
        <w:tc>
          <w:tcPr>
            <w:tcW w:w="850" w:type="dxa"/>
          </w:tcPr>
          <w:p w14:paraId="4920243B" w14:textId="77777777" w:rsidR="00F64EAA" w:rsidRDefault="00F64EAA" w:rsidP="00650385">
            <w:pPr>
              <w:pStyle w:val="Tabletext0"/>
            </w:pPr>
            <w:r>
              <w:t>++++</w:t>
            </w:r>
          </w:p>
        </w:tc>
        <w:tc>
          <w:tcPr>
            <w:tcW w:w="1418" w:type="dxa"/>
          </w:tcPr>
          <w:p w14:paraId="711AB8C2" w14:textId="77777777" w:rsidR="00F64EAA" w:rsidRDefault="00F64EAA" w:rsidP="00650385">
            <w:pPr>
              <w:pStyle w:val="Tabletext0"/>
            </w:pPr>
            <w:r>
              <w:t>++++</w:t>
            </w:r>
          </w:p>
        </w:tc>
        <w:tc>
          <w:tcPr>
            <w:tcW w:w="3544" w:type="dxa"/>
          </w:tcPr>
          <w:p w14:paraId="292ED5B3" w14:textId="0A630070" w:rsidR="00F64EAA" w:rsidRDefault="00AD442B" w:rsidP="00650385">
            <w:pPr>
              <w:pStyle w:val="Tabletext0"/>
            </w:pPr>
            <w:r>
              <w:t xml:space="preserve">Australian laboratories are shifting away from single SARS-CoV-2 to </w:t>
            </w:r>
            <w:proofErr w:type="spellStart"/>
            <w:r>
              <w:t>multipathogen</w:t>
            </w:r>
            <w:proofErr w:type="spellEnd"/>
            <w:r>
              <w:t xml:space="preserve"> assay in hospital laboratories</w:t>
            </w:r>
          </w:p>
        </w:tc>
      </w:tr>
      <w:tr w:rsidR="003623C3" w14:paraId="72FB9001" w14:textId="77777777" w:rsidTr="001D278E">
        <w:tc>
          <w:tcPr>
            <w:tcW w:w="1838" w:type="dxa"/>
          </w:tcPr>
          <w:p w14:paraId="33A8721E" w14:textId="6A040590" w:rsidR="00F64EAA" w:rsidRDefault="00F64EAA">
            <w:pPr>
              <w:pStyle w:val="Tabletext0"/>
            </w:pPr>
            <w:r w:rsidRPr="001E57FA">
              <w:t xml:space="preserve">Qiagen </w:t>
            </w:r>
            <w:proofErr w:type="spellStart"/>
            <w:r w:rsidRPr="001E57FA">
              <w:t>QIAstat</w:t>
            </w:r>
            <w:proofErr w:type="spellEnd"/>
            <w:r w:rsidRPr="001E57FA">
              <w:t>-Dx Respiratory SARS-COV-2 Panel</w:t>
            </w:r>
          </w:p>
        </w:tc>
        <w:tc>
          <w:tcPr>
            <w:tcW w:w="851" w:type="dxa"/>
          </w:tcPr>
          <w:p w14:paraId="602EA9A3" w14:textId="77777777" w:rsidR="00F64EAA" w:rsidRDefault="00F64EAA" w:rsidP="00650385">
            <w:pPr>
              <w:pStyle w:val="Tabletext0"/>
            </w:pPr>
            <w:r>
              <w:t>22</w:t>
            </w:r>
          </w:p>
        </w:tc>
        <w:tc>
          <w:tcPr>
            <w:tcW w:w="1275" w:type="dxa"/>
          </w:tcPr>
          <w:p w14:paraId="792EA9A7" w14:textId="77777777" w:rsidR="00F64EAA" w:rsidRDefault="00F64EAA" w:rsidP="00650385">
            <w:pPr>
              <w:pStyle w:val="Tabletext0"/>
            </w:pPr>
            <w:r>
              <w:t>24</w:t>
            </w:r>
          </w:p>
        </w:tc>
        <w:tc>
          <w:tcPr>
            <w:tcW w:w="1134" w:type="dxa"/>
          </w:tcPr>
          <w:p w14:paraId="0E2F6AE6" w14:textId="77777777" w:rsidR="00F64EAA" w:rsidRDefault="00F64EAA" w:rsidP="00650385">
            <w:pPr>
              <w:pStyle w:val="Tabletext0"/>
            </w:pPr>
            <w:r>
              <w:t>60</w:t>
            </w:r>
          </w:p>
        </w:tc>
        <w:tc>
          <w:tcPr>
            <w:tcW w:w="1134" w:type="dxa"/>
          </w:tcPr>
          <w:p w14:paraId="4C24BD84" w14:textId="6008ED57" w:rsidR="00F64EAA" w:rsidRDefault="00F64EAA" w:rsidP="00650385">
            <w:pPr>
              <w:pStyle w:val="Tabletext0"/>
            </w:pPr>
            <w:r>
              <w:t>+++</w:t>
            </w:r>
          </w:p>
        </w:tc>
        <w:tc>
          <w:tcPr>
            <w:tcW w:w="1134" w:type="dxa"/>
          </w:tcPr>
          <w:p w14:paraId="38874121" w14:textId="77777777" w:rsidR="00F64EAA" w:rsidRDefault="00F64EAA" w:rsidP="00650385">
            <w:pPr>
              <w:pStyle w:val="Tabletext0"/>
            </w:pPr>
            <w:r>
              <w:t>++++</w:t>
            </w:r>
          </w:p>
        </w:tc>
        <w:tc>
          <w:tcPr>
            <w:tcW w:w="851" w:type="dxa"/>
          </w:tcPr>
          <w:p w14:paraId="37DA501A" w14:textId="77777777" w:rsidR="00F64EAA" w:rsidRDefault="00F64EAA" w:rsidP="00650385">
            <w:pPr>
              <w:pStyle w:val="Tabletext0"/>
            </w:pPr>
            <w:r>
              <w:t>++++</w:t>
            </w:r>
          </w:p>
        </w:tc>
        <w:tc>
          <w:tcPr>
            <w:tcW w:w="850" w:type="dxa"/>
          </w:tcPr>
          <w:p w14:paraId="4D3FC95D" w14:textId="77777777" w:rsidR="00F64EAA" w:rsidRDefault="00F64EAA" w:rsidP="00650385">
            <w:pPr>
              <w:pStyle w:val="Tabletext0"/>
            </w:pPr>
            <w:r>
              <w:t>++++</w:t>
            </w:r>
          </w:p>
        </w:tc>
        <w:tc>
          <w:tcPr>
            <w:tcW w:w="1418" w:type="dxa"/>
          </w:tcPr>
          <w:p w14:paraId="231CDF69" w14:textId="77777777" w:rsidR="00F64EAA" w:rsidRDefault="00F64EAA" w:rsidP="00650385">
            <w:pPr>
              <w:pStyle w:val="Tabletext0"/>
            </w:pPr>
            <w:r>
              <w:t>+++</w:t>
            </w:r>
          </w:p>
        </w:tc>
        <w:tc>
          <w:tcPr>
            <w:tcW w:w="3544" w:type="dxa"/>
          </w:tcPr>
          <w:p w14:paraId="25B384D4" w14:textId="5181CEEB" w:rsidR="00F64EAA" w:rsidRDefault="00F64EAA" w:rsidP="00650385">
            <w:pPr>
              <w:pStyle w:val="Tabletext0"/>
            </w:pPr>
            <w:r>
              <w:t>Fewer publications</w:t>
            </w:r>
            <w:r w:rsidR="00AD442B">
              <w:t xml:space="preserve"> supporting validity</w:t>
            </w:r>
            <w:r>
              <w:t xml:space="preserve"> than for the assays above</w:t>
            </w:r>
            <w:r w:rsidR="00AD442B">
              <w:t xml:space="preserve">; lower sensitivity than comparable-sized rapid NAATs e.g., </w:t>
            </w:r>
            <w:proofErr w:type="spellStart"/>
            <w:r w:rsidR="00AD442B">
              <w:t>BioFire</w:t>
            </w:r>
            <w:proofErr w:type="spellEnd"/>
            <w:r w:rsidR="00AD442B">
              <w:t xml:space="preserve"> Respiratory Panel 2.1</w:t>
            </w:r>
          </w:p>
        </w:tc>
      </w:tr>
      <w:tr w:rsidR="003623C3" w14:paraId="2109ABF9" w14:textId="77777777" w:rsidTr="001D278E">
        <w:tc>
          <w:tcPr>
            <w:tcW w:w="1838" w:type="dxa"/>
          </w:tcPr>
          <w:p w14:paraId="37D07225" w14:textId="60CD1D91" w:rsidR="00F64EAA" w:rsidRDefault="00F64EAA" w:rsidP="00650385">
            <w:pPr>
              <w:pStyle w:val="Tabletext0"/>
            </w:pPr>
            <w:proofErr w:type="spellStart"/>
            <w:r w:rsidRPr="001E57FA">
              <w:t>bioMerieux</w:t>
            </w:r>
            <w:proofErr w:type="spellEnd"/>
            <w:r w:rsidRPr="001E57FA">
              <w:t xml:space="preserve"> (</w:t>
            </w:r>
            <w:proofErr w:type="spellStart"/>
            <w:r w:rsidR="005C69F4">
              <w:t>BioFire</w:t>
            </w:r>
            <w:proofErr w:type="spellEnd"/>
            <w:r w:rsidRPr="001E57FA">
              <w:t xml:space="preserve">) </w:t>
            </w:r>
            <w:proofErr w:type="spellStart"/>
            <w:r w:rsidRPr="001E57FA">
              <w:t>FilmArray</w:t>
            </w:r>
            <w:proofErr w:type="spellEnd"/>
            <w:r w:rsidRPr="001E57FA">
              <w:t xml:space="preserve"> Respiratory Panel 2.1 with SARS-CoV-2</w:t>
            </w:r>
            <w:r>
              <w:t xml:space="preserve"> </w:t>
            </w:r>
          </w:p>
        </w:tc>
        <w:tc>
          <w:tcPr>
            <w:tcW w:w="851" w:type="dxa"/>
          </w:tcPr>
          <w:p w14:paraId="52B7D1FA" w14:textId="77777777" w:rsidR="00F64EAA" w:rsidRDefault="00F64EAA" w:rsidP="00650385">
            <w:pPr>
              <w:pStyle w:val="Tabletext0"/>
            </w:pPr>
            <w:r>
              <w:t>23</w:t>
            </w:r>
          </w:p>
        </w:tc>
        <w:tc>
          <w:tcPr>
            <w:tcW w:w="1275" w:type="dxa"/>
          </w:tcPr>
          <w:p w14:paraId="70FF4A2B" w14:textId="77777777" w:rsidR="00F64EAA" w:rsidRDefault="00F64EAA" w:rsidP="00650385">
            <w:pPr>
              <w:pStyle w:val="Tabletext0"/>
            </w:pPr>
            <w:r>
              <w:t>9</w:t>
            </w:r>
          </w:p>
        </w:tc>
        <w:tc>
          <w:tcPr>
            <w:tcW w:w="1134" w:type="dxa"/>
          </w:tcPr>
          <w:p w14:paraId="0CCD5879" w14:textId="77777777" w:rsidR="00F64EAA" w:rsidRDefault="00F64EAA" w:rsidP="00650385">
            <w:pPr>
              <w:pStyle w:val="Tabletext0"/>
            </w:pPr>
            <w:r>
              <w:t>45</w:t>
            </w:r>
          </w:p>
        </w:tc>
        <w:tc>
          <w:tcPr>
            <w:tcW w:w="1134" w:type="dxa"/>
          </w:tcPr>
          <w:p w14:paraId="3CC7CF62" w14:textId="77777777" w:rsidR="00F64EAA" w:rsidRDefault="00F64EAA" w:rsidP="00650385">
            <w:pPr>
              <w:pStyle w:val="Tabletext0"/>
            </w:pPr>
            <w:r>
              <w:t>++++</w:t>
            </w:r>
          </w:p>
        </w:tc>
        <w:tc>
          <w:tcPr>
            <w:tcW w:w="1134" w:type="dxa"/>
          </w:tcPr>
          <w:p w14:paraId="586BA9A2" w14:textId="77777777" w:rsidR="00F64EAA" w:rsidRDefault="00F64EAA" w:rsidP="00650385">
            <w:pPr>
              <w:pStyle w:val="Tabletext0"/>
            </w:pPr>
            <w:r>
              <w:t>++++</w:t>
            </w:r>
          </w:p>
        </w:tc>
        <w:tc>
          <w:tcPr>
            <w:tcW w:w="851" w:type="dxa"/>
          </w:tcPr>
          <w:p w14:paraId="35578D2F" w14:textId="77777777" w:rsidR="00F64EAA" w:rsidRDefault="00F64EAA" w:rsidP="00650385">
            <w:pPr>
              <w:pStyle w:val="Tabletext0"/>
            </w:pPr>
            <w:r>
              <w:t>++++</w:t>
            </w:r>
          </w:p>
        </w:tc>
        <w:tc>
          <w:tcPr>
            <w:tcW w:w="850" w:type="dxa"/>
          </w:tcPr>
          <w:p w14:paraId="7AD01C09" w14:textId="77777777" w:rsidR="00F64EAA" w:rsidRDefault="00F64EAA" w:rsidP="00650385">
            <w:pPr>
              <w:pStyle w:val="Tabletext0"/>
            </w:pPr>
            <w:r>
              <w:t>++++</w:t>
            </w:r>
          </w:p>
        </w:tc>
        <w:tc>
          <w:tcPr>
            <w:tcW w:w="1418" w:type="dxa"/>
          </w:tcPr>
          <w:p w14:paraId="1CD08EEA" w14:textId="77777777" w:rsidR="00F64EAA" w:rsidRDefault="00F64EAA" w:rsidP="00650385">
            <w:pPr>
              <w:pStyle w:val="Tabletext0"/>
            </w:pPr>
            <w:r>
              <w:t>++++</w:t>
            </w:r>
          </w:p>
        </w:tc>
        <w:tc>
          <w:tcPr>
            <w:tcW w:w="3544" w:type="dxa"/>
          </w:tcPr>
          <w:p w14:paraId="0807746A" w14:textId="540AB230" w:rsidR="00F64EAA" w:rsidRDefault="00F64EAA" w:rsidP="00650385">
            <w:pPr>
              <w:pStyle w:val="Tabletext0"/>
            </w:pPr>
          </w:p>
        </w:tc>
      </w:tr>
      <w:tr w:rsidR="003623C3" w14:paraId="5EA7490B" w14:textId="77777777" w:rsidTr="001D278E">
        <w:tc>
          <w:tcPr>
            <w:tcW w:w="1838" w:type="dxa"/>
          </w:tcPr>
          <w:p w14:paraId="0B174268" w14:textId="77777777" w:rsidR="00F64EAA" w:rsidRDefault="00F64EAA" w:rsidP="00650385">
            <w:pPr>
              <w:pStyle w:val="Tabletext0"/>
            </w:pPr>
            <w:proofErr w:type="spellStart"/>
            <w:r w:rsidRPr="001E57FA">
              <w:t>DiaSorin</w:t>
            </w:r>
            <w:proofErr w:type="spellEnd"/>
            <w:r w:rsidRPr="001E57FA">
              <w:t xml:space="preserve"> Molecular </w:t>
            </w:r>
            <w:proofErr w:type="spellStart"/>
            <w:r w:rsidRPr="001E57FA">
              <w:t>Simplexa</w:t>
            </w:r>
            <w:proofErr w:type="spellEnd"/>
            <w:r w:rsidRPr="001E57FA">
              <w:t xml:space="preserve"> COVID-19 Direct Assay Kit</w:t>
            </w:r>
            <w:r>
              <w:t xml:space="preserve"> </w:t>
            </w:r>
          </w:p>
        </w:tc>
        <w:tc>
          <w:tcPr>
            <w:tcW w:w="851" w:type="dxa"/>
          </w:tcPr>
          <w:p w14:paraId="165B462F" w14:textId="77777777" w:rsidR="00F64EAA" w:rsidRDefault="00F64EAA" w:rsidP="00650385">
            <w:pPr>
              <w:pStyle w:val="Tabletext0"/>
            </w:pPr>
            <w:r>
              <w:t>1</w:t>
            </w:r>
          </w:p>
        </w:tc>
        <w:tc>
          <w:tcPr>
            <w:tcW w:w="1275" w:type="dxa"/>
          </w:tcPr>
          <w:p w14:paraId="46A0279B" w14:textId="77777777" w:rsidR="00F64EAA" w:rsidRDefault="00F64EAA" w:rsidP="00650385">
            <w:pPr>
              <w:pStyle w:val="Tabletext0"/>
            </w:pPr>
            <w:r>
              <w:t>3</w:t>
            </w:r>
          </w:p>
        </w:tc>
        <w:tc>
          <w:tcPr>
            <w:tcW w:w="1134" w:type="dxa"/>
          </w:tcPr>
          <w:p w14:paraId="091C376F" w14:textId="77777777" w:rsidR="00F64EAA" w:rsidRDefault="00F64EAA" w:rsidP="00650385">
            <w:pPr>
              <w:pStyle w:val="Tabletext0"/>
            </w:pPr>
            <w:r>
              <w:t>90</w:t>
            </w:r>
          </w:p>
        </w:tc>
        <w:tc>
          <w:tcPr>
            <w:tcW w:w="1134" w:type="dxa"/>
          </w:tcPr>
          <w:p w14:paraId="1A8753CD" w14:textId="7CBE94B0" w:rsidR="00F64EAA" w:rsidRDefault="00D41EFF" w:rsidP="00650385">
            <w:pPr>
              <w:pStyle w:val="Tabletext0"/>
            </w:pPr>
            <w:r>
              <w:t>++/</w:t>
            </w:r>
            <w:r w:rsidR="00F64EAA">
              <w:t>+++</w:t>
            </w:r>
          </w:p>
        </w:tc>
        <w:tc>
          <w:tcPr>
            <w:tcW w:w="1134" w:type="dxa"/>
          </w:tcPr>
          <w:p w14:paraId="54A694F8" w14:textId="77777777" w:rsidR="00F64EAA" w:rsidRDefault="00F64EAA" w:rsidP="00650385">
            <w:pPr>
              <w:pStyle w:val="Tabletext0"/>
            </w:pPr>
            <w:r>
              <w:t>++/+++</w:t>
            </w:r>
          </w:p>
        </w:tc>
        <w:tc>
          <w:tcPr>
            <w:tcW w:w="851" w:type="dxa"/>
          </w:tcPr>
          <w:p w14:paraId="15ADE276" w14:textId="77777777" w:rsidR="00F64EAA" w:rsidRDefault="00F64EAA" w:rsidP="00650385">
            <w:pPr>
              <w:pStyle w:val="Tabletext0"/>
            </w:pPr>
            <w:r>
              <w:t>+++</w:t>
            </w:r>
          </w:p>
        </w:tc>
        <w:tc>
          <w:tcPr>
            <w:tcW w:w="850" w:type="dxa"/>
          </w:tcPr>
          <w:p w14:paraId="4AD57FB7" w14:textId="77777777" w:rsidR="00F64EAA" w:rsidRDefault="00F64EAA" w:rsidP="00650385">
            <w:pPr>
              <w:pStyle w:val="Tabletext0"/>
            </w:pPr>
            <w:r>
              <w:t>-</w:t>
            </w:r>
          </w:p>
        </w:tc>
        <w:tc>
          <w:tcPr>
            <w:tcW w:w="1418" w:type="dxa"/>
          </w:tcPr>
          <w:p w14:paraId="7B9167D1" w14:textId="77777777" w:rsidR="00F64EAA" w:rsidRDefault="00F64EAA" w:rsidP="00650385">
            <w:pPr>
              <w:pStyle w:val="Tabletext0"/>
            </w:pPr>
            <w:r>
              <w:t>-</w:t>
            </w:r>
          </w:p>
        </w:tc>
        <w:tc>
          <w:tcPr>
            <w:tcW w:w="3544" w:type="dxa"/>
          </w:tcPr>
          <w:p w14:paraId="466F8298" w14:textId="5AC6B9EF" w:rsidR="00F64EAA" w:rsidRDefault="00F64EAA" w:rsidP="00650385">
            <w:pPr>
              <w:pStyle w:val="Tabletext0"/>
            </w:pPr>
            <w:r>
              <w:t>Very few studies, no PPA, NPA reported</w:t>
            </w:r>
            <w:r w:rsidR="002F4CC6">
              <w:t xml:space="preserve">. </w:t>
            </w:r>
            <w:r>
              <w:t>False negative rates reported of 11.9%-16.7%</w:t>
            </w:r>
          </w:p>
          <w:p w14:paraId="0B009DC5" w14:textId="77777777" w:rsidR="00F64EAA" w:rsidRDefault="00F64EAA" w:rsidP="00650385">
            <w:pPr>
              <w:pStyle w:val="Tabletext0"/>
            </w:pPr>
            <w:r>
              <w:t>Low quality studies</w:t>
            </w:r>
          </w:p>
          <w:p w14:paraId="3EF1D5E3" w14:textId="6F6E437C" w:rsidR="002F4CC6" w:rsidRDefault="002F4CC6" w:rsidP="00650385">
            <w:pPr>
              <w:pStyle w:val="Tabletext0"/>
            </w:pPr>
            <w:r>
              <w:t>Withdrawn from WHO EUL list 2023.</w:t>
            </w:r>
          </w:p>
        </w:tc>
      </w:tr>
      <w:tr w:rsidR="003623C3" w:rsidRPr="006B2359" w14:paraId="526B18C2" w14:textId="77777777" w:rsidTr="001D278E">
        <w:tc>
          <w:tcPr>
            <w:tcW w:w="1838" w:type="dxa"/>
          </w:tcPr>
          <w:p w14:paraId="52AA1432" w14:textId="77777777" w:rsidR="00F64EAA" w:rsidRPr="00D4026C" w:rsidRDefault="00F64EAA" w:rsidP="00650385">
            <w:pPr>
              <w:pStyle w:val="Tabletext0"/>
            </w:pPr>
            <w:r w:rsidRPr="00D4026C">
              <w:t xml:space="preserve">BGI Real-time fluorescent RT-PCR </w:t>
            </w:r>
            <w:r w:rsidRPr="00D4026C">
              <w:lastRenderedPageBreak/>
              <w:t xml:space="preserve">Kit for detecting 2019-nCoV </w:t>
            </w:r>
          </w:p>
        </w:tc>
        <w:tc>
          <w:tcPr>
            <w:tcW w:w="851" w:type="dxa"/>
          </w:tcPr>
          <w:p w14:paraId="61D59CE7" w14:textId="77777777" w:rsidR="00F64EAA" w:rsidRPr="00D4026C" w:rsidRDefault="00F64EAA" w:rsidP="00650385">
            <w:pPr>
              <w:pStyle w:val="Tabletext0"/>
            </w:pPr>
            <w:r>
              <w:lastRenderedPageBreak/>
              <w:t>1</w:t>
            </w:r>
          </w:p>
        </w:tc>
        <w:tc>
          <w:tcPr>
            <w:tcW w:w="1275" w:type="dxa"/>
          </w:tcPr>
          <w:p w14:paraId="5AF1227B" w14:textId="77777777" w:rsidR="00F64EAA" w:rsidRPr="00D4026C" w:rsidRDefault="00F64EAA" w:rsidP="00650385">
            <w:pPr>
              <w:pStyle w:val="Tabletext0"/>
            </w:pPr>
            <w:r w:rsidRPr="00D4026C">
              <w:t>2</w:t>
            </w:r>
          </w:p>
        </w:tc>
        <w:tc>
          <w:tcPr>
            <w:tcW w:w="1134" w:type="dxa"/>
          </w:tcPr>
          <w:p w14:paraId="6FC4BD58" w14:textId="77777777" w:rsidR="00F64EAA" w:rsidRPr="00D4026C" w:rsidRDefault="00F64EAA" w:rsidP="00650385">
            <w:pPr>
              <w:pStyle w:val="Tabletext0"/>
            </w:pPr>
            <w:r w:rsidRPr="00D4026C">
              <w:t>90</w:t>
            </w:r>
          </w:p>
        </w:tc>
        <w:tc>
          <w:tcPr>
            <w:tcW w:w="1134" w:type="dxa"/>
          </w:tcPr>
          <w:p w14:paraId="69A0D20D" w14:textId="77777777" w:rsidR="00F64EAA" w:rsidRPr="00D4026C" w:rsidRDefault="00F64EAA" w:rsidP="00650385">
            <w:pPr>
              <w:pStyle w:val="Tabletext0"/>
            </w:pPr>
            <w:r w:rsidRPr="00D4026C">
              <w:t>?</w:t>
            </w:r>
          </w:p>
        </w:tc>
        <w:tc>
          <w:tcPr>
            <w:tcW w:w="1134" w:type="dxa"/>
          </w:tcPr>
          <w:p w14:paraId="59A72AF1" w14:textId="77777777" w:rsidR="00F64EAA" w:rsidRPr="00D4026C" w:rsidRDefault="00F64EAA" w:rsidP="00650385">
            <w:pPr>
              <w:pStyle w:val="Tabletext0"/>
            </w:pPr>
            <w:r w:rsidRPr="00D4026C">
              <w:t>?</w:t>
            </w:r>
          </w:p>
        </w:tc>
        <w:tc>
          <w:tcPr>
            <w:tcW w:w="851" w:type="dxa"/>
          </w:tcPr>
          <w:p w14:paraId="7D2740CE" w14:textId="77777777" w:rsidR="00F64EAA" w:rsidRPr="00D4026C" w:rsidRDefault="00F64EAA" w:rsidP="00650385">
            <w:pPr>
              <w:pStyle w:val="Tabletext0"/>
            </w:pPr>
            <w:r>
              <w:t>?</w:t>
            </w:r>
          </w:p>
        </w:tc>
        <w:tc>
          <w:tcPr>
            <w:tcW w:w="850" w:type="dxa"/>
          </w:tcPr>
          <w:p w14:paraId="65EE1632" w14:textId="77777777" w:rsidR="00F64EAA" w:rsidRPr="00D4026C" w:rsidRDefault="00F64EAA" w:rsidP="00650385">
            <w:pPr>
              <w:pStyle w:val="Tabletext0"/>
            </w:pPr>
            <w:r>
              <w:t>?</w:t>
            </w:r>
          </w:p>
        </w:tc>
        <w:tc>
          <w:tcPr>
            <w:tcW w:w="1418" w:type="dxa"/>
          </w:tcPr>
          <w:p w14:paraId="79D663A3" w14:textId="77777777" w:rsidR="00F64EAA" w:rsidRPr="00D4026C" w:rsidRDefault="00F64EAA" w:rsidP="00650385">
            <w:pPr>
              <w:pStyle w:val="Tabletext0"/>
            </w:pPr>
            <w:r>
              <w:t>-</w:t>
            </w:r>
          </w:p>
        </w:tc>
        <w:tc>
          <w:tcPr>
            <w:tcW w:w="3544" w:type="dxa"/>
          </w:tcPr>
          <w:p w14:paraId="30B95E80" w14:textId="77777777" w:rsidR="00F64EAA" w:rsidRPr="00D4026C" w:rsidRDefault="00F64EAA" w:rsidP="00650385">
            <w:pPr>
              <w:pStyle w:val="Tabletext0"/>
            </w:pPr>
            <w:r>
              <w:t>No validation studies identified.</w:t>
            </w:r>
          </w:p>
        </w:tc>
      </w:tr>
      <w:tr w:rsidR="003623C3" w:rsidRPr="006B2359" w14:paraId="395CA417" w14:textId="77777777" w:rsidTr="001D278E">
        <w:tc>
          <w:tcPr>
            <w:tcW w:w="1838" w:type="dxa"/>
          </w:tcPr>
          <w:p w14:paraId="71A1B685" w14:textId="77777777" w:rsidR="00F64EAA" w:rsidRPr="00D4026C" w:rsidRDefault="00F64EAA" w:rsidP="00650385">
            <w:pPr>
              <w:pStyle w:val="Tabletext0"/>
            </w:pPr>
            <w:r w:rsidRPr="00D4026C">
              <w:t xml:space="preserve">BGI Real-time fluorescent RT-PCR Kit for detecting SARS-CoV-2 </w:t>
            </w:r>
          </w:p>
        </w:tc>
        <w:tc>
          <w:tcPr>
            <w:tcW w:w="851" w:type="dxa"/>
          </w:tcPr>
          <w:p w14:paraId="63E409AB" w14:textId="77777777" w:rsidR="00F64EAA" w:rsidRPr="00D4026C" w:rsidRDefault="00F64EAA" w:rsidP="00650385">
            <w:pPr>
              <w:pStyle w:val="Tabletext0"/>
            </w:pPr>
            <w:r>
              <w:t>1</w:t>
            </w:r>
          </w:p>
        </w:tc>
        <w:tc>
          <w:tcPr>
            <w:tcW w:w="1275" w:type="dxa"/>
          </w:tcPr>
          <w:p w14:paraId="3E53E0FA" w14:textId="77777777" w:rsidR="00F64EAA" w:rsidRPr="00D4026C" w:rsidRDefault="00F64EAA" w:rsidP="00650385">
            <w:pPr>
              <w:pStyle w:val="Tabletext0"/>
            </w:pPr>
            <w:r w:rsidRPr="00D4026C">
              <w:t>2</w:t>
            </w:r>
          </w:p>
        </w:tc>
        <w:tc>
          <w:tcPr>
            <w:tcW w:w="1134" w:type="dxa"/>
          </w:tcPr>
          <w:p w14:paraId="32EABA54" w14:textId="77777777" w:rsidR="00F64EAA" w:rsidRPr="00D4026C" w:rsidRDefault="00F64EAA" w:rsidP="00650385">
            <w:pPr>
              <w:pStyle w:val="Tabletext0"/>
            </w:pPr>
            <w:r w:rsidRPr="00D4026C">
              <w:t>90</w:t>
            </w:r>
          </w:p>
        </w:tc>
        <w:tc>
          <w:tcPr>
            <w:tcW w:w="1134" w:type="dxa"/>
          </w:tcPr>
          <w:p w14:paraId="71FAE461" w14:textId="77777777" w:rsidR="00F64EAA" w:rsidRPr="00D4026C" w:rsidRDefault="00F64EAA" w:rsidP="00650385">
            <w:pPr>
              <w:pStyle w:val="Tabletext0"/>
            </w:pPr>
            <w:r w:rsidRPr="00D4026C">
              <w:t>?</w:t>
            </w:r>
          </w:p>
        </w:tc>
        <w:tc>
          <w:tcPr>
            <w:tcW w:w="1134" w:type="dxa"/>
          </w:tcPr>
          <w:p w14:paraId="41186276" w14:textId="77777777" w:rsidR="00F64EAA" w:rsidRPr="00D4026C" w:rsidRDefault="00F64EAA" w:rsidP="00650385">
            <w:pPr>
              <w:pStyle w:val="Tabletext0"/>
            </w:pPr>
            <w:r w:rsidRPr="00D4026C">
              <w:t>?</w:t>
            </w:r>
          </w:p>
        </w:tc>
        <w:tc>
          <w:tcPr>
            <w:tcW w:w="851" w:type="dxa"/>
          </w:tcPr>
          <w:p w14:paraId="5F862135" w14:textId="77777777" w:rsidR="00F64EAA" w:rsidRPr="00D4026C" w:rsidRDefault="00F64EAA" w:rsidP="00650385">
            <w:pPr>
              <w:pStyle w:val="Tabletext0"/>
            </w:pPr>
            <w:r>
              <w:t>?</w:t>
            </w:r>
          </w:p>
        </w:tc>
        <w:tc>
          <w:tcPr>
            <w:tcW w:w="850" w:type="dxa"/>
          </w:tcPr>
          <w:p w14:paraId="37B4CE03" w14:textId="77777777" w:rsidR="00F64EAA" w:rsidRPr="00D4026C" w:rsidRDefault="00F64EAA" w:rsidP="00650385">
            <w:pPr>
              <w:pStyle w:val="Tabletext0"/>
            </w:pPr>
            <w:r>
              <w:t>?</w:t>
            </w:r>
          </w:p>
        </w:tc>
        <w:tc>
          <w:tcPr>
            <w:tcW w:w="1418" w:type="dxa"/>
          </w:tcPr>
          <w:p w14:paraId="2E50282D" w14:textId="77777777" w:rsidR="00F64EAA" w:rsidRPr="00D4026C" w:rsidRDefault="00F64EAA" w:rsidP="00650385">
            <w:pPr>
              <w:pStyle w:val="Tabletext0"/>
            </w:pPr>
            <w:r>
              <w:t>-</w:t>
            </w:r>
          </w:p>
        </w:tc>
        <w:tc>
          <w:tcPr>
            <w:tcW w:w="3544" w:type="dxa"/>
          </w:tcPr>
          <w:p w14:paraId="54220D14" w14:textId="77777777" w:rsidR="00F64EAA" w:rsidRPr="00D4026C" w:rsidRDefault="00F64EAA" w:rsidP="00650385">
            <w:pPr>
              <w:pStyle w:val="Tabletext0"/>
            </w:pPr>
            <w:r>
              <w:t>No validation studies identified.</w:t>
            </w:r>
          </w:p>
        </w:tc>
      </w:tr>
      <w:tr w:rsidR="003623C3" w:rsidRPr="006B2359" w14:paraId="4EB155C4" w14:textId="77777777" w:rsidTr="001D278E">
        <w:tc>
          <w:tcPr>
            <w:tcW w:w="1838" w:type="dxa"/>
          </w:tcPr>
          <w:p w14:paraId="320FC872" w14:textId="77777777" w:rsidR="00F64EAA" w:rsidRPr="00D4026C" w:rsidRDefault="00F64EAA" w:rsidP="00650385">
            <w:pPr>
              <w:pStyle w:val="Tabletext0"/>
            </w:pPr>
            <w:r w:rsidRPr="00D4026C">
              <w:t xml:space="preserve">GSD </w:t>
            </w:r>
            <w:proofErr w:type="spellStart"/>
            <w:r w:rsidRPr="00D4026C">
              <w:t>NovaPrime</w:t>
            </w:r>
            <w:proofErr w:type="spellEnd"/>
            <w:r w:rsidRPr="00D4026C">
              <w:t xml:space="preserve"> SARS-CoV-2 (COVID-19) RT-PCR Kit </w:t>
            </w:r>
          </w:p>
        </w:tc>
        <w:tc>
          <w:tcPr>
            <w:tcW w:w="851" w:type="dxa"/>
          </w:tcPr>
          <w:p w14:paraId="228978D6" w14:textId="77777777" w:rsidR="00F64EAA" w:rsidRPr="00D4026C" w:rsidRDefault="00F64EAA" w:rsidP="00650385">
            <w:pPr>
              <w:pStyle w:val="Tabletext0"/>
            </w:pPr>
            <w:r>
              <w:t>1</w:t>
            </w:r>
          </w:p>
        </w:tc>
        <w:tc>
          <w:tcPr>
            <w:tcW w:w="1275" w:type="dxa"/>
          </w:tcPr>
          <w:p w14:paraId="0EED5ECB" w14:textId="77777777" w:rsidR="00F64EAA" w:rsidRPr="00D4026C" w:rsidRDefault="00F64EAA" w:rsidP="00650385">
            <w:pPr>
              <w:pStyle w:val="Tabletext0"/>
            </w:pPr>
            <w:r w:rsidRPr="00D4026C">
              <w:t>2</w:t>
            </w:r>
          </w:p>
        </w:tc>
        <w:tc>
          <w:tcPr>
            <w:tcW w:w="1134" w:type="dxa"/>
          </w:tcPr>
          <w:p w14:paraId="435A5C4D" w14:textId="77777777" w:rsidR="00F64EAA" w:rsidRPr="00D4026C" w:rsidRDefault="00F64EAA" w:rsidP="00650385">
            <w:pPr>
              <w:pStyle w:val="Tabletext0"/>
            </w:pPr>
            <w:r w:rsidRPr="00D4026C">
              <w:t>60</w:t>
            </w:r>
          </w:p>
        </w:tc>
        <w:tc>
          <w:tcPr>
            <w:tcW w:w="1134" w:type="dxa"/>
          </w:tcPr>
          <w:p w14:paraId="7C93C58B" w14:textId="77777777" w:rsidR="00F64EAA" w:rsidRPr="00D4026C" w:rsidRDefault="00F64EAA" w:rsidP="00650385">
            <w:pPr>
              <w:pStyle w:val="Tabletext0"/>
            </w:pPr>
            <w:r w:rsidRPr="00D4026C">
              <w:t>?</w:t>
            </w:r>
          </w:p>
        </w:tc>
        <w:tc>
          <w:tcPr>
            <w:tcW w:w="1134" w:type="dxa"/>
          </w:tcPr>
          <w:p w14:paraId="4C0E61F4" w14:textId="77777777" w:rsidR="00F64EAA" w:rsidRPr="00D4026C" w:rsidRDefault="00F64EAA" w:rsidP="00650385">
            <w:pPr>
              <w:pStyle w:val="Tabletext0"/>
            </w:pPr>
            <w:r w:rsidRPr="00D4026C">
              <w:t>?</w:t>
            </w:r>
          </w:p>
        </w:tc>
        <w:tc>
          <w:tcPr>
            <w:tcW w:w="851" w:type="dxa"/>
          </w:tcPr>
          <w:p w14:paraId="5ED09C3D" w14:textId="77777777" w:rsidR="00F64EAA" w:rsidRPr="00D4026C" w:rsidRDefault="00F64EAA" w:rsidP="00650385">
            <w:pPr>
              <w:pStyle w:val="Tabletext0"/>
            </w:pPr>
            <w:r>
              <w:t>?</w:t>
            </w:r>
          </w:p>
        </w:tc>
        <w:tc>
          <w:tcPr>
            <w:tcW w:w="850" w:type="dxa"/>
          </w:tcPr>
          <w:p w14:paraId="0406BEC2" w14:textId="77777777" w:rsidR="00F64EAA" w:rsidRPr="00D4026C" w:rsidRDefault="00F64EAA" w:rsidP="00650385">
            <w:pPr>
              <w:pStyle w:val="Tabletext0"/>
            </w:pPr>
            <w:r>
              <w:t>?</w:t>
            </w:r>
          </w:p>
        </w:tc>
        <w:tc>
          <w:tcPr>
            <w:tcW w:w="1418" w:type="dxa"/>
          </w:tcPr>
          <w:p w14:paraId="11D0CFDA" w14:textId="77777777" w:rsidR="00F64EAA" w:rsidRPr="00D4026C" w:rsidRDefault="00F64EAA" w:rsidP="00650385">
            <w:pPr>
              <w:pStyle w:val="Tabletext0"/>
            </w:pPr>
            <w:r w:rsidRPr="00D4026C">
              <w:t>+</w:t>
            </w:r>
          </w:p>
        </w:tc>
        <w:tc>
          <w:tcPr>
            <w:tcW w:w="3544" w:type="dxa"/>
          </w:tcPr>
          <w:p w14:paraId="12C29A97" w14:textId="77777777" w:rsidR="00F64EAA" w:rsidRPr="00FD1542" w:rsidRDefault="00F64EAA" w:rsidP="00650385">
            <w:pPr>
              <w:pStyle w:val="Tabletext0"/>
            </w:pPr>
            <w:r w:rsidRPr="00FD1542">
              <w:t xml:space="preserve">No entry in the ARTG located for “GSD </w:t>
            </w:r>
            <w:proofErr w:type="spellStart"/>
            <w:r w:rsidRPr="00FD1542">
              <w:t>NovaPrime</w:t>
            </w:r>
            <w:proofErr w:type="spellEnd"/>
            <w:r w:rsidRPr="00FD1542">
              <w:t xml:space="preserve"> SARS-CoV-2 (COVID-19) RT-PCR Kit”; only study is from early version of assay</w:t>
            </w:r>
          </w:p>
        </w:tc>
      </w:tr>
      <w:tr w:rsidR="003623C3" w14:paraId="35CCEF21" w14:textId="77777777" w:rsidTr="001D278E">
        <w:tc>
          <w:tcPr>
            <w:tcW w:w="1838" w:type="dxa"/>
          </w:tcPr>
          <w:p w14:paraId="043421EA" w14:textId="77777777" w:rsidR="00F64EAA" w:rsidRPr="00D4026C" w:rsidRDefault="00F64EAA" w:rsidP="00650385">
            <w:pPr>
              <w:pStyle w:val="Tabletext0"/>
            </w:pPr>
            <w:r w:rsidRPr="00D4026C">
              <w:t xml:space="preserve">Abbott ID NOW COVID-19 </w:t>
            </w:r>
          </w:p>
        </w:tc>
        <w:tc>
          <w:tcPr>
            <w:tcW w:w="851" w:type="dxa"/>
          </w:tcPr>
          <w:p w14:paraId="5F05BC16" w14:textId="77777777" w:rsidR="00F64EAA" w:rsidRPr="00D4026C" w:rsidRDefault="00F64EAA" w:rsidP="00650385">
            <w:pPr>
              <w:pStyle w:val="Tabletext0"/>
            </w:pPr>
            <w:r>
              <w:t>1</w:t>
            </w:r>
          </w:p>
        </w:tc>
        <w:tc>
          <w:tcPr>
            <w:tcW w:w="1275" w:type="dxa"/>
          </w:tcPr>
          <w:p w14:paraId="7A0D8D07" w14:textId="77777777" w:rsidR="00F64EAA" w:rsidRPr="00D4026C" w:rsidRDefault="00F64EAA" w:rsidP="00650385">
            <w:pPr>
              <w:pStyle w:val="Tabletext0"/>
            </w:pPr>
            <w:r w:rsidRPr="00D4026C">
              <w:t>1</w:t>
            </w:r>
          </w:p>
        </w:tc>
        <w:tc>
          <w:tcPr>
            <w:tcW w:w="1134" w:type="dxa"/>
          </w:tcPr>
          <w:p w14:paraId="74E83B1A" w14:textId="77777777" w:rsidR="00F64EAA" w:rsidRPr="00D4026C" w:rsidRDefault="00F64EAA" w:rsidP="00650385">
            <w:pPr>
              <w:pStyle w:val="Tabletext0"/>
            </w:pPr>
            <w:r w:rsidRPr="00D4026C">
              <w:t>15</w:t>
            </w:r>
          </w:p>
        </w:tc>
        <w:tc>
          <w:tcPr>
            <w:tcW w:w="1134" w:type="dxa"/>
          </w:tcPr>
          <w:p w14:paraId="0C305480" w14:textId="77777777" w:rsidR="00F64EAA" w:rsidRPr="00D4026C" w:rsidRDefault="00F64EAA" w:rsidP="00650385">
            <w:pPr>
              <w:pStyle w:val="Tabletext0"/>
            </w:pPr>
            <w:r w:rsidRPr="00D4026C">
              <w:t>++</w:t>
            </w:r>
            <w:r>
              <w:t>/+++</w:t>
            </w:r>
          </w:p>
        </w:tc>
        <w:tc>
          <w:tcPr>
            <w:tcW w:w="1134" w:type="dxa"/>
          </w:tcPr>
          <w:p w14:paraId="35267650" w14:textId="77777777" w:rsidR="00F64EAA" w:rsidRPr="00D4026C" w:rsidRDefault="00F64EAA" w:rsidP="00650385">
            <w:pPr>
              <w:pStyle w:val="Tabletext0"/>
            </w:pPr>
            <w:r w:rsidRPr="00D4026C">
              <w:t>++++</w:t>
            </w:r>
          </w:p>
        </w:tc>
        <w:tc>
          <w:tcPr>
            <w:tcW w:w="851" w:type="dxa"/>
          </w:tcPr>
          <w:p w14:paraId="1F959D4D" w14:textId="77777777" w:rsidR="00F64EAA" w:rsidRDefault="00F64EAA" w:rsidP="00650385">
            <w:pPr>
              <w:pStyle w:val="Tabletext0"/>
            </w:pPr>
            <w:r>
              <w:t>++/+++</w:t>
            </w:r>
          </w:p>
        </w:tc>
        <w:tc>
          <w:tcPr>
            <w:tcW w:w="850" w:type="dxa"/>
          </w:tcPr>
          <w:p w14:paraId="49C05C54" w14:textId="77777777" w:rsidR="00F64EAA" w:rsidRDefault="00F64EAA" w:rsidP="00650385">
            <w:pPr>
              <w:pStyle w:val="Tabletext0"/>
            </w:pPr>
            <w:r>
              <w:t>++++</w:t>
            </w:r>
          </w:p>
        </w:tc>
        <w:tc>
          <w:tcPr>
            <w:tcW w:w="1418" w:type="dxa"/>
          </w:tcPr>
          <w:p w14:paraId="73A2D5AF" w14:textId="77777777" w:rsidR="00F64EAA" w:rsidRPr="00D4026C" w:rsidRDefault="00F64EAA" w:rsidP="00650385">
            <w:pPr>
              <w:pStyle w:val="Tabletext0"/>
            </w:pPr>
            <w:r>
              <w:t>++++</w:t>
            </w:r>
          </w:p>
        </w:tc>
        <w:tc>
          <w:tcPr>
            <w:tcW w:w="3544" w:type="dxa"/>
          </w:tcPr>
          <w:p w14:paraId="48EC8C3D" w14:textId="77777777" w:rsidR="00F64EAA" w:rsidRPr="00FD1542" w:rsidRDefault="00F64EAA" w:rsidP="00650385">
            <w:pPr>
              <w:pStyle w:val="Tabletext0"/>
            </w:pPr>
            <w:r>
              <w:t>Sensitivity &lt;90% reported consistently</w:t>
            </w:r>
          </w:p>
        </w:tc>
      </w:tr>
      <w:tr w:rsidR="003623C3" w14:paraId="22D5C2AB" w14:textId="77777777" w:rsidTr="001D278E">
        <w:tc>
          <w:tcPr>
            <w:tcW w:w="1838" w:type="dxa"/>
          </w:tcPr>
          <w:p w14:paraId="11FE9F35" w14:textId="2CC0CFBF" w:rsidR="00F64EAA" w:rsidRDefault="00F64EAA" w:rsidP="00650385">
            <w:pPr>
              <w:pStyle w:val="Tabletext0"/>
            </w:pPr>
            <w:proofErr w:type="spellStart"/>
            <w:r w:rsidRPr="001E57FA">
              <w:t>bioMerieux</w:t>
            </w:r>
            <w:proofErr w:type="spellEnd"/>
            <w:r w:rsidRPr="001E57FA">
              <w:t xml:space="preserve"> (</w:t>
            </w:r>
            <w:proofErr w:type="spellStart"/>
            <w:r w:rsidR="005C69F4">
              <w:t>BioFire</w:t>
            </w:r>
            <w:proofErr w:type="spellEnd"/>
            <w:r w:rsidRPr="001E57FA">
              <w:t>) COVID-19 Test</w:t>
            </w:r>
            <w:r>
              <w:t xml:space="preserve"> </w:t>
            </w:r>
          </w:p>
        </w:tc>
        <w:tc>
          <w:tcPr>
            <w:tcW w:w="851" w:type="dxa"/>
          </w:tcPr>
          <w:p w14:paraId="702E5C0A" w14:textId="77777777" w:rsidR="00F64EAA" w:rsidRDefault="00F64EAA" w:rsidP="00650385">
            <w:pPr>
              <w:pStyle w:val="Tabletext0"/>
            </w:pPr>
            <w:r>
              <w:t>19</w:t>
            </w:r>
          </w:p>
        </w:tc>
        <w:tc>
          <w:tcPr>
            <w:tcW w:w="1275" w:type="dxa"/>
          </w:tcPr>
          <w:p w14:paraId="3D8DD6C8" w14:textId="77777777" w:rsidR="00F64EAA" w:rsidRDefault="00F64EAA" w:rsidP="00650385">
            <w:pPr>
              <w:pStyle w:val="Tabletext0"/>
            </w:pPr>
            <w:r>
              <w:t>1</w:t>
            </w:r>
          </w:p>
        </w:tc>
        <w:tc>
          <w:tcPr>
            <w:tcW w:w="1134" w:type="dxa"/>
          </w:tcPr>
          <w:p w14:paraId="057586E9" w14:textId="77777777" w:rsidR="00F64EAA" w:rsidRDefault="00F64EAA" w:rsidP="00650385">
            <w:pPr>
              <w:pStyle w:val="Tabletext0"/>
            </w:pPr>
            <w:r>
              <w:t>45</w:t>
            </w:r>
          </w:p>
        </w:tc>
        <w:tc>
          <w:tcPr>
            <w:tcW w:w="1134" w:type="dxa"/>
          </w:tcPr>
          <w:p w14:paraId="08C53A5E" w14:textId="77777777" w:rsidR="00F64EAA" w:rsidRDefault="00F64EAA" w:rsidP="00650385">
            <w:pPr>
              <w:pStyle w:val="Tabletext0"/>
            </w:pPr>
            <w:r>
              <w:t>?</w:t>
            </w:r>
          </w:p>
        </w:tc>
        <w:tc>
          <w:tcPr>
            <w:tcW w:w="1134" w:type="dxa"/>
          </w:tcPr>
          <w:p w14:paraId="115CD196" w14:textId="77777777" w:rsidR="00F64EAA" w:rsidRDefault="00F64EAA" w:rsidP="00650385">
            <w:pPr>
              <w:pStyle w:val="Tabletext0"/>
            </w:pPr>
            <w:r>
              <w:t>?</w:t>
            </w:r>
          </w:p>
        </w:tc>
        <w:tc>
          <w:tcPr>
            <w:tcW w:w="851" w:type="dxa"/>
          </w:tcPr>
          <w:p w14:paraId="30E12C21" w14:textId="77777777" w:rsidR="00F64EAA" w:rsidRDefault="00F64EAA" w:rsidP="00650385">
            <w:pPr>
              <w:pStyle w:val="Tabletext0"/>
            </w:pPr>
            <w:r>
              <w:t>?</w:t>
            </w:r>
          </w:p>
        </w:tc>
        <w:tc>
          <w:tcPr>
            <w:tcW w:w="850" w:type="dxa"/>
          </w:tcPr>
          <w:p w14:paraId="4966B026" w14:textId="77777777" w:rsidR="00F64EAA" w:rsidRDefault="00F64EAA" w:rsidP="00650385">
            <w:pPr>
              <w:pStyle w:val="Tabletext0"/>
            </w:pPr>
            <w:r>
              <w:t>?</w:t>
            </w:r>
          </w:p>
        </w:tc>
        <w:tc>
          <w:tcPr>
            <w:tcW w:w="1418" w:type="dxa"/>
          </w:tcPr>
          <w:p w14:paraId="03808A8F" w14:textId="77777777" w:rsidR="00F64EAA" w:rsidRDefault="00F64EAA" w:rsidP="00650385">
            <w:pPr>
              <w:pStyle w:val="Tabletext0"/>
            </w:pPr>
            <w:r>
              <w:t>-</w:t>
            </w:r>
          </w:p>
        </w:tc>
        <w:tc>
          <w:tcPr>
            <w:tcW w:w="3544" w:type="dxa"/>
          </w:tcPr>
          <w:p w14:paraId="755040E0" w14:textId="3AD1C313" w:rsidR="00F64EAA" w:rsidRDefault="00F64EAA" w:rsidP="00650385">
            <w:pPr>
              <w:pStyle w:val="Tabletext0"/>
            </w:pPr>
            <w:r>
              <w:t>Newer version</w:t>
            </w:r>
            <w:r w:rsidR="0079648E">
              <w:t>s</w:t>
            </w:r>
            <w:r>
              <w:t xml:space="preserve"> now </w:t>
            </w:r>
            <w:r w:rsidR="00EF4B2E">
              <w:t xml:space="preserve">test for </w:t>
            </w:r>
            <w:r>
              <w:t xml:space="preserve">22 </w:t>
            </w:r>
            <w:r w:rsidR="0079648E">
              <w:t xml:space="preserve">and 23 </w:t>
            </w:r>
            <w:r>
              <w:t>pathogens – likely to be superseded</w:t>
            </w:r>
          </w:p>
        </w:tc>
      </w:tr>
      <w:tr w:rsidR="003623C3" w14:paraId="3E88FF67" w14:textId="77777777" w:rsidTr="001D278E">
        <w:tc>
          <w:tcPr>
            <w:tcW w:w="1838" w:type="dxa"/>
          </w:tcPr>
          <w:p w14:paraId="7D99E62B" w14:textId="77777777" w:rsidR="00F64EAA" w:rsidRDefault="00F64EAA" w:rsidP="00650385">
            <w:pPr>
              <w:pStyle w:val="Tabletext0"/>
            </w:pPr>
            <w:r w:rsidRPr="001E57FA">
              <w:t xml:space="preserve">Qiagen </w:t>
            </w:r>
            <w:proofErr w:type="spellStart"/>
            <w:r w:rsidRPr="001E57FA">
              <w:t>QIAstat</w:t>
            </w:r>
            <w:proofErr w:type="spellEnd"/>
            <w:r w:rsidRPr="001E57FA">
              <w:t>-Dx Respiratory 2019-nCoV Panel</w:t>
            </w:r>
            <w:r>
              <w:t xml:space="preserve"> </w:t>
            </w:r>
          </w:p>
        </w:tc>
        <w:tc>
          <w:tcPr>
            <w:tcW w:w="851" w:type="dxa"/>
          </w:tcPr>
          <w:p w14:paraId="14200DD7" w14:textId="77777777" w:rsidR="00F64EAA" w:rsidRDefault="00F64EAA" w:rsidP="00650385">
            <w:pPr>
              <w:pStyle w:val="Tabletext0"/>
            </w:pPr>
            <w:r>
              <w:t>21</w:t>
            </w:r>
          </w:p>
        </w:tc>
        <w:tc>
          <w:tcPr>
            <w:tcW w:w="1275" w:type="dxa"/>
          </w:tcPr>
          <w:p w14:paraId="2CBF9B4B" w14:textId="77777777" w:rsidR="00F64EAA" w:rsidRDefault="00F64EAA" w:rsidP="00650385">
            <w:pPr>
              <w:pStyle w:val="Tabletext0"/>
            </w:pPr>
            <w:r>
              <w:t>1</w:t>
            </w:r>
          </w:p>
        </w:tc>
        <w:tc>
          <w:tcPr>
            <w:tcW w:w="1134" w:type="dxa"/>
          </w:tcPr>
          <w:p w14:paraId="4DB549D6" w14:textId="77777777" w:rsidR="00F64EAA" w:rsidRDefault="00F64EAA" w:rsidP="00650385">
            <w:pPr>
              <w:pStyle w:val="Tabletext0"/>
            </w:pPr>
            <w:r>
              <w:t>60</w:t>
            </w:r>
          </w:p>
        </w:tc>
        <w:tc>
          <w:tcPr>
            <w:tcW w:w="1134" w:type="dxa"/>
          </w:tcPr>
          <w:p w14:paraId="3EDE7C6C" w14:textId="77777777" w:rsidR="00F64EAA" w:rsidRDefault="00F64EAA" w:rsidP="00650385">
            <w:pPr>
              <w:pStyle w:val="Tabletext0"/>
            </w:pPr>
            <w:r>
              <w:t>?</w:t>
            </w:r>
          </w:p>
        </w:tc>
        <w:tc>
          <w:tcPr>
            <w:tcW w:w="1134" w:type="dxa"/>
          </w:tcPr>
          <w:p w14:paraId="7858015D" w14:textId="77777777" w:rsidR="00F64EAA" w:rsidRDefault="00F64EAA" w:rsidP="00650385">
            <w:pPr>
              <w:pStyle w:val="Tabletext0"/>
            </w:pPr>
            <w:r>
              <w:t>?</w:t>
            </w:r>
          </w:p>
        </w:tc>
        <w:tc>
          <w:tcPr>
            <w:tcW w:w="851" w:type="dxa"/>
          </w:tcPr>
          <w:p w14:paraId="63394D96" w14:textId="77777777" w:rsidR="00F64EAA" w:rsidRDefault="00F64EAA" w:rsidP="00650385">
            <w:pPr>
              <w:pStyle w:val="Tabletext0"/>
            </w:pPr>
            <w:r>
              <w:t>?</w:t>
            </w:r>
          </w:p>
        </w:tc>
        <w:tc>
          <w:tcPr>
            <w:tcW w:w="850" w:type="dxa"/>
          </w:tcPr>
          <w:p w14:paraId="286256A0" w14:textId="77777777" w:rsidR="00F64EAA" w:rsidRDefault="00F64EAA" w:rsidP="00650385">
            <w:pPr>
              <w:pStyle w:val="Tabletext0"/>
            </w:pPr>
            <w:r>
              <w:t>?</w:t>
            </w:r>
          </w:p>
        </w:tc>
        <w:tc>
          <w:tcPr>
            <w:tcW w:w="1418" w:type="dxa"/>
          </w:tcPr>
          <w:p w14:paraId="5FA1F783" w14:textId="77777777" w:rsidR="00F64EAA" w:rsidRDefault="00F64EAA" w:rsidP="00650385">
            <w:pPr>
              <w:pStyle w:val="Tabletext0"/>
            </w:pPr>
            <w:r>
              <w:t>-</w:t>
            </w:r>
          </w:p>
        </w:tc>
        <w:tc>
          <w:tcPr>
            <w:tcW w:w="3544" w:type="dxa"/>
          </w:tcPr>
          <w:p w14:paraId="63A1500D" w14:textId="77777777" w:rsidR="00F64EAA" w:rsidRDefault="00F64EAA" w:rsidP="00650385">
            <w:pPr>
              <w:pStyle w:val="Tabletext0"/>
            </w:pPr>
            <w:r>
              <w:t xml:space="preserve">Appears to be superseded by </w:t>
            </w:r>
            <w:proofErr w:type="spellStart"/>
            <w:r>
              <w:t>QIAstat</w:t>
            </w:r>
            <w:proofErr w:type="spellEnd"/>
            <w:r>
              <w:t>-Dx panel above</w:t>
            </w:r>
          </w:p>
        </w:tc>
      </w:tr>
    </w:tbl>
    <w:p w14:paraId="008E5A72" w14:textId="6D8630F6" w:rsidR="00F64EAA" w:rsidRDefault="00F64EAA" w:rsidP="003A05B0">
      <w:pPr>
        <w:pStyle w:val="TableFooter"/>
      </w:pPr>
      <w:r>
        <w:t xml:space="preserve">ARTG=Australian Register of Therapeutic Goods; IFU=Instructions for Use; NPA=negative percentage agreement; </w:t>
      </w:r>
      <w:proofErr w:type="spellStart"/>
      <w:r>
        <w:t>PoCT</w:t>
      </w:r>
      <w:proofErr w:type="spellEnd"/>
      <w:r>
        <w:t xml:space="preserve">=point-of-care testing; PPA=positive percentage agreement; </w:t>
      </w:r>
      <w:r w:rsidR="003A05B0">
        <w:t xml:space="preserve">RT-PCR=reverse transcription and polymerase chain reaction; </w:t>
      </w:r>
      <w:r>
        <w:t>TAT=turnaround time;</w:t>
      </w:r>
      <w:r w:rsidR="003623C3">
        <w:t xml:space="preserve"> </w:t>
      </w:r>
      <w:r>
        <w:t xml:space="preserve">TGA=Therapeutic Goods Administration; </w:t>
      </w:r>
      <w:r w:rsidR="000123D9">
        <w:t>WHO EUL=World Health Organization Emergency Use Licence.</w:t>
      </w:r>
    </w:p>
    <w:p w14:paraId="4390DF58" w14:textId="77777777" w:rsidR="00D41EFF" w:rsidRDefault="00D41EFF" w:rsidP="003A05B0">
      <w:pPr>
        <w:pStyle w:val="TableFooter"/>
      </w:pPr>
      <w:r>
        <w:t>Scale: + minimal; ++= low; +++=moderate; ++++=strong</w:t>
      </w:r>
      <w:proofErr w:type="gramStart"/>
      <w:r>
        <w:t>; ?</w:t>
      </w:r>
      <w:proofErr w:type="gramEnd"/>
      <w:r>
        <w:t xml:space="preserve"> = no evidence identified</w:t>
      </w:r>
    </w:p>
    <w:p w14:paraId="28BAF5D9" w14:textId="309A93C4" w:rsidR="00D42363" w:rsidRDefault="00D42363" w:rsidP="003A05B0">
      <w:pPr>
        <w:pStyle w:val="TableFooter"/>
        <w:sectPr w:rsidR="00D42363" w:rsidSect="00331A39">
          <w:pgSz w:w="16838" w:h="11906" w:orient="landscape"/>
          <w:pgMar w:top="1440" w:right="1440" w:bottom="1440" w:left="1440" w:header="708" w:footer="708" w:gutter="0"/>
          <w:cols w:space="708"/>
          <w:docGrid w:linePitch="360"/>
        </w:sectPr>
      </w:pPr>
      <w:r>
        <w:t>Source: DCAR Table 8</w:t>
      </w:r>
    </w:p>
    <w:p w14:paraId="22F582D8" w14:textId="28C1F2BC" w:rsidR="00F64EAA" w:rsidRDefault="00F64EAA" w:rsidP="00F64EAA">
      <w:pPr>
        <w:pStyle w:val="Heading4"/>
      </w:pPr>
      <w:r>
        <w:lastRenderedPageBreak/>
        <w:t>Assessment of evidence supporting sensitivity and specificity</w:t>
      </w:r>
    </w:p>
    <w:p w14:paraId="1BAE44F2" w14:textId="7D3832F7" w:rsidR="00A97A43" w:rsidRDefault="0090477C" w:rsidP="00F64EAA">
      <w:r>
        <w:t>From</w:t>
      </w:r>
      <w:r w:rsidR="00F64EAA">
        <w:t xml:space="preserve"> the evidence available</w:t>
      </w:r>
      <w:r>
        <w:t xml:space="preserve">, most </w:t>
      </w:r>
      <w:r w:rsidR="00F64EAA">
        <w:t>assays have sufficient sensitivity and specificity compared with the reference standard</w:t>
      </w:r>
      <w:r w:rsidR="00D21A00">
        <w:t xml:space="preserve"> NAAT</w:t>
      </w:r>
      <w:r w:rsidR="00F64EAA">
        <w:t xml:space="preserve"> to support the proposed usage</w:t>
      </w:r>
      <w:r w:rsidR="00A97A43">
        <w:t xml:space="preserve"> </w:t>
      </w:r>
      <w:proofErr w:type="spellStart"/>
      <w:r w:rsidR="00A97A43">
        <w:t>i.e</w:t>
      </w:r>
      <w:proofErr w:type="spellEnd"/>
      <w:r w:rsidR="00A97A43">
        <w:t>, use in a Medicare</w:t>
      </w:r>
      <w:r w:rsidR="0047678F">
        <w:t>-</w:t>
      </w:r>
      <w:proofErr w:type="spellStart"/>
      <w:r w:rsidR="00A97A43">
        <w:t>rebatable</w:t>
      </w:r>
      <w:proofErr w:type="spellEnd"/>
      <w:r w:rsidR="00A97A43">
        <w:t xml:space="preserve"> setting</w:t>
      </w:r>
      <w:r w:rsidR="00F64EAA">
        <w:t xml:space="preserve">. </w:t>
      </w:r>
      <w:r w:rsidR="00BE4A23">
        <w:t>Most</w:t>
      </w:r>
      <w:r w:rsidR="00A97A43">
        <w:t xml:space="preserve"> rapid NAATs in Australia are performed in emergency departments and remote communities, and often outside of a laboratory setting.</w:t>
      </w:r>
    </w:p>
    <w:p w14:paraId="4BF9AA4B" w14:textId="1BCAB6DC" w:rsidR="00A31AD5" w:rsidRPr="00795C15" w:rsidRDefault="003F7D6E" w:rsidP="00F64EAA">
      <w:r>
        <w:t>Adequate sensitivity is important</w:t>
      </w:r>
      <w:r w:rsidR="00F64EAA">
        <w:t xml:space="preserve"> as currently, SARS-CoV-2 NAATs are recommended for those at risk of severe illness (or their close contacts) for early intervention to improve clinical outcomes. A false negative result may lead to </w:t>
      </w:r>
      <w:r w:rsidR="00D21A00">
        <w:t xml:space="preserve">a </w:t>
      </w:r>
      <w:r w:rsidR="00F64EAA">
        <w:t xml:space="preserve">misdiagnosis, a missed opportunity for treatment and a failure to isolate an individual with a highly transmissible respiratory tract infection. </w:t>
      </w:r>
    </w:p>
    <w:p w14:paraId="61E69A21" w14:textId="77777777" w:rsidR="00F64EAA" w:rsidRPr="00795C15" w:rsidRDefault="00F64EAA" w:rsidP="001A02F6">
      <w:pPr>
        <w:pStyle w:val="Heading5"/>
      </w:pPr>
      <w:r>
        <w:t>Adequate evidence</w:t>
      </w:r>
    </w:p>
    <w:p w14:paraId="66B3CE76" w14:textId="7B9B68C1" w:rsidR="00F64EAA" w:rsidRDefault="00F64EAA" w:rsidP="001D278E">
      <w:pPr>
        <w:spacing w:before="0"/>
      </w:pPr>
      <w:r>
        <w:t xml:space="preserve">For the following rapid NAATs, there was evidence that their </w:t>
      </w:r>
      <w:r w:rsidRPr="0001290C">
        <w:t xml:space="preserve">use results in </w:t>
      </w:r>
      <w:r>
        <w:t>noninferior effectiveness and noninferior</w:t>
      </w:r>
      <w:r w:rsidRPr="0001290C">
        <w:t xml:space="preserve"> safety compared with </w:t>
      </w:r>
      <w:r>
        <w:t>standard NAATs when performed in a laboratory:</w:t>
      </w:r>
    </w:p>
    <w:p w14:paraId="1B0462FB" w14:textId="77777777" w:rsidR="00F64EAA" w:rsidRPr="001D278E" w:rsidRDefault="00F64EAA" w:rsidP="00F64EAA">
      <w:pPr>
        <w:pStyle w:val="Nnumberedlist"/>
        <w:rPr>
          <w:rFonts w:ascii="Franklin Gothic Book" w:hAnsi="Franklin Gothic Book"/>
        </w:rPr>
      </w:pPr>
      <w:r w:rsidRPr="001D278E">
        <w:rPr>
          <w:rFonts w:ascii="Franklin Gothic Book" w:hAnsi="Franklin Gothic Book"/>
        </w:rPr>
        <w:t xml:space="preserve">Cepheid GeneXpert </w:t>
      </w:r>
      <w:proofErr w:type="spellStart"/>
      <w:r w:rsidRPr="001D278E">
        <w:rPr>
          <w:rFonts w:ascii="Franklin Gothic Book" w:hAnsi="Franklin Gothic Book"/>
        </w:rPr>
        <w:t>Xpert</w:t>
      </w:r>
      <w:proofErr w:type="spellEnd"/>
      <w:r w:rsidRPr="001D278E">
        <w:rPr>
          <w:rFonts w:ascii="Franklin Gothic Book" w:hAnsi="Franklin Gothic Book"/>
        </w:rPr>
        <w:t xml:space="preserve"> Xpress SARS-CoV-2</w:t>
      </w:r>
    </w:p>
    <w:p w14:paraId="1255F00F" w14:textId="77777777" w:rsidR="00F64EAA" w:rsidRPr="001D278E" w:rsidRDefault="00F64EAA" w:rsidP="00F64EAA">
      <w:pPr>
        <w:pStyle w:val="Nnumberedlist"/>
        <w:rPr>
          <w:rFonts w:ascii="Franklin Gothic Book" w:hAnsi="Franklin Gothic Book"/>
        </w:rPr>
      </w:pPr>
      <w:r w:rsidRPr="001D278E">
        <w:rPr>
          <w:rFonts w:ascii="Franklin Gothic Book" w:hAnsi="Franklin Gothic Book"/>
        </w:rPr>
        <w:t xml:space="preserve">Cepheid GeneXpert </w:t>
      </w:r>
      <w:proofErr w:type="spellStart"/>
      <w:r w:rsidRPr="001D278E">
        <w:rPr>
          <w:rFonts w:ascii="Franklin Gothic Book" w:hAnsi="Franklin Gothic Book"/>
        </w:rPr>
        <w:t>Xpert</w:t>
      </w:r>
      <w:proofErr w:type="spellEnd"/>
      <w:r w:rsidRPr="001D278E">
        <w:rPr>
          <w:rFonts w:ascii="Franklin Gothic Book" w:hAnsi="Franklin Gothic Book"/>
        </w:rPr>
        <w:t xml:space="preserve"> Xpress SARS-CoV-2/Flu/RSV</w:t>
      </w:r>
    </w:p>
    <w:p w14:paraId="05E71DC2" w14:textId="77777777" w:rsidR="00F64EAA" w:rsidRPr="001D278E" w:rsidRDefault="00F64EAA" w:rsidP="00F64EAA">
      <w:pPr>
        <w:pStyle w:val="Nnumberedlist"/>
        <w:rPr>
          <w:rFonts w:ascii="Franklin Gothic Book" w:hAnsi="Franklin Gothic Book"/>
        </w:rPr>
      </w:pPr>
      <w:r w:rsidRPr="001D278E">
        <w:rPr>
          <w:rFonts w:ascii="Franklin Gothic Book" w:hAnsi="Franklin Gothic Book"/>
        </w:rPr>
        <w:t xml:space="preserve">Roche Diagnostics </w:t>
      </w:r>
      <w:proofErr w:type="spellStart"/>
      <w:r w:rsidRPr="001D278E">
        <w:rPr>
          <w:rFonts w:ascii="Franklin Gothic Book" w:hAnsi="Franklin Gothic Book"/>
        </w:rPr>
        <w:t>cobas</w:t>
      </w:r>
      <w:proofErr w:type="spellEnd"/>
      <w:r w:rsidRPr="001D278E">
        <w:rPr>
          <w:rFonts w:ascii="Franklin Gothic Book" w:hAnsi="Franklin Gothic Book"/>
        </w:rPr>
        <w:t xml:space="preserve"> LIAT SARS-CoV-2 &amp; Influenza A/B</w:t>
      </w:r>
    </w:p>
    <w:p w14:paraId="0E6D58B2" w14:textId="77777777" w:rsidR="00F64EAA" w:rsidRPr="001D278E" w:rsidRDefault="00F64EAA" w:rsidP="00F64EAA">
      <w:pPr>
        <w:pStyle w:val="Nnumberedlist"/>
        <w:rPr>
          <w:rFonts w:ascii="Franklin Gothic Book" w:hAnsi="Franklin Gothic Book"/>
        </w:rPr>
      </w:pPr>
      <w:r w:rsidRPr="001D278E">
        <w:rPr>
          <w:rFonts w:ascii="Franklin Gothic Book" w:hAnsi="Franklin Gothic Book"/>
        </w:rPr>
        <w:t xml:space="preserve">Roche Diagnostics </w:t>
      </w:r>
      <w:proofErr w:type="spellStart"/>
      <w:r w:rsidRPr="001D278E">
        <w:rPr>
          <w:rFonts w:ascii="Franklin Gothic Book" w:hAnsi="Franklin Gothic Book"/>
        </w:rPr>
        <w:t>cobas</w:t>
      </w:r>
      <w:proofErr w:type="spellEnd"/>
      <w:r w:rsidRPr="001D278E">
        <w:rPr>
          <w:rFonts w:ascii="Franklin Gothic Book" w:hAnsi="Franklin Gothic Book"/>
        </w:rPr>
        <w:t xml:space="preserve"> SARS-CoV-2</w:t>
      </w:r>
    </w:p>
    <w:p w14:paraId="13F06781" w14:textId="0A52ACC9" w:rsidR="00F64EAA" w:rsidRPr="001D278E" w:rsidRDefault="005C69F4" w:rsidP="00F64EAA">
      <w:pPr>
        <w:pStyle w:val="Nnumberedlist"/>
        <w:rPr>
          <w:rFonts w:ascii="Franklin Gothic Book" w:hAnsi="Franklin Gothic Book"/>
        </w:rPr>
      </w:pPr>
      <w:proofErr w:type="spellStart"/>
      <w:r w:rsidRPr="001D278E">
        <w:rPr>
          <w:rFonts w:ascii="Franklin Gothic Book" w:hAnsi="Franklin Gothic Book"/>
        </w:rPr>
        <w:t>BioFire</w:t>
      </w:r>
      <w:proofErr w:type="spellEnd"/>
      <w:r w:rsidR="00F64EAA" w:rsidRPr="001D278E">
        <w:rPr>
          <w:rFonts w:ascii="Franklin Gothic Book" w:hAnsi="Franklin Gothic Book"/>
        </w:rPr>
        <w:t xml:space="preserve"> </w:t>
      </w:r>
      <w:proofErr w:type="spellStart"/>
      <w:r w:rsidR="00F64EAA" w:rsidRPr="001D278E">
        <w:rPr>
          <w:rFonts w:ascii="Franklin Gothic Book" w:hAnsi="Franklin Gothic Book"/>
        </w:rPr>
        <w:t>FilmArray</w:t>
      </w:r>
      <w:proofErr w:type="spellEnd"/>
      <w:r w:rsidR="00F64EAA" w:rsidRPr="001D278E">
        <w:rPr>
          <w:rFonts w:ascii="Franklin Gothic Book" w:hAnsi="Franklin Gothic Book"/>
        </w:rPr>
        <w:t xml:space="preserve"> Respiratory Panel 2.1 with SARS-CoV-2 </w:t>
      </w:r>
    </w:p>
    <w:p w14:paraId="08BF743E" w14:textId="77777777" w:rsidR="00F64EAA" w:rsidRPr="001D278E" w:rsidRDefault="00F64EAA" w:rsidP="00F64EAA">
      <w:pPr>
        <w:pStyle w:val="Nnumberedlist"/>
        <w:rPr>
          <w:rFonts w:ascii="Franklin Gothic Book" w:hAnsi="Franklin Gothic Book"/>
        </w:rPr>
      </w:pPr>
      <w:r w:rsidRPr="001D278E">
        <w:rPr>
          <w:rFonts w:ascii="Franklin Gothic Book" w:hAnsi="Franklin Gothic Book"/>
        </w:rPr>
        <w:t xml:space="preserve">Qiagen </w:t>
      </w:r>
      <w:proofErr w:type="spellStart"/>
      <w:r w:rsidRPr="001D278E">
        <w:rPr>
          <w:rFonts w:ascii="Franklin Gothic Book" w:hAnsi="Franklin Gothic Book"/>
        </w:rPr>
        <w:t>QIAstat</w:t>
      </w:r>
      <w:proofErr w:type="spellEnd"/>
      <w:r w:rsidRPr="001D278E">
        <w:rPr>
          <w:rFonts w:ascii="Franklin Gothic Book" w:hAnsi="Franklin Gothic Book"/>
        </w:rPr>
        <w:t>-Dx Respiratory SARS-COV-2 Panel</w:t>
      </w:r>
    </w:p>
    <w:p w14:paraId="33DB20BA" w14:textId="5AB2FA67" w:rsidR="00F64EAA" w:rsidRPr="001D278E" w:rsidRDefault="00E26D20" w:rsidP="00CB2E78">
      <w:pPr>
        <w:pStyle w:val="Nnumberedlist"/>
        <w:numPr>
          <w:ilvl w:val="1"/>
          <w:numId w:val="4"/>
        </w:numPr>
        <w:rPr>
          <w:rFonts w:ascii="Franklin Gothic Book" w:hAnsi="Franklin Gothic Book"/>
        </w:rPr>
      </w:pPr>
      <w:r w:rsidRPr="001D278E">
        <w:rPr>
          <w:rFonts w:ascii="Franklin Gothic Book" w:hAnsi="Franklin Gothic Book"/>
        </w:rPr>
        <w:t>Studies reported</w:t>
      </w:r>
      <w:r w:rsidR="00F64EAA" w:rsidRPr="001D278E">
        <w:rPr>
          <w:rFonts w:ascii="Franklin Gothic Book" w:hAnsi="Franklin Gothic Book"/>
        </w:rPr>
        <w:t xml:space="preserve"> a lower sensitivity a</w:t>
      </w:r>
      <w:r w:rsidR="005D1B80" w:rsidRPr="001D278E">
        <w:rPr>
          <w:rFonts w:ascii="Franklin Gothic Book" w:hAnsi="Franklin Gothic Book"/>
        </w:rPr>
        <w:t>nd</w:t>
      </w:r>
      <w:r w:rsidR="00F64EAA" w:rsidRPr="001D278E">
        <w:rPr>
          <w:rFonts w:ascii="Franklin Gothic Book" w:hAnsi="Franklin Gothic Book"/>
        </w:rPr>
        <w:t xml:space="preserve"> lower cycle threshold</w:t>
      </w:r>
      <w:r w:rsidR="004548F4" w:rsidRPr="001D278E">
        <w:rPr>
          <w:rStyle w:val="FootnoteReference"/>
          <w:rFonts w:ascii="Franklin Gothic Book" w:hAnsi="Franklin Gothic Book"/>
        </w:rPr>
        <w:footnoteReference w:id="19"/>
      </w:r>
      <w:r w:rsidR="00F64EAA" w:rsidRPr="001D278E">
        <w:rPr>
          <w:rFonts w:ascii="Franklin Gothic Book" w:hAnsi="Franklin Gothic Book"/>
        </w:rPr>
        <w:t xml:space="preserve">, and lower detection rates of both SARS-CoV-2 and other viruses compared with the same-sized </w:t>
      </w:r>
      <w:proofErr w:type="spellStart"/>
      <w:r w:rsidR="005C69F4" w:rsidRPr="001D278E">
        <w:rPr>
          <w:rFonts w:ascii="Franklin Gothic Book" w:hAnsi="Franklin Gothic Book"/>
        </w:rPr>
        <w:t>BioFire</w:t>
      </w:r>
      <w:proofErr w:type="spellEnd"/>
      <w:r w:rsidR="00F64EAA" w:rsidRPr="001D278E">
        <w:rPr>
          <w:rFonts w:ascii="Franklin Gothic Book" w:hAnsi="Franklin Gothic Book"/>
        </w:rPr>
        <w:t xml:space="preserve"> Respiratory Panel 2.1 with SARS-CoV-2 assay</w:t>
      </w:r>
      <w:bookmarkStart w:id="34" w:name="_Ref132890643"/>
      <w:r w:rsidR="00485912" w:rsidRPr="001D278E">
        <w:rPr>
          <w:rStyle w:val="FootnoteReference"/>
          <w:rFonts w:ascii="Franklin Gothic Book" w:hAnsi="Franklin Gothic Book"/>
        </w:rPr>
        <w:footnoteReference w:id="20"/>
      </w:r>
      <w:bookmarkEnd w:id="34"/>
      <w:r w:rsidR="00F64EAA" w:rsidRPr="001D278E">
        <w:rPr>
          <w:rFonts w:ascii="Franklin Gothic Book" w:hAnsi="Franklin Gothic Book"/>
        </w:rPr>
        <w:t xml:space="preserve">. </w:t>
      </w:r>
    </w:p>
    <w:p w14:paraId="78834DDE" w14:textId="017DAACF" w:rsidR="00F64EAA" w:rsidRPr="001D278E" w:rsidRDefault="00F64EAA" w:rsidP="00CB2E78">
      <w:pPr>
        <w:pStyle w:val="Nnumberedlist"/>
        <w:numPr>
          <w:ilvl w:val="1"/>
          <w:numId w:val="4"/>
        </w:numPr>
        <w:rPr>
          <w:rFonts w:ascii="Franklin Gothic Book" w:hAnsi="Franklin Gothic Book"/>
        </w:rPr>
      </w:pPr>
      <w:r w:rsidRPr="001D278E">
        <w:rPr>
          <w:rFonts w:ascii="Franklin Gothic Book" w:hAnsi="Franklin Gothic Book"/>
        </w:rPr>
        <w:t>In one study, the findings were reported to be consistent with the cycle threshold and limit of detection in the IFU and these authors postulate interference within the assay limits its sensitivity</w:t>
      </w:r>
      <w:r w:rsidR="00485912" w:rsidRPr="001D278E">
        <w:rPr>
          <w:rFonts w:ascii="Franklin Gothic Book" w:hAnsi="Franklin Gothic Book"/>
          <w:vertAlign w:val="superscript"/>
        </w:rPr>
        <w:fldChar w:fldCharType="begin"/>
      </w:r>
      <w:r w:rsidR="00485912" w:rsidRPr="001D278E">
        <w:rPr>
          <w:rFonts w:ascii="Franklin Gothic Book" w:hAnsi="Franklin Gothic Book"/>
          <w:vertAlign w:val="superscript"/>
        </w:rPr>
        <w:instrText xml:space="preserve"> NOTEREF _Ref132890643 \h  \* MERGEFORMAT </w:instrText>
      </w:r>
      <w:r w:rsidR="00485912" w:rsidRPr="001D278E">
        <w:rPr>
          <w:rFonts w:ascii="Franklin Gothic Book" w:hAnsi="Franklin Gothic Book"/>
          <w:vertAlign w:val="superscript"/>
        </w:rPr>
      </w:r>
      <w:r w:rsidR="00485912" w:rsidRPr="001D278E">
        <w:rPr>
          <w:rFonts w:ascii="Franklin Gothic Book" w:hAnsi="Franklin Gothic Book"/>
          <w:vertAlign w:val="superscript"/>
        </w:rPr>
        <w:fldChar w:fldCharType="separate"/>
      </w:r>
      <w:r w:rsidR="00525416">
        <w:rPr>
          <w:rFonts w:ascii="Franklin Gothic Book" w:hAnsi="Franklin Gothic Book"/>
          <w:vertAlign w:val="superscript"/>
        </w:rPr>
        <w:t>19</w:t>
      </w:r>
      <w:r w:rsidR="00485912" w:rsidRPr="001D278E">
        <w:rPr>
          <w:rFonts w:ascii="Franklin Gothic Book" w:hAnsi="Franklin Gothic Book"/>
          <w:vertAlign w:val="superscript"/>
        </w:rPr>
        <w:fldChar w:fldCharType="end"/>
      </w:r>
      <w:r w:rsidRPr="001D278E">
        <w:rPr>
          <w:rFonts w:ascii="Franklin Gothic Book" w:hAnsi="Franklin Gothic Book"/>
          <w:vertAlign w:val="subscript"/>
        </w:rPr>
        <w:t>.</w:t>
      </w:r>
    </w:p>
    <w:p w14:paraId="604F36BB" w14:textId="77777777" w:rsidR="00F64EAA" w:rsidRDefault="00F64EAA" w:rsidP="00F64EAA">
      <w:r w:rsidRPr="00CF3AF7">
        <w:t xml:space="preserve">However, there were issues with </w:t>
      </w:r>
      <w:r>
        <w:t xml:space="preserve">the </w:t>
      </w:r>
      <w:r w:rsidRPr="00CF3AF7">
        <w:t>other</w:t>
      </w:r>
      <w:r>
        <w:t xml:space="preserve"> nine </w:t>
      </w:r>
      <w:proofErr w:type="gramStart"/>
      <w:r>
        <w:t>assays</w:t>
      </w:r>
      <w:proofErr w:type="gramEnd"/>
      <w:r w:rsidRPr="00CF3AF7">
        <w:t xml:space="preserve"> </w:t>
      </w:r>
      <w:r>
        <w:t>and these are referred for MSAC’s consideration.</w:t>
      </w:r>
    </w:p>
    <w:p w14:paraId="59F39227" w14:textId="77777777" w:rsidR="00F64EAA" w:rsidRPr="00CF3AF7" w:rsidRDefault="00F64EAA" w:rsidP="001A02F6">
      <w:pPr>
        <w:pStyle w:val="Heading5"/>
      </w:pPr>
      <w:r>
        <w:t xml:space="preserve">Substantial evidence to suggest inferior </w:t>
      </w:r>
      <w:proofErr w:type="gramStart"/>
      <w:r>
        <w:t>sensitivity</w:t>
      </w:r>
      <w:proofErr w:type="gramEnd"/>
    </w:p>
    <w:p w14:paraId="29A6D936" w14:textId="4C9A6EE5" w:rsidR="001C0F76" w:rsidRDefault="00F64EAA" w:rsidP="00F64EAA">
      <w:r>
        <w:t xml:space="preserve">Two assays had lower sensitivity reported (&lt;90%) compared with the reference standards in </w:t>
      </w:r>
      <w:proofErr w:type="gramStart"/>
      <w:r>
        <w:t>a number of</w:t>
      </w:r>
      <w:proofErr w:type="gramEnd"/>
      <w:r>
        <w:t xml:space="preserve"> published independent studies. </w:t>
      </w:r>
      <w:r w:rsidR="0090477C">
        <w:t>There was an increased risk</w:t>
      </w:r>
      <w:r>
        <w:t xml:space="preserve"> of a false negative result for both assays</w:t>
      </w:r>
      <w:r w:rsidR="0090477C">
        <w:t>, especially</w:t>
      </w:r>
      <w:r>
        <w:t xml:space="preserve"> at lower viral loads</w:t>
      </w:r>
      <w:r w:rsidR="00B51507">
        <w:t>. G</w:t>
      </w:r>
      <w:r>
        <w:t xml:space="preserve">iven the population at high-risk are encouraged to present early, including after exposure and prior to the onset of symptoms for early intervention, there is a clinical risk with any assay that has inferior sensitivity. A limited </w:t>
      </w:r>
      <w:r w:rsidRPr="001C0F76">
        <w:t xml:space="preserve">number of studies were identified for the </w:t>
      </w:r>
      <w:proofErr w:type="spellStart"/>
      <w:r w:rsidRPr="001C0F76">
        <w:t>DiaSorin</w:t>
      </w:r>
      <w:proofErr w:type="spellEnd"/>
      <w:r w:rsidRPr="001C0F76">
        <w:t xml:space="preserve"> </w:t>
      </w:r>
      <w:proofErr w:type="gramStart"/>
      <w:r w:rsidRPr="001C0F76">
        <w:t>assay</w:t>
      </w:r>
      <w:proofErr w:type="gramEnd"/>
      <w:r w:rsidRPr="001C0F76">
        <w:t xml:space="preserve"> and one was excluded due to significant methodological issues.</w:t>
      </w:r>
      <w:r w:rsidR="004B402C" w:rsidRPr="001C0F76">
        <w:t xml:space="preserve"> Notably,</w:t>
      </w:r>
      <w:r w:rsidR="001C0F76" w:rsidRPr="001C0F76">
        <w:t xml:space="preserve"> the WHO</w:t>
      </w:r>
      <w:r w:rsidR="004B402C" w:rsidRPr="001C0F76">
        <w:t xml:space="preserve"> </w:t>
      </w:r>
      <w:r w:rsidR="001C0F76" w:rsidRPr="001C0F76">
        <w:t xml:space="preserve">Emergency Use Licence for </w:t>
      </w:r>
      <w:r w:rsidR="004B402C" w:rsidRPr="001C0F76">
        <w:t xml:space="preserve">this </w:t>
      </w:r>
      <w:r w:rsidR="001C0F76" w:rsidRPr="001C0F76">
        <w:t>assay</w:t>
      </w:r>
      <w:r w:rsidR="004B402C" w:rsidRPr="001C0F76">
        <w:t xml:space="preserve"> has been </w:t>
      </w:r>
      <w:r w:rsidR="004B402C" w:rsidRPr="001C0F76">
        <w:lastRenderedPageBreak/>
        <w:t>withdrawn</w:t>
      </w:r>
      <w:r w:rsidR="001C0F76" w:rsidRPr="001C0F76">
        <w:t>, citing the</w:t>
      </w:r>
      <w:r w:rsidR="001C0F76">
        <w:t xml:space="preserve"> “Manufacturer did not express interest to extend the EUL for another period.”</w:t>
      </w:r>
      <w:r w:rsidR="001C0F76">
        <w:rPr>
          <w:rStyle w:val="FootnoteReference"/>
        </w:rPr>
        <w:footnoteReference w:id="21"/>
      </w:r>
    </w:p>
    <w:p w14:paraId="1967FD99" w14:textId="77777777" w:rsidR="00F64EAA" w:rsidRPr="000F3AF6" w:rsidRDefault="00F64EAA" w:rsidP="00CB2E78">
      <w:pPr>
        <w:pStyle w:val="Nnumberedlist"/>
        <w:numPr>
          <w:ilvl w:val="0"/>
          <w:numId w:val="15"/>
        </w:numPr>
        <w:rPr>
          <w:rFonts w:ascii="Franklin Gothic Book" w:hAnsi="Franklin Gothic Book"/>
        </w:rPr>
      </w:pPr>
      <w:r w:rsidRPr="000F3AF6">
        <w:rPr>
          <w:rFonts w:ascii="Franklin Gothic Book" w:hAnsi="Franklin Gothic Book"/>
        </w:rPr>
        <w:t xml:space="preserve">Abbott ID Now COVID-19 </w:t>
      </w:r>
      <w:proofErr w:type="gramStart"/>
      <w:r w:rsidRPr="000F3AF6">
        <w:rPr>
          <w:rFonts w:ascii="Franklin Gothic Book" w:hAnsi="Franklin Gothic Book"/>
        </w:rPr>
        <w:t>assay</w:t>
      </w:r>
      <w:proofErr w:type="gramEnd"/>
    </w:p>
    <w:p w14:paraId="457897B2" w14:textId="3D54C51F" w:rsidR="00F64EAA" w:rsidRDefault="00F64EAA" w:rsidP="00F64EAA">
      <w:r>
        <w:t xml:space="preserve">Many of the studies providing data are for testing outside of the laboratory and this requires a thorough review, not confined to testing in a laboratory setting to determine the suitability of the assay for the proposed usage. The manufacturer amended the IFU following publication of </w:t>
      </w:r>
      <w:r w:rsidR="00834D0A">
        <w:t xml:space="preserve">initial </w:t>
      </w:r>
      <w:r>
        <w:t>studies indicating a lower sensitivity (e.g., to require the swabs be of a certain type, that viral transport media not be used) therefore, those early studies may not be relevant in determining the sensitivity of the test now.</w:t>
      </w:r>
    </w:p>
    <w:p w14:paraId="3E605B96" w14:textId="3A07D2C2" w:rsidR="00F64EAA" w:rsidRDefault="00F64EAA" w:rsidP="00F64EAA">
      <w:r>
        <w:t>T</w:t>
      </w:r>
      <w:r w:rsidR="00A31AD5">
        <w:t>hree</w:t>
      </w:r>
      <w:r>
        <w:t xml:space="preserve"> meta-analyses </w:t>
      </w:r>
      <w:r w:rsidR="00024FF8">
        <w:t xml:space="preserve">reported </w:t>
      </w:r>
      <w:r>
        <w:t>average sensitivities of</w:t>
      </w:r>
      <w:r w:rsidRPr="00F07D09">
        <w:t xml:space="preserve"> 83% (95%</w:t>
      </w:r>
      <w:r w:rsidR="00024FF8">
        <w:t xml:space="preserve"> </w:t>
      </w:r>
      <w:r w:rsidR="00024FF8" w:rsidRPr="00815D43">
        <w:t>confidence interval</w:t>
      </w:r>
      <w:r w:rsidR="00024FF8">
        <w:t xml:space="preserve"> (</w:t>
      </w:r>
      <w:r w:rsidRPr="00F07D09">
        <w:t>CI</w:t>
      </w:r>
      <w:r w:rsidR="00024FF8">
        <w:t>)</w:t>
      </w:r>
      <w:r w:rsidRPr="00F07D09">
        <w:t>: 67, 91)</w:t>
      </w:r>
      <w:bookmarkStart w:id="35" w:name="_Ref132891416"/>
      <w:r w:rsidR="00A554CC">
        <w:rPr>
          <w:rStyle w:val="FootnoteReference"/>
        </w:rPr>
        <w:footnoteReference w:id="22"/>
      </w:r>
      <w:bookmarkEnd w:id="35"/>
      <w:r w:rsidR="00A31AD5">
        <w:t xml:space="preserve">, </w:t>
      </w:r>
      <w:r w:rsidR="00834D0A" w:rsidRPr="00B27BF4">
        <w:t>0.79 (95% CI, 0.69 to 0.86)</w:t>
      </w:r>
      <w:r w:rsidR="00834D0A">
        <w:rPr>
          <w:rStyle w:val="FootnoteReference"/>
        </w:rPr>
        <w:footnoteReference w:id="23"/>
      </w:r>
      <w:r w:rsidR="00834D0A" w:rsidRPr="00B27BF4">
        <w:t xml:space="preserve"> </w:t>
      </w:r>
      <w:r>
        <w:t xml:space="preserve">and </w:t>
      </w:r>
      <w:r w:rsidRPr="00815D43">
        <w:t>73.0% [95% (CI) 66.8–78.4%]</w:t>
      </w:r>
      <w:r w:rsidR="00A554CC">
        <w:rPr>
          <w:rStyle w:val="FootnoteReference"/>
        </w:rPr>
        <w:footnoteReference w:id="24"/>
      </w:r>
      <w:r>
        <w:t>. Some of the studies</w:t>
      </w:r>
      <w:r w:rsidR="0024530D">
        <w:t>, including an Australian study</w:t>
      </w:r>
      <w:bookmarkStart w:id="36" w:name="_Ref133355241"/>
      <w:r w:rsidR="0024530D">
        <w:rPr>
          <w:rStyle w:val="FootnoteReference"/>
        </w:rPr>
        <w:footnoteReference w:id="25"/>
      </w:r>
      <w:bookmarkEnd w:id="36"/>
      <w:r w:rsidR="0024530D">
        <w:t>,</w:t>
      </w:r>
      <w:r>
        <w:t xml:space="preserve"> were underpowered to assess the sensitivity of the assay due to the low incidence limiting the proportion and absolute number of positive cases</w:t>
      </w:r>
      <w:r w:rsidR="00A554CC" w:rsidRPr="00A554CC">
        <w:rPr>
          <w:vertAlign w:val="superscript"/>
        </w:rPr>
        <w:fldChar w:fldCharType="begin"/>
      </w:r>
      <w:r w:rsidR="00A554CC" w:rsidRPr="00A554CC">
        <w:rPr>
          <w:vertAlign w:val="superscript"/>
        </w:rPr>
        <w:instrText xml:space="preserve"> NOTEREF _Ref132891416 \h </w:instrText>
      </w:r>
      <w:r w:rsidR="00A554CC">
        <w:rPr>
          <w:vertAlign w:val="superscript"/>
        </w:rPr>
        <w:instrText xml:space="preserve"> \* MERGEFORMAT </w:instrText>
      </w:r>
      <w:r w:rsidR="00A554CC" w:rsidRPr="00A554CC">
        <w:rPr>
          <w:vertAlign w:val="superscript"/>
        </w:rPr>
      </w:r>
      <w:r w:rsidR="00A554CC" w:rsidRPr="00A554CC">
        <w:rPr>
          <w:vertAlign w:val="superscript"/>
        </w:rPr>
        <w:fldChar w:fldCharType="separate"/>
      </w:r>
      <w:r w:rsidR="00525416">
        <w:rPr>
          <w:vertAlign w:val="superscript"/>
        </w:rPr>
        <w:t>21</w:t>
      </w:r>
      <w:r w:rsidR="00A554CC" w:rsidRPr="00A554CC">
        <w:rPr>
          <w:vertAlign w:val="superscript"/>
        </w:rPr>
        <w:fldChar w:fldCharType="end"/>
      </w:r>
      <w:r w:rsidR="0024530D" w:rsidRPr="0024530D">
        <w:rPr>
          <w:vertAlign w:val="superscript"/>
        </w:rPr>
        <w:t>,</w:t>
      </w:r>
      <w:r w:rsidR="0024530D">
        <w:rPr>
          <w:vertAlign w:val="superscript"/>
        </w:rPr>
        <w:fldChar w:fldCharType="begin"/>
      </w:r>
      <w:r w:rsidR="0024530D">
        <w:rPr>
          <w:vertAlign w:val="superscript"/>
        </w:rPr>
        <w:instrText xml:space="preserve"> NOTEREF _Ref133355241 \h </w:instrText>
      </w:r>
      <w:r w:rsidR="0024530D">
        <w:rPr>
          <w:vertAlign w:val="superscript"/>
        </w:rPr>
      </w:r>
      <w:r w:rsidR="0024530D">
        <w:rPr>
          <w:vertAlign w:val="superscript"/>
        </w:rPr>
        <w:fldChar w:fldCharType="separate"/>
      </w:r>
      <w:r w:rsidR="00525416">
        <w:rPr>
          <w:vertAlign w:val="superscript"/>
        </w:rPr>
        <w:t>24</w:t>
      </w:r>
      <w:r w:rsidR="0024530D">
        <w:rPr>
          <w:vertAlign w:val="superscript"/>
        </w:rPr>
        <w:fldChar w:fldCharType="end"/>
      </w:r>
      <w:r w:rsidR="0024530D">
        <w:rPr>
          <w:vertAlign w:val="superscript"/>
        </w:rPr>
        <w:t>.</w:t>
      </w:r>
    </w:p>
    <w:p w14:paraId="7755925C" w14:textId="544BD73E" w:rsidR="00B51507" w:rsidRDefault="00B51507" w:rsidP="00F64EAA">
      <w:r>
        <w:t>Lower test sensitivity of the Abbott ID Now COVID-19 assay was reported in patients early in the course of their disease when there are lower viral loads</w:t>
      </w:r>
      <w:r>
        <w:rPr>
          <w:rStyle w:val="FootnoteReference"/>
        </w:rPr>
        <w:footnoteReference w:id="26"/>
      </w:r>
      <w:r>
        <w:t>.</w:t>
      </w:r>
    </w:p>
    <w:p w14:paraId="11A64DC1" w14:textId="7DA6A1D3" w:rsidR="00F64EAA" w:rsidRDefault="00F64EAA" w:rsidP="00F64EAA">
      <w:r>
        <w:t>In a well-conducted, independent study in which the testing conformed to the manufacturer’s IFU, patients with acute respiratory tract symptoms for fewer than seven days presenting to an emergency department</w:t>
      </w:r>
      <w:r w:rsidR="00357E4D">
        <w:t xml:space="preserve"> (not a Medicare-</w:t>
      </w:r>
      <w:proofErr w:type="spellStart"/>
      <w:r w:rsidR="00357E4D">
        <w:t>rebatable</w:t>
      </w:r>
      <w:proofErr w:type="spellEnd"/>
      <w:r w:rsidR="00357E4D">
        <w:t xml:space="preserve"> setting)</w:t>
      </w:r>
      <w:r>
        <w:t xml:space="preserve"> had paired samples taken testing using this assay </w:t>
      </w:r>
      <w:proofErr w:type="gramStart"/>
      <w:r>
        <w:t>and also</w:t>
      </w:r>
      <w:proofErr w:type="gramEnd"/>
      <w:r>
        <w:t xml:space="preserve"> a standard NAAT. Both tests were performed in the laboratory and the sensitivity of the ID Now assay was reported as</w:t>
      </w:r>
      <w:r w:rsidRPr="008F3CC0">
        <w:rPr>
          <w:rFonts w:cs="Times New Roman"/>
          <w:szCs w:val="24"/>
          <w:lang w:val="en-GB" w:eastAsia="en-GB"/>
        </w:rPr>
        <w:t xml:space="preserve"> 89.9%</w:t>
      </w:r>
      <w:r w:rsidRPr="008F3CC0">
        <w:rPr>
          <w:rFonts w:cs="Times New Roman"/>
          <w:szCs w:val="24"/>
          <w:lang w:eastAsia="en-GB"/>
        </w:rPr>
        <w:t xml:space="preserve"> (95% CI, 85.0% to 93.3%)</w:t>
      </w:r>
      <w:r w:rsidR="00A554CC">
        <w:rPr>
          <w:rStyle w:val="FootnoteReference"/>
          <w:rFonts w:cs="Times New Roman"/>
          <w:szCs w:val="24"/>
          <w:lang w:eastAsia="en-GB"/>
        </w:rPr>
        <w:footnoteReference w:id="27"/>
      </w:r>
      <w:r>
        <w:t>; however, some of the high-risk patients currently indicated for testing in Australia will be asymptomatic or be presenting early in their disease course and it is not clear how generalisable these findings are to this population.</w:t>
      </w:r>
    </w:p>
    <w:p w14:paraId="3401AACC" w14:textId="77777777" w:rsidR="00F64EAA" w:rsidRPr="000F3AF6" w:rsidRDefault="00F64EAA" w:rsidP="00F64EAA">
      <w:pPr>
        <w:pStyle w:val="Nnumberedlist"/>
        <w:rPr>
          <w:rFonts w:ascii="Franklin Gothic Book" w:hAnsi="Franklin Gothic Book"/>
        </w:rPr>
      </w:pPr>
      <w:proofErr w:type="spellStart"/>
      <w:r w:rsidRPr="000F3AF6">
        <w:rPr>
          <w:rFonts w:ascii="Franklin Gothic Book" w:hAnsi="Franklin Gothic Book"/>
        </w:rPr>
        <w:t>DiaSorin</w:t>
      </w:r>
      <w:proofErr w:type="spellEnd"/>
      <w:r w:rsidRPr="000F3AF6">
        <w:rPr>
          <w:rFonts w:ascii="Franklin Gothic Book" w:hAnsi="Franklin Gothic Book"/>
        </w:rPr>
        <w:t xml:space="preserve"> Simplex COVID-19 assay (false negative rates of 11.9%-20.6%)</w:t>
      </w:r>
    </w:p>
    <w:p w14:paraId="23736780" w14:textId="38415F50" w:rsidR="006A64FD" w:rsidRDefault="00F64EAA" w:rsidP="00F64EAA">
      <w:r>
        <w:t xml:space="preserve">The four studies identified were of very variable quality, and one </w:t>
      </w:r>
      <w:r w:rsidR="0024530D">
        <w:t>study only</w:t>
      </w:r>
      <w:r>
        <w:t xml:space="preserve"> </w:t>
      </w:r>
      <w:r w:rsidR="0024530D">
        <w:t>tested</w:t>
      </w:r>
      <w:r>
        <w:t xml:space="preserve"> samples that were known </w:t>
      </w:r>
      <w:r w:rsidR="0024530D">
        <w:t xml:space="preserve">to be </w:t>
      </w:r>
      <w:r>
        <w:t>positive</w:t>
      </w:r>
      <w:r w:rsidR="0024530D">
        <w:t xml:space="preserve"> from prior testing</w:t>
      </w:r>
      <w:r w:rsidR="006F267D">
        <w:rPr>
          <w:rStyle w:val="FootnoteReference"/>
        </w:rPr>
        <w:footnoteReference w:id="28"/>
      </w:r>
      <w:r>
        <w:t xml:space="preserve">. In one study, the sensitivity was reported to be </w:t>
      </w:r>
      <w:r>
        <w:rPr>
          <w:lang w:val="en-GB"/>
        </w:rPr>
        <w:t>79.4%</w:t>
      </w:r>
      <w:r w:rsidRPr="00A611B4">
        <w:t xml:space="preserve"> (</w:t>
      </w:r>
      <w:r>
        <w:t xml:space="preserve">95% CI: </w:t>
      </w:r>
      <w:r w:rsidRPr="00FD55DF">
        <w:t>70.3</w:t>
      </w:r>
      <w:r>
        <w:t xml:space="preserve">, </w:t>
      </w:r>
      <w:r w:rsidRPr="00FD55DF">
        <w:t>86.8</w:t>
      </w:r>
      <w:r w:rsidRPr="00A611B4">
        <w:t>)</w:t>
      </w:r>
      <w:r>
        <w:t>, with the assay detecting only 48% of infections in asymptomatic patients</w:t>
      </w:r>
      <w:bookmarkStart w:id="37" w:name="_Ref132891549"/>
      <w:r w:rsidR="006A64FD">
        <w:rPr>
          <w:rStyle w:val="FootnoteReference"/>
        </w:rPr>
        <w:footnoteReference w:id="29"/>
      </w:r>
      <w:bookmarkEnd w:id="37"/>
      <w:r>
        <w:t xml:space="preserve"> compared with the reference standard resulting in a negative predictive value of 83% (95% CI:</w:t>
      </w:r>
      <w:r w:rsidRPr="00966D45">
        <w:rPr>
          <w:rFonts w:ascii="Cambria" w:hAnsi="Cambria" w:cs="Times New Roman"/>
          <w:color w:val="212121"/>
          <w:szCs w:val="24"/>
          <w:shd w:val="clear" w:color="auto" w:fill="FFFCF0"/>
          <w:lang w:eastAsia="en-GB"/>
        </w:rPr>
        <w:t xml:space="preserve"> </w:t>
      </w:r>
      <w:r w:rsidRPr="00966D45">
        <w:t>76.8</w:t>
      </w:r>
      <w:r>
        <w:t xml:space="preserve">, </w:t>
      </w:r>
      <w:r w:rsidRPr="00966D45">
        <w:t>87.7</w:t>
      </w:r>
      <w:r>
        <w:t>)</w:t>
      </w:r>
      <w:r w:rsidR="006F267D" w:rsidRPr="006F267D">
        <w:rPr>
          <w:vertAlign w:val="superscript"/>
        </w:rPr>
        <w:fldChar w:fldCharType="begin"/>
      </w:r>
      <w:r w:rsidR="006F267D" w:rsidRPr="006F267D">
        <w:rPr>
          <w:vertAlign w:val="superscript"/>
        </w:rPr>
        <w:instrText xml:space="preserve"> NOTEREF _Ref132891549 \h </w:instrText>
      </w:r>
      <w:r w:rsidR="006F267D">
        <w:rPr>
          <w:vertAlign w:val="superscript"/>
        </w:rPr>
        <w:instrText xml:space="preserve"> \* MERGEFORMAT </w:instrText>
      </w:r>
      <w:r w:rsidR="006F267D" w:rsidRPr="006F267D">
        <w:rPr>
          <w:vertAlign w:val="superscript"/>
        </w:rPr>
      </w:r>
      <w:r w:rsidR="006F267D" w:rsidRPr="006F267D">
        <w:rPr>
          <w:vertAlign w:val="superscript"/>
        </w:rPr>
        <w:fldChar w:fldCharType="separate"/>
      </w:r>
      <w:r w:rsidR="00525416">
        <w:rPr>
          <w:vertAlign w:val="superscript"/>
        </w:rPr>
        <w:t>28</w:t>
      </w:r>
      <w:r w:rsidR="006F267D" w:rsidRPr="006F267D">
        <w:rPr>
          <w:vertAlign w:val="superscript"/>
        </w:rPr>
        <w:fldChar w:fldCharType="end"/>
      </w:r>
      <w:r>
        <w:t>. Others reported a positive percentage agreement</w:t>
      </w:r>
      <w:r w:rsidRPr="00E809E7">
        <w:t xml:space="preserve"> of 89% (95% CI, 0.76 to </w:t>
      </w:r>
      <w:r w:rsidRPr="00E809E7">
        <w:lastRenderedPageBreak/>
        <w:t>0.96)</w:t>
      </w:r>
      <w:r w:rsidR="006F267D">
        <w:rPr>
          <w:rStyle w:val="FootnoteReference"/>
        </w:rPr>
        <w:footnoteReference w:id="30"/>
      </w:r>
      <w:r>
        <w:t>, another reported the sensitivity as 88.1% and specificity as 98.6% with no 95% confidence intervals</w:t>
      </w:r>
      <w:r w:rsidR="005602D2">
        <w:rPr>
          <w:rStyle w:val="FootnoteReference"/>
        </w:rPr>
        <w:footnoteReference w:id="31"/>
      </w:r>
      <w:r>
        <w:t xml:space="preserve">. </w:t>
      </w:r>
    </w:p>
    <w:p w14:paraId="367D58A2" w14:textId="3D6B9EB8" w:rsidR="007C4B57" w:rsidRDefault="007C4B57" w:rsidP="00F64EAA">
      <w:r>
        <w:t>Recent documentation from the WHO indicate</w:t>
      </w:r>
      <w:r w:rsidR="00357E4D">
        <w:t>d that this assay has been withdrawn as</w:t>
      </w:r>
      <w:r>
        <w:t xml:space="preserve"> the </w:t>
      </w:r>
      <w:r w:rsidR="009E5047">
        <w:t>manufacturer</w:t>
      </w:r>
      <w:r>
        <w:t xml:space="preserve"> did not renew their existing Emergency Use Licence</w:t>
      </w:r>
      <w:bookmarkStart w:id="38" w:name="_Ref133355706"/>
      <w:r w:rsidR="00357E4D">
        <w:rPr>
          <w:rStyle w:val="FootnoteReference"/>
        </w:rPr>
        <w:footnoteReference w:id="32"/>
      </w:r>
      <w:bookmarkEnd w:id="38"/>
      <w:r>
        <w:t>.</w:t>
      </w:r>
      <w:r w:rsidR="00357E4D">
        <w:t xml:space="preserve"> </w:t>
      </w:r>
    </w:p>
    <w:p w14:paraId="513C59DD" w14:textId="77777777" w:rsidR="00F64EAA" w:rsidRDefault="00F64EAA" w:rsidP="001A02F6">
      <w:pPr>
        <w:pStyle w:val="Heading5"/>
      </w:pPr>
      <w:r>
        <w:t xml:space="preserve">Insufficient information available to assess analytical </w:t>
      </w:r>
      <w:proofErr w:type="gramStart"/>
      <w:r>
        <w:t>validity</w:t>
      </w:r>
      <w:proofErr w:type="gramEnd"/>
    </w:p>
    <w:p w14:paraId="13504FD3" w14:textId="77777777" w:rsidR="00F64EAA" w:rsidRDefault="00F64EAA" w:rsidP="00F64EAA">
      <w:r>
        <w:t>No information (IFU or validation studies) could be located for the following four TGA-registered assays to support their clinical effectiveness, although it appears the last two of these may have been superseded:</w:t>
      </w:r>
    </w:p>
    <w:p w14:paraId="0B1311A5" w14:textId="77777777" w:rsidR="00F64EAA" w:rsidRPr="000F3AF6" w:rsidRDefault="00F64EAA" w:rsidP="00F64EAA">
      <w:pPr>
        <w:pStyle w:val="Nnumberedlist"/>
        <w:rPr>
          <w:rFonts w:ascii="Franklin Gothic Book" w:hAnsi="Franklin Gothic Book"/>
        </w:rPr>
      </w:pPr>
      <w:r w:rsidRPr="000F3AF6">
        <w:rPr>
          <w:rFonts w:ascii="Franklin Gothic Book" w:hAnsi="Franklin Gothic Book"/>
        </w:rPr>
        <w:t>BGI Real-time fluorescent RT-PCR Kit for detecting 2019-</w:t>
      </w:r>
      <w:proofErr w:type="gramStart"/>
      <w:r w:rsidRPr="000F3AF6">
        <w:rPr>
          <w:rFonts w:ascii="Franklin Gothic Book" w:hAnsi="Franklin Gothic Book"/>
        </w:rPr>
        <w:t>nCoV</w:t>
      </w:r>
      <w:proofErr w:type="gramEnd"/>
    </w:p>
    <w:p w14:paraId="75989F0F" w14:textId="77777777" w:rsidR="00F64EAA" w:rsidRPr="000F3AF6" w:rsidRDefault="00F64EAA" w:rsidP="00F64EAA">
      <w:pPr>
        <w:pStyle w:val="Nnumberedlist"/>
        <w:rPr>
          <w:rFonts w:ascii="Franklin Gothic Book" w:hAnsi="Franklin Gothic Book"/>
        </w:rPr>
      </w:pPr>
      <w:r w:rsidRPr="000F3AF6">
        <w:rPr>
          <w:rFonts w:ascii="Franklin Gothic Book" w:hAnsi="Franklin Gothic Book"/>
        </w:rPr>
        <w:t>BGI Real-time fluorescent RT-PCR Kit for detecting SARS-CoV-2</w:t>
      </w:r>
    </w:p>
    <w:p w14:paraId="7B1B0485" w14:textId="019B946B" w:rsidR="00F64EAA" w:rsidRPr="000F3AF6" w:rsidRDefault="00F64EAA" w:rsidP="00F64EAA">
      <w:pPr>
        <w:pStyle w:val="Nnumberedlist"/>
        <w:rPr>
          <w:rFonts w:ascii="Franklin Gothic Book" w:hAnsi="Franklin Gothic Book"/>
        </w:rPr>
      </w:pPr>
      <w:proofErr w:type="spellStart"/>
      <w:r w:rsidRPr="000F3AF6">
        <w:rPr>
          <w:rFonts w:ascii="Franklin Gothic Book" w:hAnsi="Franklin Gothic Book"/>
        </w:rPr>
        <w:t>bioMerieux</w:t>
      </w:r>
      <w:proofErr w:type="spellEnd"/>
      <w:r w:rsidRPr="000F3AF6">
        <w:rPr>
          <w:rFonts w:ascii="Franklin Gothic Book" w:hAnsi="Franklin Gothic Book"/>
        </w:rPr>
        <w:t xml:space="preserve"> (</w:t>
      </w:r>
      <w:proofErr w:type="spellStart"/>
      <w:r w:rsidR="005C69F4" w:rsidRPr="000F3AF6">
        <w:rPr>
          <w:rFonts w:ascii="Franklin Gothic Book" w:hAnsi="Franklin Gothic Book"/>
        </w:rPr>
        <w:t>BioFire</w:t>
      </w:r>
      <w:proofErr w:type="spellEnd"/>
      <w:r w:rsidRPr="000F3AF6">
        <w:rPr>
          <w:rFonts w:ascii="Franklin Gothic Book" w:hAnsi="Franklin Gothic Book"/>
        </w:rPr>
        <w:t>) COVID-19 Test</w:t>
      </w:r>
    </w:p>
    <w:p w14:paraId="56896F1B" w14:textId="77777777" w:rsidR="00F64EAA" w:rsidRPr="000F3AF6" w:rsidRDefault="00F64EAA" w:rsidP="00F64EAA">
      <w:pPr>
        <w:pStyle w:val="Nnumberedlist"/>
        <w:rPr>
          <w:rFonts w:ascii="Franklin Gothic Book" w:hAnsi="Franklin Gothic Book"/>
        </w:rPr>
      </w:pPr>
      <w:r w:rsidRPr="000F3AF6">
        <w:rPr>
          <w:rFonts w:ascii="Franklin Gothic Book" w:hAnsi="Franklin Gothic Book"/>
        </w:rPr>
        <w:t xml:space="preserve">Qiagen </w:t>
      </w:r>
      <w:proofErr w:type="spellStart"/>
      <w:r w:rsidRPr="000F3AF6">
        <w:rPr>
          <w:rFonts w:ascii="Franklin Gothic Book" w:hAnsi="Franklin Gothic Book"/>
        </w:rPr>
        <w:t>QIAstat</w:t>
      </w:r>
      <w:proofErr w:type="spellEnd"/>
      <w:r w:rsidRPr="000F3AF6">
        <w:rPr>
          <w:rFonts w:ascii="Franklin Gothic Book" w:hAnsi="Franklin Gothic Book"/>
        </w:rPr>
        <w:t>-Dx Respiratory 2019-nCoV Panel</w:t>
      </w:r>
    </w:p>
    <w:p w14:paraId="71784455" w14:textId="77777777" w:rsidR="00F64EAA" w:rsidRDefault="00F64EAA" w:rsidP="00F64EAA">
      <w:pPr>
        <w:pStyle w:val="Heading4"/>
      </w:pPr>
      <w:r>
        <w:t>Quality management issues</w:t>
      </w:r>
    </w:p>
    <w:p w14:paraId="2DE275CE" w14:textId="6FDD8234" w:rsidR="00F64EAA" w:rsidRDefault="00F64EAA" w:rsidP="00F64EAA">
      <w:pPr>
        <w:rPr>
          <w:shd w:val="clear" w:color="auto" w:fill="FFFFFF"/>
        </w:rPr>
      </w:pPr>
      <w:r>
        <w:t>Quality Management issues</w:t>
      </w:r>
      <w:r w:rsidR="007C4B57">
        <w:t xml:space="preserve"> precluding granting of an Emergency Use Licence were</w:t>
      </w:r>
      <w:r>
        <w:t xml:space="preserve"> identified by the WHO for the TGA-approved </w:t>
      </w:r>
      <w:r w:rsidRPr="00F92860">
        <w:rPr>
          <w:shd w:val="clear" w:color="auto" w:fill="FFFFFF"/>
        </w:rPr>
        <w:t>Diagnostic Kit for Novel-Coronavirus (2019-nCoV) RNA (Isothermal Amplification-Real Time Fluorescence Assay)</w:t>
      </w:r>
      <w:r>
        <w:rPr>
          <w:shd w:val="clear" w:color="auto" w:fill="FFFFFF"/>
        </w:rPr>
        <w:t xml:space="preserve"> sponsored by </w:t>
      </w:r>
      <w:proofErr w:type="spellStart"/>
      <w:r w:rsidRPr="00F92860">
        <w:rPr>
          <w:shd w:val="clear" w:color="auto" w:fill="FFFFFF"/>
        </w:rPr>
        <w:t>Ustar</w:t>
      </w:r>
      <w:proofErr w:type="spellEnd"/>
      <w:r w:rsidRPr="00F92860">
        <w:rPr>
          <w:shd w:val="clear" w:color="auto" w:fill="FFFFFF"/>
        </w:rPr>
        <w:t xml:space="preserve"> Biotechnologies (Hangzhou) Ltd (China)</w:t>
      </w:r>
      <w:r w:rsidR="007C4B57">
        <w:rPr>
          <w:shd w:val="clear" w:color="auto" w:fill="FFFFFF"/>
        </w:rPr>
        <w:t xml:space="preserve"> in October 2020 (and this was registered by the TGA in November 2020)</w:t>
      </w:r>
      <w:r>
        <w:rPr>
          <w:shd w:val="clear" w:color="auto" w:fill="FFFFFF"/>
        </w:rPr>
        <w:t xml:space="preserve">. From the </w:t>
      </w:r>
      <w:r w:rsidR="007C4B57">
        <w:rPr>
          <w:shd w:val="clear" w:color="auto" w:fill="FFFFFF"/>
        </w:rPr>
        <w:t xml:space="preserve">currently </w:t>
      </w:r>
      <w:r>
        <w:rPr>
          <w:shd w:val="clear" w:color="auto" w:fill="FFFFFF"/>
        </w:rPr>
        <w:t>available information, these do not appear to have been resolved</w:t>
      </w:r>
      <w:r w:rsidR="00012A61" w:rsidRPr="00012A61">
        <w:rPr>
          <w:shd w:val="clear" w:color="auto" w:fill="FFFFFF"/>
          <w:vertAlign w:val="superscript"/>
        </w:rPr>
        <w:fldChar w:fldCharType="begin"/>
      </w:r>
      <w:r w:rsidR="00012A61" w:rsidRPr="00012A61">
        <w:rPr>
          <w:shd w:val="clear" w:color="auto" w:fill="FFFFFF"/>
          <w:vertAlign w:val="superscript"/>
        </w:rPr>
        <w:instrText xml:space="preserve"> NOTEREF _Ref133355706 \h </w:instrText>
      </w:r>
      <w:r w:rsidR="00012A61">
        <w:rPr>
          <w:shd w:val="clear" w:color="auto" w:fill="FFFFFF"/>
          <w:vertAlign w:val="superscript"/>
        </w:rPr>
        <w:instrText xml:space="preserve"> \* MERGEFORMAT </w:instrText>
      </w:r>
      <w:r w:rsidR="00012A61" w:rsidRPr="00012A61">
        <w:rPr>
          <w:shd w:val="clear" w:color="auto" w:fill="FFFFFF"/>
          <w:vertAlign w:val="superscript"/>
        </w:rPr>
      </w:r>
      <w:r w:rsidR="00012A61" w:rsidRPr="00012A61">
        <w:rPr>
          <w:shd w:val="clear" w:color="auto" w:fill="FFFFFF"/>
          <w:vertAlign w:val="superscript"/>
        </w:rPr>
        <w:fldChar w:fldCharType="separate"/>
      </w:r>
      <w:r w:rsidR="00525416">
        <w:rPr>
          <w:shd w:val="clear" w:color="auto" w:fill="FFFFFF"/>
          <w:vertAlign w:val="superscript"/>
        </w:rPr>
        <w:t>31</w:t>
      </w:r>
      <w:r w:rsidR="00012A61" w:rsidRPr="00012A61">
        <w:rPr>
          <w:shd w:val="clear" w:color="auto" w:fill="FFFFFF"/>
          <w:vertAlign w:val="superscript"/>
        </w:rPr>
        <w:fldChar w:fldCharType="end"/>
      </w:r>
      <w:r>
        <w:rPr>
          <w:shd w:val="clear" w:color="auto" w:fill="FFFFFF"/>
        </w:rPr>
        <w:t xml:space="preserve"> – whether this device is being used in Australia is not clear as no information other than the WHO document could be located.</w:t>
      </w:r>
    </w:p>
    <w:p w14:paraId="63CE1C4D" w14:textId="77777777" w:rsidR="00F64EAA" w:rsidRDefault="00F64EAA" w:rsidP="00F64EAA">
      <w:pPr>
        <w:pStyle w:val="Heading4"/>
        <w:rPr>
          <w:shd w:val="clear" w:color="auto" w:fill="FFFFFF"/>
        </w:rPr>
      </w:pPr>
      <w:r>
        <w:rPr>
          <w:shd w:val="clear" w:color="auto" w:fill="FFFFFF"/>
        </w:rPr>
        <w:t>TGA registration status</w:t>
      </w:r>
    </w:p>
    <w:p w14:paraId="7520A636" w14:textId="4E22A1F0" w:rsidR="00F64EAA" w:rsidRDefault="00F64EAA" w:rsidP="00F64EAA">
      <w:r>
        <w:t xml:space="preserve">The </w:t>
      </w:r>
      <w:r w:rsidRPr="007917D8">
        <w:t xml:space="preserve">GSD </w:t>
      </w:r>
      <w:proofErr w:type="spellStart"/>
      <w:r w:rsidRPr="007917D8">
        <w:t>NovaPrime</w:t>
      </w:r>
      <w:proofErr w:type="spellEnd"/>
      <w:r w:rsidRPr="007917D8">
        <w:t xml:space="preserve"> SARS-CoV-2 (COVID-19) RT-PCR Kit </w:t>
      </w:r>
      <w:r>
        <w:t>was reported to be in use based on the most recent RCPA QAP enrolment data, but no information or ARTG entry could be identified on the TGA website.</w:t>
      </w:r>
      <w:r w:rsidR="00012A61">
        <w:t xml:space="preserve"> It </w:t>
      </w:r>
      <w:r w:rsidR="005602D2">
        <w:t>was</w:t>
      </w:r>
      <w:r w:rsidR="00012A61">
        <w:t xml:space="preserve"> unclear whether this assay uses a combined extraction and amplification </w:t>
      </w:r>
      <w:proofErr w:type="gramStart"/>
      <w:r w:rsidR="00012A61">
        <w:t>step</w:t>
      </w:r>
      <w:proofErr w:type="gramEnd"/>
      <w:r w:rsidR="00012A61">
        <w:t xml:space="preserve"> but the manufacturer claims a result is available within 1 hour</w:t>
      </w:r>
      <w:r w:rsidR="00012A61">
        <w:rPr>
          <w:rStyle w:val="FootnoteReference"/>
        </w:rPr>
        <w:footnoteReference w:id="33"/>
      </w:r>
      <w:r w:rsidR="00012A61">
        <w:t>, and thus it has been included.</w:t>
      </w:r>
    </w:p>
    <w:p w14:paraId="2EA71115" w14:textId="0696FD37" w:rsidR="00B513B4" w:rsidRDefault="00B513B4" w:rsidP="00B513B4">
      <w:pPr>
        <w:pStyle w:val="Heading3"/>
      </w:pPr>
      <w:bookmarkStart w:id="39" w:name="_Toc133832631"/>
      <w:r>
        <w:t>Summary and Conclusions</w:t>
      </w:r>
      <w:bookmarkEnd w:id="39"/>
    </w:p>
    <w:p w14:paraId="00956992" w14:textId="69FC9C82" w:rsidR="00F64EAA" w:rsidRDefault="00B513B4" w:rsidP="00F64EAA">
      <w:r>
        <w:t>Rapid NAATs are in constant evolution with new targets or viruses being added. There has been a shift away from single SARS-CoV-2 testing</w:t>
      </w:r>
      <w:r w:rsidR="005E5470">
        <w:t>,</w:t>
      </w:r>
      <w:r>
        <w:t xml:space="preserve"> to production of assays with at least SARS-CoV-2, Influenza A and B, with or without RSV. </w:t>
      </w:r>
      <w:r w:rsidR="00F64EAA">
        <w:t xml:space="preserve">Based on the RCPA QAP enrolments, </w:t>
      </w:r>
      <w:r w:rsidR="0088751F">
        <w:t xml:space="preserve">the rapid NAATs used most widely in Australia are produced by </w:t>
      </w:r>
      <w:r w:rsidR="00F64EAA">
        <w:t>four manufacturers: Cepheid</w:t>
      </w:r>
      <w:r>
        <w:t xml:space="preserve"> (</w:t>
      </w:r>
      <w:r w:rsidR="0088751F">
        <w:t xml:space="preserve">either </w:t>
      </w:r>
      <w:r>
        <w:t xml:space="preserve">one </w:t>
      </w:r>
      <w:r w:rsidR="0088751F">
        <w:t>or</w:t>
      </w:r>
      <w:r>
        <w:t xml:space="preserve"> four pathogens)</w:t>
      </w:r>
      <w:r w:rsidR="00F64EAA">
        <w:t>, Roche</w:t>
      </w:r>
      <w:r>
        <w:t xml:space="preserve"> (one </w:t>
      </w:r>
      <w:r w:rsidR="0088751F">
        <w:t>or</w:t>
      </w:r>
      <w:r>
        <w:t xml:space="preserve"> three pathogens tested)</w:t>
      </w:r>
      <w:r w:rsidR="00F64EAA">
        <w:t>, and</w:t>
      </w:r>
      <w:r>
        <w:t xml:space="preserve"> the larger assays</w:t>
      </w:r>
      <w:r w:rsidR="00F64EAA">
        <w:t xml:space="preserve"> </w:t>
      </w:r>
      <w:r>
        <w:t xml:space="preserve">from </w:t>
      </w:r>
      <w:proofErr w:type="spellStart"/>
      <w:r w:rsidR="005C69F4">
        <w:t>BioFire</w:t>
      </w:r>
      <w:proofErr w:type="spellEnd"/>
      <w:r w:rsidR="005E5470">
        <w:t xml:space="preserve"> (22 or 23 </w:t>
      </w:r>
      <w:r w:rsidR="005E5470">
        <w:lastRenderedPageBreak/>
        <w:t>pathogens, depending on which generation of assay is used)</w:t>
      </w:r>
      <w:r>
        <w:t xml:space="preserve"> and</w:t>
      </w:r>
      <w:r w:rsidRPr="00B513B4">
        <w:t xml:space="preserve"> </w:t>
      </w:r>
      <w:r>
        <w:t>Qiagen</w:t>
      </w:r>
      <w:r w:rsidR="00F64EAA">
        <w:t xml:space="preserve">. For the first </w:t>
      </w:r>
      <w:r>
        <w:t>three</w:t>
      </w:r>
      <w:r w:rsidR="00F64EAA">
        <w:t xml:space="preserve"> </w:t>
      </w:r>
      <w:r w:rsidR="0088751F">
        <w:t xml:space="preserve">manufacturer’s </w:t>
      </w:r>
      <w:r w:rsidR="00F64EAA">
        <w:t>assays, there was strong evidence supporting a noninferior analytical validity compared with the reference standard NAAT, although some are either already or will soon be superseded (</w:t>
      </w:r>
      <w:r w:rsidR="0088751F">
        <w:fldChar w:fldCharType="begin"/>
      </w:r>
      <w:r w:rsidR="0088751F">
        <w:instrText xml:space="preserve"> REF _Ref130546313 \h </w:instrText>
      </w:r>
      <w:r w:rsidR="0088751F">
        <w:fldChar w:fldCharType="separate"/>
      </w:r>
      <w:r w:rsidR="00525416">
        <w:t xml:space="preserve">Table </w:t>
      </w:r>
      <w:r w:rsidR="00525416">
        <w:rPr>
          <w:noProof/>
        </w:rPr>
        <w:t>10</w:t>
      </w:r>
      <w:r w:rsidR="0088751F">
        <w:fldChar w:fldCharType="end"/>
      </w:r>
      <w:r w:rsidR="00F64EAA">
        <w:t xml:space="preserve">). </w:t>
      </w:r>
      <w:r>
        <w:t xml:space="preserve">For the Qiagen assay, this appeared to have lower sensitivity compared with </w:t>
      </w:r>
      <w:r w:rsidR="0088751F">
        <w:t xml:space="preserve">the </w:t>
      </w:r>
      <w:proofErr w:type="spellStart"/>
      <w:r w:rsidR="0088751F">
        <w:t>BioFire</w:t>
      </w:r>
      <w:proofErr w:type="spellEnd"/>
      <w:r w:rsidR="0088751F">
        <w:t xml:space="preserve"> assay or </w:t>
      </w:r>
      <w:r>
        <w:t xml:space="preserve">standard NAATs for </w:t>
      </w:r>
      <w:proofErr w:type="gramStart"/>
      <w:r>
        <w:t>a number of</w:t>
      </w:r>
      <w:proofErr w:type="gramEnd"/>
      <w:r>
        <w:t xml:space="preserve"> pathogens. </w:t>
      </w:r>
      <w:r w:rsidR="00F64EAA">
        <w:t xml:space="preserve">However, for the Abbott ID Now COVID-19 assay and the </w:t>
      </w:r>
      <w:proofErr w:type="spellStart"/>
      <w:r w:rsidR="00F64EAA" w:rsidRPr="00542FE2">
        <w:t>Simplexa</w:t>
      </w:r>
      <w:proofErr w:type="spellEnd"/>
      <w:r w:rsidR="00F64EAA" w:rsidRPr="00542FE2">
        <w:t>™ COVID-19 Direct</w:t>
      </w:r>
      <w:r w:rsidR="00F64EAA">
        <w:t xml:space="preserve"> assay, there were consistent reports of sensitivity levels below 90%. While there did not appear to be a cut-off reported for an acceptable concordance, a clinical expert has indicated that ≥90% would be a minimum for an acceptable diagnostic assay. One TGA-registered rapid NAAT appears to have had approval withheld by the World Health Organization in October 2020 due to quality systems issues that were not resolved (there were no reported users in the RCPA QAP) and another assay reported to have one user in the RCPA QAP but no information regarding its registration status could be located on the TGA website. </w:t>
      </w:r>
    </w:p>
    <w:p w14:paraId="7EFFB491" w14:textId="77777777" w:rsidR="00F64EAA" w:rsidRDefault="00F64EAA" w:rsidP="00F64EAA">
      <w:r>
        <w:t xml:space="preserve">Issues relating to the safety of these rapid NAATs are mostly where inferior sensitivity results in a false negative result, which in the target population would lead to a delay in the diagnosis or missed diagnosis and lost opportunity for early intervention with an effective therapy which may increase the risk of severe illness, </w:t>
      </w:r>
      <w:proofErr w:type="gramStart"/>
      <w:r>
        <w:t>hospitalisation</w:t>
      </w:r>
      <w:proofErr w:type="gramEnd"/>
      <w:r>
        <w:t xml:space="preserve"> and death, depending on the pathogen. False positives were much less common.</w:t>
      </w:r>
    </w:p>
    <w:p w14:paraId="471AA8A6" w14:textId="7CAA7595" w:rsidR="00F64EAA" w:rsidRPr="000361D5" w:rsidRDefault="00F64EAA" w:rsidP="00542FE2">
      <w:r>
        <w:t xml:space="preserve">The key limitations of the evidence were the generally low quality of many of the studies, the evolving IFUs </w:t>
      </w:r>
      <w:r w:rsidR="00D31C83">
        <w:t>addressing concerns so that</w:t>
      </w:r>
      <w:r>
        <w:t xml:space="preserve"> earlier study findings </w:t>
      </w:r>
      <w:r w:rsidR="00D31C83">
        <w:t>and concerns may</w:t>
      </w:r>
      <w:r>
        <w:t xml:space="preserve"> no</w:t>
      </w:r>
      <w:r w:rsidR="007A056B">
        <w:t xml:space="preserve"> longer </w:t>
      </w:r>
      <w:r w:rsidR="00D31C83">
        <w:t xml:space="preserve">be </w:t>
      </w:r>
      <w:r>
        <w:t>valid (e.g., Abbott ID Now COVID-19 assay) and</w:t>
      </w:r>
      <w:r w:rsidR="007A056B">
        <w:t xml:space="preserve"> a</w:t>
      </w:r>
      <w:r>
        <w:t xml:space="preserve"> high risk of bias arising from the patient </w:t>
      </w:r>
      <w:proofErr w:type="gramStart"/>
      <w:r>
        <w:t>selection</w:t>
      </w:r>
      <w:proofErr w:type="gramEnd"/>
      <w:r>
        <w:t xml:space="preserve"> or the types of samples used and not following the IFU. </w:t>
      </w:r>
    </w:p>
    <w:p w14:paraId="0D09C9E4" w14:textId="77667D03" w:rsidR="00772829" w:rsidRDefault="00C36633" w:rsidP="002A18BE">
      <w:pPr>
        <w:pStyle w:val="Heading2"/>
        <w:numPr>
          <w:ilvl w:val="0"/>
          <w:numId w:val="0"/>
        </w:numPr>
      </w:pPr>
      <w:bookmarkStart w:id="40" w:name="_Toc133832632"/>
      <w:r>
        <w:t>1</w:t>
      </w:r>
      <w:r w:rsidR="00CB2E78">
        <w:t>3</w:t>
      </w:r>
      <w:r>
        <w:t>.</w:t>
      </w:r>
      <w:r>
        <w:tab/>
      </w:r>
      <w:r w:rsidR="00772829" w:rsidRPr="00CE28E3">
        <w:t>Economic evaluation</w:t>
      </w:r>
      <w:bookmarkEnd w:id="40"/>
    </w:p>
    <w:p w14:paraId="79FDEB9D" w14:textId="6A7A4E5E" w:rsidR="00D62CA8" w:rsidRDefault="00D62CA8" w:rsidP="00D62CA8">
      <w:pPr>
        <w:pStyle w:val="Heading3"/>
      </w:pPr>
      <w:r>
        <w:t>Intervention versus comparator</w:t>
      </w:r>
    </w:p>
    <w:p w14:paraId="1B3E0632" w14:textId="6C62C157" w:rsidR="00072B67" w:rsidRDefault="00AB30C9" w:rsidP="00AB30C9">
      <w:r>
        <w:t xml:space="preserve">The MSAC Executive </w:t>
      </w:r>
      <w:r w:rsidR="00426ADB">
        <w:t xml:space="preserve">advised </w:t>
      </w:r>
      <w:r>
        <w:t xml:space="preserve">a cost-consequences analysis </w:t>
      </w:r>
      <w:r w:rsidR="00426ADB">
        <w:t xml:space="preserve">was </w:t>
      </w:r>
      <w:r w:rsidR="00072B67">
        <w:t xml:space="preserve">the appropriate economic modelling </w:t>
      </w:r>
      <w:r>
        <w:t xml:space="preserve">to inform the value proposition of </w:t>
      </w:r>
      <w:r w:rsidR="00C94DCE">
        <w:t>SARS-CoV-2 and respiratory pathogen testing</w:t>
      </w:r>
      <w:r>
        <w:t xml:space="preserve">. </w:t>
      </w:r>
      <w:r w:rsidR="005D4BCA">
        <w:t>The results of the cost-consequences analysis are presented below (</w:t>
      </w:r>
      <w:r w:rsidR="00BF2E6C">
        <w:t>Table 11</w:t>
      </w:r>
      <w:r w:rsidR="005D4BCA">
        <w:t>).</w:t>
      </w:r>
    </w:p>
    <w:p w14:paraId="5CB5BDD7" w14:textId="4340D758" w:rsidR="008007DA" w:rsidRPr="008007DA" w:rsidRDefault="005D4BCA" w:rsidP="008007DA">
      <w:r>
        <w:t>I</w:t>
      </w:r>
      <w:r w:rsidR="00C94DCE">
        <w:t xml:space="preserve">ntervention and comparator </w:t>
      </w:r>
      <w:r>
        <w:t>services would b</w:t>
      </w:r>
      <w:r w:rsidR="00476431">
        <w:t>e comprised of</w:t>
      </w:r>
      <w:r w:rsidR="00C94DCE">
        <w:t xml:space="preserve"> the same tests</w:t>
      </w:r>
      <w:r>
        <w:t>,</w:t>
      </w:r>
      <w:r w:rsidR="00C94DCE">
        <w:t xml:space="preserve"> therefore there </w:t>
      </w:r>
      <w:r w:rsidR="009D65A1">
        <w:t>wa</w:t>
      </w:r>
      <w:r w:rsidR="00C94DCE">
        <w:t>s no difference in outcomes. Caution should be exercised when considering any difference in the fees</w:t>
      </w:r>
      <w:r w:rsidR="00833390">
        <w:t xml:space="preserve"> presented for the intervention or the comparator</w:t>
      </w:r>
      <w:r w:rsidR="00C94DCE">
        <w:t xml:space="preserve">, </w:t>
      </w:r>
      <w:r w:rsidR="005175D2">
        <w:t xml:space="preserve">because </w:t>
      </w:r>
      <w:r w:rsidR="00476431">
        <w:t>costing</w:t>
      </w:r>
      <w:r w:rsidR="005175D2">
        <w:t>s showed</w:t>
      </w:r>
      <w:r w:rsidR="00476431">
        <w:t xml:space="preserve"> </w:t>
      </w:r>
      <w:r w:rsidR="00C94DCE">
        <w:t>the current comparator fees are not sufficient to cover the costs of nucleic acid testing</w:t>
      </w:r>
      <w:r w:rsidR="00476431">
        <w:t xml:space="preserve"> and some of the proposed services </w:t>
      </w:r>
      <w:r w:rsidR="00833390">
        <w:t>w</w:t>
      </w:r>
      <w:r w:rsidR="00476431">
        <w:t>ould not be</w:t>
      </w:r>
      <w:r w:rsidR="00833390">
        <w:t xml:space="preserve"> able to be</w:t>
      </w:r>
      <w:r w:rsidR="00476431">
        <w:t xml:space="preserve"> provided within the </w:t>
      </w:r>
      <w:r w:rsidR="00833390">
        <w:t xml:space="preserve">proposed </w:t>
      </w:r>
      <w:r w:rsidR="00476431">
        <w:t>fee</w:t>
      </w:r>
      <w:r w:rsidR="00C94DCE">
        <w:t>.</w:t>
      </w:r>
      <w:bookmarkStart w:id="41" w:name="_Ref133929458"/>
      <w:r w:rsidR="008007DA">
        <w:br w:type="page"/>
      </w:r>
    </w:p>
    <w:p w14:paraId="1C568FF8" w14:textId="313AA88C" w:rsidR="00AD54D9" w:rsidRDefault="00AD54D9" w:rsidP="00AD54D9">
      <w:pPr>
        <w:pStyle w:val="Caption"/>
      </w:pPr>
      <w:r>
        <w:lastRenderedPageBreak/>
        <w:t xml:space="preserve">Table </w:t>
      </w:r>
      <w:r>
        <w:fldChar w:fldCharType="begin"/>
      </w:r>
      <w:r>
        <w:instrText>SEQ Table \* ARABIC</w:instrText>
      </w:r>
      <w:r>
        <w:fldChar w:fldCharType="separate"/>
      </w:r>
      <w:r w:rsidR="00525416">
        <w:rPr>
          <w:noProof/>
        </w:rPr>
        <w:t>11</w:t>
      </w:r>
      <w:r>
        <w:fldChar w:fldCharType="end"/>
      </w:r>
      <w:bookmarkEnd w:id="41"/>
      <w:r>
        <w:t xml:space="preserve"> Cost consequences analysis for</w:t>
      </w:r>
      <w:r w:rsidR="00B66274">
        <w:t xml:space="preserve"> proposed</w:t>
      </w:r>
      <w:r w:rsidR="000A0AC7">
        <w:t xml:space="preserve"> laboratory-based</w:t>
      </w:r>
      <w:r w:rsidR="004F6AD1">
        <w:t xml:space="preserve"> rapid and</w:t>
      </w:r>
      <w:r>
        <w:t xml:space="preserve"> </w:t>
      </w:r>
      <w:r w:rsidR="00136A8D">
        <w:t>s</w:t>
      </w:r>
      <w:r w:rsidR="001E31CC" w:rsidRPr="001E31CC">
        <w:t>tandard NAAT</w:t>
      </w:r>
      <w:r w:rsidR="00B85996">
        <w:t>s</w:t>
      </w:r>
      <w:r w:rsidR="001E31CC" w:rsidRPr="001E31CC">
        <w:t xml:space="preserve"> </w:t>
      </w:r>
      <w:r>
        <w:t>for SARS-CoV-2 and respiratory pathogen testing</w:t>
      </w:r>
    </w:p>
    <w:tbl>
      <w:tblPr>
        <w:tblStyle w:val="TableGrid"/>
        <w:tblW w:w="9067" w:type="dxa"/>
        <w:tblLook w:val="04A0" w:firstRow="1" w:lastRow="0" w:firstColumn="1" w:lastColumn="0" w:noHBand="0" w:noVBand="1"/>
      </w:tblPr>
      <w:tblGrid>
        <w:gridCol w:w="2689"/>
        <w:gridCol w:w="2280"/>
        <w:gridCol w:w="2279"/>
        <w:gridCol w:w="1819"/>
      </w:tblGrid>
      <w:tr w:rsidR="003078F7" w14:paraId="6597751E" w14:textId="77777777" w:rsidTr="0020723B">
        <w:trPr>
          <w:trHeight w:val="294"/>
          <w:tblHeader/>
        </w:trPr>
        <w:tc>
          <w:tcPr>
            <w:tcW w:w="2689" w:type="dxa"/>
          </w:tcPr>
          <w:p w14:paraId="7546B820" w14:textId="77B8BB71" w:rsidR="003078F7" w:rsidRPr="003078F7" w:rsidRDefault="00611184" w:rsidP="00654AA8">
            <w:pPr>
              <w:pStyle w:val="In-tableHeading"/>
            </w:pPr>
            <w:r>
              <w:t>Parameter</w:t>
            </w:r>
          </w:p>
        </w:tc>
        <w:tc>
          <w:tcPr>
            <w:tcW w:w="2280" w:type="dxa"/>
          </w:tcPr>
          <w:p w14:paraId="351298F7" w14:textId="17989710" w:rsidR="003078F7" w:rsidRPr="003078F7" w:rsidRDefault="003078F7" w:rsidP="00FF692C">
            <w:pPr>
              <w:pStyle w:val="In-tableHeading"/>
            </w:pPr>
            <w:r w:rsidRPr="003078F7">
              <w:t>Intervention</w:t>
            </w:r>
          </w:p>
        </w:tc>
        <w:tc>
          <w:tcPr>
            <w:tcW w:w="2279" w:type="dxa"/>
          </w:tcPr>
          <w:p w14:paraId="25830097" w14:textId="52666E32" w:rsidR="003078F7" w:rsidRPr="003078F7" w:rsidRDefault="003078F7" w:rsidP="009E6EFD">
            <w:pPr>
              <w:pStyle w:val="In-tableHeading"/>
            </w:pPr>
            <w:r w:rsidRPr="003078F7">
              <w:t>Comparator</w:t>
            </w:r>
          </w:p>
        </w:tc>
        <w:tc>
          <w:tcPr>
            <w:tcW w:w="1819" w:type="dxa"/>
          </w:tcPr>
          <w:p w14:paraId="2DBA77EC" w14:textId="14066E7D" w:rsidR="003078F7" w:rsidRPr="003078F7" w:rsidRDefault="004C4DA1" w:rsidP="004C6880">
            <w:pPr>
              <w:pStyle w:val="In-tableHeading"/>
            </w:pPr>
            <w:r>
              <w:t>Increment</w:t>
            </w:r>
          </w:p>
        </w:tc>
      </w:tr>
      <w:tr w:rsidR="00654706" w:rsidRPr="00654706" w14:paraId="18EB70B0" w14:textId="77777777" w:rsidTr="00341D13">
        <w:trPr>
          <w:trHeight w:val="294"/>
          <w:tblHeader/>
        </w:trPr>
        <w:tc>
          <w:tcPr>
            <w:tcW w:w="9067" w:type="dxa"/>
            <w:gridSpan w:val="4"/>
          </w:tcPr>
          <w:p w14:paraId="1EE02B57" w14:textId="79B3DCC1" w:rsidR="00654706" w:rsidRPr="0078130E" w:rsidRDefault="00654706" w:rsidP="00654AA8">
            <w:pPr>
              <w:pStyle w:val="In-tableHeading"/>
              <w:rPr>
                <w:i/>
                <w:iCs/>
              </w:rPr>
            </w:pPr>
            <w:r w:rsidRPr="0078130E">
              <w:rPr>
                <w:i/>
                <w:iCs/>
              </w:rPr>
              <w:t>Costs</w:t>
            </w:r>
          </w:p>
        </w:tc>
      </w:tr>
      <w:tr w:rsidR="00654706" w14:paraId="5C086372" w14:textId="77777777" w:rsidTr="0020723B">
        <w:tc>
          <w:tcPr>
            <w:tcW w:w="2689" w:type="dxa"/>
          </w:tcPr>
          <w:p w14:paraId="50A9AFF5" w14:textId="77777777" w:rsidR="00654706" w:rsidRPr="004F6AD1" w:rsidRDefault="00654706" w:rsidP="007B74B9">
            <w:pPr>
              <w:pStyle w:val="Tabletext0"/>
              <w:jc w:val="left"/>
              <w:rPr>
                <w:b/>
                <w:bCs/>
              </w:rPr>
            </w:pPr>
            <w:r w:rsidRPr="004F6AD1">
              <w:rPr>
                <w:b/>
                <w:bCs/>
              </w:rPr>
              <w:t>HTA group items</w:t>
            </w:r>
            <w:r>
              <w:rPr>
                <w:b/>
                <w:bCs/>
              </w:rPr>
              <w:t xml:space="preserve"> (option 1)</w:t>
            </w:r>
          </w:p>
        </w:tc>
        <w:tc>
          <w:tcPr>
            <w:tcW w:w="2280" w:type="dxa"/>
          </w:tcPr>
          <w:p w14:paraId="18D019BB" w14:textId="77777777" w:rsidR="00654706" w:rsidRDefault="00654706" w:rsidP="007B74B9">
            <w:pPr>
              <w:pStyle w:val="Tabletext0"/>
              <w:jc w:val="left"/>
            </w:pPr>
            <w:r w:rsidRPr="00611184">
              <w:t xml:space="preserve">Item </w:t>
            </w:r>
            <w:r>
              <w:t>XXXX</w:t>
            </w:r>
            <w:r w:rsidRPr="00611184">
              <w:t xml:space="preserve"> </w:t>
            </w:r>
            <w:r>
              <w:t>(4-pathogen panel)</w:t>
            </w:r>
          </w:p>
        </w:tc>
        <w:tc>
          <w:tcPr>
            <w:tcW w:w="2279" w:type="dxa"/>
          </w:tcPr>
          <w:p w14:paraId="0277D89B" w14:textId="77777777" w:rsidR="00654706" w:rsidRDefault="00654706" w:rsidP="007B74B9">
            <w:pPr>
              <w:pStyle w:val="Tabletext0"/>
              <w:jc w:val="left"/>
            </w:pPr>
            <w:r w:rsidRPr="00611184">
              <w:t>Item 69496 (≥3 tests)</w:t>
            </w:r>
          </w:p>
        </w:tc>
        <w:tc>
          <w:tcPr>
            <w:tcW w:w="1819" w:type="dxa"/>
          </w:tcPr>
          <w:p w14:paraId="4ABD523A" w14:textId="77777777" w:rsidR="00654706" w:rsidRDefault="00654706" w:rsidP="007B74B9">
            <w:pPr>
              <w:pStyle w:val="Tabletext0"/>
              <w:jc w:val="left"/>
            </w:pPr>
          </w:p>
        </w:tc>
      </w:tr>
      <w:tr w:rsidR="00654706" w14:paraId="5F2CA6D7" w14:textId="77777777" w:rsidTr="0020723B">
        <w:tc>
          <w:tcPr>
            <w:tcW w:w="2689" w:type="dxa"/>
          </w:tcPr>
          <w:p w14:paraId="48DBFE3B" w14:textId="77777777" w:rsidR="00654706" w:rsidRDefault="00654706" w:rsidP="007B74B9">
            <w:pPr>
              <w:pStyle w:val="Tabletext0"/>
              <w:jc w:val="left"/>
            </w:pPr>
            <w:r w:rsidRPr="003078F7">
              <w:t>Fee</w:t>
            </w:r>
          </w:p>
        </w:tc>
        <w:tc>
          <w:tcPr>
            <w:tcW w:w="2280" w:type="dxa"/>
          </w:tcPr>
          <w:p w14:paraId="3AB4F3E7" w14:textId="22991CA4" w:rsidR="00654706" w:rsidRDefault="00654706" w:rsidP="007B74B9">
            <w:pPr>
              <w:pStyle w:val="Tabletext0"/>
              <w:jc w:val="left"/>
            </w:pPr>
            <w:r w:rsidRPr="0078130E">
              <w:rPr>
                <w:strike/>
              </w:rPr>
              <w:t>$51.45</w:t>
            </w:r>
            <w:r w:rsidR="006B75C2">
              <w:t xml:space="preserve"> </w:t>
            </w:r>
            <w:r w:rsidR="006B75C2" w:rsidRPr="0078130E">
              <w:rPr>
                <w:i/>
                <w:iCs/>
                <w:color w:val="0070C0"/>
              </w:rPr>
              <w:t>$78.25</w:t>
            </w:r>
          </w:p>
        </w:tc>
        <w:tc>
          <w:tcPr>
            <w:tcW w:w="2279" w:type="dxa"/>
          </w:tcPr>
          <w:p w14:paraId="4AFDAFEC" w14:textId="77777777" w:rsidR="00654706" w:rsidRDefault="00654706" w:rsidP="007B74B9">
            <w:pPr>
              <w:pStyle w:val="Tabletext0"/>
              <w:jc w:val="left"/>
            </w:pPr>
            <w:r w:rsidRPr="00611184">
              <w:t>$43.05</w:t>
            </w:r>
          </w:p>
        </w:tc>
        <w:tc>
          <w:tcPr>
            <w:tcW w:w="1819" w:type="dxa"/>
          </w:tcPr>
          <w:p w14:paraId="0152C3C2" w14:textId="256ABEA6" w:rsidR="00654706" w:rsidRDefault="00654706" w:rsidP="007B74B9">
            <w:pPr>
              <w:pStyle w:val="Tabletext0"/>
              <w:jc w:val="left"/>
            </w:pPr>
            <w:r w:rsidRPr="0078130E">
              <w:rPr>
                <w:strike/>
              </w:rPr>
              <w:t>$8.40</w:t>
            </w:r>
            <w:r w:rsidR="007A480A">
              <w:t xml:space="preserve"> </w:t>
            </w:r>
            <w:r w:rsidR="007A480A" w:rsidRPr="0078130E">
              <w:rPr>
                <w:i/>
                <w:iCs/>
                <w:color w:val="0070C0"/>
              </w:rPr>
              <w:t>$3</w:t>
            </w:r>
            <w:r w:rsidR="00CE5F83">
              <w:rPr>
                <w:i/>
                <w:iCs/>
                <w:color w:val="0070C0"/>
              </w:rPr>
              <w:t>5</w:t>
            </w:r>
            <w:r w:rsidR="007A480A" w:rsidRPr="0078130E">
              <w:rPr>
                <w:i/>
                <w:iCs/>
                <w:color w:val="0070C0"/>
              </w:rPr>
              <w:t>.</w:t>
            </w:r>
            <w:r w:rsidR="00CE5F83">
              <w:rPr>
                <w:i/>
                <w:iCs/>
                <w:color w:val="0070C0"/>
              </w:rPr>
              <w:t>20</w:t>
            </w:r>
          </w:p>
        </w:tc>
      </w:tr>
      <w:tr w:rsidR="00654706" w14:paraId="2C1AE192" w14:textId="77777777" w:rsidTr="0020723B">
        <w:tc>
          <w:tcPr>
            <w:tcW w:w="2689" w:type="dxa"/>
          </w:tcPr>
          <w:p w14:paraId="4F097D3E" w14:textId="77777777" w:rsidR="00654706" w:rsidRDefault="00654706" w:rsidP="007B74B9">
            <w:pPr>
              <w:pStyle w:val="Tabletext0"/>
              <w:jc w:val="left"/>
            </w:pPr>
          </w:p>
        </w:tc>
        <w:tc>
          <w:tcPr>
            <w:tcW w:w="2280" w:type="dxa"/>
          </w:tcPr>
          <w:p w14:paraId="3A16917C" w14:textId="77777777" w:rsidR="00654706" w:rsidRDefault="00654706" w:rsidP="007B74B9">
            <w:pPr>
              <w:pStyle w:val="Tabletext0"/>
              <w:jc w:val="left"/>
            </w:pPr>
            <w:r w:rsidRPr="00611184">
              <w:t xml:space="preserve">Item </w:t>
            </w:r>
            <w:r>
              <w:t>YYYY</w:t>
            </w:r>
            <w:r w:rsidRPr="00611184">
              <w:t xml:space="preserve"> (</w:t>
            </w:r>
            <w:r>
              <w:t>≥5 pathogens</w:t>
            </w:r>
            <w:r w:rsidRPr="00611184">
              <w:t>)</w:t>
            </w:r>
          </w:p>
        </w:tc>
        <w:tc>
          <w:tcPr>
            <w:tcW w:w="2279" w:type="dxa"/>
          </w:tcPr>
          <w:p w14:paraId="0ED81359" w14:textId="77777777" w:rsidR="00654706" w:rsidRDefault="00654706" w:rsidP="007B74B9">
            <w:pPr>
              <w:pStyle w:val="Tabletext0"/>
              <w:jc w:val="left"/>
            </w:pPr>
            <w:r w:rsidRPr="00611184">
              <w:t>Item 69496 (≥3 tests)</w:t>
            </w:r>
          </w:p>
        </w:tc>
        <w:tc>
          <w:tcPr>
            <w:tcW w:w="1819" w:type="dxa"/>
          </w:tcPr>
          <w:p w14:paraId="126AF3E2" w14:textId="77777777" w:rsidR="00654706" w:rsidRDefault="00654706" w:rsidP="007B74B9">
            <w:pPr>
              <w:pStyle w:val="Tabletext0"/>
              <w:jc w:val="left"/>
            </w:pPr>
          </w:p>
        </w:tc>
      </w:tr>
      <w:tr w:rsidR="00654706" w14:paraId="21CA82CC" w14:textId="77777777" w:rsidTr="0020723B">
        <w:tc>
          <w:tcPr>
            <w:tcW w:w="2689" w:type="dxa"/>
          </w:tcPr>
          <w:p w14:paraId="1E4C67EC" w14:textId="77777777" w:rsidR="00654706" w:rsidRDefault="00654706" w:rsidP="007B74B9">
            <w:pPr>
              <w:pStyle w:val="Tabletext0"/>
              <w:jc w:val="left"/>
            </w:pPr>
            <w:r w:rsidRPr="003078F7">
              <w:t>Fee</w:t>
            </w:r>
          </w:p>
        </w:tc>
        <w:tc>
          <w:tcPr>
            <w:tcW w:w="2280" w:type="dxa"/>
          </w:tcPr>
          <w:p w14:paraId="743B7FF4" w14:textId="765C02B1" w:rsidR="00654706" w:rsidRDefault="00654706" w:rsidP="007B74B9">
            <w:pPr>
              <w:pStyle w:val="Tabletext0"/>
              <w:jc w:val="left"/>
            </w:pPr>
            <w:r w:rsidRPr="0078130E">
              <w:rPr>
                <w:strike/>
              </w:rPr>
              <w:t>$84.50</w:t>
            </w:r>
            <w:r w:rsidR="00B92776">
              <w:t xml:space="preserve"> </w:t>
            </w:r>
            <w:r w:rsidR="00B92776" w:rsidRPr="0078130E">
              <w:rPr>
                <w:i/>
                <w:iCs/>
                <w:color w:val="0070C0"/>
              </w:rPr>
              <w:t>$85.56</w:t>
            </w:r>
          </w:p>
        </w:tc>
        <w:tc>
          <w:tcPr>
            <w:tcW w:w="2279" w:type="dxa"/>
          </w:tcPr>
          <w:p w14:paraId="29A8AED3" w14:textId="77777777" w:rsidR="00654706" w:rsidRDefault="00654706" w:rsidP="007B74B9">
            <w:pPr>
              <w:pStyle w:val="Tabletext0"/>
              <w:jc w:val="left"/>
            </w:pPr>
            <w:r w:rsidRPr="00611184">
              <w:t>$43.05</w:t>
            </w:r>
          </w:p>
        </w:tc>
        <w:tc>
          <w:tcPr>
            <w:tcW w:w="1819" w:type="dxa"/>
          </w:tcPr>
          <w:p w14:paraId="47479FCE" w14:textId="0B20AE04" w:rsidR="00654706" w:rsidRDefault="00654706" w:rsidP="007B74B9">
            <w:pPr>
              <w:pStyle w:val="Tabletext0"/>
              <w:jc w:val="left"/>
            </w:pPr>
            <w:r w:rsidRPr="0078130E">
              <w:rPr>
                <w:strike/>
              </w:rPr>
              <w:t>$41.45</w:t>
            </w:r>
            <w:r w:rsidR="00030E65">
              <w:t xml:space="preserve"> </w:t>
            </w:r>
            <w:r w:rsidR="00030E65" w:rsidRPr="0078130E">
              <w:rPr>
                <w:i/>
                <w:iCs/>
                <w:color w:val="0070C0"/>
              </w:rPr>
              <w:t>$42</w:t>
            </w:r>
            <w:r w:rsidR="00030E65">
              <w:rPr>
                <w:i/>
                <w:iCs/>
                <w:color w:val="0070C0"/>
              </w:rPr>
              <w:t>.</w:t>
            </w:r>
            <w:r w:rsidR="00CE5F83">
              <w:rPr>
                <w:i/>
                <w:iCs/>
                <w:color w:val="0070C0"/>
              </w:rPr>
              <w:t>51</w:t>
            </w:r>
          </w:p>
        </w:tc>
      </w:tr>
      <w:tr w:rsidR="003078F7" w14:paraId="07BA4C31" w14:textId="77777777" w:rsidTr="0020723B">
        <w:tc>
          <w:tcPr>
            <w:tcW w:w="2689" w:type="dxa"/>
          </w:tcPr>
          <w:p w14:paraId="78623090" w14:textId="14C366C2" w:rsidR="003078F7" w:rsidRPr="00DC5EE1" w:rsidRDefault="00654706" w:rsidP="0078130E">
            <w:pPr>
              <w:pStyle w:val="Tabletext0"/>
              <w:jc w:val="left"/>
              <w:rPr>
                <w:b/>
                <w:bCs/>
              </w:rPr>
            </w:pPr>
            <w:r>
              <w:rPr>
                <w:b/>
                <w:bCs/>
              </w:rPr>
              <w:t xml:space="preserve">Current temporary </w:t>
            </w:r>
            <w:r w:rsidR="005769B1">
              <w:rPr>
                <w:b/>
                <w:bCs/>
              </w:rPr>
              <w:t>items</w:t>
            </w:r>
            <w:r>
              <w:rPr>
                <w:b/>
                <w:bCs/>
              </w:rPr>
              <w:t xml:space="preserve"> (option 2)</w:t>
            </w:r>
          </w:p>
        </w:tc>
        <w:tc>
          <w:tcPr>
            <w:tcW w:w="2280" w:type="dxa"/>
          </w:tcPr>
          <w:p w14:paraId="69EDEEB5" w14:textId="480E46C3" w:rsidR="003078F7" w:rsidRPr="00611184" w:rsidRDefault="003078F7" w:rsidP="0078130E">
            <w:pPr>
              <w:pStyle w:val="Tabletext0"/>
              <w:jc w:val="left"/>
            </w:pPr>
            <w:r w:rsidRPr="00611184">
              <w:t>Item AAAA</w:t>
            </w:r>
            <w:r w:rsidR="00E42C25" w:rsidRPr="00611184">
              <w:t xml:space="preserve"> </w:t>
            </w:r>
            <w:r w:rsidR="001E31CC">
              <w:t>(SARS-CoV-2)</w:t>
            </w:r>
          </w:p>
        </w:tc>
        <w:tc>
          <w:tcPr>
            <w:tcW w:w="2279" w:type="dxa"/>
          </w:tcPr>
          <w:p w14:paraId="537D2E55" w14:textId="7BB46D87" w:rsidR="003078F7" w:rsidRPr="00611184" w:rsidRDefault="003078F7" w:rsidP="0078130E">
            <w:pPr>
              <w:pStyle w:val="Tabletext0"/>
              <w:jc w:val="left"/>
            </w:pPr>
            <w:r w:rsidRPr="00611184">
              <w:t>Item 69494</w:t>
            </w:r>
            <w:r w:rsidR="001E31CC">
              <w:t xml:space="preserve"> – 1 test</w:t>
            </w:r>
          </w:p>
        </w:tc>
        <w:tc>
          <w:tcPr>
            <w:tcW w:w="1819" w:type="dxa"/>
          </w:tcPr>
          <w:p w14:paraId="09224A17" w14:textId="77777777" w:rsidR="003078F7" w:rsidRDefault="003078F7" w:rsidP="0078130E">
            <w:pPr>
              <w:pStyle w:val="Tabletext0"/>
              <w:jc w:val="left"/>
            </w:pPr>
          </w:p>
        </w:tc>
      </w:tr>
      <w:tr w:rsidR="003078F7" w14:paraId="3F12DC55" w14:textId="77777777" w:rsidTr="0020723B">
        <w:tc>
          <w:tcPr>
            <w:tcW w:w="2689" w:type="dxa"/>
          </w:tcPr>
          <w:p w14:paraId="6A9F050A" w14:textId="3599E81C" w:rsidR="003078F7" w:rsidRPr="003078F7" w:rsidRDefault="003078F7" w:rsidP="0078130E">
            <w:pPr>
              <w:pStyle w:val="Tabletext0"/>
              <w:jc w:val="left"/>
            </w:pPr>
            <w:r w:rsidRPr="003078F7">
              <w:t>Fee</w:t>
            </w:r>
          </w:p>
        </w:tc>
        <w:tc>
          <w:tcPr>
            <w:tcW w:w="2280" w:type="dxa"/>
          </w:tcPr>
          <w:p w14:paraId="719135E5" w14:textId="53414966" w:rsidR="003078F7" w:rsidRPr="00611184" w:rsidRDefault="003078F7" w:rsidP="0078130E">
            <w:pPr>
              <w:pStyle w:val="Tabletext0"/>
              <w:jc w:val="left"/>
            </w:pPr>
            <w:r w:rsidRPr="00611184">
              <w:t>$68.85</w:t>
            </w:r>
          </w:p>
        </w:tc>
        <w:tc>
          <w:tcPr>
            <w:tcW w:w="2279" w:type="dxa"/>
          </w:tcPr>
          <w:p w14:paraId="6B61DF44" w14:textId="55C975E5" w:rsidR="003078F7" w:rsidRPr="00611184" w:rsidRDefault="003078F7" w:rsidP="0078130E">
            <w:pPr>
              <w:pStyle w:val="Tabletext0"/>
              <w:jc w:val="left"/>
            </w:pPr>
            <w:r w:rsidRPr="00611184">
              <w:t>$28.</w:t>
            </w:r>
            <w:r w:rsidR="0045205D">
              <w:t>6</w:t>
            </w:r>
            <w:r w:rsidRPr="00611184">
              <w:t>5</w:t>
            </w:r>
          </w:p>
        </w:tc>
        <w:tc>
          <w:tcPr>
            <w:tcW w:w="1819" w:type="dxa"/>
          </w:tcPr>
          <w:p w14:paraId="54BBAE19" w14:textId="302C6C09" w:rsidR="003078F7" w:rsidRDefault="003078F7" w:rsidP="0078130E">
            <w:pPr>
              <w:pStyle w:val="Tabletext0"/>
              <w:jc w:val="left"/>
            </w:pPr>
            <w:r>
              <w:t>$40</w:t>
            </w:r>
            <w:r w:rsidR="00C62037">
              <w:t>.20</w:t>
            </w:r>
          </w:p>
        </w:tc>
      </w:tr>
      <w:tr w:rsidR="000472A4" w14:paraId="0BC9D28D" w14:textId="77777777" w:rsidTr="0020723B">
        <w:tc>
          <w:tcPr>
            <w:tcW w:w="2689" w:type="dxa"/>
          </w:tcPr>
          <w:p w14:paraId="54F184C2" w14:textId="77777777" w:rsidR="000472A4" w:rsidRDefault="000472A4" w:rsidP="0078130E">
            <w:pPr>
              <w:pStyle w:val="Tabletext0"/>
              <w:jc w:val="left"/>
            </w:pPr>
          </w:p>
        </w:tc>
        <w:tc>
          <w:tcPr>
            <w:tcW w:w="2280" w:type="dxa"/>
          </w:tcPr>
          <w:p w14:paraId="507EDF57" w14:textId="53A2C38B" w:rsidR="000472A4" w:rsidRPr="00611184" w:rsidRDefault="000472A4" w:rsidP="0078130E">
            <w:pPr>
              <w:pStyle w:val="Tabletext0"/>
              <w:jc w:val="left"/>
            </w:pPr>
            <w:r w:rsidRPr="00611184">
              <w:t>Item BBBB</w:t>
            </w:r>
            <w:r w:rsidR="00E42C25" w:rsidRPr="00611184">
              <w:t xml:space="preserve"> (2-4 tests)</w:t>
            </w:r>
          </w:p>
        </w:tc>
        <w:tc>
          <w:tcPr>
            <w:tcW w:w="2279" w:type="dxa"/>
          </w:tcPr>
          <w:p w14:paraId="2E4AF6C8" w14:textId="32D62641" w:rsidR="000472A4" w:rsidRPr="00611184" w:rsidRDefault="000472A4" w:rsidP="0078130E">
            <w:pPr>
              <w:pStyle w:val="Tabletext0"/>
              <w:jc w:val="left"/>
            </w:pPr>
            <w:r w:rsidRPr="00611184">
              <w:t>Item 69496</w:t>
            </w:r>
            <w:r w:rsidR="00E42C25" w:rsidRPr="00611184">
              <w:t xml:space="preserve"> (≥3 tests)</w:t>
            </w:r>
          </w:p>
        </w:tc>
        <w:tc>
          <w:tcPr>
            <w:tcW w:w="1819" w:type="dxa"/>
          </w:tcPr>
          <w:p w14:paraId="0CEA18E5" w14:textId="77777777" w:rsidR="000472A4" w:rsidRDefault="000472A4" w:rsidP="0078130E">
            <w:pPr>
              <w:pStyle w:val="Tabletext0"/>
              <w:jc w:val="left"/>
            </w:pPr>
          </w:p>
        </w:tc>
      </w:tr>
      <w:tr w:rsidR="000E2293" w14:paraId="78989E0A" w14:textId="77777777" w:rsidTr="0020723B">
        <w:tc>
          <w:tcPr>
            <w:tcW w:w="2689" w:type="dxa"/>
          </w:tcPr>
          <w:p w14:paraId="685671FD" w14:textId="69F5CF16" w:rsidR="000E2293" w:rsidRDefault="000E2293" w:rsidP="0078130E">
            <w:pPr>
              <w:pStyle w:val="Tabletext0"/>
              <w:jc w:val="left"/>
            </w:pPr>
            <w:r w:rsidRPr="003078F7">
              <w:t>Fee</w:t>
            </w:r>
          </w:p>
        </w:tc>
        <w:tc>
          <w:tcPr>
            <w:tcW w:w="2280" w:type="dxa"/>
          </w:tcPr>
          <w:p w14:paraId="575FF3BD" w14:textId="76A7A384" w:rsidR="000E2293" w:rsidRPr="00611184" w:rsidRDefault="000E2293" w:rsidP="0078130E">
            <w:pPr>
              <w:pStyle w:val="Tabletext0"/>
              <w:jc w:val="left"/>
            </w:pPr>
            <w:r w:rsidRPr="00611184">
              <w:t>$74.75</w:t>
            </w:r>
          </w:p>
        </w:tc>
        <w:tc>
          <w:tcPr>
            <w:tcW w:w="2279" w:type="dxa"/>
          </w:tcPr>
          <w:p w14:paraId="17168B08" w14:textId="5CBE5D6B" w:rsidR="000E2293" w:rsidRPr="00611184" w:rsidRDefault="000E2293" w:rsidP="0078130E">
            <w:pPr>
              <w:pStyle w:val="Tabletext0"/>
              <w:jc w:val="left"/>
            </w:pPr>
            <w:r w:rsidRPr="00611184">
              <w:t>$43.05</w:t>
            </w:r>
          </w:p>
        </w:tc>
        <w:tc>
          <w:tcPr>
            <w:tcW w:w="1819" w:type="dxa"/>
          </w:tcPr>
          <w:p w14:paraId="56E05E90" w14:textId="000CB75E" w:rsidR="000E2293" w:rsidRDefault="000E2293" w:rsidP="0078130E">
            <w:pPr>
              <w:pStyle w:val="Tabletext0"/>
              <w:jc w:val="left"/>
            </w:pPr>
            <w:r>
              <w:t>$31.70</w:t>
            </w:r>
          </w:p>
        </w:tc>
      </w:tr>
      <w:tr w:rsidR="00E42C25" w14:paraId="32D537D4" w14:textId="77777777" w:rsidTr="0020723B">
        <w:tc>
          <w:tcPr>
            <w:tcW w:w="2689" w:type="dxa"/>
          </w:tcPr>
          <w:p w14:paraId="44528EA8" w14:textId="77777777" w:rsidR="00E42C25" w:rsidRDefault="00E42C25" w:rsidP="0078130E">
            <w:pPr>
              <w:pStyle w:val="Tabletext0"/>
              <w:jc w:val="left"/>
            </w:pPr>
          </w:p>
        </w:tc>
        <w:tc>
          <w:tcPr>
            <w:tcW w:w="2280" w:type="dxa"/>
          </w:tcPr>
          <w:p w14:paraId="2E37A437" w14:textId="50211828" w:rsidR="00E42C25" w:rsidRPr="00611184" w:rsidRDefault="00E42C25" w:rsidP="0078130E">
            <w:pPr>
              <w:pStyle w:val="Tabletext0"/>
              <w:jc w:val="left"/>
            </w:pPr>
            <w:r w:rsidRPr="00611184">
              <w:t>Item CCCC</w:t>
            </w:r>
            <w:r w:rsidR="00611184">
              <w:t xml:space="preserve"> (5-8 tests)</w:t>
            </w:r>
          </w:p>
        </w:tc>
        <w:tc>
          <w:tcPr>
            <w:tcW w:w="2279" w:type="dxa"/>
          </w:tcPr>
          <w:p w14:paraId="27A39C03" w14:textId="2270B0FC" w:rsidR="00E42C25" w:rsidRPr="00611184" w:rsidRDefault="00E42C25" w:rsidP="0078130E">
            <w:pPr>
              <w:pStyle w:val="Tabletext0"/>
              <w:jc w:val="left"/>
            </w:pPr>
            <w:r w:rsidRPr="00611184">
              <w:t>Item 69496</w:t>
            </w:r>
            <w:r w:rsidR="00611184">
              <w:t xml:space="preserve"> </w:t>
            </w:r>
            <w:r w:rsidR="00611184" w:rsidRPr="00611184">
              <w:t>(≥3 tests)</w:t>
            </w:r>
          </w:p>
        </w:tc>
        <w:tc>
          <w:tcPr>
            <w:tcW w:w="1819" w:type="dxa"/>
          </w:tcPr>
          <w:p w14:paraId="4AA4E440" w14:textId="77777777" w:rsidR="00E42C25" w:rsidRDefault="00E42C25" w:rsidP="0078130E">
            <w:pPr>
              <w:pStyle w:val="Tabletext0"/>
              <w:jc w:val="left"/>
            </w:pPr>
          </w:p>
        </w:tc>
      </w:tr>
      <w:tr w:rsidR="00E42C25" w14:paraId="0782BCD7" w14:textId="77777777" w:rsidTr="0020723B">
        <w:tc>
          <w:tcPr>
            <w:tcW w:w="2689" w:type="dxa"/>
          </w:tcPr>
          <w:p w14:paraId="05242463" w14:textId="4D6D231D" w:rsidR="00E42C25" w:rsidRDefault="00E42C25" w:rsidP="0078130E">
            <w:pPr>
              <w:pStyle w:val="Tabletext0"/>
              <w:jc w:val="left"/>
            </w:pPr>
            <w:r w:rsidRPr="003078F7">
              <w:t>Fee</w:t>
            </w:r>
          </w:p>
        </w:tc>
        <w:tc>
          <w:tcPr>
            <w:tcW w:w="2280" w:type="dxa"/>
          </w:tcPr>
          <w:p w14:paraId="56948DEE" w14:textId="4FD74087" w:rsidR="00E42C25" w:rsidRPr="00611184" w:rsidRDefault="00E42C25" w:rsidP="0078130E">
            <w:pPr>
              <w:pStyle w:val="Tabletext0"/>
              <w:jc w:val="left"/>
            </w:pPr>
            <w:r w:rsidRPr="00611184">
              <w:t>$80.65</w:t>
            </w:r>
          </w:p>
        </w:tc>
        <w:tc>
          <w:tcPr>
            <w:tcW w:w="2279" w:type="dxa"/>
          </w:tcPr>
          <w:p w14:paraId="1C15C47F" w14:textId="7933CF33" w:rsidR="00E42C25" w:rsidRPr="00611184" w:rsidRDefault="00E42C25" w:rsidP="0078130E">
            <w:pPr>
              <w:pStyle w:val="Tabletext0"/>
              <w:jc w:val="left"/>
            </w:pPr>
            <w:r w:rsidRPr="00611184">
              <w:t>$43.05</w:t>
            </w:r>
          </w:p>
        </w:tc>
        <w:tc>
          <w:tcPr>
            <w:tcW w:w="1819" w:type="dxa"/>
          </w:tcPr>
          <w:p w14:paraId="0A1FF83C" w14:textId="12C9E116" w:rsidR="00E42C25" w:rsidRDefault="00E42C25" w:rsidP="0078130E">
            <w:pPr>
              <w:pStyle w:val="Tabletext0"/>
              <w:jc w:val="left"/>
            </w:pPr>
            <w:r>
              <w:t>$37.60</w:t>
            </w:r>
          </w:p>
        </w:tc>
      </w:tr>
      <w:tr w:rsidR="000472A4" w14:paraId="7971ACFE" w14:textId="77777777" w:rsidTr="0020723B">
        <w:tc>
          <w:tcPr>
            <w:tcW w:w="2689" w:type="dxa"/>
          </w:tcPr>
          <w:p w14:paraId="1A42CF92" w14:textId="77777777" w:rsidR="000472A4" w:rsidRDefault="000472A4" w:rsidP="0078130E">
            <w:pPr>
              <w:pStyle w:val="Tabletext0"/>
              <w:jc w:val="left"/>
            </w:pPr>
          </w:p>
        </w:tc>
        <w:tc>
          <w:tcPr>
            <w:tcW w:w="2280" w:type="dxa"/>
          </w:tcPr>
          <w:p w14:paraId="1021DD9F" w14:textId="730B8694" w:rsidR="000472A4" w:rsidRPr="00611184" w:rsidRDefault="00E42C25" w:rsidP="0078130E">
            <w:pPr>
              <w:pStyle w:val="Tabletext0"/>
              <w:jc w:val="left"/>
            </w:pPr>
            <w:r w:rsidRPr="00611184">
              <w:t>Item DDDD</w:t>
            </w:r>
            <w:r w:rsidR="0015595F">
              <w:t xml:space="preserve"> (9-12 tests)</w:t>
            </w:r>
          </w:p>
        </w:tc>
        <w:tc>
          <w:tcPr>
            <w:tcW w:w="2279" w:type="dxa"/>
          </w:tcPr>
          <w:p w14:paraId="7E3FDE78" w14:textId="6749306D" w:rsidR="000472A4" w:rsidRPr="00611184" w:rsidRDefault="00E42C25" w:rsidP="0078130E">
            <w:pPr>
              <w:pStyle w:val="Tabletext0"/>
              <w:jc w:val="left"/>
            </w:pPr>
            <w:r w:rsidRPr="00611184">
              <w:t>Item 69496</w:t>
            </w:r>
            <w:r w:rsidR="0015595F">
              <w:t xml:space="preserve"> </w:t>
            </w:r>
            <w:r w:rsidR="0015595F" w:rsidRPr="00611184">
              <w:t>(≥3 tests)</w:t>
            </w:r>
          </w:p>
        </w:tc>
        <w:tc>
          <w:tcPr>
            <w:tcW w:w="1819" w:type="dxa"/>
          </w:tcPr>
          <w:p w14:paraId="7346AD42" w14:textId="77777777" w:rsidR="000472A4" w:rsidRDefault="000472A4" w:rsidP="0078130E">
            <w:pPr>
              <w:pStyle w:val="Tabletext0"/>
              <w:jc w:val="left"/>
            </w:pPr>
          </w:p>
        </w:tc>
      </w:tr>
      <w:tr w:rsidR="000472A4" w14:paraId="097E9460" w14:textId="77777777" w:rsidTr="0020723B">
        <w:tc>
          <w:tcPr>
            <w:tcW w:w="2689" w:type="dxa"/>
          </w:tcPr>
          <w:p w14:paraId="19067B65" w14:textId="0E40DEA8" w:rsidR="000472A4" w:rsidRDefault="00E42C25" w:rsidP="0078130E">
            <w:pPr>
              <w:pStyle w:val="Tabletext0"/>
              <w:jc w:val="left"/>
            </w:pPr>
            <w:r>
              <w:t>Fee</w:t>
            </w:r>
          </w:p>
        </w:tc>
        <w:tc>
          <w:tcPr>
            <w:tcW w:w="2280" w:type="dxa"/>
          </w:tcPr>
          <w:p w14:paraId="28B8938E" w14:textId="5C323515" w:rsidR="000472A4" w:rsidRPr="00611184" w:rsidRDefault="00E42C25" w:rsidP="0078130E">
            <w:pPr>
              <w:pStyle w:val="Tabletext0"/>
              <w:jc w:val="left"/>
            </w:pPr>
            <w:r w:rsidRPr="00611184">
              <w:t>$86.55</w:t>
            </w:r>
          </w:p>
        </w:tc>
        <w:tc>
          <w:tcPr>
            <w:tcW w:w="2279" w:type="dxa"/>
          </w:tcPr>
          <w:p w14:paraId="4C017B76" w14:textId="3A50B50A" w:rsidR="000472A4" w:rsidRPr="00611184" w:rsidRDefault="00E42C25" w:rsidP="0078130E">
            <w:pPr>
              <w:pStyle w:val="Tabletext0"/>
              <w:jc w:val="left"/>
            </w:pPr>
            <w:r w:rsidRPr="00611184">
              <w:t>$43.05</w:t>
            </w:r>
          </w:p>
        </w:tc>
        <w:tc>
          <w:tcPr>
            <w:tcW w:w="1819" w:type="dxa"/>
          </w:tcPr>
          <w:p w14:paraId="6FEA45A4" w14:textId="61DA1828" w:rsidR="000472A4" w:rsidRDefault="007007C7" w:rsidP="0078130E">
            <w:pPr>
              <w:pStyle w:val="Tabletext0"/>
              <w:jc w:val="left"/>
            </w:pPr>
            <w:r>
              <w:t>$43.50</w:t>
            </w:r>
          </w:p>
        </w:tc>
      </w:tr>
      <w:tr w:rsidR="000472A4" w14:paraId="011225A8" w14:textId="77777777" w:rsidTr="0020723B">
        <w:tc>
          <w:tcPr>
            <w:tcW w:w="2689" w:type="dxa"/>
          </w:tcPr>
          <w:p w14:paraId="580EDAA6" w14:textId="0ED33321" w:rsidR="000472A4" w:rsidRDefault="000472A4" w:rsidP="0078130E">
            <w:pPr>
              <w:pStyle w:val="Tabletext0"/>
              <w:jc w:val="left"/>
            </w:pPr>
          </w:p>
        </w:tc>
        <w:tc>
          <w:tcPr>
            <w:tcW w:w="2280" w:type="dxa"/>
          </w:tcPr>
          <w:p w14:paraId="4CE6FFD9" w14:textId="21B635E7" w:rsidR="000472A4" w:rsidRPr="00611184" w:rsidRDefault="00737C26" w:rsidP="0078130E">
            <w:pPr>
              <w:pStyle w:val="Tabletext0"/>
              <w:jc w:val="left"/>
            </w:pPr>
            <w:r w:rsidRPr="00611184">
              <w:t>Item EEEE</w:t>
            </w:r>
            <w:r w:rsidR="0015595F">
              <w:t xml:space="preserve"> (</w:t>
            </w:r>
            <w:r w:rsidR="00972296">
              <w:t>13+</w:t>
            </w:r>
            <w:r w:rsidR="0015595F">
              <w:t xml:space="preserve"> tests)</w:t>
            </w:r>
          </w:p>
        </w:tc>
        <w:tc>
          <w:tcPr>
            <w:tcW w:w="2279" w:type="dxa"/>
          </w:tcPr>
          <w:p w14:paraId="54F21719" w14:textId="6BF66E74" w:rsidR="000472A4" w:rsidRPr="00611184" w:rsidRDefault="00737C26" w:rsidP="0078130E">
            <w:pPr>
              <w:pStyle w:val="Tabletext0"/>
              <w:jc w:val="left"/>
            </w:pPr>
            <w:r w:rsidRPr="00611184">
              <w:t>Item 69496</w:t>
            </w:r>
            <w:r w:rsidR="0015595F">
              <w:t xml:space="preserve"> </w:t>
            </w:r>
            <w:r w:rsidR="0015595F" w:rsidRPr="00611184">
              <w:t>(≥3 tests)</w:t>
            </w:r>
          </w:p>
        </w:tc>
        <w:tc>
          <w:tcPr>
            <w:tcW w:w="1819" w:type="dxa"/>
          </w:tcPr>
          <w:p w14:paraId="666D102B" w14:textId="77777777" w:rsidR="000472A4" w:rsidRDefault="000472A4" w:rsidP="0078130E">
            <w:pPr>
              <w:pStyle w:val="Tabletext0"/>
              <w:jc w:val="left"/>
            </w:pPr>
          </w:p>
        </w:tc>
      </w:tr>
      <w:tr w:rsidR="00737C26" w14:paraId="302AE0C6" w14:textId="77777777" w:rsidTr="0020723B">
        <w:tc>
          <w:tcPr>
            <w:tcW w:w="2689" w:type="dxa"/>
          </w:tcPr>
          <w:p w14:paraId="231FB38F" w14:textId="2144EC99" w:rsidR="00737C26" w:rsidRDefault="00737C26" w:rsidP="0078130E">
            <w:pPr>
              <w:pStyle w:val="Tabletext0"/>
              <w:jc w:val="left"/>
            </w:pPr>
            <w:r>
              <w:t>Fee</w:t>
            </w:r>
          </w:p>
        </w:tc>
        <w:tc>
          <w:tcPr>
            <w:tcW w:w="2280" w:type="dxa"/>
          </w:tcPr>
          <w:p w14:paraId="1238298D" w14:textId="1712A7EB" w:rsidR="00737C26" w:rsidRDefault="00737C26" w:rsidP="0078130E">
            <w:pPr>
              <w:pStyle w:val="Tabletext0"/>
              <w:jc w:val="left"/>
            </w:pPr>
            <w:r>
              <w:t>$92.45</w:t>
            </w:r>
          </w:p>
        </w:tc>
        <w:tc>
          <w:tcPr>
            <w:tcW w:w="2279" w:type="dxa"/>
          </w:tcPr>
          <w:p w14:paraId="0F9ECD55" w14:textId="2A71F543" w:rsidR="00737C26" w:rsidRDefault="00737C26" w:rsidP="0078130E">
            <w:pPr>
              <w:pStyle w:val="Tabletext0"/>
              <w:jc w:val="left"/>
            </w:pPr>
            <w:r>
              <w:t>$43.05</w:t>
            </w:r>
          </w:p>
        </w:tc>
        <w:tc>
          <w:tcPr>
            <w:tcW w:w="1819" w:type="dxa"/>
          </w:tcPr>
          <w:p w14:paraId="5A37F7D1" w14:textId="0AC89FB5" w:rsidR="00737C26" w:rsidRDefault="007007C7" w:rsidP="0078130E">
            <w:pPr>
              <w:pStyle w:val="Tabletext0"/>
              <w:jc w:val="left"/>
            </w:pPr>
            <w:r>
              <w:t>$49.40</w:t>
            </w:r>
          </w:p>
        </w:tc>
      </w:tr>
      <w:tr w:rsidR="004C4DA1" w:rsidRPr="00654706" w14:paraId="19197AC4" w14:textId="77777777" w:rsidTr="001D278E">
        <w:tc>
          <w:tcPr>
            <w:tcW w:w="9067" w:type="dxa"/>
            <w:gridSpan w:val="4"/>
          </w:tcPr>
          <w:p w14:paraId="24BD9C14" w14:textId="142D5141" w:rsidR="004C4DA1" w:rsidRPr="0078130E" w:rsidRDefault="004C4DA1" w:rsidP="0078130E">
            <w:pPr>
              <w:pStyle w:val="Tabletext0"/>
              <w:jc w:val="left"/>
              <w:rPr>
                <w:i/>
                <w:iCs/>
              </w:rPr>
            </w:pPr>
            <w:r w:rsidRPr="0078130E">
              <w:rPr>
                <w:b/>
                <w:bCs/>
                <w:i/>
                <w:iCs/>
              </w:rPr>
              <w:t>Outcomes</w:t>
            </w:r>
          </w:p>
        </w:tc>
      </w:tr>
      <w:tr w:rsidR="003078F7" w14:paraId="694C9003" w14:textId="77777777" w:rsidTr="0020723B">
        <w:tc>
          <w:tcPr>
            <w:tcW w:w="2689" w:type="dxa"/>
          </w:tcPr>
          <w:p w14:paraId="70A3A938" w14:textId="02C9610C" w:rsidR="003078F7" w:rsidRDefault="003078F7" w:rsidP="0078130E">
            <w:pPr>
              <w:pStyle w:val="Tabletext0"/>
              <w:jc w:val="left"/>
            </w:pPr>
            <w:r w:rsidRPr="00AD54D9">
              <w:t>Diagnostic yield of SARS-CoV-2 testing and other relevant viruses, including in different settings with varying incidence, and according to testing strategy</w:t>
            </w:r>
          </w:p>
        </w:tc>
        <w:tc>
          <w:tcPr>
            <w:tcW w:w="2280" w:type="dxa"/>
          </w:tcPr>
          <w:p w14:paraId="519FC486" w14:textId="78977F20" w:rsidR="003078F7" w:rsidRDefault="003078F7" w:rsidP="0078130E">
            <w:pPr>
              <w:pStyle w:val="Tabletext0"/>
              <w:jc w:val="left"/>
            </w:pPr>
            <w:r>
              <w:t xml:space="preserve">No data – will vary depending on incidence of </w:t>
            </w:r>
            <w:r w:rsidR="00611184">
              <w:t>circulating pathogen(s)</w:t>
            </w:r>
          </w:p>
        </w:tc>
        <w:tc>
          <w:tcPr>
            <w:tcW w:w="2279" w:type="dxa"/>
          </w:tcPr>
          <w:p w14:paraId="79433A31" w14:textId="71FBD109" w:rsidR="003078F7" w:rsidRDefault="003078F7" w:rsidP="0078130E">
            <w:pPr>
              <w:pStyle w:val="Tabletext0"/>
              <w:jc w:val="left"/>
            </w:pPr>
            <w:r>
              <w:t>No data – will vary depending on incidence of circulating pathogen</w:t>
            </w:r>
            <w:r w:rsidR="00611184">
              <w:t>(s)</w:t>
            </w:r>
          </w:p>
        </w:tc>
        <w:tc>
          <w:tcPr>
            <w:tcW w:w="1819" w:type="dxa"/>
          </w:tcPr>
          <w:p w14:paraId="231C7120" w14:textId="138F33D4" w:rsidR="003078F7" w:rsidRDefault="003078F7" w:rsidP="0078130E">
            <w:pPr>
              <w:pStyle w:val="Tabletext0"/>
              <w:jc w:val="left"/>
            </w:pPr>
            <w:r>
              <w:t>Nil – same test</w:t>
            </w:r>
          </w:p>
        </w:tc>
      </w:tr>
      <w:tr w:rsidR="00F133C8" w14:paraId="46E43D9C" w14:textId="77777777" w:rsidTr="0020723B">
        <w:tc>
          <w:tcPr>
            <w:tcW w:w="2689" w:type="dxa"/>
            <w:vMerge w:val="restart"/>
          </w:tcPr>
          <w:p w14:paraId="563861BF" w14:textId="5D1CAF17" w:rsidR="00F133C8" w:rsidRPr="00671358" w:rsidRDefault="00F133C8" w:rsidP="0078130E">
            <w:pPr>
              <w:pStyle w:val="Tabletext0"/>
              <w:jc w:val="left"/>
            </w:pPr>
            <w:r w:rsidRPr="00671358">
              <w:t xml:space="preserve">Test turnaround time </w:t>
            </w:r>
            <w:r>
              <w:t>– metropolitan areas</w:t>
            </w:r>
            <w:r w:rsidR="00D83C26">
              <w:t xml:space="preserve"> (hospital, community)</w:t>
            </w:r>
          </w:p>
        </w:tc>
        <w:tc>
          <w:tcPr>
            <w:tcW w:w="2280" w:type="dxa"/>
          </w:tcPr>
          <w:p w14:paraId="4C0AAD4F" w14:textId="4FE8DB04" w:rsidR="00F133C8" w:rsidRDefault="00F133C8" w:rsidP="0078130E">
            <w:pPr>
              <w:pStyle w:val="Tabletext0"/>
              <w:jc w:val="left"/>
            </w:pPr>
            <w:r>
              <w:t>4-24 hours standard NAAT</w:t>
            </w:r>
          </w:p>
        </w:tc>
        <w:tc>
          <w:tcPr>
            <w:tcW w:w="2279" w:type="dxa"/>
          </w:tcPr>
          <w:p w14:paraId="50A79E84" w14:textId="3326FE8C" w:rsidR="00F133C8" w:rsidRDefault="00F133C8" w:rsidP="0078130E">
            <w:pPr>
              <w:pStyle w:val="Tabletext0"/>
              <w:jc w:val="left"/>
            </w:pPr>
            <w:r>
              <w:t>4-24 hours standard NAAT</w:t>
            </w:r>
          </w:p>
        </w:tc>
        <w:tc>
          <w:tcPr>
            <w:tcW w:w="1819" w:type="dxa"/>
          </w:tcPr>
          <w:p w14:paraId="49792098" w14:textId="7A000F62" w:rsidR="00F133C8" w:rsidRDefault="00F133C8" w:rsidP="0078130E">
            <w:pPr>
              <w:pStyle w:val="Tabletext0"/>
              <w:jc w:val="left"/>
            </w:pPr>
            <w:r>
              <w:t>Nil – same test</w:t>
            </w:r>
          </w:p>
        </w:tc>
      </w:tr>
      <w:tr w:rsidR="00F133C8" w14:paraId="2F2D43BB" w14:textId="77777777" w:rsidTr="0020723B">
        <w:tc>
          <w:tcPr>
            <w:tcW w:w="2689" w:type="dxa"/>
            <w:vMerge/>
          </w:tcPr>
          <w:p w14:paraId="70DDB126" w14:textId="77777777" w:rsidR="00F133C8" w:rsidRPr="00671358" w:rsidRDefault="00F133C8" w:rsidP="0078130E">
            <w:pPr>
              <w:pStyle w:val="Tabletext0"/>
              <w:jc w:val="left"/>
            </w:pPr>
          </w:p>
        </w:tc>
        <w:tc>
          <w:tcPr>
            <w:tcW w:w="2280" w:type="dxa"/>
          </w:tcPr>
          <w:p w14:paraId="03E1FC8A" w14:textId="000F2532" w:rsidR="00F133C8" w:rsidRDefault="00B85996" w:rsidP="0078130E">
            <w:pPr>
              <w:pStyle w:val="Tabletext0"/>
              <w:jc w:val="left"/>
            </w:pPr>
            <w:r>
              <w:t>*</w:t>
            </w:r>
            <w:r w:rsidR="00F133C8">
              <w:t>15-90 minutes rapid NAAT</w:t>
            </w:r>
          </w:p>
        </w:tc>
        <w:tc>
          <w:tcPr>
            <w:tcW w:w="2279" w:type="dxa"/>
          </w:tcPr>
          <w:p w14:paraId="0FA1E5D2" w14:textId="6B1D7CBA" w:rsidR="00F133C8" w:rsidRDefault="00B85996" w:rsidP="0078130E">
            <w:pPr>
              <w:pStyle w:val="Tabletext0"/>
              <w:jc w:val="left"/>
            </w:pPr>
            <w:r>
              <w:t>*</w:t>
            </w:r>
            <w:r w:rsidR="00F133C8">
              <w:t>15-90 minutes rapid NAAT</w:t>
            </w:r>
          </w:p>
        </w:tc>
        <w:tc>
          <w:tcPr>
            <w:tcW w:w="1819" w:type="dxa"/>
          </w:tcPr>
          <w:p w14:paraId="50FA58CB" w14:textId="40922A6D" w:rsidR="00F133C8" w:rsidRDefault="00F133C8" w:rsidP="0078130E">
            <w:pPr>
              <w:pStyle w:val="Tabletext0"/>
              <w:jc w:val="left"/>
            </w:pPr>
            <w:r>
              <w:t>Nil – same test</w:t>
            </w:r>
          </w:p>
        </w:tc>
      </w:tr>
      <w:tr w:rsidR="00F133C8" w14:paraId="4318AED5" w14:textId="77777777" w:rsidTr="0020723B">
        <w:tc>
          <w:tcPr>
            <w:tcW w:w="2689" w:type="dxa"/>
            <w:vMerge w:val="restart"/>
          </w:tcPr>
          <w:p w14:paraId="153106C1" w14:textId="427260E1" w:rsidR="00F133C8" w:rsidRPr="00671358" w:rsidRDefault="00F133C8" w:rsidP="0078130E">
            <w:pPr>
              <w:pStyle w:val="Tabletext0"/>
              <w:jc w:val="left"/>
            </w:pPr>
            <w:r>
              <w:t>Turnaround time – regional areas</w:t>
            </w:r>
          </w:p>
        </w:tc>
        <w:tc>
          <w:tcPr>
            <w:tcW w:w="2280" w:type="dxa"/>
          </w:tcPr>
          <w:p w14:paraId="14DCDC0E" w14:textId="38FB63F1" w:rsidR="00F133C8" w:rsidRDefault="00F133C8" w:rsidP="0078130E">
            <w:pPr>
              <w:pStyle w:val="Tabletext0"/>
              <w:jc w:val="left"/>
            </w:pPr>
            <w:r>
              <w:t>Up to 72 hours</w:t>
            </w:r>
          </w:p>
        </w:tc>
        <w:tc>
          <w:tcPr>
            <w:tcW w:w="2279" w:type="dxa"/>
          </w:tcPr>
          <w:p w14:paraId="77F2B290" w14:textId="1F35E3FA" w:rsidR="00F133C8" w:rsidRDefault="00F133C8" w:rsidP="0078130E">
            <w:pPr>
              <w:pStyle w:val="Tabletext0"/>
              <w:jc w:val="left"/>
            </w:pPr>
            <w:r>
              <w:t>Up to 72 hours</w:t>
            </w:r>
          </w:p>
        </w:tc>
        <w:tc>
          <w:tcPr>
            <w:tcW w:w="1819" w:type="dxa"/>
          </w:tcPr>
          <w:p w14:paraId="34B94855" w14:textId="7177B5F9" w:rsidR="00F133C8" w:rsidRDefault="00F133C8" w:rsidP="0078130E">
            <w:pPr>
              <w:pStyle w:val="Tabletext0"/>
              <w:jc w:val="left"/>
            </w:pPr>
            <w:r>
              <w:t>Nil – same test</w:t>
            </w:r>
          </w:p>
        </w:tc>
      </w:tr>
      <w:tr w:rsidR="00F133C8" w14:paraId="270EC211" w14:textId="77777777" w:rsidTr="0020723B">
        <w:tc>
          <w:tcPr>
            <w:tcW w:w="2689" w:type="dxa"/>
            <w:vMerge/>
          </w:tcPr>
          <w:p w14:paraId="097C7589" w14:textId="77777777" w:rsidR="00F133C8" w:rsidRPr="00671358" w:rsidRDefault="00F133C8" w:rsidP="0078130E">
            <w:pPr>
              <w:pStyle w:val="Tabletext0"/>
              <w:jc w:val="left"/>
            </w:pPr>
          </w:p>
        </w:tc>
        <w:tc>
          <w:tcPr>
            <w:tcW w:w="2280" w:type="dxa"/>
          </w:tcPr>
          <w:p w14:paraId="06B5C29E" w14:textId="6E91C99F" w:rsidR="00F133C8" w:rsidRDefault="00B85996" w:rsidP="0078130E">
            <w:pPr>
              <w:pStyle w:val="Tabletext0"/>
              <w:jc w:val="left"/>
            </w:pPr>
            <w:r>
              <w:t>*</w:t>
            </w:r>
            <w:r w:rsidR="00F133C8">
              <w:t>15-90 minutes rapid NAAT</w:t>
            </w:r>
          </w:p>
        </w:tc>
        <w:tc>
          <w:tcPr>
            <w:tcW w:w="2279" w:type="dxa"/>
          </w:tcPr>
          <w:p w14:paraId="05F7E392" w14:textId="136F750D" w:rsidR="00F133C8" w:rsidRDefault="00B85996" w:rsidP="0078130E">
            <w:pPr>
              <w:pStyle w:val="Tabletext0"/>
              <w:jc w:val="left"/>
            </w:pPr>
            <w:r>
              <w:t>*</w:t>
            </w:r>
            <w:r w:rsidR="00F133C8">
              <w:t>15-90 minutes rapid NAAT</w:t>
            </w:r>
          </w:p>
        </w:tc>
        <w:tc>
          <w:tcPr>
            <w:tcW w:w="1819" w:type="dxa"/>
          </w:tcPr>
          <w:p w14:paraId="11E2060C" w14:textId="1376F9CB" w:rsidR="00F133C8" w:rsidRDefault="00F133C8" w:rsidP="0078130E">
            <w:pPr>
              <w:pStyle w:val="Tabletext0"/>
              <w:jc w:val="left"/>
            </w:pPr>
            <w:r>
              <w:t>Nil – same test</w:t>
            </w:r>
          </w:p>
        </w:tc>
      </w:tr>
      <w:tr w:rsidR="00F133C8" w14:paraId="641D9482" w14:textId="77777777" w:rsidTr="0020723B">
        <w:tc>
          <w:tcPr>
            <w:tcW w:w="2689" w:type="dxa"/>
          </w:tcPr>
          <w:p w14:paraId="6560E38A" w14:textId="56599785" w:rsidR="00F133C8" w:rsidRPr="00671358" w:rsidRDefault="00F133C8" w:rsidP="0078130E">
            <w:pPr>
              <w:pStyle w:val="Tabletext0"/>
              <w:jc w:val="left"/>
            </w:pPr>
            <w:r w:rsidRPr="00B66274">
              <w:t xml:space="preserve">Analytical validity of the in-scope test methods </w:t>
            </w:r>
          </w:p>
        </w:tc>
        <w:tc>
          <w:tcPr>
            <w:tcW w:w="2280" w:type="dxa"/>
          </w:tcPr>
          <w:p w14:paraId="51061EBE" w14:textId="46169AB0" w:rsidR="00F133C8" w:rsidRDefault="00F133C8" w:rsidP="0078130E">
            <w:pPr>
              <w:pStyle w:val="Tabletext0"/>
              <w:jc w:val="left"/>
            </w:pPr>
            <w:r>
              <w:t>Reference test (laboratory-based PCR)</w:t>
            </w:r>
          </w:p>
        </w:tc>
        <w:tc>
          <w:tcPr>
            <w:tcW w:w="2279" w:type="dxa"/>
          </w:tcPr>
          <w:p w14:paraId="72D6314B" w14:textId="0CB8576B" w:rsidR="00F133C8" w:rsidRDefault="00F133C8" w:rsidP="0078130E">
            <w:pPr>
              <w:pStyle w:val="Tabletext0"/>
              <w:jc w:val="left"/>
            </w:pPr>
            <w:r>
              <w:t>Reference test (laboratory-based PCR)</w:t>
            </w:r>
          </w:p>
        </w:tc>
        <w:tc>
          <w:tcPr>
            <w:tcW w:w="1819" w:type="dxa"/>
          </w:tcPr>
          <w:p w14:paraId="1E2DF505" w14:textId="495E4478" w:rsidR="00F133C8" w:rsidRDefault="00F133C8" w:rsidP="0078130E">
            <w:pPr>
              <w:pStyle w:val="Tabletext0"/>
              <w:jc w:val="left"/>
            </w:pPr>
            <w:r>
              <w:t>Nil – same test</w:t>
            </w:r>
          </w:p>
        </w:tc>
      </w:tr>
      <w:tr w:rsidR="00D15D96" w14:paraId="0ACE1CFD" w14:textId="77777777" w:rsidTr="0020723B">
        <w:tc>
          <w:tcPr>
            <w:tcW w:w="2689" w:type="dxa"/>
          </w:tcPr>
          <w:p w14:paraId="0D0B0D45" w14:textId="56103DDB" w:rsidR="00D15D96" w:rsidRDefault="00D15D96" w:rsidP="0078130E">
            <w:pPr>
              <w:pStyle w:val="Tabletext0"/>
              <w:jc w:val="left"/>
            </w:pPr>
            <w:r>
              <w:t>Change in management between intervention and comparator</w:t>
            </w:r>
          </w:p>
        </w:tc>
        <w:tc>
          <w:tcPr>
            <w:tcW w:w="2280" w:type="dxa"/>
          </w:tcPr>
          <w:p w14:paraId="7C08B4EE" w14:textId="4B2F1DEA" w:rsidR="00D15D96" w:rsidRDefault="00D15D96" w:rsidP="0078130E">
            <w:pPr>
              <w:pStyle w:val="Tabletext0"/>
              <w:jc w:val="left"/>
            </w:pPr>
            <w:r>
              <w:t xml:space="preserve">Diagnosis to inform decisions regarding therapy, IPAC </w:t>
            </w:r>
          </w:p>
        </w:tc>
        <w:tc>
          <w:tcPr>
            <w:tcW w:w="2279" w:type="dxa"/>
          </w:tcPr>
          <w:p w14:paraId="7511F662" w14:textId="0EBD5AB8" w:rsidR="00D15D96" w:rsidRDefault="00D15D96" w:rsidP="0078130E">
            <w:pPr>
              <w:pStyle w:val="Tabletext0"/>
              <w:jc w:val="left"/>
            </w:pPr>
            <w:r>
              <w:t>Diagnosis to inform decisions regarding therapy, IPAC</w:t>
            </w:r>
          </w:p>
        </w:tc>
        <w:tc>
          <w:tcPr>
            <w:tcW w:w="1819" w:type="dxa"/>
          </w:tcPr>
          <w:p w14:paraId="4D260B68" w14:textId="60001C5C" w:rsidR="00D15D96" w:rsidRDefault="00D15D96" w:rsidP="0078130E">
            <w:pPr>
              <w:pStyle w:val="Tabletext0"/>
              <w:jc w:val="left"/>
            </w:pPr>
            <w:r>
              <w:t>Nil – same test</w:t>
            </w:r>
          </w:p>
        </w:tc>
      </w:tr>
      <w:tr w:rsidR="009B3EE1" w:rsidRPr="00DE7A7C" w14:paraId="368C5742" w14:textId="77777777" w:rsidTr="009B3EE1">
        <w:tc>
          <w:tcPr>
            <w:tcW w:w="2689" w:type="dxa"/>
          </w:tcPr>
          <w:p w14:paraId="5AD6F388" w14:textId="5DB684C4" w:rsidR="009B3EE1" w:rsidRPr="00654AA8" w:rsidRDefault="009B3EE1" w:rsidP="007B74B9">
            <w:pPr>
              <w:pStyle w:val="Tabletext0"/>
              <w:jc w:val="left"/>
              <w:rPr>
                <w:i/>
                <w:color w:val="0070C0"/>
              </w:rPr>
            </w:pPr>
            <w:r>
              <w:rPr>
                <w:i/>
                <w:iCs/>
                <w:color w:val="0070C0"/>
              </w:rPr>
              <w:t>Earlier antiviral treatment</w:t>
            </w:r>
          </w:p>
        </w:tc>
        <w:tc>
          <w:tcPr>
            <w:tcW w:w="6378" w:type="dxa"/>
            <w:gridSpan w:val="3"/>
          </w:tcPr>
          <w:p w14:paraId="03498552" w14:textId="0F4E64AE" w:rsidR="009B3EE1" w:rsidRDefault="009B3EE1" w:rsidP="007B74B9">
            <w:pPr>
              <w:pStyle w:val="Tabletext0"/>
              <w:jc w:val="left"/>
              <w:rPr>
                <w:i/>
                <w:iCs/>
                <w:color w:val="0070C0"/>
              </w:rPr>
            </w:pPr>
            <w:r>
              <w:rPr>
                <w:i/>
                <w:iCs/>
                <w:color w:val="0070C0"/>
              </w:rPr>
              <w:t>Multi-pathogen testing (option 1) may potentially reduce the number of tests per patient to ascertain the diagnosis, and allow earlier PBS-listed antiviral treatment in high-risk patients.</w:t>
            </w:r>
          </w:p>
        </w:tc>
      </w:tr>
      <w:tr w:rsidR="00DE7A7C" w:rsidRPr="00DE7A7C" w14:paraId="352FCFC8" w14:textId="77777777" w:rsidTr="0020723B">
        <w:tc>
          <w:tcPr>
            <w:tcW w:w="2689" w:type="dxa"/>
          </w:tcPr>
          <w:p w14:paraId="7CA71151" w14:textId="48D105A0" w:rsidR="00DE7A7C" w:rsidRPr="0078130E" w:rsidRDefault="00DE7A7C" w:rsidP="0078130E">
            <w:pPr>
              <w:pStyle w:val="Tabletext0"/>
              <w:jc w:val="left"/>
              <w:rPr>
                <w:i/>
                <w:iCs/>
                <w:color w:val="0070C0"/>
              </w:rPr>
            </w:pPr>
            <w:r w:rsidRPr="0078130E">
              <w:rPr>
                <w:i/>
                <w:iCs/>
                <w:color w:val="0070C0"/>
              </w:rPr>
              <w:t xml:space="preserve">Patient </w:t>
            </w:r>
            <w:proofErr w:type="spellStart"/>
            <w:r w:rsidRPr="0078130E">
              <w:rPr>
                <w:i/>
                <w:iCs/>
                <w:color w:val="0070C0"/>
              </w:rPr>
              <w:t>cohorting</w:t>
            </w:r>
            <w:proofErr w:type="spellEnd"/>
            <w:r w:rsidRPr="0078130E">
              <w:rPr>
                <w:i/>
                <w:iCs/>
                <w:color w:val="0070C0"/>
              </w:rPr>
              <w:t xml:space="preserve"> and quarantining</w:t>
            </w:r>
          </w:p>
        </w:tc>
        <w:tc>
          <w:tcPr>
            <w:tcW w:w="6378" w:type="dxa"/>
            <w:gridSpan w:val="3"/>
          </w:tcPr>
          <w:p w14:paraId="08FB8BD3" w14:textId="2F66A21D" w:rsidR="00DE7A7C" w:rsidRPr="0078130E" w:rsidRDefault="00DE7A7C" w:rsidP="0078130E">
            <w:pPr>
              <w:pStyle w:val="Tabletext0"/>
              <w:jc w:val="left"/>
              <w:rPr>
                <w:i/>
                <w:iCs/>
                <w:color w:val="0070C0"/>
              </w:rPr>
            </w:pPr>
            <w:r>
              <w:rPr>
                <w:i/>
                <w:iCs/>
                <w:color w:val="0070C0"/>
              </w:rPr>
              <w:t xml:space="preserve">It may be reasonable to </w:t>
            </w:r>
            <w:r w:rsidR="00552E14">
              <w:rPr>
                <w:i/>
                <w:iCs/>
                <w:color w:val="0070C0"/>
              </w:rPr>
              <w:t>assume some</w:t>
            </w:r>
            <w:r>
              <w:rPr>
                <w:i/>
                <w:iCs/>
                <w:color w:val="0070C0"/>
              </w:rPr>
              <w:t xml:space="preserve"> improved patient outcomes </w:t>
            </w:r>
            <w:r w:rsidR="00EC505C">
              <w:rPr>
                <w:i/>
                <w:iCs/>
                <w:color w:val="0070C0"/>
              </w:rPr>
              <w:t xml:space="preserve">from patient </w:t>
            </w:r>
            <w:proofErr w:type="spellStart"/>
            <w:r w:rsidR="00EC505C">
              <w:rPr>
                <w:i/>
                <w:iCs/>
                <w:color w:val="0070C0"/>
              </w:rPr>
              <w:t>cohorting</w:t>
            </w:r>
            <w:proofErr w:type="spellEnd"/>
            <w:r w:rsidR="00EC505C">
              <w:rPr>
                <w:i/>
                <w:iCs/>
                <w:color w:val="0070C0"/>
              </w:rPr>
              <w:t xml:space="preserve"> and quarantining based on multi-pathogen testing (option 1).</w:t>
            </w:r>
          </w:p>
        </w:tc>
      </w:tr>
    </w:tbl>
    <w:p w14:paraId="62225B3C" w14:textId="77777777" w:rsidR="00B85996" w:rsidRPr="00747545" w:rsidRDefault="00B85996" w:rsidP="00B85996">
      <w:pPr>
        <w:pStyle w:val="TableFooter"/>
      </w:pPr>
      <w:bookmarkStart w:id="42" w:name="_Ref130398245"/>
      <w:bookmarkStart w:id="43" w:name="_Ref130398573"/>
      <w:r w:rsidRPr="00747545">
        <w:t>N/A=not applicable; NAAT=nucleic acid amplification test</w:t>
      </w:r>
    </w:p>
    <w:p w14:paraId="5B130368" w14:textId="4621E880" w:rsidR="00B85996" w:rsidRDefault="00B85996" w:rsidP="00B85996">
      <w:pPr>
        <w:pStyle w:val="TableFooter"/>
      </w:pPr>
      <w:r w:rsidRPr="00747545">
        <w:t xml:space="preserve">* </w:t>
      </w:r>
      <w:proofErr w:type="gramStart"/>
      <w:r w:rsidRPr="00747545">
        <w:t>turnaround</w:t>
      </w:r>
      <w:proofErr w:type="gramEnd"/>
      <w:r w:rsidRPr="00747545">
        <w:t xml:space="preserve"> time </w:t>
      </w:r>
      <w:r>
        <w:t xml:space="preserve">is for time taken to perform the test and does not allow for time from sample collection to laboratory as rapid NAATs are performed close to the patient </w:t>
      </w:r>
    </w:p>
    <w:p w14:paraId="27AF5E06" w14:textId="5954B80B" w:rsidR="00DE7A7C" w:rsidRDefault="002D19F7" w:rsidP="00B85996">
      <w:pPr>
        <w:pStyle w:val="TableFooter"/>
      </w:pPr>
      <w:r>
        <w:t xml:space="preserve">Source: DCAR Table 9. </w:t>
      </w:r>
      <w:r w:rsidR="00DE7A7C">
        <w:t xml:space="preserve">ESC’s </w:t>
      </w:r>
      <w:r w:rsidR="00552E14">
        <w:t>additions are</w:t>
      </w:r>
      <w:r w:rsidR="00DE7A7C">
        <w:t xml:space="preserve"> in blue italics</w:t>
      </w:r>
      <w:r w:rsidR="00B92776">
        <w:t xml:space="preserve"> and deletions in strikethrough</w:t>
      </w:r>
      <w:r w:rsidR="007A480A">
        <w:t xml:space="preserve">, including updating the </w:t>
      </w:r>
      <w:r w:rsidR="00191FE9">
        <w:t xml:space="preserve">fees proposed for </w:t>
      </w:r>
      <w:r w:rsidR="00D94441">
        <w:t>XXXX and YYYY</w:t>
      </w:r>
      <w:r w:rsidR="007A480A">
        <w:t xml:space="preserve"> </w:t>
      </w:r>
      <w:r w:rsidR="004F3D90">
        <w:t>by</w:t>
      </w:r>
      <w:r w:rsidR="007A480A">
        <w:t xml:space="preserve"> the DCAR</w:t>
      </w:r>
      <w:r w:rsidR="00DE7A7C">
        <w:t>.</w:t>
      </w:r>
    </w:p>
    <w:p w14:paraId="24D27EFB" w14:textId="14DE5BAA" w:rsidR="00AF74A8" w:rsidRDefault="00AF74A8" w:rsidP="00AF74A8">
      <w:pPr>
        <w:pStyle w:val="Heading3"/>
      </w:pPr>
      <w:r>
        <w:lastRenderedPageBreak/>
        <w:t>Rapid NAATs versus standard NAATs</w:t>
      </w:r>
    </w:p>
    <w:p w14:paraId="614C22B1" w14:textId="77777777" w:rsidR="00321390" w:rsidRDefault="00476431" w:rsidP="001D278E">
      <w:r w:rsidRPr="006B3EFB">
        <w:t>Rapid NAATs are used in designated clinical situations where either a rapid test result is required and/or there is difficulty in accessing a</w:t>
      </w:r>
      <w:r w:rsidR="00B742BD">
        <w:t xml:space="preserve"> standard NAAT</w:t>
      </w:r>
      <w:r w:rsidRPr="006B3EFB">
        <w:t xml:space="preserve"> </w:t>
      </w:r>
      <w:r w:rsidR="00D70133">
        <w:t xml:space="preserve">for a </w:t>
      </w:r>
      <w:r w:rsidRPr="006B3EFB">
        <w:t xml:space="preserve">timely result. </w:t>
      </w:r>
      <w:r w:rsidR="00D70133">
        <w:t xml:space="preserve">There are different rapid NAATs, with some more sensitive and/or faster than others.  </w:t>
      </w:r>
    </w:p>
    <w:p w14:paraId="1A59F8BC" w14:textId="1EA42AE2" w:rsidR="00321390" w:rsidRDefault="00321390" w:rsidP="00321390">
      <w:r>
        <w:t>No publications could be located studying the differences in turnaround time for rapid versus standard NAATs in a Medicare-eligible setting. Most are performed in emergency departments and/or outside of a hospital laboratory, and are currently funded by states and territories or specific programs. It is possible that some tests from private providers could be performed in Medicare-eligible inpatients but until 1 January 2023, these more costly tests were required to be bulk-billed which would have resulted in a gap fee. As rapid NAATs are more costly, and used to perform only a very small proportion of all Medicare-</w:t>
      </w:r>
      <w:proofErr w:type="spellStart"/>
      <w:r>
        <w:t>rebatable</w:t>
      </w:r>
      <w:proofErr w:type="spellEnd"/>
      <w:r>
        <w:t xml:space="preserve"> respiratory pathogen tests, no weighted fee could be derived to ensure adequate compensation to those providing this and other tests in a Medicare-eligible setting. Thus, no separate fee is proposed and </w:t>
      </w:r>
      <w:r w:rsidR="00C01FFA">
        <w:t xml:space="preserve">if </w:t>
      </w:r>
      <w:r w:rsidR="008B1A85">
        <w:t>claimed</w:t>
      </w:r>
      <w:r w:rsidR="00C01FFA">
        <w:t xml:space="preserve"> under Medicare</w:t>
      </w:r>
      <w:r w:rsidR="008B1A85">
        <w:t xml:space="preserve"> then</w:t>
      </w:r>
      <w:r w:rsidR="00C01FFA">
        <w:t xml:space="preserve"> </w:t>
      </w:r>
      <w:r>
        <w:t>rapid tests would be likely to be performed at a loss or incur a gap fee, payable by a payer or the patient. Therefore, there are no cost-consequences from their use.</w:t>
      </w:r>
    </w:p>
    <w:p w14:paraId="6478C371" w14:textId="07EEAF2E" w:rsidR="008007DA" w:rsidRPr="008007DA" w:rsidRDefault="00D70133" w:rsidP="008007DA">
      <w:pPr>
        <w:pStyle w:val="TableFigureFooter"/>
        <w:rPr>
          <w:rFonts w:ascii="Franklin Gothic Book" w:hAnsi="Franklin Gothic Book"/>
          <w:sz w:val="22"/>
        </w:rPr>
      </w:pPr>
      <w:r>
        <w:rPr>
          <w:rFonts w:ascii="Franklin Gothic Book" w:hAnsi="Franklin Gothic Book"/>
          <w:sz w:val="22"/>
        </w:rPr>
        <w:t xml:space="preserve">In the following cost consequences analysis, as there </w:t>
      </w:r>
      <w:r w:rsidR="00321390">
        <w:rPr>
          <w:rFonts w:ascii="Franklin Gothic Book" w:hAnsi="Franklin Gothic Book"/>
          <w:sz w:val="22"/>
        </w:rPr>
        <w:t>wa</w:t>
      </w:r>
      <w:r>
        <w:rPr>
          <w:rFonts w:ascii="Franklin Gothic Book" w:hAnsi="Franklin Gothic Book"/>
          <w:sz w:val="22"/>
        </w:rPr>
        <w:t xml:space="preserve">s no difference in the fee, there </w:t>
      </w:r>
      <w:r w:rsidR="00321390">
        <w:rPr>
          <w:rFonts w:ascii="Franklin Gothic Book" w:hAnsi="Franklin Gothic Book"/>
          <w:sz w:val="22"/>
        </w:rPr>
        <w:t>wa</w:t>
      </w:r>
      <w:r>
        <w:rPr>
          <w:rFonts w:ascii="Franklin Gothic Book" w:hAnsi="Franklin Gothic Book"/>
          <w:sz w:val="22"/>
        </w:rPr>
        <w:t xml:space="preserve">s no cost consequence of using a rapid NAAT compared with a standard NAAT. However, these fees are not sufficient to cover the costs of these more expensive tests and the results should be interpreted with caution. </w:t>
      </w:r>
      <w:r w:rsidR="008007DA">
        <w:br w:type="page"/>
      </w:r>
    </w:p>
    <w:p w14:paraId="659A745E" w14:textId="43F04BDC" w:rsidR="00136A8D" w:rsidRDefault="00136A8D" w:rsidP="00136A8D">
      <w:pPr>
        <w:pStyle w:val="Caption"/>
      </w:pPr>
      <w:r>
        <w:lastRenderedPageBreak/>
        <w:t xml:space="preserve">Table </w:t>
      </w:r>
      <w:r>
        <w:fldChar w:fldCharType="begin"/>
      </w:r>
      <w:r>
        <w:instrText>SEQ Table \* ARABIC</w:instrText>
      </w:r>
      <w:r>
        <w:fldChar w:fldCharType="separate"/>
      </w:r>
      <w:r w:rsidR="00525416">
        <w:rPr>
          <w:noProof/>
        </w:rPr>
        <w:t>12</w:t>
      </w:r>
      <w:r>
        <w:fldChar w:fldCharType="end"/>
      </w:r>
      <w:r>
        <w:t xml:space="preserve"> Cost consequences analysis for </w:t>
      </w:r>
      <w:r w:rsidR="000A0AC7">
        <w:t xml:space="preserve">laboratory-based </w:t>
      </w:r>
      <w:r>
        <w:t>rapid</w:t>
      </w:r>
      <w:r w:rsidRPr="001E31CC">
        <w:t xml:space="preserve"> NAAT </w:t>
      </w:r>
      <w:r w:rsidR="00476431">
        <w:t xml:space="preserve">versus standard NAAT </w:t>
      </w:r>
      <w:r>
        <w:t>for SARS-CoV-2 and respiratory pathogen testing</w:t>
      </w:r>
    </w:p>
    <w:tbl>
      <w:tblPr>
        <w:tblStyle w:val="TableGrid"/>
        <w:tblW w:w="9067" w:type="dxa"/>
        <w:tblLook w:val="04A0" w:firstRow="1" w:lastRow="0" w:firstColumn="1" w:lastColumn="0" w:noHBand="0" w:noVBand="1"/>
      </w:tblPr>
      <w:tblGrid>
        <w:gridCol w:w="1838"/>
        <w:gridCol w:w="2552"/>
        <w:gridCol w:w="2409"/>
        <w:gridCol w:w="2268"/>
      </w:tblGrid>
      <w:tr w:rsidR="00F133C8" w14:paraId="58A662A9" w14:textId="77777777" w:rsidTr="0078130E">
        <w:trPr>
          <w:tblHeader/>
        </w:trPr>
        <w:tc>
          <w:tcPr>
            <w:tcW w:w="1838" w:type="dxa"/>
          </w:tcPr>
          <w:p w14:paraId="52C5A227" w14:textId="2D6EF832" w:rsidR="00F133C8" w:rsidRPr="003078F7" w:rsidRDefault="00F133C8" w:rsidP="008838AA">
            <w:pPr>
              <w:pStyle w:val="In-tableHeading"/>
            </w:pPr>
            <w:r>
              <w:t xml:space="preserve">Parameter </w:t>
            </w:r>
          </w:p>
        </w:tc>
        <w:tc>
          <w:tcPr>
            <w:tcW w:w="2552" w:type="dxa"/>
          </w:tcPr>
          <w:p w14:paraId="02EA81AC" w14:textId="34C76DA8" w:rsidR="00F133C8" w:rsidRPr="003078F7" w:rsidRDefault="00F133C8" w:rsidP="006233EA">
            <w:pPr>
              <w:pStyle w:val="In-tableHeading"/>
            </w:pPr>
            <w:r w:rsidRPr="003078F7">
              <w:t>Intervention</w:t>
            </w:r>
            <w:r w:rsidR="00B44D18">
              <w:t xml:space="preserve"> – rapid NAAT</w:t>
            </w:r>
          </w:p>
        </w:tc>
        <w:tc>
          <w:tcPr>
            <w:tcW w:w="2409" w:type="dxa"/>
          </w:tcPr>
          <w:p w14:paraId="797D4C3E" w14:textId="43557D80" w:rsidR="00F133C8" w:rsidRPr="003078F7" w:rsidRDefault="00F133C8" w:rsidP="00A41150">
            <w:pPr>
              <w:pStyle w:val="In-tableHeading"/>
            </w:pPr>
            <w:r w:rsidRPr="003078F7">
              <w:t>Comparator</w:t>
            </w:r>
            <w:r w:rsidR="00B44D18">
              <w:t xml:space="preserve"> –</w:t>
            </w:r>
            <w:r w:rsidR="00525AB1">
              <w:t xml:space="preserve"> </w:t>
            </w:r>
            <w:r w:rsidR="00B44D18">
              <w:t>standard NAAT</w:t>
            </w:r>
          </w:p>
        </w:tc>
        <w:tc>
          <w:tcPr>
            <w:tcW w:w="2268" w:type="dxa"/>
          </w:tcPr>
          <w:p w14:paraId="56E2DF89" w14:textId="11B1AA11" w:rsidR="00F133C8" w:rsidRPr="003078F7" w:rsidRDefault="004C4DA1" w:rsidP="007F2506">
            <w:pPr>
              <w:pStyle w:val="In-tableHeading"/>
            </w:pPr>
            <w:r>
              <w:t>Increment</w:t>
            </w:r>
          </w:p>
        </w:tc>
      </w:tr>
      <w:tr w:rsidR="00E14F04" w14:paraId="00CDB6C9" w14:textId="77777777" w:rsidTr="007B74B9">
        <w:tc>
          <w:tcPr>
            <w:tcW w:w="1838" w:type="dxa"/>
          </w:tcPr>
          <w:p w14:paraId="34A0E78E" w14:textId="77777777" w:rsidR="00E14F04" w:rsidRPr="00525AB1" w:rsidRDefault="00E14F04" w:rsidP="007B74B9">
            <w:pPr>
              <w:pStyle w:val="Tabletext0"/>
              <w:jc w:val="left"/>
              <w:rPr>
                <w:b/>
                <w:bCs/>
              </w:rPr>
            </w:pPr>
            <w:r w:rsidRPr="00525AB1">
              <w:rPr>
                <w:b/>
                <w:bCs/>
              </w:rPr>
              <w:t xml:space="preserve">HTA group </w:t>
            </w:r>
            <w:r>
              <w:rPr>
                <w:b/>
                <w:bCs/>
              </w:rPr>
              <w:t xml:space="preserve">option </w:t>
            </w:r>
            <w:r w:rsidRPr="00525AB1">
              <w:rPr>
                <w:b/>
                <w:bCs/>
              </w:rPr>
              <w:t>items</w:t>
            </w:r>
            <w:r>
              <w:rPr>
                <w:b/>
                <w:bCs/>
              </w:rPr>
              <w:t xml:space="preserve"> (option 1)</w:t>
            </w:r>
          </w:p>
        </w:tc>
        <w:tc>
          <w:tcPr>
            <w:tcW w:w="2552" w:type="dxa"/>
          </w:tcPr>
          <w:p w14:paraId="1BDFF0B4" w14:textId="77777777" w:rsidR="00E14F04" w:rsidRPr="00611184" w:rsidRDefault="00E14F04" w:rsidP="007B74B9">
            <w:pPr>
              <w:pStyle w:val="Tabletext0"/>
              <w:jc w:val="left"/>
            </w:pPr>
            <w:r w:rsidRPr="00611184">
              <w:t xml:space="preserve">Item </w:t>
            </w:r>
            <w:r>
              <w:t>XXXX</w:t>
            </w:r>
            <w:r w:rsidRPr="00611184">
              <w:t xml:space="preserve"> </w:t>
            </w:r>
            <w:r>
              <w:t>(4-pathogen panel)</w:t>
            </w:r>
          </w:p>
        </w:tc>
        <w:tc>
          <w:tcPr>
            <w:tcW w:w="2409" w:type="dxa"/>
          </w:tcPr>
          <w:p w14:paraId="7921F31E" w14:textId="77777777" w:rsidR="00E14F04" w:rsidRPr="00611184" w:rsidRDefault="00E14F04" w:rsidP="007B74B9">
            <w:pPr>
              <w:pStyle w:val="Tabletext0"/>
              <w:jc w:val="left"/>
            </w:pPr>
            <w:r w:rsidRPr="00611184">
              <w:t xml:space="preserve">Item </w:t>
            </w:r>
            <w:r>
              <w:t>XXXX</w:t>
            </w:r>
            <w:r w:rsidRPr="00611184">
              <w:t xml:space="preserve"> </w:t>
            </w:r>
            <w:r>
              <w:t>(4-pathogen panel)</w:t>
            </w:r>
          </w:p>
        </w:tc>
        <w:tc>
          <w:tcPr>
            <w:tcW w:w="2268" w:type="dxa"/>
          </w:tcPr>
          <w:p w14:paraId="2678BBEA" w14:textId="77777777" w:rsidR="00E14F04" w:rsidRDefault="00E14F04" w:rsidP="007B74B9">
            <w:pPr>
              <w:pStyle w:val="Tabletext0"/>
              <w:jc w:val="left"/>
            </w:pPr>
          </w:p>
        </w:tc>
      </w:tr>
      <w:tr w:rsidR="00E14F04" w14:paraId="5C17CBBC" w14:textId="77777777" w:rsidTr="007B74B9">
        <w:tc>
          <w:tcPr>
            <w:tcW w:w="1838" w:type="dxa"/>
          </w:tcPr>
          <w:p w14:paraId="6EE9E807" w14:textId="77777777" w:rsidR="00E14F04" w:rsidRPr="00972296" w:rsidRDefault="00E14F04" w:rsidP="007B74B9">
            <w:pPr>
              <w:pStyle w:val="Tabletext0"/>
              <w:jc w:val="left"/>
              <w:rPr>
                <w:b/>
                <w:bCs/>
              </w:rPr>
            </w:pPr>
            <w:r w:rsidRPr="003078F7">
              <w:t>Fee</w:t>
            </w:r>
          </w:p>
        </w:tc>
        <w:tc>
          <w:tcPr>
            <w:tcW w:w="2552" w:type="dxa"/>
          </w:tcPr>
          <w:p w14:paraId="1E77386D" w14:textId="77777777" w:rsidR="00E14F04" w:rsidRDefault="00E14F04" w:rsidP="007B74B9">
            <w:pPr>
              <w:pStyle w:val="Tabletext0"/>
              <w:jc w:val="left"/>
            </w:pPr>
            <w:r w:rsidRPr="004B0F2B">
              <w:rPr>
                <w:strike/>
              </w:rPr>
              <w:t>$51.45</w:t>
            </w:r>
            <w:r>
              <w:t xml:space="preserve"> </w:t>
            </w:r>
            <w:r w:rsidRPr="004B0F2B">
              <w:rPr>
                <w:i/>
                <w:iCs/>
                <w:color w:val="0070C0"/>
              </w:rPr>
              <w:t>$78.25</w:t>
            </w:r>
          </w:p>
        </w:tc>
        <w:tc>
          <w:tcPr>
            <w:tcW w:w="2409" w:type="dxa"/>
          </w:tcPr>
          <w:p w14:paraId="5EBC718E" w14:textId="77777777" w:rsidR="00E14F04" w:rsidRDefault="00E14F04" w:rsidP="007B74B9">
            <w:pPr>
              <w:pStyle w:val="Tabletext0"/>
              <w:jc w:val="left"/>
            </w:pPr>
            <w:r w:rsidRPr="004B0F2B">
              <w:rPr>
                <w:strike/>
              </w:rPr>
              <w:t>$51.45</w:t>
            </w:r>
            <w:r>
              <w:t xml:space="preserve"> </w:t>
            </w:r>
            <w:r w:rsidRPr="004B0F2B">
              <w:rPr>
                <w:i/>
                <w:iCs/>
                <w:color w:val="0070C0"/>
              </w:rPr>
              <w:t>$78.25</w:t>
            </w:r>
          </w:p>
        </w:tc>
        <w:tc>
          <w:tcPr>
            <w:tcW w:w="2268" w:type="dxa"/>
          </w:tcPr>
          <w:p w14:paraId="7E5D4B1E" w14:textId="77777777" w:rsidR="00E14F04" w:rsidRDefault="00E14F04" w:rsidP="007B74B9">
            <w:pPr>
              <w:pStyle w:val="Tabletext0"/>
              <w:jc w:val="left"/>
            </w:pPr>
            <w:r>
              <w:t>$0</w:t>
            </w:r>
          </w:p>
        </w:tc>
      </w:tr>
      <w:tr w:rsidR="00E14F04" w14:paraId="5DF2736A" w14:textId="77777777" w:rsidTr="007B74B9">
        <w:tc>
          <w:tcPr>
            <w:tcW w:w="1838" w:type="dxa"/>
          </w:tcPr>
          <w:p w14:paraId="17EFE5A8" w14:textId="77777777" w:rsidR="00E14F04" w:rsidRPr="00972296" w:rsidRDefault="00E14F04" w:rsidP="007B74B9">
            <w:pPr>
              <w:pStyle w:val="Tabletext0"/>
              <w:jc w:val="left"/>
              <w:rPr>
                <w:b/>
                <w:bCs/>
              </w:rPr>
            </w:pPr>
          </w:p>
        </w:tc>
        <w:tc>
          <w:tcPr>
            <w:tcW w:w="2552" w:type="dxa"/>
          </w:tcPr>
          <w:p w14:paraId="694A2942" w14:textId="77777777" w:rsidR="00E14F04" w:rsidRDefault="00E14F04" w:rsidP="007B74B9">
            <w:pPr>
              <w:pStyle w:val="Tabletext0"/>
              <w:jc w:val="left"/>
            </w:pPr>
            <w:r w:rsidRPr="00611184">
              <w:t xml:space="preserve">Item </w:t>
            </w:r>
            <w:r>
              <w:t>YYYY</w:t>
            </w:r>
            <w:r w:rsidRPr="00611184">
              <w:t xml:space="preserve"> (</w:t>
            </w:r>
            <w:r>
              <w:t>≥5 pathogens</w:t>
            </w:r>
            <w:r w:rsidRPr="00611184">
              <w:t>)</w:t>
            </w:r>
          </w:p>
        </w:tc>
        <w:tc>
          <w:tcPr>
            <w:tcW w:w="2409" w:type="dxa"/>
          </w:tcPr>
          <w:p w14:paraId="5D1DB0E7" w14:textId="77777777" w:rsidR="00E14F04" w:rsidRDefault="00E14F04" w:rsidP="007B74B9">
            <w:pPr>
              <w:pStyle w:val="Tabletext0"/>
              <w:jc w:val="left"/>
            </w:pPr>
            <w:r w:rsidRPr="00611184">
              <w:t xml:space="preserve">Item </w:t>
            </w:r>
            <w:r>
              <w:t>YYYY</w:t>
            </w:r>
            <w:r w:rsidRPr="00611184">
              <w:t xml:space="preserve"> (</w:t>
            </w:r>
            <w:r>
              <w:t>≥5 pathogens</w:t>
            </w:r>
            <w:r w:rsidRPr="00611184">
              <w:t>)</w:t>
            </w:r>
          </w:p>
        </w:tc>
        <w:tc>
          <w:tcPr>
            <w:tcW w:w="2268" w:type="dxa"/>
          </w:tcPr>
          <w:p w14:paraId="57186549" w14:textId="77777777" w:rsidR="00E14F04" w:rsidRDefault="00E14F04" w:rsidP="007B74B9">
            <w:pPr>
              <w:pStyle w:val="Tabletext0"/>
              <w:jc w:val="left"/>
            </w:pPr>
          </w:p>
        </w:tc>
      </w:tr>
      <w:tr w:rsidR="00E14F04" w14:paraId="23A00519" w14:textId="77777777" w:rsidTr="007B74B9">
        <w:tc>
          <w:tcPr>
            <w:tcW w:w="1838" w:type="dxa"/>
          </w:tcPr>
          <w:p w14:paraId="394297CE" w14:textId="77777777" w:rsidR="00E14F04" w:rsidRPr="00972296" w:rsidRDefault="00E14F04" w:rsidP="007B74B9">
            <w:pPr>
              <w:pStyle w:val="Tabletext0"/>
              <w:jc w:val="left"/>
              <w:rPr>
                <w:b/>
                <w:bCs/>
              </w:rPr>
            </w:pPr>
            <w:r w:rsidRPr="003078F7">
              <w:t>Fee</w:t>
            </w:r>
          </w:p>
        </w:tc>
        <w:tc>
          <w:tcPr>
            <w:tcW w:w="2552" w:type="dxa"/>
          </w:tcPr>
          <w:p w14:paraId="4AC67BB3" w14:textId="77777777" w:rsidR="00E14F04" w:rsidRDefault="00E14F04" w:rsidP="007B74B9">
            <w:pPr>
              <w:pStyle w:val="Tabletext0"/>
              <w:jc w:val="left"/>
            </w:pPr>
            <w:r w:rsidRPr="004B0F2B">
              <w:rPr>
                <w:strike/>
              </w:rPr>
              <w:t>$84.50</w:t>
            </w:r>
            <w:r>
              <w:t xml:space="preserve"> </w:t>
            </w:r>
            <w:r w:rsidRPr="004B0F2B">
              <w:rPr>
                <w:i/>
                <w:iCs/>
                <w:color w:val="0070C0"/>
              </w:rPr>
              <w:t>$85.56</w:t>
            </w:r>
          </w:p>
        </w:tc>
        <w:tc>
          <w:tcPr>
            <w:tcW w:w="2409" w:type="dxa"/>
          </w:tcPr>
          <w:p w14:paraId="3B844EE8" w14:textId="77777777" w:rsidR="00E14F04" w:rsidRDefault="00E14F04" w:rsidP="007B74B9">
            <w:pPr>
              <w:pStyle w:val="Tabletext0"/>
              <w:jc w:val="left"/>
            </w:pPr>
            <w:r w:rsidRPr="004B0F2B">
              <w:rPr>
                <w:strike/>
              </w:rPr>
              <w:t>$84.50</w:t>
            </w:r>
            <w:r>
              <w:t xml:space="preserve"> </w:t>
            </w:r>
            <w:r w:rsidRPr="004B0F2B">
              <w:rPr>
                <w:i/>
                <w:iCs/>
                <w:color w:val="0070C0"/>
              </w:rPr>
              <w:t>$85.56</w:t>
            </w:r>
          </w:p>
        </w:tc>
        <w:tc>
          <w:tcPr>
            <w:tcW w:w="2268" w:type="dxa"/>
          </w:tcPr>
          <w:p w14:paraId="5DD3DBB1" w14:textId="77777777" w:rsidR="00E14F04" w:rsidRDefault="00E14F04" w:rsidP="007B74B9">
            <w:pPr>
              <w:pStyle w:val="Tabletext0"/>
              <w:jc w:val="left"/>
            </w:pPr>
            <w:r>
              <w:t>$0</w:t>
            </w:r>
          </w:p>
        </w:tc>
      </w:tr>
      <w:tr w:rsidR="00F133C8" w14:paraId="48615628" w14:textId="77777777" w:rsidTr="0078130E">
        <w:tc>
          <w:tcPr>
            <w:tcW w:w="1838" w:type="dxa"/>
          </w:tcPr>
          <w:p w14:paraId="0223C9B6" w14:textId="7B7F94F9" w:rsidR="00F133C8" w:rsidRPr="00DC5EE1" w:rsidRDefault="00525AB1" w:rsidP="0078130E">
            <w:pPr>
              <w:pStyle w:val="Tabletext0"/>
              <w:jc w:val="left"/>
              <w:rPr>
                <w:b/>
                <w:bCs/>
              </w:rPr>
            </w:pPr>
            <w:r>
              <w:rPr>
                <w:b/>
                <w:bCs/>
              </w:rPr>
              <w:t>Proposed items</w:t>
            </w:r>
            <w:r w:rsidR="00E14F04">
              <w:rPr>
                <w:b/>
                <w:bCs/>
              </w:rPr>
              <w:t xml:space="preserve"> (option 2)</w:t>
            </w:r>
          </w:p>
        </w:tc>
        <w:tc>
          <w:tcPr>
            <w:tcW w:w="2552" w:type="dxa"/>
          </w:tcPr>
          <w:p w14:paraId="31FDF634" w14:textId="77777777" w:rsidR="00F133C8" w:rsidRPr="00611184" w:rsidRDefault="00F133C8" w:rsidP="0078130E">
            <w:pPr>
              <w:pStyle w:val="Tabletext0"/>
              <w:jc w:val="left"/>
            </w:pPr>
            <w:r w:rsidRPr="00611184">
              <w:t xml:space="preserve">Item AAAA </w:t>
            </w:r>
            <w:r>
              <w:t>(SARS-CoV-2)</w:t>
            </w:r>
          </w:p>
        </w:tc>
        <w:tc>
          <w:tcPr>
            <w:tcW w:w="2409" w:type="dxa"/>
          </w:tcPr>
          <w:p w14:paraId="76DAED60" w14:textId="49A7C757" w:rsidR="00F133C8" w:rsidRPr="00611184" w:rsidRDefault="00525AB1" w:rsidP="0078130E">
            <w:pPr>
              <w:pStyle w:val="Tabletext0"/>
              <w:jc w:val="left"/>
            </w:pPr>
            <w:r w:rsidRPr="00611184">
              <w:t xml:space="preserve">Item AAAA </w:t>
            </w:r>
            <w:r>
              <w:t>(SARS-CoV-2)</w:t>
            </w:r>
          </w:p>
        </w:tc>
        <w:tc>
          <w:tcPr>
            <w:tcW w:w="2268" w:type="dxa"/>
          </w:tcPr>
          <w:p w14:paraId="47D16D77" w14:textId="77777777" w:rsidR="00F133C8" w:rsidRDefault="00F133C8" w:rsidP="0078130E">
            <w:pPr>
              <w:pStyle w:val="Tabletext0"/>
              <w:jc w:val="left"/>
            </w:pPr>
          </w:p>
        </w:tc>
      </w:tr>
      <w:tr w:rsidR="00F133C8" w14:paraId="09AE0828" w14:textId="77777777" w:rsidTr="0078130E">
        <w:tc>
          <w:tcPr>
            <w:tcW w:w="1838" w:type="dxa"/>
          </w:tcPr>
          <w:p w14:paraId="593313E5" w14:textId="77777777" w:rsidR="00F133C8" w:rsidRPr="003078F7" w:rsidRDefault="00F133C8" w:rsidP="0078130E">
            <w:pPr>
              <w:pStyle w:val="Tabletext0"/>
              <w:jc w:val="left"/>
            </w:pPr>
            <w:r w:rsidRPr="003078F7">
              <w:t>Fee</w:t>
            </w:r>
          </w:p>
        </w:tc>
        <w:tc>
          <w:tcPr>
            <w:tcW w:w="2552" w:type="dxa"/>
          </w:tcPr>
          <w:p w14:paraId="178F3074" w14:textId="77777777" w:rsidR="00F133C8" w:rsidRPr="00611184" w:rsidRDefault="00F133C8" w:rsidP="0078130E">
            <w:pPr>
              <w:pStyle w:val="Tabletext0"/>
              <w:jc w:val="left"/>
            </w:pPr>
            <w:r w:rsidRPr="00611184">
              <w:t>$68.85</w:t>
            </w:r>
          </w:p>
        </w:tc>
        <w:tc>
          <w:tcPr>
            <w:tcW w:w="2409" w:type="dxa"/>
          </w:tcPr>
          <w:p w14:paraId="6B429A12" w14:textId="6D35426B" w:rsidR="00F133C8" w:rsidRPr="00611184" w:rsidRDefault="00525AB1" w:rsidP="0078130E">
            <w:pPr>
              <w:pStyle w:val="Tabletext0"/>
              <w:jc w:val="left"/>
            </w:pPr>
            <w:r w:rsidRPr="00611184">
              <w:t>$68.85</w:t>
            </w:r>
          </w:p>
        </w:tc>
        <w:tc>
          <w:tcPr>
            <w:tcW w:w="2268" w:type="dxa"/>
          </w:tcPr>
          <w:p w14:paraId="751D8CC3" w14:textId="3C0CBBCC" w:rsidR="00F133C8" w:rsidRDefault="00F133C8" w:rsidP="0078130E">
            <w:pPr>
              <w:pStyle w:val="Tabletext0"/>
              <w:jc w:val="left"/>
            </w:pPr>
            <w:r>
              <w:t>$0</w:t>
            </w:r>
          </w:p>
        </w:tc>
      </w:tr>
      <w:tr w:rsidR="00F133C8" w14:paraId="01EC3B6F" w14:textId="77777777" w:rsidTr="0078130E">
        <w:tc>
          <w:tcPr>
            <w:tcW w:w="1838" w:type="dxa"/>
          </w:tcPr>
          <w:p w14:paraId="747BAEFC" w14:textId="77777777" w:rsidR="00F133C8" w:rsidRDefault="00F133C8" w:rsidP="0078130E">
            <w:pPr>
              <w:pStyle w:val="Tabletext0"/>
              <w:jc w:val="left"/>
            </w:pPr>
          </w:p>
        </w:tc>
        <w:tc>
          <w:tcPr>
            <w:tcW w:w="2552" w:type="dxa"/>
          </w:tcPr>
          <w:p w14:paraId="47F4EC30" w14:textId="77777777" w:rsidR="00F133C8" w:rsidRPr="00611184" w:rsidRDefault="00F133C8" w:rsidP="0078130E">
            <w:pPr>
              <w:pStyle w:val="Tabletext0"/>
              <w:jc w:val="left"/>
            </w:pPr>
            <w:r w:rsidRPr="00611184">
              <w:t>Item BBBB (2-4 tests)</w:t>
            </w:r>
          </w:p>
        </w:tc>
        <w:tc>
          <w:tcPr>
            <w:tcW w:w="2409" w:type="dxa"/>
          </w:tcPr>
          <w:p w14:paraId="1A15C3FB" w14:textId="7C50374B" w:rsidR="00F133C8" w:rsidRPr="00611184" w:rsidRDefault="00525AB1" w:rsidP="0078130E">
            <w:pPr>
              <w:pStyle w:val="Tabletext0"/>
              <w:jc w:val="left"/>
            </w:pPr>
            <w:r w:rsidRPr="00611184">
              <w:t>Item BBBB (2-4 tests)</w:t>
            </w:r>
          </w:p>
        </w:tc>
        <w:tc>
          <w:tcPr>
            <w:tcW w:w="2268" w:type="dxa"/>
          </w:tcPr>
          <w:p w14:paraId="500C4628" w14:textId="77777777" w:rsidR="00F133C8" w:rsidRDefault="00F133C8" w:rsidP="0078130E">
            <w:pPr>
              <w:pStyle w:val="Tabletext0"/>
              <w:jc w:val="left"/>
            </w:pPr>
          </w:p>
        </w:tc>
      </w:tr>
      <w:tr w:rsidR="00F133C8" w14:paraId="07B9E903" w14:textId="77777777" w:rsidTr="0078130E">
        <w:tc>
          <w:tcPr>
            <w:tcW w:w="1838" w:type="dxa"/>
          </w:tcPr>
          <w:p w14:paraId="214AFB5B" w14:textId="1BCD7608" w:rsidR="00F133C8" w:rsidRDefault="00F133C8" w:rsidP="0078130E">
            <w:pPr>
              <w:pStyle w:val="Tabletext0"/>
              <w:jc w:val="left"/>
            </w:pPr>
            <w:r w:rsidRPr="003078F7">
              <w:t>Fee</w:t>
            </w:r>
          </w:p>
        </w:tc>
        <w:tc>
          <w:tcPr>
            <w:tcW w:w="2552" w:type="dxa"/>
          </w:tcPr>
          <w:p w14:paraId="54998921" w14:textId="3435DC96" w:rsidR="00F133C8" w:rsidRPr="00611184" w:rsidRDefault="00F133C8" w:rsidP="0078130E">
            <w:pPr>
              <w:pStyle w:val="Tabletext0"/>
              <w:jc w:val="left"/>
            </w:pPr>
            <w:r w:rsidRPr="00611184">
              <w:t>$74.75</w:t>
            </w:r>
          </w:p>
        </w:tc>
        <w:tc>
          <w:tcPr>
            <w:tcW w:w="2409" w:type="dxa"/>
          </w:tcPr>
          <w:p w14:paraId="212EA43C" w14:textId="2E9A7A1A" w:rsidR="00F133C8" w:rsidRPr="00611184" w:rsidRDefault="00F133C8" w:rsidP="0078130E">
            <w:pPr>
              <w:pStyle w:val="Tabletext0"/>
              <w:jc w:val="left"/>
            </w:pPr>
            <w:r w:rsidRPr="00611184">
              <w:t>$</w:t>
            </w:r>
            <w:r w:rsidR="00525AB1">
              <w:t>74.75</w:t>
            </w:r>
          </w:p>
        </w:tc>
        <w:tc>
          <w:tcPr>
            <w:tcW w:w="2268" w:type="dxa"/>
          </w:tcPr>
          <w:p w14:paraId="155F6532" w14:textId="2CB7E1E9" w:rsidR="00F133C8" w:rsidRDefault="00F133C8" w:rsidP="0078130E">
            <w:pPr>
              <w:pStyle w:val="Tabletext0"/>
              <w:jc w:val="left"/>
            </w:pPr>
            <w:r>
              <w:t>$0</w:t>
            </w:r>
          </w:p>
        </w:tc>
      </w:tr>
      <w:tr w:rsidR="00525AB1" w14:paraId="3E06ED80" w14:textId="77777777" w:rsidTr="0078130E">
        <w:tc>
          <w:tcPr>
            <w:tcW w:w="1838" w:type="dxa"/>
          </w:tcPr>
          <w:p w14:paraId="799DB9EE" w14:textId="77777777" w:rsidR="00525AB1" w:rsidRDefault="00525AB1" w:rsidP="0078130E">
            <w:pPr>
              <w:pStyle w:val="Tabletext0"/>
              <w:jc w:val="left"/>
            </w:pPr>
          </w:p>
        </w:tc>
        <w:tc>
          <w:tcPr>
            <w:tcW w:w="2552" w:type="dxa"/>
          </w:tcPr>
          <w:p w14:paraId="32F2DF97" w14:textId="77777777" w:rsidR="00525AB1" w:rsidRPr="00611184" w:rsidRDefault="00525AB1" w:rsidP="0078130E">
            <w:pPr>
              <w:pStyle w:val="Tabletext0"/>
              <w:jc w:val="left"/>
            </w:pPr>
            <w:r w:rsidRPr="00611184">
              <w:t>Item EEEE</w:t>
            </w:r>
            <w:r>
              <w:t xml:space="preserve"> (13+ tests)</w:t>
            </w:r>
          </w:p>
        </w:tc>
        <w:tc>
          <w:tcPr>
            <w:tcW w:w="2409" w:type="dxa"/>
          </w:tcPr>
          <w:p w14:paraId="2A786EB6" w14:textId="5A0A821A" w:rsidR="00525AB1" w:rsidRPr="00611184" w:rsidRDefault="00525AB1" w:rsidP="0078130E">
            <w:pPr>
              <w:pStyle w:val="Tabletext0"/>
              <w:jc w:val="left"/>
            </w:pPr>
            <w:r w:rsidRPr="00611184">
              <w:t>Item EEEE</w:t>
            </w:r>
            <w:r>
              <w:t xml:space="preserve"> (13+ tests)</w:t>
            </w:r>
          </w:p>
        </w:tc>
        <w:tc>
          <w:tcPr>
            <w:tcW w:w="2268" w:type="dxa"/>
          </w:tcPr>
          <w:p w14:paraId="693C0133" w14:textId="77777777" w:rsidR="00525AB1" w:rsidRDefault="00525AB1" w:rsidP="0078130E">
            <w:pPr>
              <w:pStyle w:val="Tabletext0"/>
              <w:jc w:val="left"/>
            </w:pPr>
          </w:p>
        </w:tc>
      </w:tr>
      <w:tr w:rsidR="00F133C8" w14:paraId="3B5D5263" w14:textId="77777777" w:rsidTr="0078130E">
        <w:tc>
          <w:tcPr>
            <w:tcW w:w="1838" w:type="dxa"/>
          </w:tcPr>
          <w:p w14:paraId="2AD21786" w14:textId="77777777" w:rsidR="00F133C8" w:rsidRDefault="00F133C8" w:rsidP="0078130E">
            <w:pPr>
              <w:pStyle w:val="Tabletext0"/>
              <w:jc w:val="left"/>
            </w:pPr>
            <w:r>
              <w:t>Fee</w:t>
            </w:r>
          </w:p>
        </w:tc>
        <w:tc>
          <w:tcPr>
            <w:tcW w:w="2552" w:type="dxa"/>
          </w:tcPr>
          <w:p w14:paraId="58DD4938" w14:textId="77777777" w:rsidR="00F133C8" w:rsidRDefault="00F133C8" w:rsidP="0078130E">
            <w:pPr>
              <w:pStyle w:val="Tabletext0"/>
              <w:jc w:val="left"/>
            </w:pPr>
            <w:r>
              <w:t>$92.45</w:t>
            </w:r>
          </w:p>
        </w:tc>
        <w:tc>
          <w:tcPr>
            <w:tcW w:w="2409" w:type="dxa"/>
          </w:tcPr>
          <w:p w14:paraId="3C4EC582" w14:textId="16A01E08" w:rsidR="00F133C8" w:rsidRDefault="00525AB1" w:rsidP="0078130E">
            <w:pPr>
              <w:pStyle w:val="Tabletext0"/>
              <w:jc w:val="left"/>
            </w:pPr>
            <w:r>
              <w:t>$92.45</w:t>
            </w:r>
          </w:p>
        </w:tc>
        <w:tc>
          <w:tcPr>
            <w:tcW w:w="2268" w:type="dxa"/>
          </w:tcPr>
          <w:p w14:paraId="34FBCFBD" w14:textId="0D773DF7" w:rsidR="00F133C8" w:rsidRDefault="00F133C8" w:rsidP="0078130E">
            <w:pPr>
              <w:pStyle w:val="Tabletext0"/>
              <w:jc w:val="left"/>
            </w:pPr>
            <w:r>
              <w:t>$0</w:t>
            </w:r>
          </w:p>
        </w:tc>
      </w:tr>
      <w:tr w:rsidR="00525AB1" w14:paraId="5007A1E0" w14:textId="77777777" w:rsidTr="0078130E">
        <w:tc>
          <w:tcPr>
            <w:tcW w:w="9067" w:type="dxa"/>
            <w:gridSpan w:val="4"/>
          </w:tcPr>
          <w:p w14:paraId="51088C9F" w14:textId="6911F805" w:rsidR="00525AB1" w:rsidRDefault="00525AB1" w:rsidP="0078130E">
            <w:pPr>
              <w:pStyle w:val="Tabletext0"/>
              <w:jc w:val="left"/>
            </w:pPr>
            <w:r w:rsidRPr="00972296">
              <w:rPr>
                <w:b/>
                <w:bCs/>
              </w:rPr>
              <w:t>Outcomes</w:t>
            </w:r>
          </w:p>
        </w:tc>
      </w:tr>
      <w:tr w:rsidR="00F133C8" w14:paraId="3F7C1E43" w14:textId="77777777" w:rsidTr="0078130E">
        <w:tc>
          <w:tcPr>
            <w:tcW w:w="1838" w:type="dxa"/>
          </w:tcPr>
          <w:p w14:paraId="4FDA00B7" w14:textId="77777777" w:rsidR="00F133C8" w:rsidRDefault="00F133C8" w:rsidP="0078130E">
            <w:pPr>
              <w:pStyle w:val="Tabletext0"/>
              <w:jc w:val="left"/>
            </w:pPr>
            <w:r w:rsidRPr="00AD54D9">
              <w:t>Diagnostic yield of SARS-CoV-2 testing and other relevant viruses, including in different settings with varying incidence, and according to testing strategy</w:t>
            </w:r>
          </w:p>
        </w:tc>
        <w:tc>
          <w:tcPr>
            <w:tcW w:w="2552" w:type="dxa"/>
          </w:tcPr>
          <w:p w14:paraId="795A4D5C" w14:textId="77777777" w:rsidR="00F133C8" w:rsidRDefault="00F133C8" w:rsidP="0078130E">
            <w:pPr>
              <w:pStyle w:val="Tabletext0"/>
              <w:jc w:val="left"/>
            </w:pPr>
            <w:r>
              <w:t>No data – will vary depending on incidence of circulating pathogen(s)</w:t>
            </w:r>
          </w:p>
        </w:tc>
        <w:tc>
          <w:tcPr>
            <w:tcW w:w="2409" w:type="dxa"/>
          </w:tcPr>
          <w:p w14:paraId="1856BD4F" w14:textId="77777777" w:rsidR="00F133C8" w:rsidRDefault="00F133C8" w:rsidP="0078130E">
            <w:pPr>
              <w:pStyle w:val="Tabletext0"/>
              <w:jc w:val="left"/>
            </w:pPr>
            <w:r>
              <w:t>No data – will vary depending on incidence of circulating pathogen(s)</w:t>
            </w:r>
          </w:p>
        </w:tc>
        <w:tc>
          <w:tcPr>
            <w:tcW w:w="2268" w:type="dxa"/>
          </w:tcPr>
          <w:p w14:paraId="52A92EFA" w14:textId="036EDF1C" w:rsidR="00F133C8" w:rsidRDefault="00525AB1" w:rsidP="0078130E">
            <w:pPr>
              <w:pStyle w:val="Tabletext0"/>
              <w:jc w:val="left"/>
            </w:pPr>
            <w:r>
              <w:t>Nil</w:t>
            </w:r>
          </w:p>
        </w:tc>
      </w:tr>
      <w:tr w:rsidR="00B27931" w14:paraId="3DC48F24" w14:textId="77777777" w:rsidTr="0078130E">
        <w:trPr>
          <w:trHeight w:val="858"/>
        </w:trPr>
        <w:tc>
          <w:tcPr>
            <w:tcW w:w="1838" w:type="dxa"/>
          </w:tcPr>
          <w:p w14:paraId="17A1CA55" w14:textId="4356B153" w:rsidR="00B27931" w:rsidRDefault="00D83C26" w:rsidP="0078130E">
            <w:pPr>
              <w:pStyle w:val="Tabletext0"/>
              <w:jc w:val="left"/>
            </w:pPr>
            <w:r>
              <w:t>*</w:t>
            </w:r>
            <w:r w:rsidR="00B27931" w:rsidRPr="00671358">
              <w:t xml:space="preserve">Test turnaround time </w:t>
            </w:r>
            <w:r w:rsidR="00B27931">
              <w:t>– metropolitan areas</w:t>
            </w:r>
            <w:r>
              <w:t xml:space="preserve"> (hospital, community)</w:t>
            </w:r>
          </w:p>
        </w:tc>
        <w:tc>
          <w:tcPr>
            <w:tcW w:w="2552" w:type="dxa"/>
          </w:tcPr>
          <w:p w14:paraId="34DBD820" w14:textId="6E8A1BBA" w:rsidR="00B27931" w:rsidRDefault="00B27931" w:rsidP="0078130E">
            <w:pPr>
              <w:pStyle w:val="Tabletext0"/>
              <w:jc w:val="left"/>
            </w:pPr>
            <w:r>
              <w:t>15-90 minutes, depending on assay, panel size</w:t>
            </w:r>
          </w:p>
        </w:tc>
        <w:tc>
          <w:tcPr>
            <w:tcW w:w="2409" w:type="dxa"/>
          </w:tcPr>
          <w:p w14:paraId="70FF14C5" w14:textId="403A98FD" w:rsidR="00B27931" w:rsidRDefault="00B27931" w:rsidP="0078130E">
            <w:pPr>
              <w:pStyle w:val="Tabletext0"/>
              <w:jc w:val="left"/>
            </w:pPr>
            <w:r>
              <w:t xml:space="preserve">4-24 hours </w:t>
            </w:r>
          </w:p>
        </w:tc>
        <w:tc>
          <w:tcPr>
            <w:tcW w:w="2268" w:type="dxa"/>
          </w:tcPr>
          <w:p w14:paraId="04CCBEE8" w14:textId="36892A15" w:rsidR="00B27931" w:rsidRDefault="00B27931" w:rsidP="0078130E">
            <w:pPr>
              <w:pStyle w:val="Tabletext0"/>
              <w:jc w:val="left"/>
            </w:pPr>
            <w:r>
              <w:t>3.75 – 23.75 hours faster for rapid NAAT</w:t>
            </w:r>
          </w:p>
        </w:tc>
      </w:tr>
      <w:tr w:rsidR="00B27931" w14:paraId="267FF51D" w14:textId="77777777" w:rsidTr="0078130E">
        <w:trPr>
          <w:trHeight w:val="808"/>
        </w:trPr>
        <w:tc>
          <w:tcPr>
            <w:tcW w:w="1838" w:type="dxa"/>
          </w:tcPr>
          <w:p w14:paraId="744648D3" w14:textId="64B1E0E4" w:rsidR="00B27931" w:rsidRDefault="00B27931" w:rsidP="0078130E">
            <w:pPr>
              <w:pStyle w:val="Tabletext0"/>
              <w:jc w:val="left"/>
            </w:pPr>
            <w:r w:rsidRPr="00671358">
              <w:t xml:space="preserve">Test turnaround time </w:t>
            </w:r>
            <w:r>
              <w:t>– regional areas</w:t>
            </w:r>
          </w:p>
        </w:tc>
        <w:tc>
          <w:tcPr>
            <w:tcW w:w="2552" w:type="dxa"/>
          </w:tcPr>
          <w:p w14:paraId="4764ADC1" w14:textId="59255D28" w:rsidR="00B27931" w:rsidRDefault="00B27931" w:rsidP="0078130E">
            <w:pPr>
              <w:pStyle w:val="Tabletext0"/>
              <w:jc w:val="left"/>
            </w:pPr>
            <w:r>
              <w:t>15-90 minutes, depending on assay, panel size</w:t>
            </w:r>
          </w:p>
        </w:tc>
        <w:tc>
          <w:tcPr>
            <w:tcW w:w="2409" w:type="dxa"/>
          </w:tcPr>
          <w:p w14:paraId="54B40168" w14:textId="77777777" w:rsidR="00B27931" w:rsidRDefault="00B27931" w:rsidP="0078130E">
            <w:pPr>
              <w:pStyle w:val="Tabletext0"/>
              <w:jc w:val="left"/>
            </w:pPr>
            <w:r>
              <w:t>Up to 72 hours standard NAAT</w:t>
            </w:r>
          </w:p>
          <w:p w14:paraId="7C6AA817" w14:textId="1B6EBECF" w:rsidR="00B27931" w:rsidRDefault="00B27931" w:rsidP="0078130E">
            <w:pPr>
              <w:pStyle w:val="Tabletext0"/>
              <w:jc w:val="left"/>
            </w:pPr>
          </w:p>
        </w:tc>
        <w:tc>
          <w:tcPr>
            <w:tcW w:w="2268" w:type="dxa"/>
          </w:tcPr>
          <w:p w14:paraId="22BF7889" w14:textId="1DD7AD5C" w:rsidR="00B27931" w:rsidRDefault="00B27931" w:rsidP="0078130E">
            <w:pPr>
              <w:pStyle w:val="Tabletext0"/>
              <w:jc w:val="left"/>
            </w:pPr>
            <w:r>
              <w:t xml:space="preserve">Up to 71.75 hours faster, depending on rapid NAAT </w:t>
            </w:r>
          </w:p>
        </w:tc>
      </w:tr>
      <w:tr w:rsidR="00B27931" w14:paraId="1552AED6" w14:textId="77777777" w:rsidTr="0078130E">
        <w:trPr>
          <w:trHeight w:val="1267"/>
        </w:trPr>
        <w:tc>
          <w:tcPr>
            <w:tcW w:w="1838" w:type="dxa"/>
          </w:tcPr>
          <w:p w14:paraId="52C91406" w14:textId="035811E6" w:rsidR="00B27931" w:rsidRDefault="00B27931" w:rsidP="0078130E">
            <w:pPr>
              <w:pStyle w:val="Tabletext0"/>
              <w:jc w:val="left"/>
            </w:pPr>
            <w:r w:rsidRPr="00B66274">
              <w:t xml:space="preserve">Analytical validity of the in-scope test methods </w:t>
            </w:r>
            <w:r>
              <w:t>(Standard NAAT as reference)</w:t>
            </w:r>
          </w:p>
        </w:tc>
        <w:tc>
          <w:tcPr>
            <w:tcW w:w="2552" w:type="dxa"/>
          </w:tcPr>
          <w:p w14:paraId="0712127C" w14:textId="57E012F8" w:rsidR="00B27931" w:rsidRDefault="00B27931" w:rsidP="0078130E">
            <w:pPr>
              <w:pStyle w:val="Tabletext0"/>
              <w:jc w:val="left"/>
            </w:pPr>
            <w:r>
              <w:t>Varies according to rapid NAAT used. Most have high sensitivity (&gt;90%), high specificity (&gt;90%), high PPA, NPA but no data in Medicare-</w:t>
            </w:r>
            <w:proofErr w:type="spellStart"/>
            <w:r>
              <w:t>rebatable</w:t>
            </w:r>
            <w:proofErr w:type="spellEnd"/>
            <w:r>
              <w:t xml:space="preserve"> settings</w:t>
            </w:r>
          </w:p>
        </w:tc>
        <w:tc>
          <w:tcPr>
            <w:tcW w:w="2409" w:type="dxa"/>
          </w:tcPr>
          <w:p w14:paraId="5B5BCC87" w14:textId="016F4638" w:rsidR="00B27931" w:rsidRDefault="00B27931" w:rsidP="0078130E">
            <w:pPr>
              <w:pStyle w:val="Tabletext0"/>
              <w:jc w:val="left"/>
            </w:pPr>
            <w:r>
              <w:t>Reference standard</w:t>
            </w:r>
          </w:p>
        </w:tc>
        <w:tc>
          <w:tcPr>
            <w:tcW w:w="2268" w:type="dxa"/>
          </w:tcPr>
          <w:p w14:paraId="6BC23AB2" w14:textId="603300B1" w:rsidR="00B27931" w:rsidRDefault="00541D41" w:rsidP="0078130E">
            <w:pPr>
              <w:pStyle w:val="Tabletext0"/>
              <w:jc w:val="left"/>
            </w:pPr>
            <w:r>
              <w:t>Slightly lower sensitivity for some rapid NAATs, but in some studies, were superior to reference standard</w:t>
            </w:r>
          </w:p>
        </w:tc>
      </w:tr>
      <w:tr w:rsidR="00F133C8" w14:paraId="792A99EA" w14:textId="77777777" w:rsidTr="0078130E">
        <w:tc>
          <w:tcPr>
            <w:tcW w:w="1838" w:type="dxa"/>
          </w:tcPr>
          <w:p w14:paraId="2009F813" w14:textId="77777777" w:rsidR="00F133C8" w:rsidRDefault="00F133C8" w:rsidP="0078130E">
            <w:pPr>
              <w:pStyle w:val="Tabletext0"/>
              <w:jc w:val="left"/>
            </w:pPr>
            <w:r>
              <w:t>Change in management between intervention and comparator</w:t>
            </w:r>
          </w:p>
        </w:tc>
        <w:tc>
          <w:tcPr>
            <w:tcW w:w="2552" w:type="dxa"/>
          </w:tcPr>
          <w:p w14:paraId="397EAA73" w14:textId="3EB88F20" w:rsidR="00F133C8" w:rsidRDefault="00F133C8" w:rsidP="0078130E">
            <w:pPr>
              <w:pStyle w:val="Tabletext0"/>
              <w:jc w:val="left"/>
            </w:pPr>
            <w:r>
              <w:t xml:space="preserve">Diagnosis to inform decisions regarding therapy, IPAC </w:t>
            </w:r>
            <w:r w:rsidR="00B27931">
              <w:t>– faster, but some have lower sensitivity. No data in Medicare-</w:t>
            </w:r>
            <w:proofErr w:type="spellStart"/>
            <w:r w:rsidR="00B27931">
              <w:t>rebatable</w:t>
            </w:r>
            <w:proofErr w:type="spellEnd"/>
            <w:r w:rsidR="00B27931">
              <w:t xml:space="preserve"> settings.</w:t>
            </w:r>
          </w:p>
        </w:tc>
        <w:tc>
          <w:tcPr>
            <w:tcW w:w="2409" w:type="dxa"/>
          </w:tcPr>
          <w:p w14:paraId="4B5DC46F" w14:textId="77777777" w:rsidR="00F133C8" w:rsidRDefault="00F133C8" w:rsidP="0078130E">
            <w:pPr>
              <w:pStyle w:val="Tabletext0"/>
              <w:jc w:val="left"/>
            </w:pPr>
            <w:r>
              <w:t>Diagnosis to inform decisions regarding therapy, IPAC</w:t>
            </w:r>
          </w:p>
        </w:tc>
        <w:tc>
          <w:tcPr>
            <w:tcW w:w="2268" w:type="dxa"/>
          </w:tcPr>
          <w:p w14:paraId="6745BB2D" w14:textId="41621DAA" w:rsidR="00F133C8" w:rsidRDefault="00B27931" w:rsidP="0078130E">
            <w:pPr>
              <w:pStyle w:val="Tabletext0"/>
              <w:jc w:val="left"/>
            </w:pPr>
            <w:r>
              <w:t>Value of a faster diagnosis, slightly higher risk of false negative result</w:t>
            </w:r>
            <w:r w:rsidR="00541D41">
              <w:t xml:space="preserve"> d</w:t>
            </w:r>
            <w:r>
              <w:t>epends on clinical context</w:t>
            </w:r>
            <w:r w:rsidR="00541D41">
              <w:t xml:space="preserve"> (importance of early access to a result)</w:t>
            </w:r>
          </w:p>
        </w:tc>
      </w:tr>
      <w:tr w:rsidR="0087009E" w:rsidRPr="0087009E" w14:paraId="508B8AC6" w14:textId="77777777" w:rsidTr="00E14F04">
        <w:tc>
          <w:tcPr>
            <w:tcW w:w="1838" w:type="dxa"/>
          </w:tcPr>
          <w:p w14:paraId="24B88438" w14:textId="352A5B67" w:rsidR="0087009E" w:rsidRPr="0078130E" w:rsidRDefault="0087009E" w:rsidP="00E14F04">
            <w:pPr>
              <w:pStyle w:val="Tabletext0"/>
              <w:jc w:val="left"/>
              <w:rPr>
                <w:i/>
                <w:iCs/>
                <w:color w:val="0070C0"/>
              </w:rPr>
            </w:pPr>
            <w:r w:rsidRPr="0078130E">
              <w:rPr>
                <w:i/>
                <w:iCs/>
                <w:color w:val="0070C0"/>
              </w:rPr>
              <w:t>Clinical utility</w:t>
            </w:r>
          </w:p>
        </w:tc>
        <w:tc>
          <w:tcPr>
            <w:tcW w:w="7229" w:type="dxa"/>
            <w:gridSpan w:val="3"/>
          </w:tcPr>
          <w:p w14:paraId="5B9DD1EE" w14:textId="24F4E89A" w:rsidR="0087009E" w:rsidRPr="0078130E" w:rsidRDefault="007C1180" w:rsidP="00E14F04">
            <w:pPr>
              <w:pStyle w:val="Tabletext0"/>
              <w:jc w:val="left"/>
              <w:rPr>
                <w:i/>
                <w:iCs/>
                <w:color w:val="0070C0"/>
              </w:rPr>
            </w:pPr>
            <w:r>
              <w:rPr>
                <w:i/>
                <w:iCs/>
                <w:color w:val="0070C0"/>
              </w:rPr>
              <w:t xml:space="preserve">The </w:t>
            </w:r>
            <w:r w:rsidR="00F85642">
              <w:rPr>
                <w:i/>
                <w:iCs/>
                <w:color w:val="0070C0"/>
              </w:rPr>
              <w:t>longer</w:t>
            </w:r>
            <w:r>
              <w:rPr>
                <w:i/>
                <w:iCs/>
                <w:color w:val="0070C0"/>
              </w:rPr>
              <w:t xml:space="preserve"> turnaround time </w:t>
            </w:r>
            <w:r w:rsidR="00F85642">
              <w:rPr>
                <w:i/>
                <w:iCs/>
                <w:color w:val="0070C0"/>
              </w:rPr>
              <w:t xml:space="preserve">for standard NAAT </w:t>
            </w:r>
            <w:r>
              <w:rPr>
                <w:i/>
                <w:iCs/>
                <w:color w:val="0070C0"/>
              </w:rPr>
              <w:t xml:space="preserve">in </w:t>
            </w:r>
            <w:r w:rsidR="00290176">
              <w:rPr>
                <w:i/>
                <w:iCs/>
                <w:color w:val="0070C0"/>
              </w:rPr>
              <w:t xml:space="preserve">remote areas may </w:t>
            </w:r>
            <w:r w:rsidR="00F85642">
              <w:rPr>
                <w:i/>
                <w:iCs/>
                <w:color w:val="0070C0"/>
              </w:rPr>
              <w:t xml:space="preserve">mean rapid NAATs </w:t>
            </w:r>
            <w:r w:rsidR="00290176">
              <w:rPr>
                <w:i/>
                <w:iCs/>
                <w:color w:val="0070C0"/>
              </w:rPr>
              <w:t>provide</w:t>
            </w:r>
            <w:r w:rsidR="008B2CC4">
              <w:rPr>
                <w:i/>
                <w:iCs/>
                <w:color w:val="0070C0"/>
              </w:rPr>
              <w:t xml:space="preserve"> additional clinical utility</w:t>
            </w:r>
            <w:r w:rsidR="00162269">
              <w:rPr>
                <w:i/>
                <w:iCs/>
                <w:color w:val="0070C0"/>
              </w:rPr>
              <w:t xml:space="preserve"> for patients in those areas</w:t>
            </w:r>
            <w:r w:rsidR="00F040AF">
              <w:rPr>
                <w:i/>
                <w:iCs/>
                <w:color w:val="0070C0"/>
              </w:rPr>
              <w:t>.</w:t>
            </w:r>
          </w:p>
        </w:tc>
      </w:tr>
    </w:tbl>
    <w:p w14:paraId="725FADC6" w14:textId="66C1EB34" w:rsidR="00136A8D" w:rsidRPr="00747545" w:rsidRDefault="00B07CA6" w:rsidP="00747545">
      <w:pPr>
        <w:pStyle w:val="TableFooter"/>
      </w:pPr>
      <w:r>
        <w:t xml:space="preserve">IPAC=infection prevention and control; </w:t>
      </w:r>
      <w:r w:rsidR="00136A8D" w:rsidRPr="00747545">
        <w:t>N/A=not applicable; NAAT=nucleic acid amplification test</w:t>
      </w:r>
      <w:r w:rsidR="00541D41">
        <w:t>; NPA=negative predictive agreement; PPA positive predictive agreement</w:t>
      </w:r>
    </w:p>
    <w:p w14:paraId="6828FB02" w14:textId="0E0CDBDC" w:rsidR="00747545" w:rsidRDefault="00747545" w:rsidP="00747545">
      <w:pPr>
        <w:pStyle w:val="TableFooter"/>
      </w:pPr>
      <w:r w:rsidRPr="00747545">
        <w:t xml:space="preserve">* </w:t>
      </w:r>
      <w:proofErr w:type="gramStart"/>
      <w:r w:rsidRPr="00747545">
        <w:t>turnaround</w:t>
      </w:r>
      <w:proofErr w:type="gramEnd"/>
      <w:r w:rsidRPr="00747545">
        <w:t xml:space="preserve"> time </w:t>
      </w:r>
      <w:r w:rsidR="000A0AC7">
        <w:t xml:space="preserve">is for time taken to perform the </w:t>
      </w:r>
      <w:r w:rsidR="00D83C26">
        <w:t>rapid NAAT</w:t>
      </w:r>
      <w:r w:rsidR="000A0AC7">
        <w:t xml:space="preserve"> and does not </w:t>
      </w:r>
      <w:r w:rsidR="00044522">
        <w:t>include</w:t>
      </w:r>
      <w:r w:rsidR="000A0AC7">
        <w:t xml:space="preserve"> time from sample</w:t>
      </w:r>
      <w:r w:rsidR="00044522">
        <w:t xml:space="preserve"> transit after collection as rapid NAATs are performed in relatively close proximity to the patients, whereas for a standard NAAT, samples </w:t>
      </w:r>
      <w:r w:rsidR="00D83C26">
        <w:t>may</w:t>
      </w:r>
      <w:r w:rsidR="00044522">
        <w:t xml:space="preserve"> have to travel large distances if a </w:t>
      </w:r>
      <w:r w:rsidR="00D83C26">
        <w:t>labora</w:t>
      </w:r>
      <w:r w:rsidR="00025B27">
        <w:t>tory</w:t>
      </w:r>
      <w:r w:rsidR="00044522">
        <w:t xml:space="preserve"> is not located nearby</w:t>
      </w:r>
    </w:p>
    <w:p w14:paraId="5ECCA288" w14:textId="0F764999" w:rsidR="00E14F04" w:rsidRDefault="002D19F7" w:rsidP="00747545">
      <w:pPr>
        <w:pStyle w:val="TableFooter"/>
      </w:pPr>
      <w:r>
        <w:t xml:space="preserve">Source: DCAR Table 10. </w:t>
      </w:r>
      <w:r w:rsidR="00E14F04">
        <w:t xml:space="preserve">ESC’s additions are in blue italics and deletions in strikethrough, including updating the fees proposed for XXXX and YYYY </w:t>
      </w:r>
      <w:r w:rsidR="004F3D90">
        <w:t>by</w:t>
      </w:r>
      <w:r w:rsidR="00E14F04">
        <w:t xml:space="preserve"> the DCAR.</w:t>
      </w:r>
    </w:p>
    <w:p w14:paraId="25AE2BAC" w14:textId="17C8BDDC" w:rsidR="00772829" w:rsidRDefault="00C36633" w:rsidP="002A18BE">
      <w:pPr>
        <w:pStyle w:val="Heading2"/>
        <w:numPr>
          <w:ilvl w:val="1"/>
          <w:numId w:val="0"/>
        </w:numPr>
      </w:pPr>
      <w:bookmarkStart w:id="44" w:name="_Toc133832633"/>
      <w:r>
        <w:lastRenderedPageBreak/>
        <w:t>1</w:t>
      </w:r>
      <w:r w:rsidR="00CB2E78">
        <w:t>4</w:t>
      </w:r>
      <w:r>
        <w:t>.</w:t>
      </w:r>
      <w:r>
        <w:tab/>
      </w:r>
      <w:r w:rsidR="00772829" w:rsidRPr="00CE28E3">
        <w:t>Financial/budgetary impacts</w:t>
      </w:r>
      <w:bookmarkEnd w:id="42"/>
      <w:bookmarkEnd w:id="43"/>
      <w:bookmarkEnd w:id="44"/>
    </w:p>
    <w:p w14:paraId="02E69091" w14:textId="7FC93550" w:rsidR="003D7901" w:rsidRDefault="003D7901" w:rsidP="003D7901">
      <w:pPr>
        <w:pStyle w:val="Heading3"/>
      </w:pPr>
      <w:bookmarkStart w:id="45" w:name="_Toc133832634"/>
      <w:r>
        <w:t>Utilisation</w:t>
      </w:r>
      <w:bookmarkEnd w:id="45"/>
    </w:p>
    <w:p w14:paraId="007567C3" w14:textId="3C24D24C" w:rsidR="0073112E" w:rsidRDefault="008136DC" w:rsidP="004005B8">
      <w:r>
        <w:t>The utilisation of each</w:t>
      </w:r>
      <w:r w:rsidR="003D7901">
        <w:t xml:space="preserve"> proposed</w:t>
      </w:r>
      <w:r>
        <w:t xml:space="preserve"> item was </w:t>
      </w:r>
      <w:r w:rsidR="003D7901">
        <w:t>estimated</w:t>
      </w:r>
      <w:r>
        <w:t xml:space="preserve"> from the</w:t>
      </w:r>
      <w:r w:rsidR="00A9072D">
        <w:t xml:space="preserve"> total</w:t>
      </w:r>
      <w:r>
        <w:t xml:space="preserve"> number of tests performed in 2022 </w:t>
      </w:r>
      <w:r w:rsidR="005C7FFD">
        <w:t>from the combined use of</w:t>
      </w:r>
      <w:r>
        <w:t xml:space="preserve"> the single SARS-CoV-2 items plus the generic MBS items</w:t>
      </w:r>
      <w:r w:rsidR="00A9072D">
        <w:t xml:space="preserve"> </w:t>
      </w:r>
      <w:r w:rsidR="005C7FFD">
        <w:t>estimated as</w:t>
      </w:r>
      <w:r w:rsidR="00A9072D">
        <w:t xml:space="preserve"> attributable to respiratory pathogen testing</w:t>
      </w:r>
      <w:r w:rsidR="003D7901">
        <w:t xml:space="preserve"> from 1 October 2021 - September 30, 2022</w:t>
      </w:r>
      <w:r w:rsidR="00A9072D">
        <w:t>, and the current temporary MBS items</w:t>
      </w:r>
      <w:r w:rsidR="00933E50">
        <w:t xml:space="preserve"> during the period 1 October 2022 – 31 </w:t>
      </w:r>
      <w:r w:rsidR="00E975CA">
        <w:t>December</w:t>
      </w:r>
      <w:r w:rsidR="00933E50">
        <w:t xml:space="preserve"> 2023</w:t>
      </w:r>
      <w:r w:rsidR="00A9072D">
        <w:t xml:space="preserve">. The proportions of </w:t>
      </w:r>
      <w:r w:rsidR="00933E50">
        <w:t xml:space="preserve">each of </w:t>
      </w:r>
      <w:r w:rsidR="00A9072D">
        <w:t>the current temporary MBS item</w:t>
      </w:r>
      <w:r w:rsidR="005C7FFD">
        <w:t>s</w:t>
      </w:r>
      <w:r w:rsidR="00A9072D">
        <w:t xml:space="preserve"> utilisation were used to predict the likely pattern of test requesting had the current temporary MBS items been available throughout 2022. The </w:t>
      </w:r>
      <w:r w:rsidR="003D7901">
        <w:t xml:space="preserve">month-by-month </w:t>
      </w:r>
      <w:r w:rsidR="00A9072D">
        <w:t>2023 testing rates were then predicted based on the utilisation rates incorporating the anticipated decrease in testing for 2023</w:t>
      </w:r>
      <w:r w:rsidR="00933E50">
        <w:t xml:space="preserve"> evident from the utilisation in </w:t>
      </w:r>
      <w:r w:rsidR="005C7FFD">
        <w:t xml:space="preserve">from 1 October 2021 – 30 September </w:t>
      </w:r>
      <w:r w:rsidR="00933E50">
        <w:t>2022</w:t>
      </w:r>
      <w:r w:rsidR="00C426AA">
        <w:t xml:space="preserve"> compared with</w:t>
      </w:r>
      <w:r w:rsidR="00933E50">
        <w:t xml:space="preserve"> the period 1 October 2022 – 31 January 2023</w:t>
      </w:r>
      <w:r w:rsidR="00A9072D">
        <w:t>, and thereafter extrapolated for</w:t>
      </w:r>
      <w:r w:rsidR="00933E50">
        <w:t xml:space="preserve"> the years commencing </w:t>
      </w:r>
      <w:r w:rsidR="0098482B">
        <w:t xml:space="preserve">1 </w:t>
      </w:r>
      <w:r w:rsidR="00933E50">
        <w:t>January</w:t>
      </w:r>
      <w:r w:rsidR="00A9072D">
        <w:t xml:space="preserve"> 2024</w:t>
      </w:r>
      <w:r w:rsidR="00933E50">
        <w:t xml:space="preserve"> – 31 December </w:t>
      </w:r>
      <w:r w:rsidR="00A9072D">
        <w:t>2029, with adjustments based on the anticipated population growth.</w:t>
      </w:r>
      <w:r w:rsidR="00E975CA">
        <w:t xml:space="preserve"> </w:t>
      </w:r>
      <w:r w:rsidR="00C426AA">
        <w:t>There was a reduction in c</w:t>
      </w:r>
      <w:r w:rsidR="00E975CA">
        <w:t xml:space="preserve">o-claiming of the permanent generic MBS items </w:t>
      </w:r>
      <w:r w:rsidR="00C426AA">
        <w:t>following the introduction of the current temporary items compared with the single SARS-CoV-2 test items, most likely due to the</w:t>
      </w:r>
      <w:r w:rsidR="005C7FFD">
        <w:t xml:space="preserve"> wider number of tests available within the</w:t>
      </w:r>
      <w:r w:rsidR="00C426AA">
        <w:t xml:space="preserve"> ladder structure reducing the need for </w:t>
      </w:r>
      <w:r w:rsidR="005C7FFD">
        <w:t>additional</w:t>
      </w:r>
      <w:r w:rsidR="00C426AA">
        <w:t xml:space="preserve"> testing</w:t>
      </w:r>
      <w:r w:rsidR="002A52C4">
        <w:t xml:space="preserve"> via the generic MBS items</w:t>
      </w:r>
      <w:r w:rsidR="00C426AA">
        <w:t xml:space="preserve">. </w:t>
      </w:r>
    </w:p>
    <w:p w14:paraId="6704B4FD" w14:textId="066A6993" w:rsidR="003D7901" w:rsidRDefault="003D7901" w:rsidP="003D7901">
      <w:pPr>
        <w:pStyle w:val="Heading3"/>
      </w:pPr>
      <w:bookmarkStart w:id="46" w:name="_Toc133832635"/>
      <w:r>
        <w:t>Financial implications</w:t>
      </w:r>
      <w:bookmarkEnd w:id="46"/>
    </w:p>
    <w:p w14:paraId="0D161691" w14:textId="63586B86" w:rsidR="00CF3FD4" w:rsidRDefault="00AD6BFC" w:rsidP="0078130E">
      <w:pPr>
        <w:pStyle w:val="Heading4"/>
        <w:spacing w:before="0"/>
      </w:pPr>
      <w:r>
        <w:t xml:space="preserve">Option 1: </w:t>
      </w:r>
      <w:r w:rsidR="00272827" w:rsidRPr="00272827">
        <w:t>Two-step multi-pathogen ladder (</w:t>
      </w:r>
      <w:r w:rsidR="00CF3FD4">
        <w:t xml:space="preserve">HTA </w:t>
      </w:r>
      <w:r w:rsidR="000D1926">
        <w:t>g</w:t>
      </w:r>
      <w:r w:rsidR="00CF3FD4">
        <w:t xml:space="preserve">roup </w:t>
      </w:r>
      <w:r w:rsidR="000D1926">
        <w:t>o</w:t>
      </w:r>
      <w:r w:rsidR="00CF3FD4">
        <w:t>ption</w:t>
      </w:r>
      <w:r w:rsidR="00272827">
        <w:t>)</w:t>
      </w:r>
    </w:p>
    <w:p w14:paraId="31EC33D8" w14:textId="3D5BFD6D" w:rsidR="00992863" w:rsidRPr="00A65842" w:rsidRDefault="00992863" w:rsidP="00FA6EA1">
      <w:r w:rsidRPr="00A65842">
        <w:t>The financial impact of the HTA group’s proposed items (no single SARS-CoV-2 item) could result in SARS-CoV-2 testing being provided either:</w:t>
      </w:r>
    </w:p>
    <w:p w14:paraId="637AF776" w14:textId="5221D8AF" w:rsidR="00C01197" w:rsidRPr="001D278E" w:rsidRDefault="00955F37" w:rsidP="00CB2E78">
      <w:pPr>
        <w:pStyle w:val="Nnumberedlist"/>
        <w:numPr>
          <w:ilvl w:val="0"/>
          <w:numId w:val="21"/>
        </w:numPr>
        <w:rPr>
          <w:rFonts w:ascii="Franklin Gothic Book" w:hAnsi="Franklin Gothic Book" w:cstheme="minorHAnsi"/>
        </w:rPr>
      </w:pPr>
      <w:r>
        <w:rPr>
          <w:rFonts w:ascii="Franklin Gothic Book" w:hAnsi="Franklin Gothic Book" w:cstheme="minorHAnsi"/>
        </w:rPr>
        <w:t>Option</w:t>
      </w:r>
      <w:r w:rsidR="00992863" w:rsidRPr="001D278E">
        <w:rPr>
          <w:rFonts w:ascii="Franklin Gothic Book" w:hAnsi="Franklin Gothic Book" w:cstheme="minorHAnsi"/>
        </w:rPr>
        <w:t xml:space="preserve"> 1</w:t>
      </w:r>
      <w:r w:rsidR="0085042C">
        <w:rPr>
          <w:rFonts w:ascii="Franklin Gothic Book" w:hAnsi="Franklin Gothic Book" w:cstheme="minorHAnsi"/>
        </w:rPr>
        <w:t>a</w:t>
      </w:r>
      <w:r w:rsidR="006702C3" w:rsidRPr="001D278E">
        <w:rPr>
          <w:rFonts w:ascii="Franklin Gothic Book" w:hAnsi="Franklin Gothic Book" w:cstheme="minorHAnsi"/>
        </w:rPr>
        <w:t xml:space="preserve">: via the </w:t>
      </w:r>
      <w:r w:rsidR="00992863" w:rsidRPr="001D278E">
        <w:rPr>
          <w:rFonts w:ascii="Franklin Gothic Book" w:hAnsi="Franklin Gothic Book" w:cstheme="minorHAnsi"/>
        </w:rPr>
        <w:t xml:space="preserve">4-pathogen panel </w:t>
      </w:r>
      <w:r w:rsidR="00BF459F">
        <w:rPr>
          <w:rFonts w:ascii="Franklin Gothic Book" w:hAnsi="Franklin Gothic Book" w:cstheme="minorHAnsi"/>
        </w:rPr>
        <w:t>(</w:t>
      </w:r>
      <w:r w:rsidR="00992863" w:rsidRPr="001D278E">
        <w:rPr>
          <w:rFonts w:ascii="Franklin Gothic Book" w:hAnsi="Franklin Gothic Book" w:cstheme="minorHAnsi"/>
        </w:rPr>
        <w:t>together with influenza A and B and RSV</w:t>
      </w:r>
      <w:r w:rsidR="00BF459F">
        <w:rPr>
          <w:rFonts w:ascii="Franklin Gothic Book" w:hAnsi="Franklin Gothic Book" w:cstheme="minorHAnsi"/>
        </w:rPr>
        <w:t xml:space="preserve">) and </w:t>
      </w:r>
      <w:r w:rsidR="0006538F" w:rsidRPr="00A65842">
        <w:rPr>
          <w:lang w:eastAsia="en-GB"/>
        </w:rPr>
        <w:t>≥</w:t>
      </w:r>
      <w:r w:rsidR="00BF459F">
        <w:rPr>
          <w:rFonts w:ascii="Franklin Gothic Book" w:hAnsi="Franklin Gothic Book" w:cstheme="minorHAnsi"/>
        </w:rPr>
        <w:t>5 pathogen panel</w:t>
      </w:r>
      <w:r w:rsidR="006702C3" w:rsidRPr="001D278E">
        <w:rPr>
          <w:rFonts w:ascii="Franklin Gothic Book" w:hAnsi="Franklin Gothic Book" w:cstheme="minorHAnsi"/>
        </w:rPr>
        <w:t xml:space="preserve"> </w:t>
      </w:r>
    </w:p>
    <w:p w14:paraId="1FCF806F" w14:textId="77777777" w:rsidR="003A5446" w:rsidRPr="001D278E" w:rsidRDefault="006702C3" w:rsidP="00CB2E78">
      <w:pPr>
        <w:pStyle w:val="Nnumberedlist"/>
        <w:numPr>
          <w:ilvl w:val="1"/>
          <w:numId w:val="21"/>
        </w:numPr>
        <w:rPr>
          <w:rFonts w:ascii="Franklin Gothic Book" w:hAnsi="Franklin Gothic Book" w:cstheme="minorHAnsi"/>
        </w:rPr>
      </w:pPr>
      <w:r w:rsidRPr="001D278E">
        <w:rPr>
          <w:rFonts w:ascii="Franklin Gothic Book" w:hAnsi="Franklin Gothic Book" w:cstheme="minorHAnsi"/>
        </w:rPr>
        <w:t>This would require a shift from current practice where 44% of SARS-CoV-2 testing is for just SARS-CoV-2 testing alone, but it</w:t>
      </w:r>
      <w:r w:rsidR="00C01197" w:rsidRPr="001D278E">
        <w:rPr>
          <w:rFonts w:ascii="Franklin Gothic Book" w:hAnsi="Franklin Gothic Book" w:cstheme="minorHAnsi"/>
        </w:rPr>
        <w:t xml:space="preserve"> is likely that providers would seek to use the proposed 4-pathogen panel, because its</w:t>
      </w:r>
      <w:r w:rsidR="00FB44DC" w:rsidRPr="001D278E">
        <w:rPr>
          <w:rFonts w:ascii="Franklin Gothic Book" w:hAnsi="Franklin Gothic Book" w:cstheme="minorHAnsi"/>
        </w:rPr>
        <w:t xml:space="preserve"> fee is higher</w:t>
      </w:r>
      <w:r w:rsidR="008D3181" w:rsidRPr="001D278E">
        <w:rPr>
          <w:rFonts w:ascii="Franklin Gothic Book" w:hAnsi="Franklin Gothic Book" w:cstheme="minorHAnsi"/>
        </w:rPr>
        <w:t>.</w:t>
      </w:r>
      <w:r w:rsidRPr="001D278E">
        <w:rPr>
          <w:rFonts w:ascii="Franklin Gothic Book" w:hAnsi="Franklin Gothic Book" w:cstheme="minorHAnsi"/>
        </w:rPr>
        <w:t xml:space="preserve"> </w:t>
      </w:r>
    </w:p>
    <w:p w14:paraId="5278254B" w14:textId="6550BD02" w:rsidR="00992863" w:rsidRPr="001D278E" w:rsidRDefault="00955F37" w:rsidP="00CB2E78">
      <w:pPr>
        <w:pStyle w:val="Nnumberedlist"/>
        <w:numPr>
          <w:ilvl w:val="0"/>
          <w:numId w:val="21"/>
        </w:numPr>
        <w:rPr>
          <w:rFonts w:ascii="Franklin Gothic Book" w:hAnsi="Franklin Gothic Book" w:cstheme="minorHAnsi"/>
        </w:rPr>
      </w:pPr>
      <w:r>
        <w:rPr>
          <w:rFonts w:ascii="Franklin Gothic Book" w:hAnsi="Franklin Gothic Book" w:cstheme="minorHAnsi"/>
        </w:rPr>
        <w:t>Option</w:t>
      </w:r>
      <w:r w:rsidRPr="001D278E">
        <w:rPr>
          <w:rFonts w:ascii="Franklin Gothic Book" w:hAnsi="Franklin Gothic Book" w:cstheme="minorHAnsi"/>
        </w:rPr>
        <w:t xml:space="preserve"> </w:t>
      </w:r>
      <w:r w:rsidR="0085042C">
        <w:rPr>
          <w:rFonts w:ascii="Franklin Gothic Book" w:hAnsi="Franklin Gothic Book" w:cstheme="minorHAnsi"/>
        </w:rPr>
        <w:t>1b</w:t>
      </w:r>
      <w:r w:rsidR="00992863" w:rsidRPr="001D278E">
        <w:rPr>
          <w:rFonts w:ascii="Franklin Gothic Book" w:hAnsi="Franklin Gothic Book" w:cstheme="minorHAnsi"/>
        </w:rPr>
        <w:t>: via utilisation of Item 69494</w:t>
      </w:r>
      <w:r w:rsidR="003A5446" w:rsidRPr="001D278E">
        <w:rPr>
          <w:rFonts w:ascii="Franklin Gothic Book" w:hAnsi="Franklin Gothic Book" w:cstheme="minorHAnsi"/>
        </w:rPr>
        <w:t xml:space="preserve"> for</w:t>
      </w:r>
      <w:r w:rsidR="00992863" w:rsidRPr="001D278E">
        <w:rPr>
          <w:rFonts w:ascii="Franklin Gothic Book" w:hAnsi="Franklin Gothic Book" w:cstheme="minorHAnsi"/>
        </w:rPr>
        <w:t xml:space="preserve"> any single pathogen being </w:t>
      </w:r>
      <w:proofErr w:type="gramStart"/>
      <w:r w:rsidR="00992863" w:rsidRPr="001D278E">
        <w:rPr>
          <w:rFonts w:ascii="Franklin Gothic Book" w:hAnsi="Franklin Gothic Book" w:cstheme="minorHAnsi"/>
        </w:rPr>
        <w:t>tested</w:t>
      </w:r>
      <w:proofErr w:type="gramEnd"/>
      <w:r w:rsidR="00992863" w:rsidRPr="001D278E">
        <w:rPr>
          <w:rFonts w:ascii="Franklin Gothic Book" w:hAnsi="Franklin Gothic Book" w:cstheme="minorHAnsi"/>
        </w:rPr>
        <w:t xml:space="preserve"> </w:t>
      </w:r>
    </w:p>
    <w:p w14:paraId="663B85C3" w14:textId="40294A6B" w:rsidR="00992863" w:rsidRPr="001D278E" w:rsidRDefault="006702C3" w:rsidP="00CB2E78">
      <w:pPr>
        <w:pStyle w:val="Nnumberedlist"/>
        <w:numPr>
          <w:ilvl w:val="1"/>
          <w:numId w:val="21"/>
        </w:numPr>
        <w:rPr>
          <w:rFonts w:ascii="Franklin Gothic Book" w:hAnsi="Franklin Gothic Book" w:cstheme="minorHAnsi"/>
        </w:rPr>
      </w:pPr>
      <w:r w:rsidRPr="001D278E">
        <w:rPr>
          <w:rFonts w:ascii="Franklin Gothic Book" w:hAnsi="Franklin Gothic Book" w:cstheme="minorHAnsi"/>
        </w:rPr>
        <w:t>This would</w:t>
      </w:r>
      <w:r w:rsidR="00992863" w:rsidRPr="001D278E">
        <w:rPr>
          <w:rFonts w:ascii="Franklin Gothic Book" w:hAnsi="Franklin Gothic Book" w:cstheme="minorHAnsi"/>
        </w:rPr>
        <w:t xml:space="preserve"> result in a gap fee and potentially out-of-pocket expenses for patients as the current rebate is $24.40, which the HTA group’s costings indicate</w:t>
      </w:r>
      <w:r w:rsidR="001D278E">
        <w:rPr>
          <w:rFonts w:ascii="Franklin Gothic Book" w:hAnsi="Franklin Gothic Book" w:cstheme="minorHAnsi"/>
        </w:rPr>
        <w:t>d</w:t>
      </w:r>
      <w:r w:rsidR="00992863" w:rsidRPr="001D278E">
        <w:rPr>
          <w:rFonts w:ascii="Franklin Gothic Book" w:hAnsi="Franklin Gothic Book" w:cstheme="minorHAnsi"/>
        </w:rPr>
        <w:t xml:space="preserve"> is insufficient to meet the cost of single nucleic acid testing.</w:t>
      </w:r>
    </w:p>
    <w:p w14:paraId="534D5654" w14:textId="3CA0726E" w:rsidR="00E3413A" w:rsidRPr="00A65842" w:rsidRDefault="00D90B3E" w:rsidP="00200B53">
      <w:r w:rsidRPr="00A65842">
        <w:t>With</w:t>
      </w:r>
      <w:r w:rsidR="00992863" w:rsidRPr="00A65842">
        <w:t xml:space="preserve"> </w:t>
      </w:r>
      <w:r w:rsidR="00200B53" w:rsidRPr="00A65842">
        <w:t xml:space="preserve">either </w:t>
      </w:r>
      <w:r w:rsidR="00992863" w:rsidRPr="00A65842">
        <w:t>th</w:t>
      </w:r>
      <w:r w:rsidR="00200B53" w:rsidRPr="00A65842">
        <w:t>e proposed items or the HTA</w:t>
      </w:r>
      <w:r w:rsidR="00992863" w:rsidRPr="00A65842">
        <w:t xml:space="preserve"> </w:t>
      </w:r>
      <w:r w:rsidR="00200B53" w:rsidRPr="00A65842">
        <w:t>group’s</w:t>
      </w:r>
      <w:r w:rsidRPr="00A65842">
        <w:t xml:space="preserve"> alternative</w:t>
      </w:r>
      <w:r w:rsidR="002C1EF7" w:rsidRPr="00A65842">
        <w:t xml:space="preserve"> strategy and</w:t>
      </w:r>
      <w:r w:rsidR="00200B53" w:rsidRPr="00A65842">
        <w:t xml:space="preserve"> items, </w:t>
      </w:r>
      <w:r w:rsidR="00227AF9" w:rsidRPr="00A65842">
        <w:t>nucleic acid testing for</w:t>
      </w:r>
      <w:r w:rsidR="003A5446" w:rsidRPr="00A65842">
        <w:t xml:space="preserve"> single respiratory pathogen </w:t>
      </w:r>
      <w:r w:rsidR="00FC527C" w:rsidRPr="00A65842">
        <w:t xml:space="preserve">using the generic MBS items </w:t>
      </w:r>
      <w:r w:rsidR="002C1EF7" w:rsidRPr="00A65842">
        <w:t>will</w:t>
      </w:r>
      <w:r w:rsidR="00C217A8" w:rsidRPr="00A65842">
        <w:t xml:space="preserve"> still</w:t>
      </w:r>
      <w:r w:rsidR="00200B53" w:rsidRPr="00A65842">
        <w:t xml:space="preserve"> </w:t>
      </w:r>
      <w:r w:rsidR="002C1EF7" w:rsidRPr="00A65842">
        <w:t xml:space="preserve">be </w:t>
      </w:r>
      <w:r w:rsidR="00200B53" w:rsidRPr="00A65842">
        <w:t>required (as well as being able to co-claim for testing for other non-respiratory pathogens)</w:t>
      </w:r>
      <w:r w:rsidR="00C217A8" w:rsidRPr="00A65842">
        <w:t>. However,</w:t>
      </w:r>
      <w:r w:rsidR="00992863" w:rsidRPr="00A65842">
        <w:t xml:space="preserve"> the fees for items 69494, 69495, 69496 would need </w:t>
      </w:r>
      <w:r w:rsidR="00FC527C" w:rsidRPr="00A65842">
        <w:t xml:space="preserve">to </w:t>
      </w:r>
      <w:r w:rsidR="00992863" w:rsidRPr="00A65842">
        <w:t>be increased or new items created</w:t>
      </w:r>
      <w:r w:rsidRPr="00A65842">
        <w:t xml:space="preserve"> as</w:t>
      </w:r>
      <w:r w:rsidR="00992863" w:rsidRPr="00A65842">
        <w:t xml:space="preserve"> these</w:t>
      </w:r>
      <w:r w:rsidRPr="00A65842">
        <w:t xml:space="preserve"> items</w:t>
      </w:r>
      <w:r w:rsidR="00992863" w:rsidRPr="00A65842">
        <w:t xml:space="preserve"> currently include two very different </w:t>
      </w:r>
      <w:r w:rsidR="003A266A" w:rsidRPr="00A65842">
        <w:t xml:space="preserve">diagnostic test methodologies </w:t>
      </w:r>
      <w:r w:rsidR="00992863" w:rsidRPr="00A65842">
        <w:t>technologies with very different costs.</w:t>
      </w:r>
    </w:p>
    <w:p w14:paraId="470569F5" w14:textId="12191E72" w:rsidR="00E3413A" w:rsidRPr="001D278E" w:rsidRDefault="00E3413A" w:rsidP="0078130E">
      <w:r w:rsidRPr="00A65842">
        <w:rPr>
          <w:lang w:eastAsia="en-GB"/>
        </w:rPr>
        <w:t xml:space="preserve">The following financial </w:t>
      </w:r>
      <w:proofErr w:type="spellStart"/>
      <w:r w:rsidRPr="00A65842">
        <w:rPr>
          <w:lang w:eastAsia="en-GB"/>
        </w:rPr>
        <w:t>analyses</w:t>
      </w:r>
      <w:proofErr w:type="spellEnd"/>
      <w:r w:rsidRPr="00A65842">
        <w:rPr>
          <w:lang w:eastAsia="en-GB"/>
        </w:rPr>
        <w:t xml:space="preserve"> estimate</w:t>
      </w:r>
      <w:r w:rsidR="001D278E">
        <w:rPr>
          <w:lang w:eastAsia="en-GB"/>
        </w:rPr>
        <w:t>d</w:t>
      </w:r>
      <w:r w:rsidRPr="00A65842">
        <w:rPr>
          <w:lang w:eastAsia="en-GB"/>
        </w:rPr>
        <w:t xml:space="preserve"> the net impact to the MBS of a four-pathogen panel and a ≥5-pathogen panel</w:t>
      </w:r>
      <w:r w:rsidR="00570B20" w:rsidRPr="00A65842">
        <w:rPr>
          <w:lang w:eastAsia="en-GB"/>
        </w:rPr>
        <w:t xml:space="preserve"> </w:t>
      </w:r>
      <w:r w:rsidR="0005282E" w:rsidRPr="00A65842">
        <w:rPr>
          <w:lang w:eastAsia="en-GB"/>
        </w:rPr>
        <w:t xml:space="preserve">using an 85% rebate </w:t>
      </w:r>
      <w:r w:rsidR="00570B20" w:rsidRPr="00A65842">
        <w:rPr>
          <w:lang w:eastAsia="en-GB"/>
        </w:rPr>
        <w:t>based on HTA cost estimates with no additional margin</w:t>
      </w:r>
      <w:r w:rsidR="00BE7EFB">
        <w:rPr>
          <w:lang w:eastAsia="en-GB"/>
        </w:rPr>
        <w:t>.</w:t>
      </w:r>
    </w:p>
    <w:p w14:paraId="29EDD18A" w14:textId="773B68E1" w:rsidR="00992863" w:rsidRDefault="00992863" w:rsidP="00992863">
      <w:pPr>
        <w:pStyle w:val="Caption"/>
      </w:pPr>
      <w:r w:rsidRPr="0027526D">
        <w:lastRenderedPageBreak/>
        <w:t xml:space="preserve">Table </w:t>
      </w:r>
      <w:r>
        <w:fldChar w:fldCharType="begin"/>
      </w:r>
      <w:r>
        <w:instrText>SEQ Table \* ARABIC</w:instrText>
      </w:r>
      <w:r>
        <w:fldChar w:fldCharType="separate"/>
      </w:r>
      <w:r w:rsidR="00525416">
        <w:rPr>
          <w:noProof/>
        </w:rPr>
        <w:t>13</w:t>
      </w:r>
      <w:r>
        <w:fldChar w:fldCharType="end"/>
      </w:r>
      <w:r w:rsidRPr="0027526D">
        <w:t xml:space="preserve"> Net financial impact of HTA Group </w:t>
      </w:r>
      <w:r w:rsidR="00093CEE" w:rsidRPr="0027526D">
        <w:t xml:space="preserve">option </w:t>
      </w:r>
      <w:r w:rsidRPr="0027526D">
        <w:t>NAAT</w:t>
      </w:r>
      <w:r w:rsidR="00093CEE" w:rsidRPr="0027526D">
        <w:t>s</w:t>
      </w:r>
      <w:r w:rsidRPr="0027526D">
        <w:t xml:space="preserve"> for respiratory pathogens: </w:t>
      </w:r>
      <w:r w:rsidR="00BF20C9" w:rsidRPr="0078130E">
        <w:rPr>
          <w:u w:val="single"/>
        </w:rPr>
        <w:t xml:space="preserve">option </w:t>
      </w:r>
      <w:r w:rsidRPr="0078130E">
        <w:rPr>
          <w:u w:val="single"/>
        </w:rPr>
        <w:t>1</w:t>
      </w:r>
      <w:r w:rsidR="0085042C" w:rsidRPr="0078130E">
        <w:rPr>
          <w:u w:val="single"/>
        </w:rPr>
        <w:t>a</w:t>
      </w:r>
      <w:r w:rsidR="00F21932">
        <w:t xml:space="preserve"> (</w:t>
      </w:r>
      <w:r w:rsidR="00CF5A3C">
        <w:t xml:space="preserve">SARS-CoV-2 </w:t>
      </w:r>
      <w:r w:rsidR="00F21932">
        <w:t xml:space="preserve">testing </w:t>
      </w:r>
      <w:r w:rsidR="00CF5A3C">
        <w:t xml:space="preserve">performed </w:t>
      </w:r>
      <w:r w:rsidR="00B6342F">
        <w:t>using XXXX or YYYY</w:t>
      </w:r>
      <w:r w:rsidR="00CB6AD1">
        <w:t>)</w:t>
      </w:r>
    </w:p>
    <w:tbl>
      <w:tblPr>
        <w:tblStyle w:val="PlainTable2"/>
        <w:tblW w:w="934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1"/>
        <w:gridCol w:w="1275"/>
        <w:gridCol w:w="1276"/>
        <w:gridCol w:w="1276"/>
        <w:gridCol w:w="1276"/>
        <w:gridCol w:w="1276"/>
        <w:gridCol w:w="1276"/>
      </w:tblGrid>
      <w:tr w:rsidR="00992863" w:rsidRPr="00C84E1C" w14:paraId="151336BF" w14:textId="77777777" w:rsidTr="001D278E">
        <w:trPr>
          <w:cnfStyle w:val="100000000000" w:firstRow="1" w:lastRow="0" w:firstColumn="0" w:lastColumn="0" w:oddVBand="0" w:evenVBand="0" w:oddHBand="0" w:evenHBand="0" w:firstRowFirstColumn="0" w:firstRowLastColumn="0" w:lastRowFirstColumn="0" w:lastRowLastColumn="0"/>
          <w:trHeight w:val="21"/>
          <w:tblHeader/>
        </w:trPr>
        <w:tc>
          <w:tcPr>
            <w:cnfStyle w:val="001000000000" w:firstRow="0" w:lastRow="0" w:firstColumn="1" w:lastColumn="0" w:oddVBand="0" w:evenVBand="0" w:oddHBand="0" w:evenHBand="0" w:firstRowFirstColumn="0" w:firstRowLastColumn="0" w:lastRowFirstColumn="0" w:lastRowLastColumn="0"/>
            <w:tcW w:w="1691" w:type="dxa"/>
            <w:hideMark/>
          </w:tcPr>
          <w:p w14:paraId="238C5DBF" w14:textId="0ED11EC0" w:rsidR="00992863" w:rsidRPr="00C7218F" w:rsidRDefault="006209B9">
            <w:pPr>
              <w:pStyle w:val="TableHeading0"/>
              <w:rPr>
                <w:b/>
                <w:bCs w:val="0"/>
              </w:rPr>
            </w:pPr>
            <w:r>
              <w:rPr>
                <w:b/>
                <w:bCs w:val="0"/>
              </w:rPr>
              <w:t>Parameter</w:t>
            </w:r>
          </w:p>
        </w:tc>
        <w:tc>
          <w:tcPr>
            <w:tcW w:w="1275" w:type="dxa"/>
          </w:tcPr>
          <w:p w14:paraId="5AF52E38" w14:textId="77777777" w:rsidR="00992863" w:rsidRPr="00C7218F" w:rsidRDefault="00992863" w:rsidP="001D278E">
            <w:pPr>
              <w:pStyle w:val="TableHeading0"/>
              <w:jc w:val="center"/>
              <w:cnfStyle w:val="100000000000" w:firstRow="1" w:lastRow="0" w:firstColumn="0" w:lastColumn="0" w:oddVBand="0" w:evenVBand="0" w:oddHBand="0" w:evenHBand="0" w:firstRowFirstColumn="0" w:firstRowLastColumn="0" w:lastRowFirstColumn="0" w:lastRowLastColumn="0"/>
              <w:rPr>
                <w:b/>
                <w:bCs w:val="0"/>
              </w:rPr>
            </w:pPr>
            <w:r w:rsidRPr="00C7218F">
              <w:rPr>
                <w:b/>
                <w:bCs w:val="0"/>
              </w:rPr>
              <w:t>2024</w:t>
            </w:r>
          </w:p>
        </w:tc>
        <w:tc>
          <w:tcPr>
            <w:tcW w:w="1276" w:type="dxa"/>
          </w:tcPr>
          <w:p w14:paraId="0AFAFF47" w14:textId="77777777" w:rsidR="00992863" w:rsidRPr="00C7218F" w:rsidRDefault="00992863" w:rsidP="001D278E">
            <w:pPr>
              <w:pStyle w:val="TableHeading0"/>
              <w:jc w:val="center"/>
              <w:cnfStyle w:val="100000000000" w:firstRow="1" w:lastRow="0" w:firstColumn="0" w:lastColumn="0" w:oddVBand="0" w:evenVBand="0" w:oddHBand="0" w:evenHBand="0" w:firstRowFirstColumn="0" w:firstRowLastColumn="0" w:lastRowFirstColumn="0" w:lastRowLastColumn="0"/>
              <w:rPr>
                <w:b/>
                <w:bCs w:val="0"/>
              </w:rPr>
            </w:pPr>
            <w:r w:rsidRPr="00C7218F">
              <w:rPr>
                <w:b/>
                <w:bCs w:val="0"/>
              </w:rPr>
              <w:t>2025</w:t>
            </w:r>
          </w:p>
        </w:tc>
        <w:tc>
          <w:tcPr>
            <w:tcW w:w="1276" w:type="dxa"/>
          </w:tcPr>
          <w:p w14:paraId="5A1FED9B" w14:textId="77777777" w:rsidR="00992863" w:rsidRPr="00C7218F" w:rsidRDefault="00992863" w:rsidP="001D278E">
            <w:pPr>
              <w:pStyle w:val="TableHeading0"/>
              <w:jc w:val="center"/>
              <w:cnfStyle w:val="100000000000" w:firstRow="1" w:lastRow="0" w:firstColumn="0" w:lastColumn="0" w:oddVBand="0" w:evenVBand="0" w:oddHBand="0" w:evenHBand="0" w:firstRowFirstColumn="0" w:firstRowLastColumn="0" w:lastRowFirstColumn="0" w:lastRowLastColumn="0"/>
              <w:rPr>
                <w:b/>
                <w:bCs w:val="0"/>
              </w:rPr>
            </w:pPr>
            <w:r w:rsidRPr="00C7218F">
              <w:rPr>
                <w:b/>
                <w:bCs w:val="0"/>
              </w:rPr>
              <w:t>2026</w:t>
            </w:r>
          </w:p>
        </w:tc>
        <w:tc>
          <w:tcPr>
            <w:tcW w:w="1276" w:type="dxa"/>
          </w:tcPr>
          <w:p w14:paraId="15EB3099" w14:textId="77777777" w:rsidR="00992863" w:rsidRPr="00C7218F" w:rsidRDefault="00992863" w:rsidP="001D278E">
            <w:pPr>
              <w:pStyle w:val="TableHeading0"/>
              <w:jc w:val="center"/>
              <w:cnfStyle w:val="100000000000" w:firstRow="1" w:lastRow="0" w:firstColumn="0" w:lastColumn="0" w:oddVBand="0" w:evenVBand="0" w:oddHBand="0" w:evenHBand="0" w:firstRowFirstColumn="0" w:firstRowLastColumn="0" w:lastRowFirstColumn="0" w:lastRowLastColumn="0"/>
              <w:rPr>
                <w:b/>
                <w:bCs w:val="0"/>
              </w:rPr>
            </w:pPr>
            <w:r w:rsidRPr="00C7218F">
              <w:rPr>
                <w:b/>
                <w:bCs w:val="0"/>
              </w:rPr>
              <w:t>2027</w:t>
            </w:r>
          </w:p>
        </w:tc>
        <w:tc>
          <w:tcPr>
            <w:tcW w:w="1276" w:type="dxa"/>
          </w:tcPr>
          <w:p w14:paraId="7AB41686" w14:textId="77777777" w:rsidR="00992863" w:rsidRPr="00C7218F" w:rsidRDefault="00992863" w:rsidP="001D278E">
            <w:pPr>
              <w:pStyle w:val="TableHeading0"/>
              <w:jc w:val="center"/>
              <w:cnfStyle w:val="100000000000" w:firstRow="1" w:lastRow="0" w:firstColumn="0" w:lastColumn="0" w:oddVBand="0" w:evenVBand="0" w:oddHBand="0" w:evenHBand="0" w:firstRowFirstColumn="0" w:firstRowLastColumn="0" w:lastRowFirstColumn="0" w:lastRowLastColumn="0"/>
              <w:rPr>
                <w:b/>
                <w:bCs w:val="0"/>
              </w:rPr>
            </w:pPr>
            <w:r w:rsidRPr="00C7218F">
              <w:rPr>
                <w:b/>
                <w:bCs w:val="0"/>
              </w:rPr>
              <w:t>2028</w:t>
            </w:r>
          </w:p>
        </w:tc>
        <w:tc>
          <w:tcPr>
            <w:tcW w:w="1276" w:type="dxa"/>
          </w:tcPr>
          <w:p w14:paraId="69D114AE" w14:textId="77777777" w:rsidR="00992863" w:rsidRPr="00C7218F" w:rsidRDefault="00992863" w:rsidP="001D278E">
            <w:pPr>
              <w:pStyle w:val="TableHeading0"/>
              <w:jc w:val="center"/>
              <w:cnfStyle w:val="100000000000" w:firstRow="1" w:lastRow="0" w:firstColumn="0" w:lastColumn="0" w:oddVBand="0" w:evenVBand="0" w:oddHBand="0" w:evenHBand="0" w:firstRowFirstColumn="0" w:firstRowLastColumn="0" w:lastRowFirstColumn="0" w:lastRowLastColumn="0"/>
              <w:rPr>
                <w:b/>
                <w:bCs w:val="0"/>
              </w:rPr>
            </w:pPr>
            <w:r w:rsidRPr="00C7218F">
              <w:rPr>
                <w:b/>
                <w:bCs w:val="0"/>
              </w:rPr>
              <w:t>2029</w:t>
            </w:r>
          </w:p>
        </w:tc>
      </w:tr>
      <w:tr w:rsidR="00992863" w:rsidRPr="00C84E1C" w14:paraId="3C98CE3C" w14:textId="77777777" w:rsidTr="001D278E">
        <w:trPr>
          <w:cnfStyle w:val="000000100000" w:firstRow="0" w:lastRow="0" w:firstColumn="0" w:lastColumn="0" w:oddVBand="0" w:evenVBand="0" w:oddHBand="1" w:evenHBand="0" w:firstRowFirstColumn="0" w:firstRowLastColumn="0" w:lastRowFirstColumn="0" w:lastRowLastColumn="0"/>
          <w:trHeight w:val="21"/>
        </w:trPr>
        <w:tc>
          <w:tcPr>
            <w:cnfStyle w:val="001000000000" w:firstRow="0" w:lastRow="0" w:firstColumn="1" w:lastColumn="0" w:oddVBand="0" w:evenVBand="0" w:oddHBand="0" w:evenHBand="0" w:firstRowFirstColumn="0" w:firstRowLastColumn="0" w:lastRowFirstColumn="0" w:lastRowLastColumn="0"/>
            <w:tcW w:w="1691" w:type="dxa"/>
          </w:tcPr>
          <w:p w14:paraId="1D280791" w14:textId="598AE21B" w:rsidR="00992863" w:rsidRPr="00866E4D" w:rsidRDefault="00992863" w:rsidP="001D278E">
            <w:pPr>
              <w:pStyle w:val="Tabletext0"/>
              <w:jc w:val="left"/>
            </w:pPr>
            <w:r>
              <w:rPr>
                <w:b w:val="0"/>
                <w:bCs w:val="0"/>
              </w:rPr>
              <w:t xml:space="preserve">Item </w:t>
            </w:r>
            <w:r w:rsidR="00902A80">
              <w:rPr>
                <w:b w:val="0"/>
                <w:bCs w:val="0"/>
              </w:rPr>
              <w:t>XXXX</w:t>
            </w:r>
            <w:r>
              <w:rPr>
                <w:b w:val="0"/>
                <w:bCs w:val="0"/>
              </w:rPr>
              <w:t xml:space="preserve"> services</w:t>
            </w:r>
          </w:p>
        </w:tc>
        <w:tc>
          <w:tcPr>
            <w:tcW w:w="1275" w:type="dxa"/>
            <w:vAlign w:val="center"/>
          </w:tcPr>
          <w:p w14:paraId="23B718C6" w14:textId="77777777" w:rsidR="00992863" w:rsidRPr="00C84E1C" w:rsidRDefault="00992863" w:rsidP="006702C3">
            <w:pPr>
              <w:pStyle w:val="Tabletext0"/>
              <w:jc w:val="right"/>
              <w:cnfStyle w:val="000000100000" w:firstRow="0" w:lastRow="0" w:firstColumn="0" w:lastColumn="0" w:oddVBand="0" w:evenVBand="0" w:oddHBand="1" w:evenHBand="0" w:firstRowFirstColumn="0" w:firstRowLastColumn="0" w:lastRowFirstColumn="0" w:lastRowLastColumn="0"/>
            </w:pPr>
            <w:r>
              <w:rPr>
                <w:rFonts w:cs="Calibri"/>
                <w:color w:val="000000"/>
              </w:rPr>
              <w:t>2,123,744</w:t>
            </w:r>
          </w:p>
        </w:tc>
        <w:tc>
          <w:tcPr>
            <w:tcW w:w="1276" w:type="dxa"/>
            <w:vAlign w:val="center"/>
          </w:tcPr>
          <w:p w14:paraId="423E2844" w14:textId="77777777" w:rsidR="00992863" w:rsidRPr="00C84E1C" w:rsidRDefault="00992863" w:rsidP="006702C3">
            <w:pPr>
              <w:pStyle w:val="Tabletext0"/>
              <w:jc w:val="right"/>
              <w:cnfStyle w:val="000000100000" w:firstRow="0" w:lastRow="0" w:firstColumn="0" w:lastColumn="0" w:oddVBand="0" w:evenVBand="0" w:oddHBand="1" w:evenHBand="0" w:firstRowFirstColumn="0" w:firstRowLastColumn="0" w:lastRowFirstColumn="0" w:lastRowLastColumn="0"/>
            </w:pPr>
            <w:r>
              <w:rPr>
                <w:rFonts w:cs="Calibri"/>
                <w:color w:val="000000"/>
              </w:rPr>
              <w:t>2,152,954</w:t>
            </w:r>
          </w:p>
        </w:tc>
        <w:tc>
          <w:tcPr>
            <w:tcW w:w="1276" w:type="dxa"/>
            <w:vAlign w:val="center"/>
          </w:tcPr>
          <w:p w14:paraId="659B855A" w14:textId="77777777" w:rsidR="00992863" w:rsidRPr="00C84E1C" w:rsidRDefault="00992863" w:rsidP="006702C3">
            <w:pPr>
              <w:pStyle w:val="Tabletext0"/>
              <w:jc w:val="right"/>
              <w:cnfStyle w:val="000000100000" w:firstRow="0" w:lastRow="0" w:firstColumn="0" w:lastColumn="0" w:oddVBand="0" w:evenVBand="0" w:oddHBand="1" w:evenHBand="0" w:firstRowFirstColumn="0" w:firstRowLastColumn="0" w:lastRowFirstColumn="0" w:lastRowLastColumn="0"/>
            </w:pPr>
            <w:r>
              <w:rPr>
                <w:rFonts w:cs="Calibri"/>
                <w:color w:val="000000"/>
              </w:rPr>
              <w:t>2,182,005</w:t>
            </w:r>
          </w:p>
        </w:tc>
        <w:tc>
          <w:tcPr>
            <w:tcW w:w="1276" w:type="dxa"/>
            <w:vAlign w:val="center"/>
          </w:tcPr>
          <w:p w14:paraId="1A57C6EF" w14:textId="77777777" w:rsidR="00992863" w:rsidRPr="00C84E1C" w:rsidRDefault="00992863" w:rsidP="006702C3">
            <w:pPr>
              <w:pStyle w:val="Tabletext0"/>
              <w:jc w:val="right"/>
              <w:cnfStyle w:val="000000100000" w:firstRow="0" w:lastRow="0" w:firstColumn="0" w:lastColumn="0" w:oddVBand="0" w:evenVBand="0" w:oddHBand="1" w:evenHBand="0" w:firstRowFirstColumn="0" w:firstRowLastColumn="0" w:lastRowFirstColumn="0" w:lastRowLastColumn="0"/>
            </w:pPr>
            <w:r>
              <w:rPr>
                <w:rFonts w:cs="Calibri"/>
                <w:color w:val="000000"/>
              </w:rPr>
              <w:t>2,210,880</w:t>
            </w:r>
          </w:p>
        </w:tc>
        <w:tc>
          <w:tcPr>
            <w:tcW w:w="1276" w:type="dxa"/>
            <w:vAlign w:val="center"/>
          </w:tcPr>
          <w:p w14:paraId="34776E41" w14:textId="77777777" w:rsidR="00992863" w:rsidRPr="00C84E1C" w:rsidRDefault="00992863" w:rsidP="006702C3">
            <w:pPr>
              <w:pStyle w:val="Tabletext0"/>
              <w:jc w:val="right"/>
              <w:cnfStyle w:val="000000100000" w:firstRow="0" w:lastRow="0" w:firstColumn="0" w:lastColumn="0" w:oddVBand="0" w:evenVBand="0" w:oddHBand="1" w:evenHBand="0" w:firstRowFirstColumn="0" w:firstRowLastColumn="0" w:lastRowFirstColumn="0" w:lastRowLastColumn="0"/>
            </w:pPr>
            <w:r>
              <w:rPr>
                <w:rFonts w:cs="Calibri"/>
                <w:color w:val="000000"/>
              </w:rPr>
              <w:t>2,239,593</w:t>
            </w:r>
          </w:p>
        </w:tc>
        <w:tc>
          <w:tcPr>
            <w:tcW w:w="1276" w:type="dxa"/>
            <w:vAlign w:val="center"/>
          </w:tcPr>
          <w:p w14:paraId="64CD8CA0" w14:textId="77777777" w:rsidR="00992863" w:rsidRPr="00C84E1C" w:rsidRDefault="00992863" w:rsidP="006702C3">
            <w:pPr>
              <w:pStyle w:val="Tabletext0"/>
              <w:jc w:val="right"/>
              <w:cnfStyle w:val="000000100000" w:firstRow="0" w:lastRow="0" w:firstColumn="0" w:lastColumn="0" w:oddVBand="0" w:evenVBand="0" w:oddHBand="1" w:evenHBand="0" w:firstRowFirstColumn="0" w:firstRowLastColumn="0" w:lastRowFirstColumn="0" w:lastRowLastColumn="0"/>
            </w:pPr>
            <w:r>
              <w:rPr>
                <w:rFonts w:cs="Calibri"/>
                <w:color w:val="000000"/>
              </w:rPr>
              <w:t>2,268,105</w:t>
            </w:r>
          </w:p>
        </w:tc>
      </w:tr>
      <w:tr w:rsidR="00CA1AA1" w:rsidRPr="00C84E1C" w14:paraId="67037D16" w14:textId="77777777" w:rsidTr="001D278E">
        <w:trPr>
          <w:trHeight w:val="21"/>
        </w:trPr>
        <w:tc>
          <w:tcPr>
            <w:cnfStyle w:val="001000000000" w:firstRow="0" w:lastRow="0" w:firstColumn="1" w:lastColumn="0" w:oddVBand="0" w:evenVBand="0" w:oddHBand="0" w:evenHBand="0" w:firstRowFirstColumn="0" w:firstRowLastColumn="0" w:lastRowFirstColumn="0" w:lastRowLastColumn="0"/>
            <w:tcW w:w="1691" w:type="dxa"/>
          </w:tcPr>
          <w:p w14:paraId="4D2CB427" w14:textId="626DC763" w:rsidR="00CA1AA1" w:rsidRPr="005C165D" w:rsidRDefault="001B3B5C" w:rsidP="001D278E">
            <w:pPr>
              <w:pStyle w:val="Tabletext0"/>
              <w:jc w:val="left"/>
              <w:rPr>
                <w:b w:val="0"/>
                <w:bCs w:val="0"/>
              </w:rPr>
            </w:pPr>
            <w:r>
              <w:rPr>
                <w:b w:val="0"/>
                <w:bCs w:val="0"/>
              </w:rPr>
              <w:t xml:space="preserve">Cost of XXXX </w:t>
            </w:r>
          </w:p>
        </w:tc>
        <w:tc>
          <w:tcPr>
            <w:tcW w:w="1275" w:type="dxa"/>
            <w:vAlign w:val="center"/>
          </w:tcPr>
          <w:p w14:paraId="47082CA3" w14:textId="09965ABB" w:rsidR="00CA1AA1" w:rsidRPr="00C84E1C" w:rsidRDefault="00CA1AA1" w:rsidP="00CA1AA1">
            <w:pPr>
              <w:pStyle w:val="Tabletext0"/>
              <w:jc w:val="right"/>
              <w:cnfStyle w:val="000000000000" w:firstRow="0" w:lastRow="0" w:firstColumn="0" w:lastColumn="0" w:oddVBand="0" w:evenVBand="0" w:oddHBand="0" w:evenHBand="0" w:firstRowFirstColumn="0" w:firstRowLastColumn="0" w:lastRowFirstColumn="0" w:lastRowLastColumn="0"/>
            </w:pPr>
            <w:r>
              <w:rPr>
                <w:rFonts w:cs="Calibri"/>
                <w:color w:val="000000"/>
              </w:rPr>
              <w:t>$141,250,243</w:t>
            </w:r>
          </w:p>
        </w:tc>
        <w:tc>
          <w:tcPr>
            <w:tcW w:w="1276" w:type="dxa"/>
            <w:vAlign w:val="center"/>
          </w:tcPr>
          <w:p w14:paraId="1FA53558" w14:textId="34467103" w:rsidR="00CA1AA1" w:rsidRPr="00C84E1C" w:rsidRDefault="00CA1AA1" w:rsidP="00CA1AA1">
            <w:pPr>
              <w:pStyle w:val="Tabletext0"/>
              <w:jc w:val="right"/>
              <w:cnfStyle w:val="000000000000" w:firstRow="0" w:lastRow="0" w:firstColumn="0" w:lastColumn="0" w:oddVBand="0" w:evenVBand="0" w:oddHBand="0" w:evenHBand="0" w:firstRowFirstColumn="0" w:firstRowLastColumn="0" w:lastRowFirstColumn="0" w:lastRowLastColumn="0"/>
            </w:pPr>
            <w:r>
              <w:rPr>
                <w:rFonts w:cs="Calibri"/>
                <w:color w:val="000000"/>
              </w:rPr>
              <w:t>$143,192,983</w:t>
            </w:r>
          </w:p>
        </w:tc>
        <w:tc>
          <w:tcPr>
            <w:tcW w:w="1276" w:type="dxa"/>
            <w:vAlign w:val="center"/>
          </w:tcPr>
          <w:p w14:paraId="1FFC396D" w14:textId="436AB83F" w:rsidR="00CA1AA1" w:rsidRPr="00C84E1C" w:rsidRDefault="00CA1AA1" w:rsidP="00CA1AA1">
            <w:pPr>
              <w:pStyle w:val="Tabletext0"/>
              <w:jc w:val="right"/>
              <w:cnfStyle w:val="000000000000" w:firstRow="0" w:lastRow="0" w:firstColumn="0" w:lastColumn="0" w:oddVBand="0" w:evenVBand="0" w:oddHBand="0" w:evenHBand="0" w:firstRowFirstColumn="0" w:firstRowLastColumn="0" w:lastRowFirstColumn="0" w:lastRowLastColumn="0"/>
            </w:pPr>
            <w:r>
              <w:rPr>
                <w:rFonts w:cs="Calibri"/>
                <w:color w:val="000000"/>
              </w:rPr>
              <w:t>$145,125,170</w:t>
            </w:r>
          </w:p>
        </w:tc>
        <w:tc>
          <w:tcPr>
            <w:tcW w:w="1276" w:type="dxa"/>
            <w:vAlign w:val="center"/>
          </w:tcPr>
          <w:p w14:paraId="2A33D6E0" w14:textId="4147B219" w:rsidR="00CA1AA1" w:rsidRPr="00C84E1C" w:rsidRDefault="00CA1AA1" w:rsidP="00CA1AA1">
            <w:pPr>
              <w:pStyle w:val="Tabletext0"/>
              <w:jc w:val="right"/>
              <w:cnfStyle w:val="000000000000" w:firstRow="0" w:lastRow="0" w:firstColumn="0" w:lastColumn="0" w:oddVBand="0" w:evenVBand="0" w:oddHBand="0" w:evenHBand="0" w:firstRowFirstColumn="0" w:firstRowLastColumn="0" w:lastRowFirstColumn="0" w:lastRowLastColumn="0"/>
            </w:pPr>
            <w:r>
              <w:rPr>
                <w:rFonts w:cs="Calibri"/>
                <w:color w:val="000000"/>
              </w:rPr>
              <w:t>$147,045,616</w:t>
            </w:r>
          </w:p>
        </w:tc>
        <w:tc>
          <w:tcPr>
            <w:tcW w:w="1276" w:type="dxa"/>
            <w:vAlign w:val="center"/>
          </w:tcPr>
          <w:p w14:paraId="21C725C5" w14:textId="62AA7E5B" w:rsidR="00CA1AA1" w:rsidRPr="00C84E1C" w:rsidRDefault="00CA1AA1" w:rsidP="00CA1AA1">
            <w:pPr>
              <w:pStyle w:val="Tabletext0"/>
              <w:jc w:val="right"/>
              <w:cnfStyle w:val="000000000000" w:firstRow="0" w:lastRow="0" w:firstColumn="0" w:lastColumn="0" w:oddVBand="0" w:evenVBand="0" w:oddHBand="0" w:evenHBand="0" w:firstRowFirstColumn="0" w:firstRowLastColumn="0" w:lastRowFirstColumn="0" w:lastRowLastColumn="0"/>
            </w:pPr>
            <w:r>
              <w:rPr>
                <w:rFonts w:cs="Calibri"/>
                <w:color w:val="000000"/>
              </w:rPr>
              <w:t>$148,955,347</w:t>
            </w:r>
          </w:p>
        </w:tc>
        <w:tc>
          <w:tcPr>
            <w:tcW w:w="1276" w:type="dxa"/>
            <w:vAlign w:val="center"/>
          </w:tcPr>
          <w:p w14:paraId="7000BA99" w14:textId="3D58295D" w:rsidR="00CA1AA1" w:rsidRPr="00C84E1C" w:rsidRDefault="00CA1AA1" w:rsidP="00CA1AA1">
            <w:pPr>
              <w:pStyle w:val="Tabletext0"/>
              <w:jc w:val="right"/>
              <w:cnfStyle w:val="000000000000" w:firstRow="0" w:lastRow="0" w:firstColumn="0" w:lastColumn="0" w:oddVBand="0" w:evenVBand="0" w:oddHBand="0" w:evenHBand="0" w:firstRowFirstColumn="0" w:firstRowLastColumn="0" w:lastRowFirstColumn="0" w:lastRowLastColumn="0"/>
            </w:pPr>
            <w:r>
              <w:rPr>
                <w:rFonts w:cs="Calibri"/>
                <w:color w:val="000000"/>
              </w:rPr>
              <w:t>$150,851,662</w:t>
            </w:r>
          </w:p>
        </w:tc>
      </w:tr>
      <w:tr w:rsidR="00992863" w:rsidRPr="00C84E1C" w14:paraId="3B367FED" w14:textId="77777777" w:rsidTr="001D278E">
        <w:trPr>
          <w:cnfStyle w:val="000000100000" w:firstRow="0" w:lastRow="0" w:firstColumn="0" w:lastColumn="0" w:oddVBand="0" w:evenVBand="0" w:oddHBand="1" w:evenHBand="0" w:firstRowFirstColumn="0" w:firstRowLastColumn="0" w:lastRowFirstColumn="0" w:lastRowLastColumn="0"/>
          <w:trHeight w:val="21"/>
        </w:trPr>
        <w:tc>
          <w:tcPr>
            <w:cnfStyle w:val="001000000000" w:firstRow="0" w:lastRow="0" w:firstColumn="1" w:lastColumn="0" w:oddVBand="0" w:evenVBand="0" w:oddHBand="0" w:evenHBand="0" w:firstRowFirstColumn="0" w:firstRowLastColumn="0" w:lastRowFirstColumn="0" w:lastRowLastColumn="0"/>
            <w:tcW w:w="1691" w:type="dxa"/>
            <w:hideMark/>
          </w:tcPr>
          <w:p w14:paraId="0BE2986D" w14:textId="7EE61E4A" w:rsidR="00992863" w:rsidRPr="005C165D" w:rsidRDefault="00992863" w:rsidP="001D278E">
            <w:pPr>
              <w:pStyle w:val="Tabletext0"/>
              <w:jc w:val="left"/>
              <w:rPr>
                <w:b w:val="0"/>
                <w:bCs w:val="0"/>
              </w:rPr>
            </w:pPr>
            <w:r>
              <w:rPr>
                <w:b w:val="0"/>
                <w:bCs w:val="0"/>
              </w:rPr>
              <w:t xml:space="preserve">Item </w:t>
            </w:r>
            <w:r w:rsidR="00902A80">
              <w:rPr>
                <w:b w:val="0"/>
                <w:bCs w:val="0"/>
              </w:rPr>
              <w:t>YYYY</w:t>
            </w:r>
            <w:r>
              <w:rPr>
                <w:b w:val="0"/>
                <w:bCs w:val="0"/>
              </w:rPr>
              <w:t xml:space="preserve"> services</w:t>
            </w:r>
          </w:p>
        </w:tc>
        <w:tc>
          <w:tcPr>
            <w:tcW w:w="1275" w:type="dxa"/>
            <w:vAlign w:val="center"/>
          </w:tcPr>
          <w:p w14:paraId="0EFE4280" w14:textId="77777777" w:rsidR="00992863" w:rsidRPr="00C84E1C" w:rsidRDefault="00992863" w:rsidP="006702C3">
            <w:pPr>
              <w:pStyle w:val="Tabletext0"/>
              <w:jc w:val="right"/>
              <w:cnfStyle w:val="000000100000" w:firstRow="0" w:lastRow="0" w:firstColumn="0" w:lastColumn="0" w:oddVBand="0" w:evenVBand="0" w:oddHBand="1" w:evenHBand="0" w:firstRowFirstColumn="0" w:firstRowLastColumn="0" w:lastRowFirstColumn="0" w:lastRowLastColumn="0"/>
            </w:pPr>
            <w:r>
              <w:rPr>
                <w:rFonts w:cs="Calibri"/>
                <w:color w:val="000000"/>
              </w:rPr>
              <w:t xml:space="preserve">2,359,540 </w:t>
            </w:r>
          </w:p>
        </w:tc>
        <w:tc>
          <w:tcPr>
            <w:tcW w:w="1276" w:type="dxa"/>
            <w:vAlign w:val="center"/>
          </w:tcPr>
          <w:p w14:paraId="4B49E51E" w14:textId="77777777" w:rsidR="00992863" w:rsidRPr="00C84E1C" w:rsidRDefault="00992863" w:rsidP="006702C3">
            <w:pPr>
              <w:pStyle w:val="Tabletext0"/>
              <w:jc w:val="right"/>
              <w:cnfStyle w:val="000000100000" w:firstRow="0" w:lastRow="0" w:firstColumn="0" w:lastColumn="0" w:oddVBand="0" w:evenVBand="0" w:oddHBand="1" w:evenHBand="0" w:firstRowFirstColumn="0" w:firstRowLastColumn="0" w:lastRowFirstColumn="0" w:lastRowLastColumn="0"/>
            </w:pPr>
            <w:r>
              <w:rPr>
                <w:rFonts w:cs="Calibri"/>
                <w:color w:val="000000"/>
              </w:rPr>
              <w:t xml:space="preserve">2,391,993 </w:t>
            </w:r>
          </w:p>
        </w:tc>
        <w:tc>
          <w:tcPr>
            <w:tcW w:w="1276" w:type="dxa"/>
            <w:vAlign w:val="center"/>
          </w:tcPr>
          <w:p w14:paraId="6CE787B6" w14:textId="77777777" w:rsidR="00992863" w:rsidRPr="00C84E1C" w:rsidRDefault="00992863" w:rsidP="006702C3">
            <w:pPr>
              <w:pStyle w:val="Tabletext0"/>
              <w:jc w:val="right"/>
              <w:cnfStyle w:val="000000100000" w:firstRow="0" w:lastRow="0" w:firstColumn="0" w:lastColumn="0" w:oddVBand="0" w:evenVBand="0" w:oddHBand="1" w:evenHBand="0" w:firstRowFirstColumn="0" w:firstRowLastColumn="0" w:lastRowFirstColumn="0" w:lastRowLastColumn="0"/>
            </w:pPr>
            <w:r>
              <w:rPr>
                <w:rFonts w:cs="Calibri"/>
                <w:color w:val="000000"/>
              </w:rPr>
              <w:t xml:space="preserve">2,424,270 </w:t>
            </w:r>
          </w:p>
        </w:tc>
        <w:tc>
          <w:tcPr>
            <w:tcW w:w="1276" w:type="dxa"/>
            <w:vAlign w:val="center"/>
          </w:tcPr>
          <w:p w14:paraId="094E4CD4" w14:textId="77777777" w:rsidR="00992863" w:rsidRPr="00C84E1C" w:rsidRDefault="00992863" w:rsidP="006702C3">
            <w:pPr>
              <w:pStyle w:val="Tabletext0"/>
              <w:jc w:val="right"/>
              <w:cnfStyle w:val="000000100000" w:firstRow="0" w:lastRow="0" w:firstColumn="0" w:lastColumn="0" w:oddVBand="0" w:evenVBand="0" w:oddHBand="1" w:evenHBand="0" w:firstRowFirstColumn="0" w:firstRowLastColumn="0" w:lastRowFirstColumn="0" w:lastRowLastColumn="0"/>
            </w:pPr>
            <w:r>
              <w:rPr>
                <w:rFonts w:cs="Calibri"/>
                <w:color w:val="000000"/>
              </w:rPr>
              <w:t xml:space="preserve">2,456,351 </w:t>
            </w:r>
          </w:p>
        </w:tc>
        <w:tc>
          <w:tcPr>
            <w:tcW w:w="1276" w:type="dxa"/>
            <w:vAlign w:val="center"/>
          </w:tcPr>
          <w:p w14:paraId="1BE6104C" w14:textId="77777777" w:rsidR="00992863" w:rsidRPr="00C84E1C" w:rsidRDefault="00992863" w:rsidP="006702C3">
            <w:pPr>
              <w:pStyle w:val="Tabletext0"/>
              <w:jc w:val="right"/>
              <w:cnfStyle w:val="000000100000" w:firstRow="0" w:lastRow="0" w:firstColumn="0" w:lastColumn="0" w:oddVBand="0" w:evenVBand="0" w:oddHBand="1" w:evenHBand="0" w:firstRowFirstColumn="0" w:firstRowLastColumn="0" w:lastRowFirstColumn="0" w:lastRowLastColumn="0"/>
            </w:pPr>
            <w:r>
              <w:rPr>
                <w:rFonts w:cs="Calibri"/>
                <w:color w:val="000000"/>
              </w:rPr>
              <w:t xml:space="preserve">2,488,253 </w:t>
            </w:r>
          </w:p>
        </w:tc>
        <w:tc>
          <w:tcPr>
            <w:tcW w:w="1276" w:type="dxa"/>
            <w:vAlign w:val="center"/>
          </w:tcPr>
          <w:p w14:paraId="640BFEB0" w14:textId="77777777" w:rsidR="00992863" w:rsidRPr="00C84E1C" w:rsidRDefault="00992863" w:rsidP="006702C3">
            <w:pPr>
              <w:pStyle w:val="Tabletext0"/>
              <w:jc w:val="right"/>
              <w:cnfStyle w:val="000000100000" w:firstRow="0" w:lastRow="0" w:firstColumn="0" w:lastColumn="0" w:oddVBand="0" w:evenVBand="0" w:oddHBand="1" w:evenHBand="0" w:firstRowFirstColumn="0" w:firstRowLastColumn="0" w:lastRowFirstColumn="0" w:lastRowLastColumn="0"/>
            </w:pPr>
            <w:r>
              <w:rPr>
                <w:rFonts w:cs="Calibri"/>
                <w:color w:val="000000"/>
              </w:rPr>
              <w:t xml:space="preserve">2,519,931 </w:t>
            </w:r>
          </w:p>
        </w:tc>
      </w:tr>
      <w:tr w:rsidR="001B3B5C" w:rsidRPr="00C84E1C" w14:paraId="5D09D42C" w14:textId="77777777" w:rsidTr="001D278E">
        <w:trPr>
          <w:trHeight w:val="21"/>
        </w:trPr>
        <w:tc>
          <w:tcPr>
            <w:cnfStyle w:val="001000000000" w:firstRow="0" w:lastRow="0" w:firstColumn="1" w:lastColumn="0" w:oddVBand="0" w:evenVBand="0" w:oddHBand="0" w:evenHBand="0" w:firstRowFirstColumn="0" w:firstRowLastColumn="0" w:lastRowFirstColumn="0" w:lastRowLastColumn="0"/>
            <w:tcW w:w="1691" w:type="dxa"/>
          </w:tcPr>
          <w:p w14:paraId="34D686B5" w14:textId="28871448" w:rsidR="001B3B5C" w:rsidRPr="001D7D0E" w:rsidRDefault="001B3B5C" w:rsidP="001D278E">
            <w:pPr>
              <w:pStyle w:val="Tabletext0"/>
              <w:jc w:val="left"/>
              <w:rPr>
                <w:b w:val="0"/>
                <w:bCs w:val="0"/>
              </w:rPr>
            </w:pPr>
            <w:r>
              <w:rPr>
                <w:b w:val="0"/>
                <w:bCs w:val="0"/>
              </w:rPr>
              <w:t xml:space="preserve">Cost of YYYY </w:t>
            </w:r>
          </w:p>
        </w:tc>
        <w:tc>
          <w:tcPr>
            <w:tcW w:w="1275" w:type="dxa"/>
            <w:vAlign w:val="center"/>
          </w:tcPr>
          <w:p w14:paraId="24FA9EE7" w14:textId="41B5E31E" w:rsidR="001B3B5C" w:rsidRPr="00C84E1C" w:rsidRDefault="001B3B5C" w:rsidP="001B3B5C">
            <w:pPr>
              <w:pStyle w:val="Tabletext0"/>
              <w:jc w:val="right"/>
              <w:cnfStyle w:val="000000000000" w:firstRow="0" w:lastRow="0" w:firstColumn="0" w:lastColumn="0" w:oddVBand="0" w:evenVBand="0" w:oddHBand="0" w:evenHBand="0" w:firstRowFirstColumn="0" w:firstRowLastColumn="0" w:lastRowFirstColumn="0" w:lastRowLastColumn="0"/>
            </w:pPr>
            <w:r>
              <w:rPr>
                <w:rFonts w:cs="Calibri"/>
                <w:color w:val="000000"/>
              </w:rPr>
              <w:t>$171,601,514</w:t>
            </w:r>
          </w:p>
        </w:tc>
        <w:tc>
          <w:tcPr>
            <w:tcW w:w="1276" w:type="dxa"/>
            <w:vAlign w:val="center"/>
          </w:tcPr>
          <w:p w14:paraId="3DAED2E5" w14:textId="3E5A14F3" w:rsidR="001B3B5C" w:rsidRPr="00C84E1C" w:rsidRDefault="001B3B5C" w:rsidP="001B3B5C">
            <w:pPr>
              <w:pStyle w:val="Tabletext0"/>
              <w:jc w:val="right"/>
              <w:cnfStyle w:val="000000000000" w:firstRow="0" w:lastRow="0" w:firstColumn="0" w:lastColumn="0" w:oddVBand="0" w:evenVBand="0" w:oddHBand="0" w:evenHBand="0" w:firstRowFirstColumn="0" w:firstRowLastColumn="0" w:lastRowFirstColumn="0" w:lastRowLastColumn="0"/>
            </w:pPr>
            <w:r>
              <w:rPr>
                <w:rFonts w:cs="Calibri"/>
                <w:color w:val="000000"/>
              </w:rPr>
              <w:t>$173,961,732</w:t>
            </w:r>
          </w:p>
        </w:tc>
        <w:tc>
          <w:tcPr>
            <w:tcW w:w="1276" w:type="dxa"/>
            <w:vAlign w:val="center"/>
          </w:tcPr>
          <w:p w14:paraId="76DD5FE6" w14:textId="2B3113BB" w:rsidR="001B3B5C" w:rsidRPr="00C84E1C" w:rsidRDefault="001B3B5C" w:rsidP="001B3B5C">
            <w:pPr>
              <w:pStyle w:val="Tabletext0"/>
              <w:jc w:val="right"/>
              <w:cnfStyle w:val="000000000000" w:firstRow="0" w:lastRow="0" w:firstColumn="0" w:lastColumn="0" w:oddVBand="0" w:evenVBand="0" w:oddHBand="0" w:evenHBand="0" w:firstRowFirstColumn="0" w:firstRowLastColumn="0" w:lastRowFirstColumn="0" w:lastRowLastColumn="0"/>
            </w:pPr>
            <w:r>
              <w:rPr>
                <w:rFonts w:cs="Calibri"/>
                <w:color w:val="000000"/>
              </w:rPr>
              <w:t>$176,309,133</w:t>
            </w:r>
          </w:p>
        </w:tc>
        <w:tc>
          <w:tcPr>
            <w:tcW w:w="1276" w:type="dxa"/>
            <w:vAlign w:val="center"/>
          </w:tcPr>
          <w:p w14:paraId="25B4EA0D" w14:textId="5911899B" w:rsidR="001B3B5C" w:rsidRPr="00C84E1C" w:rsidRDefault="001B3B5C" w:rsidP="001B3B5C">
            <w:pPr>
              <w:pStyle w:val="Tabletext0"/>
              <w:jc w:val="right"/>
              <w:cnfStyle w:val="000000000000" w:firstRow="0" w:lastRow="0" w:firstColumn="0" w:lastColumn="0" w:oddVBand="0" w:evenVBand="0" w:oddHBand="0" w:evenHBand="0" w:firstRowFirstColumn="0" w:firstRowLastColumn="0" w:lastRowFirstColumn="0" w:lastRowLastColumn="0"/>
            </w:pPr>
            <w:r>
              <w:rPr>
                <w:rFonts w:cs="Calibri"/>
                <w:color w:val="000000"/>
              </w:rPr>
              <w:t>$178,642,273</w:t>
            </w:r>
          </w:p>
        </w:tc>
        <w:tc>
          <w:tcPr>
            <w:tcW w:w="1276" w:type="dxa"/>
            <w:vAlign w:val="center"/>
          </w:tcPr>
          <w:p w14:paraId="2883B2FD" w14:textId="698B1E6C" w:rsidR="001B3B5C" w:rsidRPr="00C84E1C" w:rsidRDefault="001B3B5C" w:rsidP="001B3B5C">
            <w:pPr>
              <w:pStyle w:val="Tabletext0"/>
              <w:jc w:val="right"/>
              <w:cnfStyle w:val="000000000000" w:firstRow="0" w:lastRow="0" w:firstColumn="0" w:lastColumn="0" w:oddVBand="0" w:evenVBand="0" w:oddHBand="0" w:evenHBand="0" w:firstRowFirstColumn="0" w:firstRowLastColumn="0" w:lastRowFirstColumn="0" w:lastRowLastColumn="0"/>
            </w:pPr>
            <w:r>
              <w:rPr>
                <w:rFonts w:cs="Calibri"/>
                <w:color w:val="000000"/>
              </w:rPr>
              <w:t>$180,962,392</w:t>
            </w:r>
          </w:p>
        </w:tc>
        <w:tc>
          <w:tcPr>
            <w:tcW w:w="1276" w:type="dxa"/>
            <w:vAlign w:val="center"/>
          </w:tcPr>
          <w:p w14:paraId="5F766B93" w14:textId="3EAAC004" w:rsidR="001B3B5C" w:rsidRPr="00C84E1C" w:rsidRDefault="001B3B5C" w:rsidP="001B3B5C">
            <w:pPr>
              <w:pStyle w:val="Tabletext0"/>
              <w:jc w:val="right"/>
              <w:cnfStyle w:val="000000000000" w:firstRow="0" w:lastRow="0" w:firstColumn="0" w:lastColumn="0" w:oddVBand="0" w:evenVBand="0" w:oddHBand="0" w:evenHBand="0" w:firstRowFirstColumn="0" w:firstRowLastColumn="0" w:lastRowFirstColumn="0" w:lastRowLastColumn="0"/>
            </w:pPr>
            <w:r>
              <w:rPr>
                <w:rFonts w:cs="Calibri"/>
                <w:color w:val="000000"/>
              </w:rPr>
              <w:t>$183,266,216</w:t>
            </w:r>
          </w:p>
        </w:tc>
      </w:tr>
      <w:tr w:rsidR="00CA1AA1" w:rsidRPr="00A96D8D" w14:paraId="5375C1A3" w14:textId="77777777" w:rsidTr="001D278E">
        <w:trPr>
          <w:cnfStyle w:val="000000100000" w:firstRow="0" w:lastRow="0" w:firstColumn="0" w:lastColumn="0" w:oddVBand="0" w:evenVBand="0" w:oddHBand="1" w:evenHBand="0" w:firstRowFirstColumn="0" w:firstRowLastColumn="0" w:lastRowFirstColumn="0" w:lastRowLastColumn="0"/>
          <w:trHeight w:val="21"/>
        </w:trPr>
        <w:tc>
          <w:tcPr>
            <w:cnfStyle w:val="001000000000" w:firstRow="0" w:lastRow="0" w:firstColumn="1" w:lastColumn="0" w:oddVBand="0" w:evenVBand="0" w:oddHBand="0" w:evenHBand="0" w:firstRowFirstColumn="0" w:firstRowLastColumn="0" w:lastRowFirstColumn="0" w:lastRowLastColumn="0"/>
            <w:tcW w:w="1691" w:type="dxa"/>
          </w:tcPr>
          <w:p w14:paraId="5D1D79CB" w14:textId="0D217698" w:rsidR="00CA1AA1" w:rsidRPr="00A96D8D" w:rsidRDefault="00CA1AA1" w:rsidP="001D278E">
            <w:pPr>
              <w:pStyle w:val="Tabletext0"/>
              <w:jc w:val="left"/>
            </w:pPr>
            <w:r w:rsidRPr="00A96D8D">
              <w:t xml:space="preserve">Total cost </w:t>
            </w:r>
            <w:r w:rsidR="0061130E">
              <w:t xml:space="preserve">of the proposed items </w:t>
            </w:r>
            <w:r w:rsidRPr="00A96D8D">
              <w:t>to</w:t>
            </w:r>
            <w:r w:rsidR="0061130E">
              <w:t xml:space="preserve"> the</w:t>
            </w:r>
            <w:r w:rsidRPr="00A96D8D">
              <w:t xml:space="preserve"> MBS</w:t>
            </w:r>
          </w:p>
        </w:tc>
        <w:tc>
          <w:tcPr>
            <w:tcW w:w="1275" w:type="dxa"/>
            <w:vAlign w:val="center"/>
          </w:tcPr>
          <w:p w14:paraId="4ED64A78" w14:textId="106C5764" w:rsidR="00CA1AA1" w:rsidRPr="0078130E" w:rsidRDefault="00CA1AA1" w:rsidP="00CA1AA1">
            <w:pPr>
              <w:pStyle w:val="Tabletext0"/>
              <w:jc w:val="right"/>
              <w:cnfStyle w:val="000000100000" w:firstRow="0" w:lastRow="0" w:firstColumn="0" w:lastColumn="0" w:oddVBand="0" w:evenVBand="0" w:oddHBand="1" w:evenHBand="0" w:firstRowFirstColumn="0" w:firstRowLastColumn="0" w:lastRowFirstColumn="0" w:lastRowLastColumn="0"/>
              <w:rPr>
                <w:rFonts w:cs="Calibri"/>
                <w:b/>
                <w:bCs/>
                <w:color w:val="000000"/>
              </w:rPr>
            </w:pPr>
            <w:r w:rsidRPr="0078130E">
              <w:rPr>
                <w:rFonts w:cs="Calibri"/>
                <w:b/>
                <w:bCs/>
                <w:color w:val="000000"/>
              </w:rPr>
              <w:t>$312,851,758</w:t>
            </w:r>
          </w:p>
        </w:tc>
        <w:tc>
          <w:tcPr>
            <w:tcW w:w="1276" w:type="dxa"/>
            <w:vAlign w:val="center"/>
          </w:tcPr>
          <w:p w14:paraId="0DF3C2C0" w14:textId="5C70DC22" w:rsidR="00CA1AA1" w:rsidRPr="0078130E" w:rsidRDefault="00CA1AA1" w:rsidP="00CA1AA1">
            <w:pPr>
              <w:pStyle w:val="Tabletext0"/>
              <w:jc w:val="right"/>
              <w:cnfStyle w:val="000000100000" w:firstRow="0" w:lastRow="0" w:firstColumn="0" w:lastColumn="0" w:oddVBand="0" w:evenVBand="0" w:oddHBand="1" w:evenHBand="0" w:firstRowFirstColumn="0" w:firstRowLastColumn="0" w:lastRowFirstColumn="0" w:lastRowLastColumn="0"/>
              <w:rPr>
                <w:rFonts w:cs="Calibri"/>
                <w:b/>
                <w:bCs/>
                <w:color w:val="000000"/>
              </w:rPr>
            </w:pPr>
            <w:r w:rsidRPr="0078130E">
              <w:rPr>
                <w:rFonts w:cs="Calibri"/>
                <w:b/>
                <w:bCs/>
                <w:color w:val="000000"/>
              </w:rPr>
              <w:t>$317,154,715</w:t>
            </w:r>
          </w:p>
        </w:tc>
        <w:tc>
          <w:tcPr>
            <w:tcW w:w="1276" w:type="dxa"/>
            <w:vAlign w:val="center"/>
          </w:tcPr>
          <w:p w14:paraId="5B82FB77" w14:textId="27E0D4B4" w:rsidR="00CA1AA1" w:rsidRPr="0078130E" w:rsidRDefault="00CA1AA1" w:rsidP="00CA1AA1">
            <w:pPr>
              <w:pStyle w:val="Tabletext0"/>
              <w:jc w:val="right"/>
              <w:cnfStyle w:val="000000100000" w:firstRow="0" w:lastRow="0" w:firstColumn="0" w:lastColumn="0" w:oddVBand="0" w:evenVBand="0" w:oddHBand="1" w:evenHBand="0" w:firstRowFirstColumn="0" w:firstRowLastColumn="0" w:lastRowFirstColumn="0" w:lastRowLastColumn="0"/>
              <w:rPr>
                <w:rFonts w:cs="Calibri"/>
                <w:b/>
                <w:bCs/>
                <w:color w:val="000000"/>
              </w:rPr>
            </w:pPr>
            <w:r w:rsidRPr="0078130E">
              <w:rPr>
                <w:rFonts w:cs="Calibri"/>
                <w:b/>
                <w:bCs/>
                <w:color w:val="000000"/>
              </w:rPr>
              <w:t>$321,434,303</w:t>
            </w:r>
          </w:p>
        </w:tc>
        <w:tc>
          <w:tcPr>
            <w:tcW w:w="1276" w:type="dxa"/>
            <w:vAlign w:val="center"/>
          </w:tcPr>
          <w:p w14:paraId="4AF5FB84" w14:textId="587F9466" w:rsidR="00CA1AA1" w:rsidRPr="0078130E" w:rsidRDefault="00CA1AA1" w:rsidP="00CA1AA1">
            <w:pPr>
              <w:pStyle w:val="Tabletext0"/>
              <w:jc w:val="right"/>
              <w:cnfStyle w:val="000000100000" w:firstRow="0" w:lastRow="0" w:firstColumn="0" w:lastColumn="0" w:oddVBand="0" w:evenVBand="0" w:oddHBand="1" w:evenHBand="0" w:firstRowFirstColumn="0" w:firstRowLastColumn="0" w:lastRowFirstColumn="0" w:lastRowLastColumn="0"/>
              <w:rPr>
                <w:rFonts w:cs="Calibri"/>
                <w:b/>
                <w:bCs/>
                <w:color w:val="000000"/>
              </w:rPr>
            </w:pPr>
            <w:r w:rsidRPr="0078130E">
              <w:rPr>
                <w:rFonts w:cs="Calibri"/>
                <w:b/>
                <w:bCs/>
                <w:color w:val="000000"/>
              </w:rPr>
              <w:t>$325,687,889</w:t>
            </w:r>
          </w:p>
        </w:tc>
        <w:tc>
          <w:tcPr>
            <w:tcW w:w="1276" w:type="dxa"/>
            <w:vAlign w:val="center"/>
          </w:tcPr>
          <w:p w14:paraId="59BED762" w14:textId="3CE50E34" w:rsidR="00CA1AA1" w:rsidRPr="0078130E" w:rsidRDefault="00CA1AA1" w:rsidP="00CA1AA1">
            <w:pPr>
              <w:pStyle w:val="Tabletext0"/>
              <w:jc w:val="right"/>
              <w:cnfStyle w:val="000000100000" w:firstRow="0" w:lastRow="0" w:firstColumn="0" w:lastColumn="0" w:oddVBand="0" w:evenVBand="0" w:oddHBand="1" w:evenHBand="0" w:firstRowFirstColumn="0" w:firstRowLastColumn="0" w:lastRowFirstColumn="0" w:lastRowLastColumn="0"/>
              <w:rPr>
                <w:rFonts w:cs="Calibri"/>
                <w:b/>
                <w:bCs/>
                <w:color w:val="000000"/>
              </w:rPr>
            </w:pPr>
            <w:r w:rsidRPr="0078130E">
              <w:rPr>
                <w:rFonts w:cs="Calibri"/>
                <w:b/>
                <w:bCs/>
                <w:color w:val="000000"/>
              </w:rPr>
              <w:t>$329,917,739</w:t>
            </w:r>
          </w:p>
        </w:tc>
        <w:tc>
          <w:tcPr>
            <w:tcW w:w="1276" w:type="dxa"/>
            <w:vAlign w:val="center"/>
          </w:tcPr>
          <w:p w14:paraId="0959C20A" w14:textId="60539C6A" w:rsidR="00CA1AA1" w:rsidRPr="0078130E" w:rsidRDefault="00CA1AA1" w:rsidP="00CA1AA1">
            <w:pPr>
              <w:pStyle w:val="Tabletext0"/>
              <w:jc w:val="right"/>
              <w:cnfStyle w:val="000000100000" w:firstRow="0" w:lastRow="0" w:firstColumn="0" w:lastColumn="0" w:oddVBand="0" w:evenVBand="0" w:oddHBand="1" w:evenHBand="0" w:firstRowFirstColumn="0" w:firstRowLastColumn="0" w:lastRowFirstColumn="0" w:lastRowLastColumn="0"/>
              <w:rPr>
                <w:rFonts w:cs="Calibri"/>
                <w:b/>
                <w:bCs/>
                <w:color w:val="000000"/>
              </w:rPr>
            </w:pPr>
            <w:r w:rsidRPr="0078130E">
              <w:rPr>
                <w:rFonts w:cs="Calibri"/>
                <w:b/>
                <w:bCs/>
                <w:color w:val="000000"/>
              </w:rPr>
              <w:t>$334,117,879</w:t>
            </w:r>
          </w:p>
        </w:tc>
      </w:tr>
      <w:tr w:rsidR="00992863" w:rsidRPr="007754D4" w14:paraId="794879E6" w14:textId="43B36DFB" w:rsidTr="001D278E">
        <w:trPr>
          <w:trHeight w:val="21"/>
        </w:trPr>
        <w:tc>
          <w:tcPr>
            <w:cnfStyle w:val="001000000000" w:firstRow="0" w:lastRow="0" w:firstColumn="1" w:lastColumn="0" w:oddVBand="0" w:evenVBand="0" w:oddHBand="0" w:evenHBand="0" w:firstRowFirstColumn="0" w:firstRowLastColumn="0" w:lastRowFirstColumn="0" w:lastRowLastColumn="0"/>
            <w:tcW w:w="9346" w:type="dxa"/>
            <w:gridSpan w:val="7"/>
          </w:tcPr>
          <w:p w14:paraId="67927968" w14:textId="25F1AE2B" w:rsidR="00992863" w:rsidRPr="007754D4" w:rsidRDefault="00992863" w:rsidP="001D278E">
            <w:pPr>
              <w:pStyle w:val="Tabletext0"/>
              <w:jc w:val="left"/>
              <w:rPr>
                <w:rFonts w:cs="Calibri"/>
                <w:color w:val="000000"/>
              </w:rPr>
            </w:pPr>
            <w:r w:rsidRPr="005E0805">
              <w:t>Change in use and cost of other technologies</w:t>
            </w:r>
          </w:p>
        </w:tc>
      </w:tr>
      <w:tr w:rsidR="00F1637B" w:rsidRPr="007754D4" w14:paraId="4B5DE64B" w14:textId="042B5623" w:rsidTr="001D278E">
        <w:trPr>
          <w:cnfStyle w:val="000000100000" w:firstRow="0" w:lastRow="0" w:firstColumn="0" w:lastColumn="0" w:oddVBand="0" w:evenVBand="0" w:oddHBand="1" w:evenHBand="0" w:firstRowFirstColumn="0" w:firstRowLastColumn="0" w:lastRowFirstColumn="0" w:lastRowLastColumn="0"/>
          <w:trHeight w:val="21"/>
        </w:trPr>
        <w:tc>
          <w:tcPr>
            <w:cnfStyle w:val="001000000000" w:firstRow="0" w:lastRow="0" w:firstColumn="1" w:lastColumn="0" w:oddVBand="0" w:evenVBand="0" w:oddHBand="0" w:evenHBand="0" w:firstRowFirstColumn="0" w:firstRowLastColumn="0" w:lastRowFirstColumn="0" w:lastRowLastColumn="0"/>
            <w:tcW w:w="1691" w:type="dxa"/>
          </w:tcPr>
          <w:p w14:paraId="6C7954B4" w14:textId="69DFC4F3" w:rsidR="00F1637B" w:rsidRPr="002505DF" w:rsidRDefault="00F1637B" w:rsidP="001D278E">
            <w:pPr>
              <w:pStyle w:val="Tabletext0"/>
              <w:jc w:val="left"/>
              <w:rPr>
                <w:rFonts w:cs="Calibri"/>
                <w:b w:val="0"/>
                <w:bCs w:val="0"/>
                <w:color w:val="000000"/>
              </w:rPr>
            </w:pPr>
            <w:r w:rsidRPr="002505DF">
              <w:rPr>
                <w:rFonts w:cs="Calibri"/>
                <w:b w:val="0"/>
                <w:bCs w:val="0"/>
                <w:color w:val="000000"/>
              </w:rPr>
              <w:t>Change in use of Item 69494</w:t>
            </w:r>
          </w:p>
        </w:tc>
        <w:tc>
          <w:tcPr>
            <w:tcW w:w="1275" w:type="dxa"/>
            <w:vAlign w:val="center"/>
          </w:tcPr>
          <w:p w14:paraId="05B369D1" w14:textId="5D5CBE18" w:rsidR="00F1637B" w:rsidRPr="007754D4" w:rsidRDefault="00F1637B">
            <w:pPr>
              <w:pStyle w:val="Tabletext0"/>
              <w:jc w:val="right"/>
              <w:cnfStyle w:val="000000100000" w:firstRow="0" w:lastRow="0" w:firstColumn="0" w:lastColumn="0" w:oddVBand="0" w:evenVBand="0" w:oddHBand="1" w:evenHBand="0" w:firstRowFirstColumn="0" w:firstRowLastColumn="0" w:lastRowFirstColumn="0" w:lastRowLastColumn="0"/>
              <w:rPr>
                <w:rFonts w:cs="Calibri"/>
                <w:color w:val="000000"/>
              </w:rPr>
            </w:pPr>
            <w:r w:rsidRPr="007754D4">
              <w:rPr>
                <w:rFonts w:cs="Calibri"/>
                <w:color w:val="000000"/>
              </w:rPr>
              <w:t>-1,967,175</w:t>
            </w:r>
          </w:p>
        </w:tc>
        <w:tc>
          <w:tcPr>
            <w:tcW w:w="1276" w:type="dxa"/>
            <w:vAlign w:val="center"/>
          </w:tcPr>
          <w:p w14:paraId="4EEF241B" w14:textId="6AC5649C" w:rsidR="00F1637B" w:rsidRPr="007754D4" w:rsidRDefault="00F1637B">
            <w:pPr>
              <w:pStyle w:val="Tabletext0"/>
              <w:jc w:val="right"/>
              <w:cnfStyle w:val="000000100000" w:firstRow="0" w:lastRow="0" w:firstColumn="0" w:lastColumn="0" w:oddVBand="0" w:evenVBand="0" w:oddHBand="1" w:evenHBand="0" w:firstRowFirstColumn="0" w:firstRowLastColumn="0" w:lastRowFirstColumn="0" w:lastRowLastColumn="0"/>
              <w:rPr>
                <w:rFonts w:cs="Calibri"/>
                <w:color w:val="000000"/>
              </w:rPr>
            </w:pPr>
            <w:r w:rsidRPr="007754D4">
              <w:rPr>
                <w:rFonts w:cs="Calibri"/>
                <w:color w:val="000000"/>
              </w:rPr>
              <w:t>-1,994,231</w:t>
            </w:r>
          </w:p>
        </w:tc>
        <w:tc>
          <w:tcPr>
            <w:tcW w:w="1276" w:type="dxa"/>
            <w:vAlign w:val="center"/>
          </w:tcPr>
          <w:p w14:paraId="47490DF4" w14:textId="04D75C34" w:rsidR="00F1637B" w:rsidRPr="007754D4" w:rsidRDefault="00F1637B">
            <w:pPr>
              <w:pStyle w:val="Tabletext0"/>
              <w:jc w:val="right"/>
              <w:cnfStyle w:val="000000100000" w:firstRow="0" w:lastRow="0" w:firstColumn="0" w:lastColumn="0" w:oddVBand="0" w:evenVBand="0" w:oddHBand="1" w:evenHBand="0" w:firstRowFirstColumn="0" w:firstRowLastColumn="0" w:lastRowFirstColumn="0" w:lastRowLastColumn="0"/>
              <w:rPr>
                <w:rFonts w:cs="Calibri"/>
                <w:color w:val="000000"/>
              </w:rPr>
            </w:pPr>
            <w:r w:rsidRPr="007754D4">
              <w:rPr>
                <w:rFonts w:cs="Calibri"/>
                <w:color w:val="000000"/>
              </w:rPr>
              <w:t>-2,021,141</w:t>
            </w:r>
          </w:p>
        </w:tc>
        <w:tc>
          <w:tcPr>
            <w:tcW w:w="1276" w:type="dxa"/>
            <w:vAlign w:val="center"/>
          </w:tcPr>
          <w:p w14:paraId="58A923EE" w14:textId="6D1000A3" w:rsidR="00F1637B" w:rsidRPr="007754D4" w:rsidRDefault="00F1637B">
            <w:pPr>
              <w:pStyle w:val="Tabletext0"/>
              <w:jc w:val="right"/>
              <w:cnfStyle w:val="000000100000" w:firstRow="0" w:lastRow="0" w:firstColumn="0" w:lastColumn="0" w:oddVBand="0" w:evenVBand="0" w:oddHBand="1" w:evenHBand="0" w:firstRowFirstColumn="0" w:firstRowLastColumn="0" w:lastRowFirstColumn="0" w:lastRowLastColumn="0"/>
              <w:rPr>
                <w:rFonts w:cs="Calibri"/>
                <w:color w:val="000000"/>
              </w:rPr>
            </w:pPr>
            <w:r w:rsidRPr="007754D4">
              <w:rPr>
                <w:rFonts w:cs="Calibri"/>
                <w:color w:val="000000"/>
              </w:rPr>
              <w:t>-2,047,886</w:t>
            </w:r>
          </w:p>
        </w:tc>
        <w:tc>
          <w:tcPr>
            <w:tcW w:w="1276" w:type="dxa"/>
            <w:vAlign w:val="center"/>
          </w:tcPr>
          <w:p w14:paraId="6BD43694" w14:textId="73C77DD4" w:rsidR="00F1637B" w:rsidRPr="007754D4" w:rsidRDefault="00F1637B">
            <w:pPr>
              <w:pStyle w:val="Tabletext0"/>
              <w:jc w:val="right"/>
              <w:cnfStyle w:val="000000100000" w:firstRow="0" w:lastRow="0" w:firstColumn="0" w:lastColumn="0" w:oddVBand="0" w:evenVBand="0" w:oddHBand="1" w:evenHBand="0" w:firstRowFirstColumn="0" w:firstRowLastColumn="0" w:lastRowFirstColumn="0" w:lastRowLastColumn="0"/>
              <w:rPr>
                <w:rFonts w:cs="Calibri"/>
                <w:color w:val="000000"/>
              </w:rPr>
            </w:pPr>
            <w:r w:rsidRPr="007754D4">
              <w:rPr>
                <w:rFonts w:cs="Calibri"/>
                <w:color w:val="000000"/>
              </w:rPr>
              <w:t>-2,074,483</w:t>
            </w:r>
          </w:p>
        </w:tc>
        <w:tc>
          <w:tcPr>
            <w:tcW w:w="1276" w:type="dxa"/>
            <w:vAlign w:val="center"/>
          </w:tcPr>
          <w:p w14:paraId="473EB2CB" w14:textId="122A848A" w:rsidR="00F1637B" w:rsidRPr="007754D4" w:rsidRDefault="00F1637B">
            <w:pPr>
              <w:pStyle w:val="Tabletext0"/>
              <w:jc w:val="right"/>
              <w:cnfStyle w:val="000000100000" w:firstRow="0" w:lastRow="0" w:firstColumn="0" w:lastColumn="0" w:oddVBand="0" w:evenVBand="0" w:oddHBand="1" w:evenHBand="0" w:firstRowFirstColumn="0" w:firstRowLastColumn="0" w:lastRowFirstColumn="0" w:lastRowLastColumn="0"/>
              <w:rPr>
                <w:rFonts w:cs="Calibri"/>
                <w:color w:val="000000"/>
              </w:rPr>
            </w:pPr>
            <w:r w:rsidRPr="007754D4">
              <w:rPr>
                <w:rFonts w:cs="Calibri"/>
                <w:color w:val="000000"/>
              </w:rPr>
              <w:t>-2,100,893</w:t>
            </w:r>
          </w:p>
        </w:tc>
      </w:tr>
      <w:tr w:rsidR="00F1637B" w:rsidRPr="007754D4" w14:paraId="06D1F5BD" w14:textId="5737E314" w:rsidTr="001D278E">
        <w:trPr>
          <w:trHeight w:val="21"/>
        </w:trPr>
        <w:tc>
          <w:tcPr>
            <w:cnfStyle w:val="001000000000" w:firstRow="0" w:lastRow="0" w:firstColumn="1" w:lastColumn="0" w:oddVBand="0" w:evenVBand="0" w:oddHBand="0" w:evenHBand="0" w:firstRowFirstColumn="0" w:firstRowLastColumn="0" w:lastRowFirstColumn="0" w:lastRowLastColumn="0"/>
            <w:tcW w:w="1691" w:type="dxa"/>
          </w:tcPr>
          <w:p w14:paraId="6C58AF33" w14:textId="095FD599" w:rsidR="00F1637B" w:rsidRPr="002505DF" w:rsidRDefault="00F1637B" w:rsidP="001D278E">
            <w:pPr>
              <w:pStyle w:val="Tabletext0"/>
              <w:jc w:val="left"/>
              <w:rPr>
                <w:rFonts w:cs="Calibri"/>
                <w:b w:val="0"/>
                <w:bCs w:val="0"/>
                <w:color w:val="000000"/>
              </w:rPr>
            </w:pPr>
            <w:r w:rsidRPr="002505DF">
              <w:rPr>
                <w:rFonts w:cs="Calibri"/>
                <w:b w:val="0"/>
                <w:bCs w:val="0"/>
                <w:color w:val="000000"/>
              </w:rPr>
              <w:t>Change in use of Item 69496</w:t>
            </w:r>
          </w:p>
        </w:tc>
        <w:tc>
          <w:tcPr>
            <w:tcW w:w="1275" w:type="dxa"/>
            <w:vAlign w:val="center"/>
          </w:tcPr>
          <w:p w14:paraId="21461D35" w14:textId="470CDAA4" w:rsidR="00F1637B" w:rsidRPr="007754D4" w:rsidRDefault="00F1637B">
            <w:pPr>
              <w:pStyle w:val="Tabletext0"/>
              <w:jc w:val="right"/>
              <w:cnfStyle w:val="000000000000" w:firstRow="0" w:lastRow="0" w:firstColumn="0" w:lastColumn="0" w:oddVBand="0" w:evenVBand="0" w:oddHBand="0" w:evenHBand="0" w:firstRowFirstColumn="0" w:firstRowLastColumn="0" w:lastRowFirstColumn="0" w:lastRowLastColumn="0"/>
              <w:rPr>
                <w:rFonts w:cs="Calibri"/>
                <w:color w:val="000000"/>
              </w:rPr>
            </w:pPr>
            <w:r w:rsidRPr="007754D4">
              <w:rPr>
                <w:rFonts w:cs="Calibri"/>
                <w:color w:val="000000"/>
              </w:rPr>
              <w:t>-2,516,109</w:t>
            </w:r>
          </w:p>
        </w:tc>
        <w:tc>
          <w:tcPr>
            <w:tcW w:w="1276" w:type="dxa"/>
            <w:vAlign w:val="center"/>
          </w:tcPr>
          <w:p w14:paraId="19DB4077" w14:textId="713A658F" w:rsidR="00F1637B" w:rsidRPr="007754D4" w:rsidRDefault="00F1637B">
            <w:pPr>
              <w:pStyle w:val="Tabletext0"/>
              <w:jc w:val="right"/>
              <w:cnfStyle w:val="000000000000" w:firstRow="0" w:lastRow="0" w:firstColumn="0" w:lastColumn="0" w:oddVBand="0" w:evenVBand="0" w:oddHBand="0" w:evenHBand="0" w:firstRowFirstColumn="0" w:firstRowLastColumn="0" w:lastRowFirstColumn="0" w:lastRowLastColumn="0"/>
              <w:rPr>
                <w:rFonts w:cs="Calibri"/>
                <w:color w:val="000000"/>
              </w:rPr>
            </w:pPr>
            <w:r w:rsidRPr="007754D4">
              <w:rPr>
                <w:rFonts w:cs="Calibri"/>
                <w:color w:val="000000"/>
              </w:rPr>
              <w:t>-2,550,716</w:t>
            </w:r>
          </w:p>
        </w:tc>
        <w:tc>
          <w:tcPr>
            <w:tcW w:w="1276" w:type="dxa"/>
            <w:vAlign w:val="center"/>
          </w:tcPr>
          <w:p w14:paraId="0B44D047" w14:textId="6F4D8431" w:rsidR="00F1637B" w:rsidRPr="007754D4" w:rsidRDefault="00F1637B">
            <w:pPr>
              <w:pStyle w:val="Tabletext0"/>
              <w:jc w:val="right"/>
              <w:cnfStyle w:val="000000000000" w:firstRow="0" w:lastRow="0" w:firstColumn="0" w:lastColumn="0" w:oddVBand="0" w:evenVBand="0" w:oddHBand="0" w:evenHBand="0" w:firstRowFirstColumn="0" w:firstRowLastColumn="0" w:lastRowFirstColumn="0" w:lastRowLastColumn="0"/>
              <w:rPr>
                <w:rFonts w:cs="Calibri"/>
                <w:color w:val="000000"/>
              </w:rPr>
            </w:pPr>
            <w:r w:rsidRPr="007754D4">
              <w:rPr>
                <w:rFonts w:cs="Calibri"/>
                <w:color w:val="000000"/>
              </w:rPr>
              <w:t>-2,585,135</w:t>
            </w:r>
          </w:p>
        </w:tc>
        <w:tc>
          <w:tcPr>
            <w:tcW w:w="1276" w:type="dxa"/>
            <w:vAlign w:val="center"/>
          </w:tcPr>
          <w:p w14:paraId="69F6EC5D" w14:textId="0DFA54E8" w:rsidR="00F1637B" w:rsidRPr="007754D4" w:rsidRDefault="00F1637B">
            <w:pPr>
              <w:pStyle w:val="Tabletext0"/>
              <w:jc w:val="right"/>
              <w:cnfStyle w:val="000000000000" w:firstRow="0" w:lastRow="0" w:firstColumn="0" w:lastColumn="0" w:oddVBand="0" w:evenVBand="0" w:oddHBand="0" w:evenHBand="0" w:firstRowFirstColumn="0" w:firstRowLastColumn="0" w:lastRowFirstColumn="0" w:lastRowLastColumn="0"/>
              <w:rPr>
                <w:rFonts w:cs="Calibri"/>
                <w:color w:val="000000"/>
              </w:rPr>
            </w:pPr>
            <w:r w:rsidRPr="007754D4">
              <w:rPr>
                <w:rFonts w:cs="Calibri"/>
                <w:color w:val="000000"/>
              </w:rPr>
              <w:t>-2,619,345</w:t>
            </w:r>
          </w:p>
        </w:tc>
        <w:tc>
          <w:tcPr>
            <w:tcW w:w="1276" w:type="dxa"/>
            <w:vAlign w:val="center"/>
          </w:tcPr>
          <w:p w14:paraId="40D68AF2" w14:textId="7FAD1019" w:rsidR="00F1637B" w:rsidRPr="007754D4" w:rsidRDefault="00F1637B">
            <w:pPr>
              <w:pStyle w:val="Tabletext0"/>
              <w:jc w:val="right"/>
              <w:cnfStyle w:val="000000000000" w:firstRow="0" w:lastRow="0" w:firstColumn="0" w:lastColumn="0" w:oddVBand="0" w:evenVBand="0" w:oddHBand="0" w:evenHBand="0" w:firstRowFirstColumn="0" w:firstRowLastColumn="0" w:lastRowFirstColumn="0" w:lastRowLastColumn="0"/>
              <w:rPr>
                <w:rFonts w:cs="Calibri"/>
                <w:color w:val="000000"/>
              </w:rPr>
            </w:pPr>
            <w:r w:rsidRPr="007754D4">
              <w:rPr>
                <w:rFonts w:cs="Calibri"/>
                <w:color w:val="000000"/>
              </w:rPr>
              <w:t>-2,653,363</w:t>
            </w:r>
          </w:p>
        </w:tc>
        <w:tc>
          <w:tcPr>
            <w:tcW w:w="1276" w:type="dxa"/>
            <w:vAlign w:val="center"/>
          </w:tcPr>
          <w:p w14:paraId="019D339E" w14:textId="5F839D56" w:rsidR="00F1637B" w:rsidRPr="007754D4" w:rsidRDefault="00F1637B">
            <w:pPr>
              <w:pStyle w:val="Tabletext0"/>
              <w:jc w:val="right"/>
              <w:cnfStyle w:val="000000000000" w:firstRow="0" w:lastRow="0" w:firstColumn="0" w:lastColumn="0" w:oddVBand="0" w:evenVBand="0" w:oddHBand="0" w:evenHBand="0" w:firstRowFirstColumn="0" w:firstRowLastColumn="0" w:lastRowFirstColumn="0" w:lastRowLastColumn="0"/>
              <w:rPr>
                <w:rFonts w:cs="Calibri"/>
                <w:color w:val="000000"/>
              </w:rPr>
            </w:pPr>
            <w:r w:rsidRPr="007754D4">
              <w:rPr>
                <w:rFonts w:cs="Calibri"/>
                <w:color w:val="000000"/>
              </w:rPr>
              <w:t>-2,687,143</w:t>
            </w:r>
          </w:p>
        </w:tc>
      </w:tr>
      <w:tr w:rsidR="00992863" w:rsidRPr="007754D4" w14:paraId="4605793F" w14:textId="10712960" w:rsidTr="001D278E">
        <w:trPr>
          <w:cnfStyle w:val="000000100000" w:firstRow="0" w:lastRow="0" w:firstColumn="0" w:lastColumn="0" w:oddVBand="0" w:evenVBand="0" w:oddHBand="1" w:evenHBand="0" w:firstRowFirstColumn="0" w:firstRowLastColumn="0" w:lastRowFirstColumn="0" w:lastRowLastColumn="0"/>
          <w:trHeight w:val="21"/>
        </w:trPr>
        <w:tc>
          <w:tcPr>
            <w:cnfStyle w:val="001000000000" w:firstRow="0" w:lastRow="0" w:firstColumn="1" w:lastColumn="0" w:oddVBand="0" w:evenVBand="0" w:oddHBand="0" w:evenHBand="0" w:firstRowFirstColumn="0" w:firstRowLastColumn="0" w:lastRowFirstColumn="0" w:lastRowLastColumn="0"/>
            <w:tcW w:w="1691" w:type="dxa"/>
          </w:tcPr>
          <w:p w14:paraId="3FCD1620" w14:textId="64F9A80C" w:rsidR="00992863" w:rsidRPr="002505DF" w:rsidRDefault="00992863" w:rsidP="001D278E">
            <w:pPr>
              <w:pStyle w:val="Tabletext0"/>
              <w:jc w:val="left"/>
              <w:rPr>
                <w:rFonts w:cs="Calibri"/>
                <w:b w:val="0"/>
                <w:bCs w:val="0"/>
                <w:color w:val="000000"/>
              </w:rPr>
            </w:pPr>
            <w:r w:rsidRPr="002505DF">
              <w:rPr>
                <w:rFonts w:cs="Calibri"/>
                <w:b w:val="0"/>
                <w:bCs w:val="0"/>
                <w:color w:val="000000"/>
              </w:rPr>
              <w:t xml:space="preserve">Net change in costs to the MBS (with appropriate </w:t>
            </w:r>
            <w:proofErr w:type="spellStart"/>
            <w:r w:rsidRPr="002505DF">
              <w:rPr>
                <w:rFonts w:cs="Calibri"/>
                <w:b w:val="0"/>
                <w:bCs w:val="0"/>
                <w:color w:val="000000"/>
              </w:rPr>
              <w:t>copayments</w:t>
            </w:r>
            <w:proofErr w:type="spellEnd"/>
            <w:r w:rsidRPr="002505DF">
              <w:rPr>
                <w:rFonts w:cs="Calibri"/>
                <w:b w:val="0"/>
                <w:bCs w:val="0"/>
                <w:color w:val="000000"/>
              </w:rPr>
              <w:t xml:space="preserve"> excluded)</w:t>
            </w:r>
          </w:p>
        </w:tc>
        <w:tc>
          <w:tcPr>
            <w:tcW w:w="1275" w:type="dxa"/>
            <w:vAlign w:val="center"/>
          </w:tcPr>
          <w:p w14:paraId="39D68D06" w14:textId="0FD50CA6" w:rsidR="00992863" w:rsidRPr="007754D4" w:rsidRDefault="00992863" w:rsidP="00CA1AA1">
            <w:pPr>
              <w:pStyle w:val="Tabletext0"/>
              <w:jc w:val="right"/>
              <w:cnfStyle w:val="000000100000" w:firstRow="0" w:lastRow="0" w:firstColumn="0" w:lastColumn="0" w:oddVBand="0" w:evenVBand="0" w:oddHBand="1" w:evenHBand="0" w:firstRowFirstColumn="0" w:firstRowLastColumn="0" w:lastRowFirstColumn="0" w:lastRowLastColumn="0"/>
              <w:rPr>
                <w:rFonts w:cs="Calibri"/>
                <w:color w:val="000000"/>
              </w:rPr>
            </w:pPr>
            <w:r w:rsidRPr="007754D4">
              <w:rPr>
                <w:rFonts w:cs="Calibri"/>
                <w:color w:val="000000"/>
              </w:rPr>
              <w:t xml:space="preserve">-$140,088,674 </w:t>
            </w:r>
          </w:p>
        </w:tc>
        <w:tc>
          <w:tcPr>
            <w:tcW w:w="1276" w:type="dxa"/>
            <w:vAlign w:val="center"/>
          </w:tcPr>
          <w:p w14:paraId="76ECF498" w14:textId="367DEC12" w:rsidR="00992863" w:rsidRPr="007754D4" w:rsidRDefault="00992863" w:rsidP="00CA1AA1">
            <w:pPr>
              <w:pStyle w:val="Tabletext0"/>
              <w:jc w:val="right"/>
              <w:cnfStyle w:val="000000100000" w:firstRow="0" w:lastRow="0" w:firstColumn="0" w:lastColumn="0" w:oddVBand="0" w:evenVBand="0" w:oddHBand="1" w:evenHBand="0" w:firstRowFirstColumn="0" w:firstRowLastColumn="0" w:lastRowFirstColumn="0" w:lastRowLastColumn="0"/>
              <w:rPr>
                <w:rFonts w:cs="Calibri"/>
                <w:color w:val="000000"/>
              </w:rPr>
            </w:pPr>
            <w:r w:rsidRPr="007754D4">
              <w:rPr>
                <w:rFonts w:cs="Calibri"/>
                <w:color w:val="000000"/>
              </w:rPr>
              <w:t xml:space="preserve">-$142,015,453 </w:t>
            </w:r>
          </w:p>
        </w:tc>
        <w:tc>
          <w:tcPr>
            <w:tcW w:w="1276" w:type="dxa"/>
            <w:vAlign w:val="center"/>
          </w:tcPr>
          <w:p w14:paraId="7B706E1D" w14:textId="13FC7365" w:rsidR="00992863" w:rsidRPr="007754D4" w:rsidRDefault="00992863" w:rsidP="00CA1AA1">
            <w:pPr>
              <w:pStyle w:val="Tabletext0"/>
              <w:jc w:val="right"/>
              <w:cnfStyle w:val="000000100000" w:firstRow="0" w:lastRow="0" w:firstColumn="0" w:lastColumn="0" w:oddVBand="0" w:evenVBand="0" w:oddHBand="1" w:evenHBand="0" w:firstRowFirstColumn="0" w:firstRowLastColumn="0" w:lastRowFirstColumn="0" w:lastRowLastColumn="0"/>
              <w:rPr>
                <w:rFonts w:cs="Calibri"/>
                <w:color w:val="000000"/>
              </w:rPr>
            </w:pPr>
            <w:r w:rsidRPr="007754D4">
              <w:rPr>
                <w:rFonts w:cs="Calibri"/>
                <w:color w:val="000000"/>
              </w:rPr>
              <w:t xml:space="preserve">-$143,931,769 </w:t>
            </w:r>
          </w:p>
        </w:tc>
        <w:tc>
          <w:tcPr>
            <w:tcW w:w="1276" w:type="dxa"/>
            <w:vAlign w:val="center"/>
          </w:tcPr>
          <w:p w14:paraId="233D5B54" w14:textId="75A105D3" w:rsidR="00992863" w:rsidRPr="007754D4" w:rsidRDefault="00992863" w:rsidP="00CA1AA1">
            <w:pPr>
              <w:pStyle w:val="Tabletext0"/>
              <w:jc w:val="right"/>
              <w:cnfStyle w:val="000000100000" w:firstRow="0" w:lastRow="0" w:firstColumn="0" w:lastColumn="0" w:oddVBand="0" w:evenVBand="0" w:oddHBand="1" w:evenHBand="0" w:firstRowFirstColumn="0" w:firstRowLastColumn="0" w:lastRowFirstColumn="0" w:lastRowLastColumn="0"/>
              <w:rPr>
                <w:rFonts w:cs="Calibri"/>
                <w:color w:val="000000"/>
              </w:rPr>
            </w:pPr>
            <w:r w:rsidRPr="007754D4">
              <w:rPr>
                <w:rFonts w:cs="Calibri"/>
                <w:color w:val="000000"/>
              </w:rPr>
              <w:t xml:space="preserve">-$145,836,441 </w:t>
            </w:r>
          </w:p>
        </w:tc>
        <w:tc>
          <w:tcPr>
            <w:tcW w:w="1276" w:type="dxa"/>
            <w:vAlign w:val="center"/>
          </w:tcPr>
          <w:p w14:paraId="03E564AF" w14:textId="0EC18FA8" w:rsidR="00992863" w:rsidRPr="007754D4" w:rsidRDefault="00992863" w:rsidP="00CA1AA1">
            <w:pPr>
              <w:pStyle w:val="Tabletext0"/>
              <w:jc w:val="right"/>
              <w:cnfStyle w:val="000000100000" w:firstRow="0" w:lastRow="0" w:firstColumn="0" w:lastColumn="0" w:oddVBand="0" w:evenVBand="0" w:oddHBand="1" w:evenHBand="0" w:firstRowFirstColumn="0" w:firstRowLastColumn="0" w:lastRowFirstColumn="0" w:lastRowLastColumn="0"/>
              <w:rPr>
                <w:rFonts w:cs="Calibri"/>
                <w:color w:val="000000"/>
              </w:rPr>
            </w:pPr>
            <w:r w:rsidRPr="007754D4">
              <w:rPr>
                <w:rFonts w:cs="Calibri"/>
                <w:color w:val="000000"/>
              </w:rPr>
              <w:t xml:space="preserve">-$147,730,484 </w:t>
            </w:r>
          </w:p>
        </w:tc>
        <w:tc>
          <w:tcPr>
            <w:tcW w:w="1276" w:type="dxa"/>
            <w:vAlign w:val="center"/>
          </w:tcPr>
          <w:p w14:paraId="125445C6" w14:textId="45F98507" w:rsidR="00992863" w:rsidRPr="007754D4" w:rsidRDefault="00992863" w:rsidP="00CA1AA1">
            <w:pPr>
              <w:pStyle w:val="Tabletext0"/>
              <w:jc w:val="right"/>
              <w:cnfStyle w:val="000000100000" w:firstRow="0" w:lastRow="0" w:firstColumn="0" w:lastColumn="0" w:oddVBand="0" w:evenVBand="0" w:oddHBand="1" w:evenHBand="0" w:firstRowFirstColumn="0" w:firstRowLastColumn="0" w:lastRowFirstColumn="0" w:lastRowLastColumn="0"/>
              <w:rPr>
                <w:rFonts w:cs="Calibri"/>
                <w:color w:val="000000"/>
              </w:rPr>
            </w:pPr>
            <w:r w:rsidRPr="007754D4">
              <w:rPr>
                <w:rFonts w:cs="Calibri"/>
                <w:color w:val="000000"/>
              </w:rPr>
              <w:t xml:space="preserve">-$149,611,224 </w:t>
            </w:r>
          </w:p>
        </w:tc>
      </w:tr>
      <w:tr w:rsidR="00CA1AA1" w:rsidRPr="007754D4" w14:paraId="78947240" w14:textId="7D164DBD" w:rsidTr="001D278E">
        <w:trPr>
          <w:trHeight w:val="21"/>
        </w:trPr>
        <w:tc>
          <w:tcPr>
            <w:cnfStyle w:val="001000000000" w:firstRow="0" w:lastRow="0" w:firstColumn="1" w:lastColumn="0" w:oddVBand="0" w:evenVBand="0" w:oddHBand="0" w:evenHBand="0" w:firstRowFirstColumn="0" w:firstRowLastColumn="0" w:lastRowFirstColumn="0" w:lastRowLastColumn="0"/>
            <w:tcW w:w="1691" w:type="dxa"/>
          </w:tcPr>
          <w:p w14:paraId="5B094831" w14:textId="70AF4A98" w:rsidR="00CA1AA1" w:rsidRPr="007754D4" w:rsidRDefault="00CA1AA1" w:rsidP="001D278E">
            <w:pPr>
              <w:pStyle w:val="Tabletext0"/>
              <w:jc w:val="left"/>
              <w:rPr>
                <w:rFonts w:cs="Calibri"/>
                <w:b w:val="0"/>
                <w:color w:val="000000"/>
              </w:rPr>
            </w:pPr>
            <w:r w:rsidRPr="007754D4">
              <w:rPr>
                <w:rFonts w:cs="Calibri"/>
                <w:color w:val="000000"/>
              </w:rPr>
              <w:t xml:space="preserve">Net financial impact to the MBS </w:t>
            </w:r>
          </w:p>
        </w:tc>
        <w:tc>
          <w:tcPr>
            <w:tcW w:w="1275" w:type="dxa"/>
            <w:vAlign w:val="center"/>
          </w:tcPr>
          <w:p w14:paraId="0E2365A2" w14:textId="5EC16A4E" w:rsidR="00CA1AA1" w:rsidRPr="007754D4" w:rsidRDefault="00CA1AA1" w:rsidP="00CA1AA1">
            <w:pPr>
              <w:pStyle w:val="Tabletext0"/>
              <w:jc w:val="right"/>
              <w:cnfStyle w:val="000000000000" w:firstRow="0" w:lastRow="0" w:firstColumn="0" w:lastColumn="0" w:oddVBand="0" w:evenVBand="0" w:oddHBand="0" w:evenHBand="0" w:firstRowFirstColumn="0" w:firstRowLastColumn="0" w:lastRowFirstColumn="0" w:lastRowLastColumn="0"/>
              <w:rPr>
                <w:rFonts w:cs="Calibri"/>
                <w:b/>
                <w:color w:val="000000"/>
              </w:rPr>
            </w:pPr>
            <w:r w:rsidRPr="007754D4">
              <w:rPr>
                <w:rFonts w:cs="Calibri"/>
                <w:b/>
                <w:color w:val="000000"/>
              </w:rPr>
              <w:t>$172,763,083</w:t>
            </w:r>
          </w:p>
        </w:tc>
        <w:tc>
          <w:tcPr>
            <w:tcW w:w="1276" w:type="dxa"/>
            <w:vAlign w:val="center"/>
          </w:tcPr>
          <w:p w14:paraId="7EFEA58E" w14:textId="5E950C26" w:rsidR="00CA1AA1" w:rsidRPr="007754D4" w:rsidRDefault="00CA1AA1" w:rsidP="00CA1AA1">
            <w:pPr>
              <w:pStyle w:val="Tabletext0"/>
              <w:jc w:val="right"/>
              <w:cnfStyle w:val="000000000000" w:firstRow="0" w:lastRow="0" w:firstColumn="0" w:lastColumn="0" w:oddVBand="0" w:evenVBand="0" w:oddHBand="0" w:evenHBand="0" w:firstRowFirstColumn="0" w:firstRowLastColumn="0" w:lastRowFirstColumn="0" w:lastRowLastColumn="0"/>
              <w:rPr>
                <w:rFonts w:cs="Calibri"/>
                <w:b/>
                <w:color w:val="000000"/>
              </w:rPr>
            </w:pPr>
            <w:r w:rsidRPr="007754D4">
              <w:rPr>
                <w:rFonts w:cs="Calibri"/>
                <w:b/>
                <w:color w:val="000000"/>
              </w:rPr>
              <w:t>$175,139,261</w:t>
            </w:r>
          </w:p>
        </w:tc>
        <w:tc>
          <w:tcPr>
            <w:tcW w:w="1276" w:type="dxa"/>
            <w:vAlign w:val="center"/>
          </w:tcPr>
          <w:p w14:paraId="0A223126" w14:textId="72F35046" w:rsidR="00CA1AA1" w:rsidRPr="007754D4" w:rsidRDefault="00CA1AA1" w:rsidP="00CA1AA1">
            <w:pPr>
              <w:pStyle w:val="Tabletext0"/>
              <w:jc w:val="right"/>
              <w:cnfStyle w:val="000000000000" w:firstRow="0" w:lastRow="0" w:firstColumn="0" w:lastColumn="0" w:oddVBand="0" w:evenVBand="0" w:oddHBand="0" w:evenHBand="0" w:firstRowFirstColumn="0" w:firstRowLastColumn="0" w:lastRowFirstColumn="0" w:lastRowLastColumn="0"/>
              <w:rPr>
                <w:rFonts w:cs="Calibri"/>
                <w:b/>
                <w:color w:val="000000"/>
              </w:rPr>
            </w:pPr>
            <w:r w:rsidRPr="007754D4">
              <w:rPr>
                <w:rFonts w:cs="Calibri"/>
                <w:b/>
                <w:color w:val="000000"/>
              </w:rPr>
              <w:t>$177,502,534</w:t>
            </w:r>
          </w:p>
        </w:tc>
        <w:tc>
          <w:tcPr>
            <w:tcW w:w="1276" w:type="dxa"/>
            <w:vAlign w:val="center"/>
          </w:tcPr>
          <w:p w14:paraId="5CC43C52" w14:textId="00C003EA" w:rsidR="00CA1AA1" w:rsidRPr="007754D4" w:rsidRDefault="00CA1AA1" w:rsidP="00CA1AA1">
            <w:pPr>
              <w:pStyle w:val="Tabletext0"/>
              <w:jc w:val="right"/>
              <w:cnfStyle w:val="000000000000" w:firstRow="0" w:lastRow="0" w:firstColumn="0" w:lastColumn="0" w:oddVBand="0" w:evenVBand="0" w:oddHBand="0" w:evenHBand="0" w:firstRowFirstColumn="0" w:firstRowLastColumn="0" w:lastRowFirstColumn="0" w:lastRowLastColumn="0"/>
              <w:rPr>
                <w:rFonts w:cs="Calibri"/>
                <w:b/>
                <w:color w:val="000000"/>
              </w:rPr>
            </w:pPr>
            <w:r w:rsidRPr="007754D4">
              <w:rPr>
                <w:rFonts w:cs="Calibri"/>
                <w:b/>
                <w:color w:val="000000"/>
              </w:rPr>
              <w:t>$179,851,448</w:t>
            </w:r>
          </w:p>
        </w:tc>
        <w:tc>
          <w:tcPr>
            <w:tcW w:w="1276" w:type="dxa"/>
            <w:vAlign w:val="center"/>
          </w:tcPr>
          <w:p w14:paraId="6F4AF47F" w14:textId="25AB16D4" w:rsidR="00CA1AA1" w:rsidRPr="007754D4" w:rsidRDefault="00CA1AA1" w:rsidP="00CA1AA1">
            <w:pPr>
              <w:pStyle w:val="Tabletext0"/>
              <w:jc w:val="right"/>
              <w:cnfStyle w:val="000000000000" w:firstRow="0" w:lastRow="0" w:firstColumn="0" w:lastColumn="0" w:oddVBand="0" w:evenVBand="0" w:oddHBand="0" w:evenHBand="0" w:firstRowFirstColumn="0" w:firstRowLastColumn="0" w:lastRowFirstColumn="0" w:lastRowLastColumn="0"/>
              <w:rPr>
                <w:rFonts w:cs="Calibri"/>
                <w:b/>
                <w:color w:val="000000"/>
              </w:rPr>
            </w:pPr>
            <w:r w:rsidRPr="007754D4">
              <w:rPr>
                <w:rFonts w:cs="Calibri"/>
                <w:b/>
                <w:color w:val="000000"/>
              </w:rPr>
              <w:t>$182,187,255</w:t>
            </w:r>
          </w:p>
        </w:tc>
        <w:tc>
          <w:tcPr>
            <w:tcW w:w="1276" w:type="dxa"/>
            <w:vAlign w:val="center"/>
          </w:tcPr>
          <w:p w14:paraId="29929CC1" w14:textId="652FFD53" w:rsidR="00CA1AA1" w:rsidRPr="007754D4" w:rsidRDefault="00CA1AA1" w:rsidP="00CA1AA1">
            <w:pPr>
              <w:pStyle w:val="Tabletext0"/>
              <w:jc w:val="right"/>
              <w:cnfStyle w:val="000000000000" w:firstRow="0" w:lastRow="0" w:firstColumn="0" w:lastColumn="0" w:oddVBand="0" w:evenVBand="0" w:oddHBand="0" w:evenHBand="0" w:firstRowFirstColumn="0" w:firstRowLastColumn="0" w:lastRowFirstColumn="0" w:lastRowLastColumn="0"/>
              <w:rPr>
                <w:rFonts w:cs="Calibri"/>
                <w:b/>
                <w:color w:val="000000"/>
              </w:rPr>
            </w:pPr>
            <w:r w:rsidRPr="007754D4">
              <w:rPr>
                <w:rFonts w:cs="Calibri"/>
                <w:b/>
                <w:color w:val="000000"/>
              </w:rPr>
              <w:t>$184,506,655</w:t>
            </w:r>
          </w:p>
        </w:tc>
      </w:tr>
    </w:tbl>
    <w:p w14:paraId="7393CF93" w14:textId="46F43BC3" w:rsidR="00476A0D" w:rsidRPr="00747545" w:rsidRDefault="008E039C" w:rsidP="00476A0D">
      <w:pPr>
        <w:pStyle w:val="TableFooter"/>
      </w:pPr>
      <w:r>
        <w:t>Source: DCAR Table 12, with edits to incorporate</w:t>
      </w:r>
      <w:r w:rsidR="003A3D71">
        <w:t xml:space="preserve"> ESC’s advice.</w:t>
      </w:r>
    </w:p>
    <w:p w14:paraId="71EFEECB" w14:textId="7A10B614" w:rsidR="00992863" w:rsidRDefault="00992863" w:rsidP="00992863">
      <w:pPr>
        <w:pStyle w:val="Caption"/>
      </w:pPr>
      <w:r w:rsidRPr="0027526D">
        <w:t xml:space="preserve">Table </w:t>
      </w:r>
      <w:r>
        <w:fldChar w:fldCharType="begin"/>
      </w:r>
      <w:r>
        <w:instrText>SEQ Table \* ARABIC</w:instrText>
      </w:r>
      <w:r>
        <w:fldChar w:fldCharType="separate"/>
      </w:r>
      <w:r w:rsidR="00525416">
        <w:rPr>
          <w:noProof/>
        </w:rPr>
        <w:t>14</w:t>
      </w:r>
      <w:r>
        <w:fldChar w:fldCharType="end"/>
      </w:r>
      <w:r w:rsidRPr="0027526D">
        <w:t xml:space="preserve"> Net financial impact of HTA group option NAATs for respiratory pathogens: </w:t>
      </w:r>
      <w:r w:rsidR="00BF20C9" w:rsidRPr="0078130E">
        <w:rPr>
          <w:u w:val="single"/>
        </w:rPr>
        <w:t xml:space="preserve">option </w:t>
      </w:r>
      <w:r w:rsidR="0085042C" w:rsidRPr="0078130E">
        <w:rPr>
          <w:u w:val="single"/>
        </w:rPr>
        <w:t>1b</w:t>
      </w:r>
      <w:r w:rsidR="00CB6AD1">
        <w:t xml:space="preserve"> (</w:t>
      </w:r>
      <w:r w:rsidR="0085042C" w:rsidRPr="0085042C">
        <w:t xml:space="preserve">SARS-CoV-2 testing performed </w:t>
      </w:r>
      <w:r w:rsidR="00F61271">
        <w:t>using XXXX, YYYY or 69494</w:t>
      </w:r>
      <w:r w:rsidR="00CB6AD1">
        <w:t>)</w:t>
      </w:r>
    </w:p>
    <w:tbl>
      <w:tblPr>
        <w:tblStyle w:val="PlainTable2"/>
        <w:tblW w:w="934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6"/>
        <w:gridCol w:w="1335"/>
        <w:gridCol w:w="1335"/>
        <w:gridCol w:w="1335"/>
        <w:gridCol w:w="1335"/>
        <w:gridCol w:w="1335"/>
        <w:gridCol w:w="1335"/>
      </w:tblGrid>
      <w:tr w:rsidR="001D278E" w:rsidRPr="00C84E1C" w14:paraId="051B60D5" w14:textId="77777777" w:rsidTr="0078130E">
        <w:trPr>
          <w:cnfStyle w:val="100000000000" w:firstRow="1" w:lastRow="0" w:firstColumn="0" w:lastColumn="0" w:oddVBand="0" w:evenVBand="0" w:oddHBand="0" w:evenHBand="0" w:firstRowFirstColumn="0" w:firstRowLastColumn="0" w:lastRowFirstColumn="0" w:lastRowLastColumn="0"/>
          <w:trHeight w:val="21"/>
          <w:tblHeader/>
        </w:trPr>
        <w:tc>
          <w:tcPr>
            <w:cnfStyle w:val="001000000000" w:firstRow="0" w:lastRow="0" w:firstColumn="1" w:lastColumn="0" w:oddVBand="0" w:evenVBand="0" w:oddHBand="0" w:evenHBand="0" w:firstRowFirstColumn="0" w:firstRowLastColumn="0" w:lastRowFirstColumn="0" w:lastRowLastColumn="0"/>
            <w:tcW w:w="0" w:type="dxa"/>
            <w:hideMark/>
          </w:tcPr>
          <w:p w14:paraId="1CA8D12B" w14:textId="1AF21AEA" w:rsidR="00992863" w:rsidRPr="00C7218F" w:rsidRDefault="006209B9" w:rsidP="008007DA">
            <w:pPr>
              <w:pStyle w:val="TableHeading0"/>
              <w:spacing w:before="0" w:after="0"/>
              <w:rPr>
                <w:b/>
                <w:bCs w:val="0"/>
              </w:rPr>
            </w:pPr>
            <w:r>
              <w:rPr>
                <w:b/>
                <w:bCs w:val="0"/>
              </w:rPr>
              <w:t>Parameter</w:t>
            </w:r>
          </w:p>
        </w:tc>
        <w:tc>
          <w:tcPr>
            <w:tcW w:w="0" w:type="dxa"/>
          </w:tcPr>
          <w:p w14:paraId="136D15FF" w14:textId="77777777" w:rsidR="00992863" w:rsidRPr="00C7218F" w:rsidRDefault="00992863" w:rsidP="008007DA">
            <w:pPr>
              <w:pStyle w:val="TableHeading0"/>
              <w:spacing w:before="0" w:after="0"/>
              <w:jc w:val="center"/>
              <w:cnfStyle w:val="100000000000" w:firstRow="1" w:lastRow="0" w:firstColumn="0" w:lastColumn="0" w:oddVBand="0" w:evenVBand="0" w:oddHBand="0" w:evenHBand="0" w:firstRowFirstColumn="0" w:firstRowLastColumn="0" w:lastRowFirstColumn="0" w:lastRowLastColumn="0"/>
              <w:rPr>
                <w:b/>
                <w:bCs w:val="0"/>
              </w:rPr>
            </w:pPr>
            <w:r w:rsidRPr="00C7218F">
              <w:rPr>
                <w:b/>
                <w:bCs w:val="0"/>
              </w:rPr>
              <w:t>2024</w:t>
            </w:r>
          </w:p>
        </w:tc>
        <w:tc>
          <w:tcPr>
            <w:tcW w:w="0" w:type="dxa"/>
          </w:tcPr>
          <w:p w14:paraId="5AF19407" w14:textId="77777777" w:rsidR="00992863" w:rsidRPr="00C7218F" w:rsidRDefault="00992863" w:rsidP="008007DA">
            <w:pPr>
              <w:pStyle w:val="TableHeading0"/>
              <w:spacing w:before="0" w:after="0"/>
              <w:jc w:val="center"/>
              <w:cnfStyle w:val="100000000000" w:firstRow="1" w:lastRow="0" w:firstColumn="0" w:lastColumn="0" w:oddVBand="0" w:evenVBand="0" w:oddHBand="0" w:evenHBand="0" w:firstRowFirstColumn="0" w:firstRowLastColumn="0" w:lastRowFirstColumn="0" w:lastRowLastColumn="0"/>
              <w:rPr>
                <w:b/>
                <w:bCs w:val="0"/>
              </w:rPr>
            </w:pPr>
            <w:r w:rsidRPr="00C7218F">
              <w:rPr>
                <w:b/>
                <w:bCs w:val="0"/>
              </w:rPr>
              <w:t>2025</w:t>
            </w:r>
          </w:p>
        </w:tc>
        <w:tc>
          <w:tcPr>
            <w:tcW w:w="0" w:type="dxa"/>
          </w:tcPr>
          <w:p w14:paraId="00C8B9D2" w14:textId="77777777" w:rsidR="00992863" w:rsidRPr="00C7218F" w:rsidRDefault="00992863" w:rsidP="008007DA">
            <w:pPr>
              <w:pStyle w:val="TableHeading0"/>
              <w:spacing w:before="0" w:after="0"/>
              <w:jc w:val="center"/>
              <w:cnfStyle w:val="100000000000" w:firstRow="1" w:lastRow="0" w:firstColumn="0" w:lastColumn="0" w:oddVBand="0" w:evenVBand="0" w:oddHBand="0" w:evenHBand="0" w:firstRowFirstColumn="0" w:firstRowLastColumn="0" w:lastRowFirstColumn="0" w:lastRowLastColumn="0"/>
              <w:rPr>
                <w:b/>
                <w:bCs w:val="0"/>
              </w:rPr>
            </w:pPr>
            <w:r w:rsidRPr="00C7218F">
              <w:rPr>
                <w:b/>
                <w:bCs w:val="0"/>
              </w:rPr>
              <w:t>2026</w:t>
            </w:r>
          </w:p>
        </w:tc>
        <w:tc>
          <w:tcPr>
            <w:tcW w:w="0" w:type="dxa"/>
          </w:tcPr>
          <w:p w14:paraId="2F8D68A2" w14:textId="77777777" w:rsidR="00992863" w:rsidRPr="00C7218F" w:rsidRDefault="00992863" w:rsidP="008007DA">
            <w:pPr>
              <w:pStyle w:val="TableHeading0"/>
              <w:spacing w:before="0" w:after="0"/>
              <w:jc w:val="center"/>
              <w:cnfStyle w:val="100000000000" w:firstRow="1" w:lastRow="0" w:firstColumn="0" w:lastColumn="0" w:oddVBand="0" w:evenVBand="0" w:oddHBand="0" w:evenHBand="0" w:firstRowFirstColumn="0" w:firstRowLastColumn="0" w:lastRowFirstColumn="0" w:lastRowLastColumn="0"/>
              <w:rPr>
                <w:b/>
                <w:bCs w:val="0"/>
              </w:rPr>
            </w:pPr>
            <w:r w:rsidRPr="00C7218F">
              <w:rPr>
                <w:b/>
                <w:bCs w:val="0"/>
              </w:rPr>
              <w:t>2027</w:t>
            </w:r>
          </w:p>
        </w:tc>
        <w:tc>
          <w:tcPr>
            <w:tcW w:w="0" w:type="dxa"/>
          </w:tcPr>
          <w:p w14:paraId="5EF3E34C" w14:textId="77777777" w:rsidR="00992863" w:rsidRPr="00C7218F" w:rsidRDefault="00992863" w:rsidP="008007DA">
            <w:pPr>
              <w:pStyle w:val="TableHeading0"/>
              <w:spacing w:before="0" w:after="0"/>
              <w:jc w:val="center"/>
              <w:cnfStyle w:val="100000000000" w:firstRow="1" w:lastRow="0" w:firstColumn="0" w:lastColumn="0" w:oddVBand="0" w:evenVBand="0" w:oddHBand="0" w:evenHBand="0" w:firstRowFirstColumn="0" w:firstRowLastColumn="0" w:lastRowFirstColumn="0" w:lastRowLastColumn="0"/>
              <w:rPr>
                <w:b/>
                <w:bCs w:val="0"/>
              </w:rPr>
            </w:pPr>
            <w:r w:rsidRPr="00C7218F">
              <w:rPr>
                <w:b/>
                <w:bCs w:val="0"/>
              </w:rPr>
              <w:t>2028</w:t>
            </w:r>
          </w:p>
        </w:tc>
        <w:tc>
          <w:tcPr>
            <w:tcW w:w="0" w:type="dxa"/>
          </w:tcPr>
          <w:p w14:paraId="4D63B4C9" w14:textId="77777777" w:rsidR="00992863" w:rsidRPr="00C7218F" w:rsidRDefault="00992863" w:rsidP="008007DA">
            <w:pPr>
              <w:pStyle w:val="TableHeading0"/>
              <w:spacing w:before="0" w:after="0"/>
              <w:jc w:val="center"/>
              <w:cnfStyle w:val="100000000000" w:firstRow="1" w:lastRow="0" w:firstColumn="0" w:lastColumn="0" w:oddVBand="0" w:evenVBand="0" w:oddHBand="0" w:evenHBand="0" w:firstRowFirstColumn="0" w:firstRowLastColumn="0" w:lastRowFirstColumn="0" w:lastRowLastColumn="0"/>
              <w:rPr>
                <w:b/>
                <w:bCs w:val="0"/>
              </w:rPr>
            </w:pPr>
            <w:r w:rsidRPr="00C7218F">
              <w:rPr>
                <w:b/>
                <w:bCs w:val="0"/>
              </w:rPr>
              <w:t>2029</w:t>
            </w:r>
          </w:p>
        </w:tc>
      </w:tr>
      <w:tr w:rsidR="001D278E" w:rsidRPr="00C84E1C" w14:paraId="2373A88A" w14:textId="77777777" w:rsidTr="0078130E">
        <w:trPr>
          <w:cnfStyle w:val="000000100000" w:firstRow="0" w:lastRow="0" w:firstColumn="0" w:lastColumn="0" w:oddVBand="0" w:evenVBand="0" w:oddHBand="1" w:evenHBand="0" w:firstRowFirstColumn="0" w:firstRowLastColumn="0" w:lastRowFirstColumn="0" w:lastRowLastColumn="0"/>
          <w:trHeight w:val="21"/>
        </w:trPr>
        <w:tc>
          <w:tcPr>
            <w:cnfStyle w:val="001000000000" w:firstRow="0" w:lastRow="0" w:firstColumn="1" w:lastColumn="0" w:oddVBand="0" w:evenVBand="0" w:oddHBand="0" w:evenHBand="0" w:firstRowFirstColumn="0" w:firstRowLastColumn="0" w:lastRowFirstColumn="0" w:lastRowLastColumn="0"/>
            <w:tcW w:w="0" w:type="dxa"/>
            <w:hideMark/>
          </w:tcPr>
          <w:p w14:paraId="1D914951" w14:textId="60F73A3F" w:rsidR="00992863" w:rsidRPr="005C165D" w:rsidRDefault="00992863" w:rsidP="008007DA">
            <w:pPr>
              <w:pStyle w:val="Tabletext0"/>
              <w:spacing w:before="0" w:after="0"/>
              <w:jc w:val="left"/>
              <w:rPr>
                <w:b w:val="0"/>
                <w:bCs w:val="0"/>
              </w:rPr>
            </w:pPr>
            <w:r>
              <w:rPr>
                <w:b w:val="0"/>
                <w:bCs w:val="0"/>
              </w:rPr>
              <w:t xml:space="preserve">Item </w:t>
            </w:r>
            <w:r w:rsidR="0094192D">
              <w:rPr>
                <w:b w:val="0"/>
                <w:bCs w:val="0"/>
              </w:rPr>
              <w:t>XXXX</w:t>
            </w:r>
            <w:r w:rsidR="001B3B5C">
              <w:rPr>
                <w:b w:val="0"/>
                <w:bCs w:val="0"/>
              </w:rPr>
              <w:t xml:space="preserve"> services</w:t>
            </w:r>
          </w:p>
        </w:tc>
        <w:tc>
          <w:tcPr>
            <w:tcW w:w="0" w:type="dxa"/>
            <w:vAlign w:val="center"/>
          </w:tcPr>
          <w:p w14:paraId="69B65767" w14:textId="07DB0D15" w:rsidR="00992863" w:rsidRPr="00C84E1C" w:rsidRDefault="00992863" w:rsidP="008007DA">
            <w:pPr>
              <w:pStyle w:val="Tabletext0"/>
              <w:spacing w:before="0" w:after="0"/>
              <w:jc w:val="right"/>
              <w:cnfStyle w:val="000000100000" w:firstRow="0" w:lastRow="0" w:firstColumn="0" w:lastColumn="0" w:oddVBand="0" w:evenVBand="0" w:oddHBand="1" w:evenHBand="0" w:firstRowFirstColumn="0" w:firstRowLastColumn="0" w:lastRowFirstColumn="0" w:lastRowLastColumn="0"/>
            </w:pPr>
            <w:r>
              <w:rPr>
                <w:rFonts w:cs="Calibri"/>
                <w:color w:val="000000"/>
              </w:rPr>
              <w:t>156</w:t>
            </w:r>
            <w:r w:rsidR="008A21A6">
              <w:rPr>
                <w:rFonts w:cs="Calibri"/>
                <w:color w:val="000000"/>
              </w:rPr>
              <w:t>,</w:t>
            </w:r>
            <w:r>
              <w:rPr>
                <w:rFonts w:cs="Calibri"/>
                <w:color w:val="000000"/>
              </w:rPr>
              <w:t>569</w:t>
            </w:r>
          </w:p>
        </w:tc>
        <w:tc>
          <w:tcPr>
            <w:tcW w:w="0" w:type="dxa"/>
            <w:vAlign w:val="center"/>
          </w:tcPr>
          <w:p w14:paraId="1344065A" w14:textId="7991867D" w:rsidR="00992863" w:rsidRPr="00C84E1C" w:rsidRDefault="00992863" w:rsidP="008007DA">
            <w:pPr>
              <w:pStyle w:val="Tabletext0"/>
              <w:spacing w:before="0" w:after="0"/>
              <w:jc w:val="right"/>
              <w:cnfStyle w:val="000000100000" w:firstRow="0" w:lastRow="0" w:firstColumn="0" w:lastColumn="0" w:oddVBand="0" w:evenVBand="0" w:oddHBand="1" w:evenHBand="0" w:firstRowFirstColumn="0" w:firstRowLastColumn="0" w:lastRowFirstColumn="0" w:lastRowLastColumn="0"/>
            </w:pPr>
            <w:r>
              <w:rPr>
                <w:rFonts w:cs="Calibri"/>
                <w:color w:val="000000"/>
              </w:rPr>
              <w:t>158</w:t>
            </w:r>
            <w:r w:rsidR="008A21A6">
              <w:rPr>
                <w:rFonts w:cs="Calibri"/>
                <w:color w:val="000000"/>
              </w:rPr>
              <w:t>,</w:t>
            </w:r>
            <w:r>
              <w:rPr>
                <w:rFonts w:cs="Calibri"/>
                <w:color w:val="000000"/>
              </w:rPr>
              <w:t>723</w:t>
            </w:r>
          </w:p>
        </w:tc>
        <w:tc>
          <w:tcPr>
            <w:tcW w:w="0" w:type="dxa"/>
            <w:vAlign w:val="center"/>
          </w:tcPr>
          <w:p w14:paraId="33B46ECE" w14:textId="5EE15B86" w:rsidR="00992863" w:rsidRPr="00C84E1C" w:rsidRDefault="00992863" w:rsidP="008007DA">
            <w:pPr>
              <w:pStyle w:val="Tabletext0"/>
              <w:spacing w:before="0" w:after="0"/>
              <w:jc w:val="right"/>
              <w:cnfStyle w:val="000000100000" w:firstRow="0" w:lastRow="0" w:firstColumn="0" w:lastColumn="0" w:oddVBand="0" w:evenVBand="0" w:oddHBand="1" w:evenHBand="0" w:firstRowFirstColumn="0" w:firstRowLastColumn="0" w:lastRowFirstColumn="0" w:lastRowLastColumn="0"/>
            </w:pPr>
            <w:r>
              <w:rPr>
                <w:rFonts w:cs="Calibri"/>
                <w:color w:val="000000"/>
              </w:rPr>
              <w:t>160</w:t>
            </w:r>
            <w:r w:rsidR="008A21A6">
              <w:rPr>
                <w:rFonts w:cs="Calibri"/>
                <w:color w:val="000000"/>
              </w:rPr>
              <w:t>,</w:t>
            </w:r>
            <w:r>
              <w:rPr>
                <w:rFonts w:cs="Calibri"/>
                <w:color w:val="000000"/>
              </w:rPr>
              <w:t>865</w:t>
            </w:r>
          </w:p>
        </w:tc>
        <w:tc>
          <w:tcPr>
            <w:tcW w:w="0" w:type="dxa"/>
            <w:vAlign w:val="center"/>
          </w:tcPr>
          <w:p w14:paraId="2C0BB2F3" w14:textId="06811619" w:rsidR="00992863" w:rsidRPr="00C84E1C" w:rsidRDefault="00992863" w:rsidP="008007DA">
            <w:pPr>
              <w:pStyle w:val="Tabletext0"/>
              <w:spacing w:before="0" w:after="0"/>
              <w:jc w:val="right"/>
              <w:cnfStyle w:val="000000100000" w:firstRow="0" w:lastRow="0" w:firstColumn="0" w:lastColumn="0" w:oddVBand="0" w:evenVBand="0" w:oddHBand="1" w:evenHBand="0" w:firstRowFirstColumn="0" w:firstRowLastColumn="0" w:lastRowFirstColumn="0" w:lastRowLastColumn="0"/>
            </w:pPr>
            <w:r>
              <w:rPr>
                <w:rFonts w:cs="Calibri"/>
                <w:color w:val="000000"/>
              </w:rPr>
              <w:t>162</w:t>
            </w:r>
            <w:r w:rsidR="008A21A6">
              <w:rPr>
                <w:rFonts w:cs="Calibri"/>
                <w:color w:val="000000"/>
              </w:rPr>
              <w:t>,</w:t>
            </w:r>
            <w:r>
              <w:rPr>
                <w:rFonts w:cs="Calibri"/>
                <w:color w:val="000000"/>
              </w:rPr>
              <w:t>993</w:t>
            </w:r>
          </w:p>
        </w:tc>
        <w:tc>
          <w:tcPr>
            <w:tcW w:w="0" w:type="dxa"/>
            <w:vAlign w:val="center"/>
          </w:tcPr>
          <w:p w14:paraId="57DCCD26" w14:textId="21397E92" w:rsidR="00992863" w:rsidRPr="00C84E1C" w:rsidRDefault="00992863" w:rsidP="008007DA">
            <w:pPr>
              <w:pStyle w:val="Tabletext0"/>
              <w:spacing w:before="0" w:after="0"/>
              <w:jc w:val="right"/>
              <w:cnfStyle w:val="000000100000" w:firstRow="0" w:lastRow="0" w:firstColumn="0" w:lastColumn="0" w:oddVBand="0" w:evenVBand="0" w:oddHBand="1" w:evenHBand="0" w:firstRowFirstColumn="0" w:firstRowLastColumn="0" w:lastRowFirstColumn="0" w:lastRowLastColumn="0"/>
            </w:pPr>
            <w:r>
              <w:rPr>
                <w:rFonts w:cs="Calibri"/>
                <w:color w:val="000000"/>
              </w:rPr>
              <w:t>165</w:t>
            </w:r>
            <w:r w:rsidR="008A21A6">
              <w:rPr>
                <w:rFonts w:cs="Calibri"/>
                <w:color w:val="000000"/>
              </w:rPr>
              <w:t>,</w:t>
            </w:r>
            <w:r>
              <w:rPr>
                <w:rFonts w:cs="Calibri"/>
                <w:color w:val="000000"/>
              </w:rPr>
              <w:t>110</w:t>
            </w:r>
          </w:p>
        </w:tc>
        <w:tc>
          <w:tcPr>
            <w:tcW w:w="0" w:type="dxa"/>
            <w:vAlign w:val="center"/>
          </w:tcPr>
          <w:p w14:paraId="4CB6FF79" w14:textId="35B97770" w:rsidR="00992863" w:rsidRPr="00C84E1C" w:rsidRDefault="00992863" w:rsidP="008007DA">
            <w:pPr>
              <w:pStyle w:val="Tabletext0"/>
              <w:spacing w:before="0" w:after="0"/>
              <w:jc w:val="right"/>
              <w:cnfStyle w:val="000000100000" w:firstRow="0" w:lastRow="0" w:firstColumn="0" w:lastColumn="0" w:oddVBand="0" w:evenVBand="0" w:oddHBand="1" w:evenHBand="0" w:firstRowFirstColumn="0" w:firstRowLastColumn="0" w:lastRowFirstColumn="0" w:lastRowLastColumn="0"/>
            </w:pPr>
            <w:r>
              <w:rPr>
                <w:rFonts w:cs="Calibri"/>
                <w:color w:val="000000"/>
              </w:rPr>
              <w:t>167</w:t>
            </w:r>
            <w:r w:rsidR="008A21A6">
              <w:rPr>
                <w:rFonts w:cs="Calibri"/>
                <w:color w:val="000000"/>
              </w:rPr>
              <w:t>,</w:t>
            </w:r>
            <w:r>
              <w:rPr>
                <w:rFonts w:cs="Calibri"/>
                <w:color w:val="000000"/>
              </w:rPr>
              <w:t>212</w:t>
            </w:r>
          </w:p>
        </w:tc>
      </w:tr>
      <w:tr w:rsidR="001D278E" w:rsidRPr="00C84E1C" w14:paraId="20647362" w14:textId="77777777" w:rsidTr="0078130E">
        <w:trPr>
          <w:trHeight w:val="21"/>
        </w:trPr>
        <w:tc>
          <w:tcPr>
            <w:cnfStyle w:val="001000000000" w:firstRow="0" w:lastRow="0" w:firstColumn="1" w:lastColumn="0" w:oddVBand="0" w:evenVBand="0" w:oddHBand="0" w:evenHBand="0" w:firstRowFirstColumn="0" w:firstRowLastColumn="0" w:lastRowFirstColumn="0" w:lastRowLastColumn="0"/>
            <w:tcW w:w="0" w:type="dxa"/>
          </w:tcPr>
          <w:p w14:paraId="271578F8" w14:textId="1B245831" w:rsidR="001B3B5C" w:rsidRPr="002505DF" w:rsidRDefault="001B3B5C" w:rsidP="008007DA">
            <w:pPr>
              <w:pStyle w:val="Tabletext0"/>
              <w:spacing w:before="0" w:after="0"/>
              <w:jc w:val="left"/>
              <w:rPr>
                <w:b w:val="0"/>
                <w:bCs w:val="0"/>
              </w:rPr>
            </w:pPr>
            <w:r w:rsidRPr="002505DF">
              <w:rPr>
                <w:b w:val="0"/>
                <w:bCs w:val="0"/>
              </w:rPr>
              <w:t xml:space="preserve">Cost of XXXX </w:t>
            </w:r>
          </w:p>
        </w:tc>
        <w:tc>
          <w:tcPr>
            <w:tcW w:w="0" w:type="dxa"/>
            <w:vAlign w:val="center"/>
          </w:tcPr>
          <w:p w14:paraId="7DCE9CD4" w14:textId="2FC7462D" w:rsidR="001B3B5C" w:rsidRPr="00C84E1C" w:rsidRDefault="001B3B5C" w:rsidP="008007DA">
            <w:pPr>
              <w:pStyle w:val="Tabletext0"/>
              <w:spacing w:before="0" w:after="0"/>
              <w:jc w:val="right"/>
              <w:cnfStyle w:val="000000000000" w:firstRow="0" w:lastRow="0" w:firstColumn="0" w:lastColumn="0" w:oddVBand="0" w:evenVBand="0" w:oddHBand="0" w:evenHBand="0" w:firstRowFirstColumn="0" w:firstRowLastColumn="0" w:lastRowFirstColumn="0" w:lastRowLastColumn="0"/>
            </w:pPr>
            <w:r>
              <w:rPr>
                <w:rFonts w:cs="Calibri"/>
                <w:color w:val="000000"/>
              </w:rPr>
              <w:t>$10,413,436</w:t>
            </w:r>
          </w:p>
        </w:tc>
        <w:tc>
          <w:tcPr>
            <w:tcW w:w="0" w:type="dxa"/>
            <w:vAlign w:val="center"/>
          </w:tcPr>
          <w:p w14:paraId="7A636FF1" w14:textId="3493005F" w:rsidR="001B3B5C" w:rsidRPr="00C84E1C" w:rsidRDefault="001B3B5C" w:rsidP="008007DA">
            <w:pPr>
              <w:pStyle w:val="Tabletext0"/>
              <w:spacing w:before="0" w:after="0"/>
              <w:jc w:val="right"/>
              <w:cnfStyle w:val="000000000000" w:firstRow="0" w:lastRow="0" w:firstColumn="0" w:lastColumn="0" w:oddVBand="0" w:evenVBand="0" w:oddHBand="0" w:evenHBand="0" w:firstRowFirstColumn="0" w:firstRowLastColumn="0" w:lastRowFirstColumn="0" w:lastRowLastColumn="0"/>
            </w:pPr>
            <w:r>
              <w:rPr>
                <w:rFonts w:cs="Calibri"/>
                <w:color w:val="000000"/>
              </w:rPr>
              <w:t>$10,556,663</w:t>
            </w:r>
          </w:p>
        </w:tc>
        <w:tc>
          <w:tcPr>
            <w:tcW w:w="0" w:type="dxa"/>
            <w:vAlign w:val="center"/>
          </w:tcPr>
          <w:p w14:paraId="53CA655D" w14:textId="45B1E29C" w:rsidR="001B3B5C" w:rsidRPr="00C84E1C" w:rsidRDefault="001B3B5C" w:rsidP="008007DA">
            <w:pPr>
              <w:pStyle w:val="Tabletext0"/>
              <w:spacing w:before="0" w:after="0"/>
              <w:jc w:val="right"/>
              <w:cnfStyle w:val="000000000000" w:firstRow="0" w:lastRow="0" w:firstColumn="0" w:lastColumn="0" w:oddVBand="0" w:evenVBand="0" w:oddHBand="0" w:evenHBand="0" w:firstRowFirstColumn="0" w:firstRowLastColumn="0" w:lastRowFirstColumn="0" w:lastRowLastColumn="0"/>
            </w:pPr>
            <w:r>
              <w:rPr>
                <w:rFonts w:cs="Calibri"/>
                <w:color w:val="000000"/>
              </w:rPr>
              <w:t>$10,699,112</w:t>
            </w:r>
          </w:p>
        </w:tc>
        <w:tc>
          <w:tcPr>
            <w:tcW w:w="0" w:type="dxa"/>
            <w:vAlign w:val="center"/>
          </w:tcPr>
          <w:p w14:paraId="169F8185" w14:textId="0516187C" w:rsidR="001B3B5C" w:rsidRPr="00C84E1C" w:rsidRDefault="001B3B5C" w:rsidP="008007DA">
            <w:pPr>
              <w:pStyle w:val="Tabletext0"/>
              <w:spacing w:before="0" w:after="0"/>
              <w:jc w:val="right"/>
              <w:cnfStyle w:val="000000000000" w:firstRow="0" w:lastRow="0" w:firstColumn="0" w:lastColumn="0" w:oddVBand="0" w:evenVBand="0" w:oddHBand="0" w:evenHBand="0" w:firstRowFirstColumn="0" w:firstRowLastColumn="0" w:lastRowFirstColumn="0" w:lastRowLastColumn="0"/>
            </w:pPr>
            <w:r>
              <w:rPr>
                <w:rFonts w:cs="Calibri"/>
                <w:color w:val="000000"/>
              </w:rPr>
              <w:t>$10,840,696</w:t>
            </w:r>
          </w:p>
        </w:tc>
        <w:tc>
          <w:tcPr>
            <w:tcW w:w="0" w:type="dxa"/>
            <w:vAlign w:val="center"/>
          </w:tcPr>
          <w:p w14:paraId="003891E7" w14:textId="52ABCA6B" w:rsidR="001B3B5C" w:rsidRPr="00C84E1C" w:rsidRDefault="001B3B5C" w:rsidP="008007DA">
            <w:pPr>
              <w:pStyle w:val="Tabletext0"/>
              <w:spacing w:before="0" w:after="0"/>
              <w:jc w:val="right"/>
              <w:cnfStyle w:val="000000000000" w:firstRow="0" w:lastRow="0" w:firstColumn="0" w:lastColumn="0" w:oddVBand="0" w:evenVBand="0" w:oddHBand="0" w:evenHBand="0" w:firstRowFirstColumn="0" w:firstRowLastColumn="0" w:lastRowFirstColumn="0" w:lastRowLastColumn="0"/>
            </w:pPr>
            <w:r>
              <w:rPr>
                <w:rFonts w:cs="Calibri"/>
                <w:color w:val="000000"/>
              </w:rPr>
              <w:t>$10,981,489</w:t>
            </w:r>
          </w:p>
        </w:tc>
        <w:tc>
          <w:tcPr>
            <w:tcW w:w="0" w:type="dxa"/>
            <w:vAlign w:val="center"/>
          </w:tcPr>
          <w:p w14:paraId="15420271" w14:textId="2FF99A04" w:rsidR="001B3B5C" w:rsidRPr="00C84E1C" w:rsidRDefault="001B3B5C" w:rsidP="008007DA">
            <w:pPr>
              <w:pStyle w:val="Tabletext0"/>
              <w:spacing w:before="0" w:after="0"/>
              <w:jc w:val="right"/>
              <w:cnfStyle w:val="000000000000" w:firstRow="0" w:lastRow="0" w:firstColumn="0" w:lastColumn="0" w:oddVBand="0" w:evenVBand="0" w:oddHBand="0" w:evenHBand="0" w:firstRowFirstColumn="0" w:firstRowLastColumn="0" w:lastRowFirstColumn="0" w:lastRowLastColumn="0"/>
            </w:pPr>
            <w:r>
              <w:rPr>
                <w:rFonts w:cs="Calibri"/>
                <w:color w:val="000000"/>
              </w:rPr>
              <w:t>$11,121,294</w:t>
            </w:r>
          </w:p>
        </w:tc>
      </w:tr>
      <w:tr w:rsidR="001D278E" w:rsidRPr="00C84E1C" w14:paraId="0E289AA7" w14:textId="77777777" w:rsidTr="0078130E">
        <w:trPr>
          <w:cnfStyle w:val="000000100000" w:firstRow="0" w:lastRow="0" w:firstColumn="0" w:lastColumn="0" w:oddVBand="0" w:evenVBand="0" w:oddHBand="1" w:evenHBand="0" w:firstRowFirstColumn="0" w:firstRowLastColumn="0" w:lastRowFirstColumn="0" w:lastRowLastColumn="0"/>
          <w:trHeight w:val="21"/>
        </w:trPr>
        <w:tc>
          <w:tcPr>
            <w:cnfStyle w:val="001000000000" w:firstRow="0" w:lastRow="0" w:firstColumn="1" w:lastColumn="0" w:oddVBand="0" w:evenVBand="0" w:oddHBand="0" w:evenHBand="0" w:firstRowFirstColumn="0" w:firstRowLastColumn="0" w:lastRowFirstColumn="0" w:lastRowLastColumn="0"/>
            <w:tcW w:w="0" w:type="dxa"/>
          </w:tcPr>
          <w:p w14:paraId="48AB3FA3" w14:textId="3C58C4F9" w:rsidR="00992863" w:rsidRPr="002505DF" w:rsidRDefault="00992863" w:rsidP="008007DA">
            <w:pPr>
              <w:pStyle w:val="Tabletext0"/>
              <w:spacing w:before="0" w:after="0"/>
              <w:jc w:val="left"/>
              <w:rPr>
                <w:b w:val="0"/>
                <w:bCs w:val="0"/>
              </w:rPr>
            </w:pPr>
            <w:r w:rsidRPr="002505DF">
              <w:rPr>
                <w:b w:val="0"/>
                <w:bCs w:val="0"/>
              </w:rPr>
              <w:t xml:space="preserve">Item </w:t>
            </w:r>
            <w:r w:rsidR="0094192D" w:rsidRPr="002505DF">
              <w:rPr>
                <w:b w:val="0"/>
                <w:bCs w:val="0"/>
              </w:rPr>
              <w:t>YYYY</w:t>
            </w:r>
            <w:r w:rsidR="001B3B5C" w:rsidRPr="002505DF">
              <w:rPr>
                <w:rFonts w:cs="Calibri"/>
                <w:b w:val="0"/>
                <w:bCs w:val="0"/>
                <w:color w:val="000000"/>
              </w:rPr>
              <w:t xml:space="preserve"> services</w:t>
            </w:r>
          </w:p>
        </w:tc>
        <w:tc>
          <w:tcPr>
            <w:tcW w:w="0" w:type="dxa"/>
            <w:vAlign w:val="center"/>
          </w:tcPr>
          <w:p w14:paraId="6CB535BE" w14:textId="4A246632" w:rsidR="00992863" w:rsidRDefault="00992863" w:rsidP="008007DA">
            <w:pPr>
              <w:pStyle w:val="Tabletext0"/>
              <w:spacing w:before="0" w:after="0"/>
              <w:jc w:val="right"/>
              <w:cnfStyle w:val="000000100000" w:firstRow="0" w:lastRow="0" w:firstColumn="0" w:lastColumn="0" w:oddVBand="0" w:evenVBand="0" w:oddHBand="1" w:evenHBand="0" w:firstRowFirstColumn="0" w:firstRowLastColumn="0" w:lastRowFirstColumn="0" w:lastRowLastColumn="0"/>
              <w:rPr>
                <w:rFonts w:cs="Calibri"/>
                <w:color w:val="000000"/>
              </w:rPr>
            </w:pPr>
            <w:r>
              <w:rPr>
                <w:rFonts w:cs="Calibri"/>
                <w:color w:val="000000"/>
              </w:rPr>
              <w:t>2</w:t>
            </w:r>
            <w:r w:rsidR="008A21A6">
              <w:rPr>
                <w:rFonts w:cs="Calibri"/>
                <w:color w:val="000000"/>
              </w:rPr>
              <w:t>,</w:t>
            </w:r>
            <w:r>
              <w:rPr>
                <w:rFonts w:cs="Calibri"/>
                <w:color w:val="000000"/>
              </w:rPr>
              <w:t>359</w:t>
            </w:r>
            <w:r w:rsidR="008A21A6">
              <w:rPr>
                <w:rFonts w:cs="Calibri"/>
                <w:color w:val="000000"/>
              </w:rPr>
              <w:t>,</w:t>
            </w:r>
            <w:r>
              <w:rPr>
                <w:rFonts w:cs="Calibri"/>
                <w:color w:val="000000"/>
              </w:rPr>
              <w:t>540</w:t>
            </w:r>
          </w:p>
        </w:tc>
        <w:tc>
          <w:tcPr>
            <w:tcW w:w="0" w:type="dxa"/>
            <w:vAlign w:val="center"/>
          </w:tcPr>
          <w:p w14:paraId="7EDB9894" w14:textId="50AF6D7B" w:rsidR="00992863" w:rsidRDefault="00992863" w:rsidP="008007DA">
            <w:pPr>
              <w:pStyle w:val="Tabletext0"/>
              <w:spacing w:before="0" w:after="0"/>
              <w:jc w:val="right"/>
              <w:cnfStyle w:val="000000100000" w:firstRow="0" w:lastRow="0" w:firstColumn="0" w:lastColumn="0" w:oddVBand="0" w:evenVBand="0" w:oddHBand="1" w:evenHBand="0" w:firstRowFirstColumn="0" w:firstRowLastColumn="0" w:lastRowFirstColumn="0" w:lastRowLastColumn="0"/>
              <w:rPr>
                <w:rFonts w:cs="Calibri"/>
                <w:color w:val="000000"/>
              </w:rPr>
            </w:pPr>
            <w:r>
              <w:rPr>
                <w:rFonts w:cs="Calibri"/>
                <w:color w:val="000000"/>
              </w:rPr>
              <w:t>2</w:t>
            </w:r>
            <w:r w:rsidR="008A21A6">
              <w:rPr>
                <w:rFonts w:cs="Calibri"/>
                <w:color w:val="000000"/>
              </w:rPr>
              <w:t>,</w:t>
            </w:r>
            <w:r>
              <w:rPr>
                <w:rFonts w:cs="Calibri"/>
                <w:color w:val="000000"/>
              </w:rPr>
              <w:t>391</w:t>
            </w:r>
            <w:r w:rsidR="008A21A6">
              <w:rPr>
                <w:rFonts w:cs="Calibri"/>
                <w:color w:val="000000"/>
              </w:rPr>
              <w:t>,</w:t>
            </w:r>
            <w:r>
              <w:rPr>
                <w:rFonts w:cs="Calibri"/>
                <w:color w:val="000000"/>
              </w:rPr>
              <w:t>993</w:t>
            </w:r>
          </w:p>
        </w:tc>
        <w:tc>
          <w:tcPr>
            <w:tcW w:w="0" w:type="dxa"/>
            <w:vAlign w:val="center"/>
          </w:tcPr>
          <w:p w14:paraId="49796EF6" w14:textId="50F98BB0" w:rsidR="00992863" w:rsidRDefault="00992863" w:rsidP="008007DA">
            <w:pPr>
              <w:pStyle w:val="Tabletext0"/>
              <w:spacing w:before="0" w:after="0"/>
              <w:jc w:val="right"/>
              <w:cnfStyle w:val="000000100000" w:firstRow="0" w:lastRow="0" w:firstColumn="0" w:lastColumn="0" w:oddVBand="0" w:evenVBand="0" w:oddHBand="1" w:evenHBand="0" w:firstRowFirstColumn="0" w:firstRowLastColumn="0" w:lastRowFirstColumn="0" w:lastRowLastColumn="0"/>
              <w:rPr>
                <w:rFonts w:cs="Calibri"/>
                <w:color w:val="000000"/>
              </w:rPr>
            </w:pPr>
            <w:r>
              <w:rPr>
                <w:rFonts w:cs="Calibri"/>
                <w:color w:val="000000"/>
              </w:rPr>
              <w:t>2</w:t>
            </w:r>
            <w:r w:rsidR="008A21A6">
              <w:rPr>
                <w:rFonts w:cs="Calibri"/>
                <w:color w:val="000000"/>
              </w:rPr>
              <w:t>,</w:t>
            </w:r>
            <w:r>
              <w:rPr>
                <w:rFonts w:cs="Calibri"/>
                <w:color w:val="000000"/>
              </w:rPr>
              <w:t>424</w:t>
            </w:r>
            <w:r w:rsidR="008A21A6">
              <w:rPr>
                <w:rFonts w:cs="Calibri"/>
                <w:color w:val="000000"/>
              </w:rPr>
              <w:t>,</w:t>
            </w:r>
            <w:r>
              <w:rPr>
                <w:rFonts w:cs="Calibri"/>
                <w:color w:val="000000"/>
              </w:rPr>
              <w:t>270</w:t>
            </w:r>
          </w:p>
        </w:tc>
        <w:tc>
          <w:tcPr>
            <w:tcW w:w="0" w:type="dxa"/>
            <w:vAlign w:val="center"/>
          </w:tcPr>
          <w:p w14:paraId="52A29D52" w14:textId="5058BAA1" w:rsidR="00992863" w:rsidRDefault="00992863" w:rsidP="008007DA">
            <w:pPr>
              <w:pStyle w:val="Tabletext0"/>
              <w:spacing w:before="0" w:after="0"/>
              <w:jc w:val="right"/>
              <w:cnfStyle w:val="000000100000" w:firstRow="0" w:lastRow="0" w:firstColumn="0" w:lastColumn="0" w:oddVBand="0" w:evenVBand="0" w:oddHBand="1" w:evenHBand="0" w:firstRowFirstColumn="0" w:firstRowLastColumn="0" w:lastRowFirstColumn="0" w:lastRowLastColumn="0"/>
              <w:rPr>
                <w:rFonts w:cs="Calibri"/>
                <w:color w:val="000000"/>
              </w:rPr>
            </w:pPr>
            <w:r>
              <w:rPr>
                <w:rFonts w:cs="Calibri"/>
                <w:color w:val="000000"/>
              </w:rPr>
              <w:t>2</w:t>
            </w:r>
            <w:r w:rsidR="008A21A6">
              <w:rPr>
                <w:rFonts w:cs="Calibri"/>
                <w:color w:val="000000"/>
              </w:rPr>
              <w:t>,</w:t>
            </w:r>
            <w:r>
              <w:rPr>
                <w:rFonts w:cs="Calibri"/>
                <w:color w:val="000000"/>
              </w:rPr>
              <w:t>456</w:t>
            </w:r>
            <w:r w:rsidR="008A21A6">
              <w:rPr>
                <w:rFonts w:cs="Calibri"/>
                <w:color w:val="000000"/>
              </w:rPr>
              <w:t>,</w:t>
            </w:r>
            <w:r>
              <w:rPr>
                <w:rFonts w:cs="Calibri"/>
                <w:color w:val="000000"/>
              </w:rPr>
              <w:t>351</w:t>
            </w:r>
          </w:p>
        </w:tc>
        <w:tc>
          <w:tcPr>
            <w:tcW w:w="0" w:type="dxa"/>
            <w:vAlign w:val="center"/>
          </w:tcPr>
          <w:p w14:paraId="437A3758" w14:textId="01170CE6" w:rsidR="00992863" w:rsidRDefault="00992863" w:rsidP="008007DA">
            <w:pPr>
              <w:pStyle w:val="Tabletext0"/>
              <w:spacing w:before="0" w:after="0"/>
              <w:jc w:val="right"/>
              <w:cnfStyle w:val="000000100000" w:firstRow="0" w:lastRow="0" w:firstColumn="0" w:lastColumn="0" w:oddVBand="0" w:evenVBand="0" w:oddHBand="1" w:evenHBand="0" w:firstRowFirstColumn="0" w:firstRowLastColumn="0" w:lastRowFirstColumn="0" w:lastRowLastColumn="0"/>
              <w:rPr>
                <w:rFonts w:cs="Calibri"/>
                <w:color w:val="000000"/>
              </w:rPr>
            </w:pPr>
            <w:r>
              <w:rPr>
                <w:rFonts w:cs="Calibri"/>
                <w:color w:val="000000"/>
              </w:rPr>
              <w:t>2</w:t>
            </w:r>
            <w:r w:rsidR="008A21A6">
              <w:rPr>
                <w:rFonts w:cs="Calibri"/>
                <w:color w:val="000000"/>
              </w:rPr>
              <w:t>,</w:t>
            </w:r>
            <w:r>
              <w:rPr>
                <w:rFonts w:cs="Calibri"/>
                <w:color w:val="000000"/>
              </w:rPr>
              <w:t>488</w:t>
            </w:r>
            <w:r w:rsidR="008A21A6">
              <w:rPr>
                <w:rFonts w:cs="Calibri"/>
                <w:color w:val="000000"/>
              </w:rPr>
              <w:t>,</w:t>
            </w:r>
            <w:r>
              <w:rPr>
                <w:rFonts w:cs="Calibri"/>
                <w:color w:val="000000"/>
              </w:rPr>
              <w:t>253</w:t>
            </w:r>
          </w:p>
        </w:tc>
        <w:tc>
          <w:tcPr>
            <w:tcW w:w="0" w:type="dxa"/>
            <w:vAlign w:val="center"/>
          </w:tcPr>
          <w:p w14:paraId="42A9FBAB" w14:textId="3ED7BC50" w:rsidR="00992863" w:rsidRDefault="00992863" w:rsidP="008007DA">
            <w:pPr>
              <w:pStyle w:val="Tabletext0"/>
              <w:spacing w:before="0" w:after="0"/>
              <w:jc w:val="right"/>
              <w:cnfStyle w:val="000000100000" w:firstRow="0" w:lastRow="0" w:firstColumn="0" w:lastColumn="0" w:oddVBand="0" w:evenVBand="0" w:oddHBand="1" w:evenHBand="0" w:firstRowFirstColumn="0" w:firstRowLastColumn="0" w:lastRowFirstColumn="0" w:lastRowLastColumn="0"/>
              <w:rPr>
                <w:rFonts w:cs="Calibri"/>
                <w:color w:val="000000"/>
              </w:rPr>
            </w:pPr>
            <w:r>
              <w:rPr>
                <w:rFonts w:cs="Calibri"/>
                <w:color w:val="000000"/>
              </w:rPr>
              <w:t>2</w:t>
            </w:r>
            <w:r w:rsidR="008A21A6">
              <w:rPr>
                <w:rFonts w:cs="Calibri"/>
                <w:color w:val="000000"/>
              </w:rPr>
              <w:t>,</w:t>
            </w:r>
            <w:r>
              <w:rPr>
                <w:rFonts w:cs="Calibri"/>
                <w:color w:val="000000"/>
              </w:rPr>
              <w:t>519</w:t>
            </w:r>
            <w:r w:rsidR="008A21A6">
              <w:rPr>
                <w:rFonts w:cs="Calibri"/>
                <w:color w:val="000000"/>
              </w:rPr>
              <w:t>,</w:t>
            </w:r>
            <w:r>
              <w:rPr>
                <w:rFonts w:cs="Calibri"/>
                <w:color w:val="000000"/>
              </w:rPr>
              <w:t>931</w:t>
            </w:r>
          </w:p>
        </w:tc>
      </w:tr>
      <w:tr w:rsidR="001D278E" w:rsidRPr="00C84E1C" w14:paraId="7E6323BF" w14:textId="77777777" w:rsidTr="0078130E">
        <w:trPr>
          <w:trHeight w:val="21"/>
        </w:trPr>
        <w:tc>
          <w:tcPr>
            <w:cnfStyle w:val="001000000000" w:firstRow="0" w:lastRow="0" w:firstColumn="1" w:lastColumn="0" w:oddVBand="0" w:evenVBand="0" w:oddHBand="0" w:evenHBand="0" w:firstRowFirstColumn="0" w:firstRowLastColumn="0" w:lastRowFirstColumn="0" w:lastRowLastColumn="0"/>
            <w:tcW w:w="0" w:type="dxa"/>
          </w:tcPr>
          <w:p w14:paraId="46C1AFBD" w14:textId="5C58128F" w:rsidR="001B3B5C" w:rsidRPr="002505DF" w:rsidRDefault="001B3B5C" w:rsidP="008007DA">
            <w:pPr>
              <w:pStyle w:val="Tabletext0"/>
              <w:spacing w:before="0" w:after="0"/>
              <w:jc w:val="left"/>
              <w:rPr>
                <w:b w:val="0"/>
                <w:bCs w:val="0"/>
              </w:rPr>
            </w:pPr>
            <w:r w:rsidRPr="002505DF">
              <w:rPr>
                <w:b w:val="0"/>
                <w:bCs w:val="0"/>
              </w:rPr>
              <w:t xml:space="preserve">Cost of YYYY </w:t>
            </w:r>
          </w:p>
        </w:tc>
        <w:tc>
          <w:tcPr>
            <w:tcW w:w="0" w:type="dxa"/>
            <w:vAlign w:val="center"/>
          </w:tcPr>
          <w:p w14:paraId="0F7FD2E9" w14:textId="197C7F93" w:rsidR="001B3B5C" w:rsidRDefault="001B3B5C" w:rsidP="008007DA">
            <w:pPr>
              <w:pStyle w:val="Tabletext0"/>
              <w:spacing w:before="0" w:after="0"/>
              <w:jc w:val="right"/>
              <w:cnfStyle w:val="000000000000" w:firstRow="0" w:lastRow="0" w:firstColumn="0" w:lastColumn="0" w:oddVBand="0" w:evenVBand="0" w:oddHBand="0" w:evenHBand="0" w:firstRowFirstColumn="0" w:firstRowLastColumn="0" w:lastRowFirstColumn="0" w:lastRowLastColumn="0"/>
              <w:rPr>
                <w:rFonts w:cs="Calibri"/>
                <w:color w:val="000000"/>
              </w:rPr>
            </w:pPr>
            <w:r>
              <w:rPr>
                <w:rFonts w:cs="Calibri"/>
                <w:color w:val="000000"/>
              </w:rPr>
              <w:t>$171,601,514</w:t>
            </w:r>
          </w:p>
        </w:tc>
        <w:tc>
          <w:tcPr>
            <w:tcW w:w="0" w:type="dxa"/>
            <w:vAlign w:val="center"/>
          </w:tcPr>
          <w:p w14:paraId="35CAE1AD" w14:textId="4BF931C3" w:rsidR="001B3B5C" w:rsidRDefault="001B3B5C" w:rsidP="008007DA">
            <w:pPr>
              <w:pStyle w:val="Tabletext0"/>
              <w:spacing w:before="0" w:after="0"/>
              <w:jc w:val="right"/>
              <w:cnfStyle w:val="000000000000" w:firstRow="0" w:lastRow="0" w:firstColumn="0" w:lastColumn="0" w:oddVBand="0" w:evenVBand="0" w:oddHBand="0" w:evenHBand="0" w:firstRowFirstColumn="0" w:firstRowLastColumn="0" w:lastRowFirstColumn="0" w:lastRowLastColumn="0"/>
              <w:rPr>
                <w:rFonts w:cs="Calibri"/>
                <w:color w:val="000000"/>
              </w:rPr>
            </w:pPr>
            <w:r>
              <w:rPr>
                <w:rFonts w:cs="Calibri"/>
                <w:color w:val="000000"/>
              </w:rPr>
              <w:t>$173,961,732</w:t>
            </w:r>
          </w:p>
        </w:tc>
        <w:tc>
          <w:tcPr>
            <w:tcW w:w="0" w:type="dxa"/>
            <w:vAlign w:val="center"/>
          </w:tcPr>
          <w:p w14:paraId="43408A0E" w14:textId="6987EA02" w:rsidR="001B3B5C" w:rsidRDefault="001B3B5C" w:rsidP="008007DA">
            <w:pPr>
              <w:pStyle w:val="Tabletext0"/>
              <w:spacing w:before="0" w:after="0"/>
              <w:jc w:val="right"/>
              <w:cnfStyle w:val="000000000000" w:firstRow="0" w:lastRow="0" w:firstColumn="0" w:lastColumn="0" w:oddVBand="0" w:evenVBand="0" w:oddHBand="0" w:evenHBand="0" w:firstRowFirstColumn="0" w:firstRowLastColumn="0" w:lastRowFirstColumn="0" w:lastRowLastColumn="0"/>
              <w:rPr>
                <w:rFonts w:cs="Calibri"/>
                <w:color w:val="000000"/>
              </w:rPr>
            </w:pPr>
            <w:r>
              <w:rPr>
                <w:rFonts w:cs="Calibri"/>
                <w:color w:val="000000"/>
              </w:rPr>
              <w:t>$176,309,133</w:t>
            </w:r>
          </w:p>
        </w:tc>
        <w:tc>
          <w:tcPr>
            <w:tcW w:w="0" w:type="dxa"/>
            <w:vAlign w:val="center"/>
          </w:tcPr>
          <w:p w14:paraId="1DFD1D9E" w14:textId="2D05E8D7" w:rsidR="001B3B5C" w:rsidRDefault="001B3B5C" w:rsidP="008007DA">
            <w:pPr>
              <w:pStyle w:val="Tabletext0"/>
              <w:spacing w:before="0" w:after="0"/>
              <w:jc w:val="right"/>
              <w:cnfStyle w:val="000000000000" w:firstRow="0" w:lastRow="0" w:firstColumn="0" w:lastColumn="0" w:oddVBand="0" w:evenVBand="0" w:oddHBand="0" w:evenHBand="0" w:firstRowFirstColumn="0" w:firstRowLastColumn="0" w:lastRowFirstColumn="0" w:lastRowLastColumn="0"/>
              <w:rPr>
                <w:rFonts w:cs="Calibri"/>
                <w:color w:val="000000"/>
              </w:rPr>
            </w:pPr>
            <w:r>
              <w:rPr>
                <w:rFonts w:cs="Calibri"/>
                <w:color w:val="000000"/>
              </w:rPr>
              <w:t>$178,642,273</w:t>
            </w:r>
          </w:p>
        </w:tc>
        <w:tc>
          <w:tcPr>
            <w:tcW w:w="0" w:type="dxa"/>
            <w:vAlign w:val="center"/>
          </w:tcPr>
          <w:p w14:paraId="12660AC5" w14:textId="75B7307A" w:rsidR="001B3B5C" w:rsidRDefault="001B3B5C" w:rsidP="008007DA">
            <w:pPr>
              <w:pStyle w:val="Tabletext0"/>
              <w:spacing w:before="0" w:after="0"/>
              <w:jc w:val="right"/>
              <w:cnfStyle w:val="000000000000" w:firstRow="0" w:lastRow="0" w:firstColumn="0" w:lastColumn="0" w:oddVBand="0" w:evenVBand="0" w:oddHBand="0" w:evenHBand="0" w:firstRowFirstColumn="0" w:firstRowLastColumn="0" w:lastRowFirstColumn="0" w:lastRowLastColumn="0"/>
              <w:rPr>
                <w:rFonts w:cs="Calibri"/>
                <w:color w:val="000000"/>
              </w:rPr>
            </w:pPr>
            <w:r>
              <w:rPr>
                <w:rFonts w:cs="Calibri"/>
                <w:color w:val="000000"/>
              </w:rPr>
              <w:t>$180,962,392</w:t>
            </w:r>
          </w:p>
        </w:tc>
        <w:tc>
          <w:tcPr>
            <w:tcW w:w="0" w:type="dxa"/>
            <w:vAlign w:val="center"/>
          </w:tcPr>
          <w:p w14:paraId="6FB7EF45" w14:textId="125C41EB" w:rsidR="001B3B5C" w:rsidRDefault="001B3B5C" w:rsidP="008007DA">
            <w:pPr>
              <w:pStyle w:val="Tabletext0"/>
              <w:spacing w:before="0" w:after="0"/>
              <w:jc w:val="right"/>
              <w:cnfStyle w:val="000000000000" w:firstRow="0" w:lastRow="0" w:firstColumn="0" w:lastColumn="0" w:oddVBand="0" w:evenVBand="0" w:oddHBand="0" w:evenHBand="0" w:firstRowFirstColumn="0" w:firstRowLastColumn="0" w:lastRowFirstColumn="0" w:lastRowLastColumn="0"/>
              <w:rPr>
                <w:rFonts w:cs="Calibri"/>
                <w:color w:val="000000"/>
              </w:rPr>
            </w:pPr>
            <w:r>
              <w:rPr>
                <w:rFonts w:cs="Calibri"/>
                <w:color w:val="000000"/>
              </w:rPr>
              <w:t>$183,266,216</w:t>
            </w:r>
          </w:p>
        </w:tc>
      </w:tr>
      <w:tr w:rsidR="001D278E" w:rsidRPr="00A96D8D" w14:paraId="56923990" w14:textId="77777777" w:rsidTr="0078130E">
        <w:trPr>
          <w:cnfStyle w:val="000000100000" w:firstRow="0" w:lastRow="0" w:firstColumn="0" w:lastColumn="0" w:oddVBand="0" w:evenVBand="0" w:oddHBand="1" w:evenHBand="0" w:firstRowFirstColumn="0" w:firstRowLastColumn="0" w:lastRowFirstColumn="0" w:lastRowLastColumn="0"/>
          <w:trHeight w:val="21"/>
        </w:trPr>
        <w:tc>
          <w:tcPr>
            <w:cnfStyle w:val="001000000000" w:firstRow="0" w:lastRow="0" w:firstColumn="1" w:lastColumn="0" w:oddVBand="0" w:evenVBand="0" w:oddHBand="0" w:evenHBand="0" w:firstRowFirstColumn="0" w:firstRowLastColumn="0" w:lastRowFirstColumn="0" w:lastRowLastColumn="0"/>
            <w:tcW w:w="0" w:type="dxa"/>
          </w:tcPr>
          <w:p w14:paraId="3C5F55FD" w14:textId="5FA005FD" w:rsidR="00EE0218" w:rsidRPr="0078130E" w:rsidRDefault="00EE0218" w:rsidP="008007DA">
            <w:pPr>
              <w:pStyle w:val="Tabletext0"/>
              <w:spacing w:before="0" w:after="0"/>
              <w:jc w:val="left"/>
            </w:pPr>
            <w:r w:rsidRPr="00A96D8D">
              <w:t xml:space="preserve">Total cost </w:t>
            </w:r>
            <w:r w:rsidR="0061130E">
              <w:t xml:space="preserve">of the proposed items </w:t>
            </w:r>
            <w:r w:rsidRPr="00A96D8D">
              <w:t>to</w:t>
            </w:r>
            <w:r w:rsidR="0061130E">
              <w:t xml:space="preserve"> the</w:t>
            </w:r>
            <w:r w:rsidRPr="00A96D8D">
              <w:t xml:space="preserve"> MBS</w:t>
            </w:r>
          </w:p>
        </w:tc>
        <w:tc>
          <w:tcPr>
            <w:tcW w:w="0" w:type="dxa"/>
          </w:tcPr>
          <w:p w14:paraId="3072B1A3" w14:textId="39CCF215" w:rsidR="00EE0218" w:rsidRPr="0078130E" w:rsidRDefault="00EE0218" w:rsidP="008007DA">
            <w:pPr>
              <w:pStyle w:val="Tabletext0"/>
              <w:spacing w:before="0" w:after="0"/>
              <w:jc w:val="right"/>
              <w:cnfStyle w:val="000000100000" w:firstRow="0" w:lastRow="0" w:firstColumn="0" w:lastColumn="0" w:oddVBand="0" w:evenVBand="0" w:oddHBand="1" w:evenHBand="0" w:firstRowFirstColumn="0" w:firstRowLastColumn="0" w:lastRowFirstColumn="0" w:lastRowLastColumn="0"/>
              <w:rPr>
                <w:b/>
                <w:bCs/>
              </w:rPr>
            </w:pPr>
            <w:r w:rsidRPr="0078130E">
              <w:rPr>
                <w:b/>
                <w:bCs/>
              </w:rPr>
              <w:t>$182,014,950</w:t>
            </w:r>
          </w:p>
        </w:tc>
        <w:tc>
          <w:tcPr>
            <w:tcW w:w="0" w:type="dxa"/>
          </w:tcPr>
          <w:p w14:paraId="3B15952E" w14:textId="066FEC52" w:rsidR="00EE0218" w:rsidRPr="0078130E" w:rsidRDefault="00EE0218" w:rsidP="008007DA">
            <w:pPr>
              <w:pStyle w:val="Tabletext0"/>
              <w:spacing w:before="0" w:after="0"/>
              <w:jc w:val="right"/>
              <w:cnfStyle w:val="000000100000" w:firstRow="0" w:lastRow="0" w:firstColumn="0" w:lastColumn="0" w:oddVBand="0" w:evenVBand="0" w:oddHBand="1" w:evenHBand="0" w:firstRowFirstColumn="0" w:firstRowLastColumn="0" w:lastRowFirstColumn="0" w:lastRowLastColumn="0"/>
              <w:rPr>
                <w:b/>
                <w:bCs/>
              </w:rPr>
            </w:pPr>
            <w:r w:rsidRPr="0078130E">
              <w:rPr>
                <w:b/>
                <w:bCs/>
              </w:rPr>
              <w:t>$184,518,395</w:t>
            </w:r>
          </w:p>
        </w:tc>
        <w:tc>
          <w:tcPr>
            <w:tcW w:w="0" w:type="dxa"/>
          </w:tcPr>
          <w:p w14:paraId="4608CCD1" w14:textId="0EC9AD5B" w:rsidR="00EE0218" w:rsidRPr="0078130E" w:rsidRDefault="00EE0218" w:rsidP="008007DA">
            <w:pPr>
              <w:pStyle w:val="Tabletext0"/>
              <w:spacing w:before="0" w:after="0"/>
              <w:jc w:val="right"/>
              <w:cnfStyle w:val="000000100000" w:firstRow="0" w:lastRow="0" w:firstColumn="0" w:lastColumn="0" w:oddVBand="0" w:evenVBand="0" w:oddHBand="1" w:evenHBand="0" w:firstRowFirstColumn="0" w:firstRowLastColumn="0" w:lastRowFirstColumn="0" w:lastRowLastColumn="0"/>
              <w:rPr>
                <w:b/>
                <w:bCs/>
              </w:rPr>
            </w:pPr>
            <w:r w:rsidRPr="0078130E">
              <w:rPr>
                <w:b/>
                <w:bCs/>
              </w:rPr>
              <w:t>$187,008,245</w:t>
            </w:r>
          </w:p>
        </w:tc>
        <w:tc>
          <w:tcPr>
            <w:tcW w:w="0" w:type="dxa"/>
          </w:tcPr>
          <w:p w14:paraId="5AA6563A" w14:textId="6A0C2BEF" w:rsidR="00EE0218" w:rsidRPr="0078130E" w:rsidRDefault="00EE0218" w:rsidP="008007DA">
            <w:pPr>
              <w:pStyle w:val="Tabletext0"/>
              <w:spacing w:before="0" w:after="0"/>
              <w:jc w:val="right"/>
              <w:cnfStyle w:val="000000100000" w:firstRow="0" w:lastRow="0" w:firstColumn="0" w:lastColumn="0" w:oddVBand="0" w:evenVBand="0" w:oddHBand="1" w:evenHBand="0" w:firstRowFirstColumn="0" w:firstRowLastColumn="0" w:lastRowFirstColumn="0" w:lastRowLastColumn="0"/>
              <w:rPr>
                <w:b/>
                <w:bCs/>
              </w:rPr>
            </w:pPr>
            <w:r w:rsidRPr="0078130E">
              <w:rPr>
                <w:b/>
                <w:bCs/>
              </w:rPr>
              <w:t>$189,482,969</w:t>
            </w:r>
          </w:p>
        </w:tc>
        <w:tc>
          <w:tcPr>
            <w:tcW w:w="0" w:type="dxa"/>
          </w:tcPr>
          <w:p w14:paraId="3A46C2EA" w14:textId="6FFE72A5" w:rsidR="00EE0218" w:rsidRPr="0078130E" w:rsidRDefault="00EE0218" w:rsidP="008007DA">
            <w:pPr>
              <w:pStyle w:val="Tabletext0"/>
              <w:spacing w:before="0" w:after="0"/>
              <w:jc w:val="right"/>
              <w:cnfStyle w:val="000000100000" w:firstRow="0" w:lastRow="0" w:firstColumn="0" w:lastColumn="0" w:oddVBand="0" w:evenVBand="0" w:oddHBand="1" w:evenHBand="0" w:firstRowFirstColumn="0" w:firstRowLastColumn="0" w:lastRowFirstColumn="0" w:lastRowLastColumn="0"/>
              <w:rPr>
                <w:b/>
                <w:bCs/>
              </w:rPr>
            </w:pPr>
            <w:r w:rsidRPr="0078130E">
              <w:rPr>
                <w:b/>
                <w:bCs/>
              </w:rPr>
              <w:t>$191,943,881</w:t>
            </w:r>
          </w:p>
        </w:tc>
        <w:tc>
          <w:tcPr>
            <w:tcW w:w="0" w:type="dxa"/>
          </w:tcPr>
          <w:p w14:paraId="47B06EAA" w14:textId="0F8129B1" w:rsidR="00EE0218" w:rsidRPr="0078130E" w:rsidRDefault="00EE0218" w:rsidP="008007DA">
            <w:pPr>
              <w:pStyle w:val="Tabletext0"/>
              <w:spacing w:before="0" w:after="0"/>
              <w:jc w:val="right"/>
              <w:cnfStyle w:val="000000100000" w:firstRow="0" w:lastRow="0" w:firstColumn="0" w:lastColumn="0" w:oddVBand="0" w:evenVBand="0" w:oddHBand="1" w:evenHBand="0" w:firstRowFirstColumn="0" w:firstRowLastColumn="0" w:lastRowFirstColumn="0" w:lastRowLastColumn="0"/>
              <w:rPr>
                <w:b/>
                <w:bCs/>
              </w:rPr>
            </w:pPr>
            <w:r w:rsidRPr="0078130E">
              <w:rPr>
                <w:b/>
                <w:bCs/>
              </w:rPr>
              <w:t>$194,387,510</w:t>
            </w:r>
          </w:p>
        </w:tc>
      </w:tr>
      <w:tr w:rsidR="00992863" w:rsidRPr="00825E5D" w14:paraId="0650C668" w14:textId="01C86663" w:rsidTr="0078130E">
        <w:trPr>
          <w:trHeight w:val="21"/>
        </w:trPr>
        <w:tc>
          <w:tcPr>
            <w:cnfStyle w:val="001000000000" w:firstRow="0" w:lastRow="0" w:firstColumn="1" w:lastColumn="0" w:oddVBand="0" w:evenVBand="0" w:oddHBand="0" w:evenHBand="0" w:firstRowFirstColumn="0" w:firstRowLastColumn="0" w:lastRowFirstColumn="0" w:lastRowLastColumn="0"/>
            <w:tcW w:w="0" w:type="dxa"/>
            <w:gridSpan w:val="7"/>
          </w:tcPr>
          <w:p w14:paraId="42B71FEE" w14:textId="56512369" w:rsidR="00992863" w:rsidRPr="00825E5D" w:rsidRDefault="00992863" w:rsidP="008007DA">
            <w:pPr>
              <w:pStyle w:val="Tabletext0"/>
              <w:spacing w:before="0" w:after="0"/>
              <w:jc w:val="left"/>
              <w:rPr>
                <w:rFonts w:cs="Calibri"/>
                <w:color w:val="000000"/>
              </w:rPr>
            </w:pPr>
            <w:r w:rsidRPr="005E0805">
              <w:t>Change in use and cost of other technologies</w:t>
            </w:r>
          </w:p>
        </w:tc>
      </w:tr>
      <w:tr w:rsidR="00375ABA" w:rsidRPr="00825E5D" w14:paraId="076B4E48" w14:textId="40439C88" w:rsidTr="0061130E">
        <w:trPr>
          <w:cnfStyle w:val="000000100000" w:firstRow="0" w:lastRow="0" w:firstColumn="0" w:lastColumn="0" w:oddVBand="0" w:evenVBand="0" w:oddHBand="1" w:evenHBand="0" w:firstRowFirstColumn="0" w:firstRowLastColumn="0" w:lastRowFirstColumn="0" w:lastRowLastColumn="0"/>
          <w:trHeight w:val="21"/>
        </w:trPr>
        <w:tc>
          <w:tcPr>
            <w:cnfStyle w:val="001000000000" w:firstRow="0" w:lastRow="0" w:firstColumn="1" w:lastColumn="0" w:oddVBand="0" w:evenVBand="0" w:oddHBand="0" w:evenHBand="0" w:firstRowFirstColumn="0" w:firstRowLastColumn="0" w:lastRowFirstColumn="0" w:lastRowLastColumn="0"/>
            <w:tcW w:w="0" w:type="dxa"/>
          </w:tcPr>
          <w:p w14:paraId="63D82832" w14:textId="003143AD" w:rsidR="00425F57" w:rsidRPr="002505DF" w:rsidRDefault="00425F57" w:rsidP="008007DA">
            <w:pPr>
              <w:pStyle w:val="Tabletext0"/>
              <w:spacing w:before="0" w:after="0"/>
              <w:jc w:val="left"/>
              <w:rPr>
                <w:rFonts w:cs="Calibri"/>
                <w:b w:val="0"/>
                <w:bCs w:val="0"/>
                <w:color w:val="000000"/>
              </w:rPr>
            </w:pPr>
            <w:r w:rsidRPr="002505DF">
              <w:rPr>
                <w:rFonts w:cs="Calibri"/>
                <w:b w:val="0"/>
                <w:bCs w:val="0"/>
                <w:color w:val="000000"/>
              </w:rPr>
              <w:t>Change in use of Item 69494</w:t>
            </w:r>
          </w:p>
        </w:tc>
        <w:tc>
          <w:tcPr>
            <w:tcW w:w="0" w:type="dxa"/>
            <w:vAlign w:val="center"/>
          </w:tcPr>
          <w:p w14:paraId="768AEAA4" w14:textId="33C3FF7D" w:rsidR="00425F57" w:rsidRPr="00825E5D" w:rsidRDefault="00EE0218" w:rsidP="008007DA">
            <w:pPr>
              <w:pStyle w:val="Tabletext0"/>
              <w:spacing w:before="0" w:after="0"/>
              <w:jc w:val="right"/>
              <w:cnfStyle w:val="000000100000" w:firstRow="0" w:lastRow="0" w:firstColumn="0" w:lastColumn="0" w:oddVBand="0" w:evenVBand="0" w:oddHBand="1" w:evenHBand="0" w:firstRowFirstColumn="0" w:firstRowLastColumn="0" w:lastRowFirstColumn="0" w:lastRowLastColumn="0"/>
              <w:rPr>
                <w:rFonts w:cs="Calibri"/>
                <w:color w:val="000000"/>
              </w:rPr>
            </w:pPr>
            <w:r w:rsidRPr="00825E5D">
              <w:rPr>
                <w:rFonts w:cs="Calibri"/>
                <w:color w:val="000000"/>
              </w:rPr>
              <w:t>0</w:t>
            </w:r>
          </w:p>
        </w:tc>
        <w:tc>
          <w:tcPr>
            <w:tcW w:w="0" w:type="dxa"/>
            <w:vAlign w:val="center"/>
          </w:tcPr>
          <w:p w14:paraId="4A5885AC" w14:textId="3BC0245C" w:rsidR="00425F57" w:rsidRPr="00825E5D" w:rsidRDefault="00EE0218" w:rsidP="008007DA">
            <w:pPr>
              <w:pStyle w:val="Tabletext0"/>
              <w:spacing w:before="0" w:after="0"/>
              <w:jc w:val="right"/>
              <w:cnfStyle w:val="000000100000" w:firstRow="0" w:lastRow="0" w:firstColumn="0" w:lastColumn="0" w:oddVBand="0" w:evenVBand="0" w:oddHBand="1" w:evenHBand="0" w:firstRowFirstColumn="0" w:firstRowLastColumn="0" w:lastRowFirstColumn="0" w:lastRowLastColumn="0"/>
              <w:rPr>
                <w:rFonts w:cs="Calibri"/>
                <w:color w:val="000000"/>
              </w:rPr>
            </w:pPr>
            <w:r w:rsidRPr="00825E5D">
              <w:rPr>
                <w:rFonts w:cs="Calibri"/>
                <w:color w:val="000000"/>
              </w:rPr>
              <w:t>0</w:t>
            </w:r>
          </w:p>
        </w:tc>
        <w:tc>
          <w:tcPr>
            <w:tcW w:w="0" w:type="dxa"/>
            <w:vAlign w:val="center"/>
          </w:tcPr>
          <w:p w14:paraId="410CE722" w14:textId="051388C3" w:rsidR="00425F57" w:rsidRPr="00825E5D" w:rsidRDefault="00EE0218" w:rsidP="008007DA">
            <w:pPr>
              <w:pStyle w:val="Tabletext0"/>
              <w:spacing w:before="0" w:after="0"/>
              <w:jc w:val="right"/>
              <w:cnfStyle w:val="000000100000" w:firstRow="0" w:lastRow="0" w:firstColumn="0" w:lastColumn="0" w:oddVBand="0" w:evenVBand="0" w:oddHBand="1" w:evenHBand="0" w:firstRowFirstColumn="0" w:firstRowLastColumn="0" w:lastRowFirstColumn="0" w:lastRowLastColumn="0"/>
              <w:rPr>
                <w:rFonts w:cs="Calibri"/>
                <w:color w:val="000000"/>
              </w:rPr>
            </w:pPr>
            <w:r w:rsidRPr="00825E5D">
              <w:rPr>
                <w:rFonts w:cs="Calibri"/>
                <w:color w:val="000000"/>
              </w:rPr>
              <w:t>0</w:t>
            </w:r>
          </w:p>
        </w:tc>
        <w:tc>
          <w:tcPr>
            <w:tcW w:w="0" w:type="dxa"/>
            <w:vAlign w:val="center"/>
          </w:tcPr>
          <w:p w14:paraId="270BE06A" w14:textId="0FA9B52A" w:rsidR="00425F57" w:rsidRPr="00825E5D" w:rsidRDefault="00EE0218" w:rsidP="008007DA">
            <w:pPr>
              <w:pStyle w:val="Tabletext0"/>
              <w:spacing w:before="0" w:after="0"/>
              <w:jc w:val="right"/>
              <w:cnfStyle w:val="000000100000" w:firstRow="0" w:lastRow="0" w:firstColumn="0" w:lastColumn="0" w:oddVBand="0" w:evenVBand="0" w:oddHBand="1" w:evenHBand="0" w:firstRowFirstColumn="0" w:firstRowLastColumn="0" w:lastRowFirstColumn="0" w:lastRowLastColumn="0"/>
              <w:rPr>
                <w:rFonts w:cs="Calibri"/>
                <w:color w:val="000000"/>
              </w:rPr>
            </w:pPr>
            <w:r w:rsidRPr="00825E5D">
              <w:rPr>
                <w:rFonts w:cs="Calibri"/>
                <w:color w:val="000000"/>
              </w:rPr>
              <w:t>0</w:t>
            </w:r>
          </w:p>
        </w:tc>
        <w:tc>
          <w:tcPr>
            <w:tcW w:w="0" w:type="dxa"/>
            <w:vAlign w:val="center"/>
          </w:tcPr>
          <w:p w14:paraId="0DAD0CEA" w14:textId="665B2D2E" w:rsidR="00425F57" w:rsidRPr="00825E5D" w:rsidRDefault="00EE0218" w:rsidP="008007DA">
            <w:pPr>
              <w:pStyle w:val="Tabletext0"/>
              <w:spacing w:before="0" w:after="0"/>
              <w:jc w:val="right"/>
              <w:cnfStyle w:val="000000100000" w:firstRow="0" w:lastRow="0" w:firstColumn="0" w:lastColumn="0" w:oddVBand="0" w:evenVBand="0" w:oddHBand="1" w:evenHBand="0" w:firstRowFirstColumn="0" w:firstRowLastColumn="0" w:lastRowFirstColumn="0" w:lastRowLastColumn="0"/>
              <w:rPr>
                <w:rFonts w:cs="Calibri"/>
                <w:color w:val="000000"/>
              </w:rPr>
            </w:pPr>
            <w:r w:rsidRPr="00825E5D">
              <w:rPr>
                <w:rFonts w:cs="Calibri"/>
                <w:color w:val="000000"/>
              </w:rPr>
              <w:t>0</w:t>
            </w:r>
          </w:p>
        </w:tc>
        <w:tc>
          <w:tcPr>
            <w:tcW w:w="0" w:type="dxa"/>
            <w:vAlign w:val="center"/>
          </w:tcPr>
          <w:p w14:paraId="42D52EA5" w14:textId="2381A92B" w:rsidR="00425F57" w:rsidRPr="00825E5D" w:rsidRDefault="00EE0218" w:rsidP="008007DA">
            <w:pPr>
              <w:pStyle w:val="Tabletext0"/>
              <w:spacing w:before="0" w:after="0"/>
              <w:jc w:val="right"/>
              <w:cnfStyle w:val="000000100000" w:firstRow="0" w:lastRow="0" w:firstColumn="0" w:lastColumn="0" w:oddVBand="0" w:evenVBand="0" w:oddHBand="1" w:evenHBand="0" w:firstRowFirstColumn="0" w:firstRowLastColumn="0" w:lastRowFirstColumn="0" w:lastRowLastColumn="0"/>
              <w:rPr>
                <w:rFonts w:cs="Calibri"/>
                <w:color w:val="000000"/>
              </w:rPr>
            </w:pPr>
            <w:r w:rsidRPr="00825E5D">
              <w:rPr>
                <w:rFonts w:cs="Calibri"/>
                <w:color w:val="000000"/>
              </w:rPr>
              <w:t>0</w:t>
            </w:r>
          </w:p>
        </w:tc>
      </w:tr>
      <w:tr w:rsidR="00375ABA" w:rsidRPr="00825E5D" w14:paraId="3315A6F2" w14:textId="095B640A" w:rsidTr="0061130E">
        <w:trPr>
          <w:trHeight w:val="21"/>
        </w:trPr>
        <w:tc>
          <w:tcPr>
            <w:cnfStyle w:val="001000000000" w:firstRow="0" w:lastRow="0" w:firstColumn="1" w:lastColumn="0" w:oddVBand="0" w:evenVBand="0" w:oddHBand="0" w:evenHBand="0" w:firstRowFirstColumn="0" w:firstRowLastColumn="0" w:lastRowFirstColumn="0" w:lastRowLastColumn="0"/>
            <w:tcW w:w="0" w:type="dxa"/>
          </w:tcPr>
          <w:p w14:paraId="3AA6C792" w14:textId="2521309C" w:rsidR="00425F57" w:rsidRPr="002505DF" w:rsidRDefault="00425F57" w:rsidP="008007DA">
            <w:pPr>
              <w:pStyle w:val="Tabletext0"/>
              <w:spacing w:before="0" w:after="0"/>
              <w:jc w:val="left"/>
              <w:rPr>
                <w:rFonts w:cs="Calibri"/>
                <w:b w:val="0"/>
                <w:bCs w:val="0"/>
                <w:color w:val="000000"/>
              </w:rPr>
            </w:pPr>
            <w:r w:rsidRPr="002505DF">
              <w:rPr>
                <w:rFonts w:cs="Calibri"/>
                <w:b w:val="0"/>
                <w:bCs w:val="0"/>
                <w:color w:val="000000"/>
              </w:rPr>
              <w:t>Change in use of Item 69496</w:t>
            </w:r>
          </w:p>
        </w:tc>
        <w:tc>
          <w:tcPr>
            <w:tcW w:w="0" w:type="dxa"/>
            <w:vAlign w:val="center"/>
          </w:tcPr>
          <w:p w14:paraId="2B42F459" w14:textId="4A39F0C0" w:rsidR="00425F57" w:rsidRPr="00825E5D" w:rsidRDefault="00425F57" w:rsidP="008007DA">
            <w:pPr>
              <w:pStyle w:val="Tabletext0"/>
              <w:spacing w:before="0" w:after="0"/>
              <w:jc w:val="right"/>
              <w:cnfStyle w:val="000000000000" w:firstRow="0" w:lastRow="0" w:firstColumn="0" w:lastColumn="0" w:oddVBand="0" w:evenVBand="0" w:oddHBand="0" w:evenHBand="0" w:firstRowFirstColumn="0" w:firstRowLastColumn="0" w:lastRowFirstColumn="0" w:lastRowLastColumn="0"/>
              <w:rPr>
                <w:rFonts w:cs="Calibri"/>
                <w:color w:val="000000"/>
              </w:rPr>
            </w:pPr>
            <w:r w:rsidRPr="00825E5D">
              <w:rPr>
                <w:rFonts w:cs="Calibri"/>
                <w:color w:val="000000"/>
              </w:rPr>
              <w:t>-2,516,109</w:t>
            </w:r>
          </w:p>
        </w:tc>
        <w:tc>
          <w:tcPr>
            <w:tcW w:w="0" w:type="dxa"/>
            <w:vAlign w:val="center"/>
          </w:tcPr>
          <w:p w14:paraId="42A4B8AC" w14:textId="46D9CAE3" w:rsidR="00425F57" w:rsidRPr="00825E5D" w:rsidRDefault="00425F57" w:rsidP="008007DA">
            <w:pPr>
              <w:pStyle w:val="Tabletext0"/>
              <w:spacing w:before="0" w:after="0"/>
              <w:jc w:val="right"/>
              <w:cnfStyle w:val="000000000000" w:firstRow="0" w:lastRow="0" w:firstColumn="0" w:lastColumn="0" w:oddVBand="0" w:evenVBand="0" w:oddHBand="0" w:evenHBand="0" w:firstRowFirstColumn="0" w:firstRowLastColumn="0" w:lastRowFirstColumn="0" w:lastRowLastColumn="0"/>
              <w:rPr>
                <w:rFonts w:cs="Calibri"/>
                <w:color w:val="000000"/>
              </w:rPr>
            </w:pPr>
            <w:r w:rsidRPr="00825E5D">
              <w:rPr>
                <w:rFonts w:cs="Calibri"/>
                <w:color w:val="000000"/>
              </w:rPr>
              <w:t>-2,550,716</w:t>
            </w:r>
          </w:p>
        </w:tc>
        <w:tc>
          <w:tcPr>
            <w:tcW w:w="0" w:type="dxa"/>
            <w:vAlign w:val="center"/>
          </w:tcPr>
          <w:p w14:paraId="444D7D1E" w14:textId="1065CB53" w:rsidR="00425F57" w:rsidRPr="00825E5D" w:rsidRDefault="00425F57" w:rsidP="008007DA">
            <w:pPr>
              <w:pStyle w:val="Tabletext0"/>
              <w:spacing w:before="0" w:after="0"/>
              <w:jc w:val="right"/>
              <w:cnfStyle w:val="000000000000" w:firstRow="0" w:lastRow="0" w:firstColumn="0" w:lastColumn="0" w:oddVBand="0" w:evenVBand="0" w:oddHBand="0" w:evenHBand="0" w:firstRowFirstColumn="0" w:firstRowLastColumn="0" w:lastRowFirstColumn="0" w:lastRowLastColumn="0"/>
              <w:rPr>
                <w:rFonts w:cs="Calibri"/>
                <w:color w:val="000000"/>
              </w:rPr>
            </w:pPr>
            <w:r w:rsidRPr="00825E5D">
              <w:rPr>
                <w:rFonts w:cs="Calibri"/>
                <w:color w:val="000000"/>
              </w:rPr>
              <w:t>-2,585,135</w:t>
            </w:r>
          </w:p>
        </w:tc>
        <w:tc>
          <w:tcPr>
            <w:tcW w:w="0" w:type="dxa"/>
            <w:vAlign w:val="center"/>
          </w:tcPr>
          <w:p w14:paraId="6BC5D18C" w14:textId="28ABDE87" w:rsidR="00425F57" w:rsidRPr="00825E5D" w:rsidRDefault="00425F57" w:rsidP="008007DA">
            <w:pPr>
              <w:pStyle w:val="Tabletext0"/>
              <w:spacing w:before="0" w:after="0"/>
              <w:jc w:val="right"/>
              <w:cnfStyle w:val="000000000000" w:firstRow="0" w:lastRow="0" w:firstColumn="0" w:lastColumn="0" w:oddVBand="0" w:evenVBand="0" w:oddHBand="0" w:evenHBand="0" w:firstRowFirstColumn="0" w:firstRowLastColumn="0" w:lastRowFirstColumn="0" w:lastRowLastColumn="0"/>
              <w:rPr>
                <w:rFonts w:cs="Calibri"/>
                <w:color w:val="000000"/>
              </w:rPr>
            </w:pPr>
            <w:r w:rsidRPr="00825E5D">
              <w:rPr>
                <w:rFonts w:cs="Calibri"/>
                <w:color w:val="000000"/>
              </w:rPr>
              <w:t>-2,619,345</w:t>
            </w:r>
          </w:p>
        </w:tc>
        <w:tc>
          <w:tcPr>
            <w:tcW w:w="0" w:type="dxa"/>
            <w:vAlign w:val="center"/>
          </w:tcPr>
          <w:p w14:paraId="1F04C60C" w14:textId="4EA6F3F4" w:rsidR="00425F57" w:rsidRPr="00825E5D" w:rsidRDefault="00425F57" w:rsidP="008007DA">
            <w:pPr>
              <w:pStyle w:val="Tabletext0"/>
              <w:spacing w:before="0" w:after="0"/>
              <w:jc w:val="right"/>
              <w:cnfStyle w:val="000000000000" w:firstRow="0" w:lastRow="0" w:firstColumn="0" w:lastColumn="0" w:oddVBand="0" w:evenVBand="0" w:oddHBand="0" w:evenHBand="0" w:firstRowFirstColumn="0" w:firstRowLastColumn="0" w:lastRowFirstColumn="0" w:lastRowLastColumn="0"/>
              <w:rPr>
                <w:rFonts w:cs="Calibri"/>
                <w:color w:val="000000"/>
              </w:rPr>
            </w:pPr>
            <w:r w:rsidRPr="00825E5D">
              <w:rPr>
                <w:rFonts w:cs="Calibri"/>
                <w:color w:val="000000"/>
              </w:rPr>
              <w:t>-2,653,363</w:t>
            </w:r>
          </w:p>
        </w:tc>
        <w:tc>
          <w:tcPr>
            <w:tcW w:w="0" w:type="dxa"/>
            <w:vAlign w:val="center"/>
          </w:tcPr>
          <w:p w14:paraId="152E7A47" w14:textId="1F61E358" w:rsidR="00425F57" w:rsidRPr="00825E5D" w:rsidRDefault="00425F57" w:rsidP="008007DA">
            <w:pPr>
              <w:pStyle w:val="Tabletext0"/>
              <w:spacing w:before="0" w:after="0"/>
              <w:jc w:val="right"/>
              <w:cnfStyle w:val="000000000000" w:firstRow="0" w:lastRow="0" w:firstColumn="0" w:lastColumn="0" w:oddVBand="0" w:evenVBand="0" w:oddHBand="0" w:evenHBand="0" w:firstRowFirstColumn="0" w:firstRowLastColumn="0" w:lastRowFirstColumn="0" w:lastRowLastColumn="0"/>
              <w:rPr>
                <w:rFonts w:cs="Calibri"/>
                <w:color w:val="000000"/>
              </w:rPr>
            </w:pPr>
            <w:r w:rsidRPr="00825E5D">
              <w:rPr>
                <w:rFonts w:cs="Calibri"/>
                <w:color w:val="000000"/>
              </w:rPr>
              <w:t>-2,687,143</w:t>
            </w:r>
          </w:p>
        </w:tc>
      </w:tr>
      <w:tr w:rsidR="00375ABA" w:rsidRPr="00825E5D" w14:paraId="19AC1563" w14:textId="60736FE1" w:rsidTr="0061130E">
        <w:trPr>
          <w:cnfStyle w:val="000000100000" w:firstRow="0" w:lastRow="0" w:firstColumn="0" w:lastColumn="0" w:oddVBand="0" w:evenVBand="0" w:oddHBand="1" w:evenHBand="0" w:firstRowFirstColumn="0" w:firstRowLastColumn="0" w:lastRowFirstColumn="0" w:lastRowLastColumn="0"/>
          <w:trHeight w:val="21"/>
        </w:trPr>
        <w:tc>
          <w:tcPr>
            <w:cnfStyle w:val="001000000000" w:firstRow="0" w:lastRow="0" w:firstColumn="1" w:lastColumn="0" w:oddVBand="0" w:evenVBand="0" w:oddHBand="0" w:evenHBand="0" w:firstRowFirstColumn="0" w:firstRowLastColumn="0" w:lastRowFirstColumn="0" w:lastRowLastColumn="0"/>
            <w:tcW w:w="0" w:type="dxa"/>
          </w:tcPr>
          <w:p w14:paraId="60B271BF" w14:textId="7897AC62" w:rsidR="00A42BD9" w:rsidRPr="002505DF" w:rsidRDefault="00A42BD9" w:rsidP="008007DA">
            <w:pPr>
              <w:pStyle w:val="Tabletext0"/>
              <w:spacing w:before="0" w:after="0"/>
              <w:jc w:val="left"/>
              <w:rPr>
                <w:rFonts w:cs="Calibri"/>
                <w:b w:val="0"/>
                <w:bCs w:val="0"/>
                <w:color w:val="000000"/>
              </w:rPr>
            </w:pPr>
            <w:r w:rsidRPr="002505DF">
              <w:rPr>
                <w:rFonts w:cs="Calibri"/>
                <w:b w:val="0"/>
                <w:bCs w:val="0"/>
                <w:color w:val="000000"/>
              </w:rPr>
              <w:t xml:space="preserve">Net change in costs to the MBS (with appropriate </w:t>
            </w:r>
            <w:proofErr w:type="spellStart"/>
            <w:r w:rsidRPr="002505DF">
              <w:rPr>
                <w:rFonts w:cs="Calibri"/>
                <w:b w:val="0"/>
                <w:bCs w:val="0"/>
                <w:color w:val="000000"/>
              </w:rPr>
              <w:t>copayments</w:t>
            </w:r>
            <w:proofErr w:type="spellEnd"/>
            <w:r w:rsidRPr="002505DF">
              <w:rPr>
                <w:rFonts w:cs="Calibri"/>
                <w:b w:val="0"/>
                <w:bCs w:val="0"/>
                <w:color w:val="000000"/>
              </w:rPr>
              <w:t xml:space="preserve"> excluded)</w:t>
            </w:r>
          </w:p>
        </w:tc>
        <w:tc>
          <w:tcPr>
            <w:tcW w:w="0" w:type="dxa"/>
            <w:vAlign w:val="center"/>
          </w:tcPr>
          <w:p w14:paraId="38C29271" w14:textId="0CF8B301" w:rsidR="00A42BD9" w:rsidRPr="00825E5D" w:rsidRDefault="00A42BD9" w:rsidP="008007DA">
            <w:pPr>
              <w:pStyle w:val="Tabletext0"/>
              <w:spacing w:before="0" w:after="0"/>
              <w:jc w:val="right"/>
              <w:cnfStyle w:val="000000100000" w:firstRow="0" w:lastRow="0" w:firstColumn="0" w:lastColumn="0" w:oddVBand="0" w:evenVBand="0" w:oddHBand="1" w:evenHBand="0" w:firstRowFirstColumn="0" w:firstRowLastColumn="0" w:lastRowFirstColumn="0" w:lastRowLastColumn="0"/>
              <w:rPr>
                <w:rFonts w:cs="Calibri"/>
                <w:color w:val="000000"/>
              </w:rPr>
            </w:pPr>
            <w:r w:rsidRPr="00825E5D">
              <w:rPr>
                <w:rFonts w:cs="Calibri"/>
                <w:color w:val="000000"/>
              </w:rPr>
              <w:t>-$92,089,605</w:t>
            </w:r>
          </w:p>
        </w:tc>
        <w:tc>
          <w:tcPr>
            <w:tcW w:w="0" w:type="dxa"/>
            <w:vAlign w:val="center"/>
          </w:tcPr>
          <w:p w14:paraId="1B78BBAA" w14:textId="2ED87105" w:rsidR="00A42BD9" w:rsidRPr="00825E5D" w:rsidRDefault="00A42BD9" w:rsidP="008007DA">
            <w:pPr>
              <w:pStyle w:val="Tabletext0"/>
              <w:spacing w:before="0" w:after="0"/>
              <w:jc w:val="right"/>
              <w:cnfStyle w:val="000000100000" w:firstRow="0" w:lastRow="0" w:firstColumn="0" w:lastColumn="0" w:oddVBand="0" w:evenVBand="0" w:oddHBand="1" w:evenHBand="0" w:firstRowFirstColumn="0" w:firstRowLastColumn="0" w:lastRowFirstColumn="0" w:lastRowLastColumn="0"/>
              <w:rPr>
                <w:rFonts w:cs="Calibri"/>
                <w:color w:val="000000"/>
              </w:rPr>
            </w:pPr>
            <w:r w:rsidRPr="00825E5D">
              <w:rPr>
                <w:rFonts w:cs="Calibri"/>
                <w:color w:val="000000"/>
              </w:rPr>
              <w:t>-$93,356,211</w:t>
            </w:r>
          </w:p>
        </w:tc>
        <w:tc>
          <w:tcPr>
            <w:tcW w:w="0" w:type="dxa"/>
            <w:vAlign w:val="center"/>
          </w:tcPr>
          <w:p w14:paraId="01C42E98" w14:textId="56300C72" w:rsidR="00A42BD9" w:rsidRPr="00825E5D" w:rsidRDefault="00A42BD9" w:rsidP="008007DA">
            <w:pPr>
              <w:pStyle w:val="Tabletext0"/>
              <w:spacing w:before="0" w:after="0"/>
              <w:jc w:val="right"/>
              <w:cnfStyle w:val="000000100000" w:firstRow="0" w:lastRow="0" w:firstColumn="0" w:lastColumn="0" w:oddVBand="0" w:evenVBand="0" w:oddHBand="1" w:evenHBand="0" w:firstRowFirstColumn="0" w:firstRowLastColumn="0" w:lastRowFirstColumn="0" w:lastRowLastColumn="0"/>
              <w:rPr>
                <w:rFonts w:cs="Calibri"/>
                <w:color w:val="000000"/>
              </w:rPr>
            </w:pPr>
            <w:r w:rsidRPr="00825E5D">
              <w:rPr>
                <w:rFonts w:cs="Calibri"/>
                <w:color w:val="000000"/>
              </w:rPr>
              <w:t>-$94,615,940</w:t>
            </w:r>
          </w:p>
        </w:tc>
        <w:tc>
          <w:tcPr>
            <w:tcW w:w="0" w:type="dxa"/>
            <w:vAlign w:val="center"/>
          </w:tcPr>
          <w:p w14:paraId="5E3C3BC8" w14:textId="7DB85D49" w:rsidR="00A42BD9" w:rsidRPr="00825E5D" w:rsidRDefault="00A42BD9" w:rsidP="008007DA">
            <w:pPr>
              <w:pStyle w:val="Tabletext0"/>
              <w:spacing w:before="0" w:after="0"/>
              <w:jc w:val="right"/>
              <w:cnfStyle w:val="000000100000" w:firstRow="0" w:lastRow="0" w:firstColumn="0" w:lastColumn="0" w:oddVBand="0" w:evenVBand="0" w:oddHBand="1" w:evenHBand="0" w:firstRowFirstColumn="0" w:firstRowLastColumn="0" w:lastRowFirstColumn="0" w:lastRowLastColumn="0"/>
              <w:rPr>
                <w:rFonts w:cs="Calibri"/>
                <w:color w:val="000000"/>
              </w:rPr>
            </w:pPr>
            <w:r w:rsidRPr="00825E5D">
              <w:rPr>
                <w:rFonts w:cs="Calibri"/>
                <w:color w:val="000000"/>
              </w:rPr>
              <w:t>-$95,868,014</w:t>
            </w:r>
          </w:p>
        </w:tc>
        <w:tc>
          <w:tcPr>
            <w:tcW w:w="0" w:type="dxa"/>
            <w:vAlign w:val="center"/>
          </w:tcPr>
          <w:p w14:paraId="47CE5B33" w14:textId="32BA246D" w:rsidR="00A42BD9" w:rsidRPr="00825E5D" w:rsidRDefault="00A42BD9" w:rsidP="008007DA">
            <w:pPr>
              <w:pStyle w:val="Tabletext0"/>
              <w:spacing w:before="0" w:after="0"/>
              <w:jc w:val="right"/>
              <w:cnfStyle w:val="000000100000" w:firstRow="0" w:lastRow="0" w:firstColumn="0" w:lastColumn="0" w:oddVBand="0" w:evenVBand="0" w:oddHBand="1" w:evenHBand="0" w:firstRowFirstColumn="0" w:firstRowLastColumn="0" w:lastRowFirstColumn="0" w:lastRowLastColumn="0"/>
              <w:rPr>
                <w:rFonts w:cs="Calibri"/>
                <w:color w:val="000000"/>
              </w:rPr>
            </w:pPr>
            <w:r w:rsidRPr="00825E5D">
              <w:rPr>
                <w:rFonts w:cs="Calibri"/>
                <w:color w:val="000000"/>
              </w:rPr>
              <w:t>-$97,113,101</w:t>
            </w:r>
          </w:p>
        </w:tc>
        <w:tc>
          <w:tcPr>
            <w:tcW w:w="0" w:type="dxa"/>
            <w:vAlign w:val="center"/>
          </w:tcPr>
          <w:p w14:paraId="528D8174" w14:textId="635574EC" w:rsidR="00A42BD9" w:rsidRPr="00825E5D" w:rsidRDefault="00A42BD9" w:rsidP="008007DA">
            <w:pPr>
              <w:pStyle w:val="Tabletext0"/>
              <w:spacing w:before="0" w:after="0"/>
              <w:jc w:val="right"/>
              <w:cnfStyle w:val="000000100000" w:firstRow="0" w:lastRow="0" w:firstColumn="0" w:lastColumn="0" w:oddVBand="0" w:evenVBand="0" w:oddHBand="1" w:evenHBand="0" w:firstRowFirstColumn="0" w:firstRowLastColumn="0" w:lastRowFirstColumn="0" w:lastRowLastColumn="0"/>
              <w:rPr>
                <w:rFonts w:cs="Calibri"/>
                <w:color w:val="000000"/>
              </w:rPr>
            </w:pPr>
            <w:r w:rsidRPr="00825E5D">
              <w:rPr>
                <w:rFonts w:cs="Calibri"/>
                <w:color w:val="000000"/>
              </w:rPr>
              <w:t>-$98,349,444</w:t>
            </w:r>
          </w:p>
        </w:tc>
      </w:tr>
      <w:tr w:rsidR="00375ABA" w:rsidRPr="00825E5D" w14:paraId="13986EF8" w14:textId="663308A5" w:rsidTr="0061130E">
        <w:trPr>
          <w:trHeight w:val="21"/>
        </w:trPr>
        <w:tc>
          <w:tcPr>
            <w:cnfStyle w:val="001000000000" w:firstRow="0" w:lastRow="0" w:firstColumn="1" w:lastColumn="0" w:oddVBand="0" w:evenVBand="0" w:oddHBand="0" w:evenHBand="0" w:firstRowFirstColumn="0" w:firstRowLastColumn="0" w:lastRowFirstColumn="0" w:lastRowLastColumn="0"/>
            <w:tcW w:w="0" w:type="dxa"/>
          </w:tcPr>
          <w:p w14:paraId="79BD2D0F" w14:textId="33EAC46C" w:rsidR="00F93A50" w:rsidRPr="00825E5D" w:rsidRDefault="00F93A50" w:rsidP="008007DA">
            <w:pPr>
              <w:pStyle w:val="Tabletext0"/>
              <w:spacing w:before="0" w:after="0"/>
              <w:jc w:val="left"/>
            </w:pPr>
            <w:r w:rsidRPr="00825E5D">
              <w:rPr>
                <w:rFonts w:cs="Calibri"/>
                <w:color w:val="000000"/>
              </w:rPr>
              <w:t xml:space="preserve">Net </w:t>
            </w:r>
            <w:r w:rsidR="00CB4173" w:rsidRPr="00825E5D">
              <w:rPr>
                <w:rFonts w:cs="Calibri"/>
                <w:color w:val="000000"/>
              </w:rPr>
              <w:t>financial impact to the MBS</w:t>
            </w:r>
          </w:p>
        </w:tc>
        <w:tc>
          <w:tcPr>
            <w:tcW w:w="0" w:type="dxa"/>
            <w:vAlign w:val="center"/>
          </w:tcPr>
          <w:p w14:paraId="69769E32" w14:textId="149283BE" w:rsidR="00F93A50" w:rsidRPr="00825E5D" w:rsidRDefault="00F93A50" w:rsidP="008007DA">
            <w:pPr>
              <w:pStyle w:val="Tabletext0"/>
              <w:spacing w:before="0" w:after="0"/>
              <w:jc w:val="right"/>
              <w:cnfStyle w:val="000000000000" w:firstRow="0" w:lastRow="0" w:firstColumn="0" w:lastColumn="0" w:oddVBand="0" w:evenVBand="0" w:oddHBand="0" w:evenHBand="0" w:firstRowFirstColumn="0" w:firstRowLastColumn="0" w:lastRowFirstColumn="0" w:lastRowLastColumn="0"/>
              <w:rPr>
                <w:rFonts w:cs="Calibri"/>
                <w:b/>
                <w:color w:val="000000"/>
              </w:rPr>
            </w:pPr>
            <w:r w:rsidRPr="00825E5D">
              <w:rPr>
                <w:rFonts w:cs="Calibri"/>
                <w:b/>
                <w:color w:val="000000"/>
              </w:rPr>
              <w:t>$89,925,345</w:t>
            </w:r>
          </w:p>
        </w:tc>
        <w:tc>
          <w:tcPr>
            <w:tcW w:w="0" w:type="dxa"/>
            <w:vAlign w:val="center"/>
          </w:tcPr>
          <w:p w14:paraId="069FC6D9" w14:textId="26C11BA1" w:rsidR="00F93A50" w:rsidRPr="00825E5D" w:rsidRDefault="00F93A50" w:rsidP="008007DA">
            <w:pPr>
              <w:pStyle w:val="Tabletext0"/>
              <w:spacing w:before="0" w:after="0"/>
              <w:jc w:val="right"/>
              <w:cnfStyle w:val="000000000000" w:firstRow="0" w:lastRow="0" w:firstColumn="0" w:lastColumn="0" w:oddVBand="0" w:evenVBand="0" w:oddHBand="0" w:evenHBand="0" w:firstRowFirstColumn="0" w:firstRowLastColumn="0" w:lastRowFirstColumn="0" w:lastRowLastColumn="0"/>
              <w:rPr>
                <w:rFonts w:cs="Calibri"/>
                <w:b/>
                <w:color w:val="000000"/>
              </w:rPr>
            </w:pPr>
            <w:r w:rsidRPr="00825E5D">
              <w:rPr>
                <w:rFonts w:cs="Calibri"/>
                <w:b/>
                <w:color w:val="000000"/>
              </w:rPr>
              <w:t>$91,162,183</w:t>
            </w:r>
          </w:p>
        </w:tc>
        <w:tc>
          <w:tcPr>
            <w:tcW w:w="0" w:type="dxa"/>
            <w:vAlign w:val="center"/>
          </w:tcPr>
          <w:p w14:paraId="3A9C2EC6" w14:textId="130FC84B" w:rsidR="00F93A50" w:rsidRPr="00825E5D" w:rsidRDefault="00F93A50" w:rsidP="008007DA">
            <w:pPr>
              <w:pStyle w:val="Tabletext0"/>
              <w:spacing w:before="0" w:after="0"/>
              <w:jc w:val="right"/>
              <w:cnfStyle w:val="000000000000" w:firstRow="0" w:lastRow="0" w:firstColumn="0" w:lastColumn="0" w:oddVBand="0" w:evenVBand="0" w:oddHBand="0" w:evenHBand="0" w:firstRowFirstColumn="0" w:firstRowLastColumn="0" w:lastRowFirstColumn="0" w:lastRowLastColumn="0"/>
              <w:rPr>
                <w:rFonts w:cs="Calibri"/>
                <w:b/>
                <w:color w:val="000000"/>
              </w:rPr>
            </w:pPr>
            <w:r w:rsidRPr="00825E5D">
              <w:rPr>
                <w:rFonts w:cs="Calibri"/>
                <w:b/>
                <w:color w:val="000000"/>
              </w:rPr>
              <w:t>$92,392,306</w:t>
            </w:r>
          </w:p>
        </w:tc>
        <w:tc>
          <w:tcPr>
            <w:tcW w:w="0" w:type="dxa"/>
            <w:vAlign w:val="center"/>
          </w:tcPr>
          <w:p w14:paraId="14BB47C3" w14:textId="56FC9D93" w:rsidR="00F93A50" w:rsidRPr="00825E5D" w:rsidRDefault="00F93A50" w:rsidP="008007DA">
            <w:pPr>
              <w:pStyle w:val="Tabletext0"/>
              <w:spacing w:before="0" w:after="0"/>
              <w:jc w:val="right"/>
              <w:cnfStyle w:val="000000000000" w:firstRow="0" w:lastRow="0" w:firstColumn="0" w:lastColumn="0" w:oddVBand="0" w:evenVBand="0" w:oddHBand="0" w:evenHBand="0" w:firstRowFirstColumn="0" w:firstRowLastColumn="0" w:lastRowFirstColumn="0" w:lastRowLastColumn="0"/>
              <w:rPr>
                <w:rFonts w:cs="Calibri"/>
                <w:b/>
                <w:color w:val="000000"/>
              </w:rPr>
            </w:pPr>
            <w:r w:rsidRPr="00825E5D">
              <w:rPr>
                <w:rFonts w:cs="Calibri"/>
                <w:b/>
                <w:color w:val="000000"/>
              </w:rPr>
              <w:t>$93,614,954</w:t>
            </w:r>
          </w:p>
        </w:tc>
        <w:tc>
          <w:tcPr>
            <w:tcW w:w="0" w:type="dxa"/>
            <w:vAlign w:val="center"/>
          </w:tcPr>
          <w:p w14:paraId="6FBCB18B" w14:textId="16C39788" w:rsidR="00F93A50" w:rsidRPr="00825E5D" w:rsidRDefault="00F93A50" w:rsidP="008007DA">
            <w:pPr>
              <w:pStyle w:val="Tabletext0"/>
              <w:spacing w:before="0" w:after="0"/>
              <w:jc w:val="right"/>
              <w:cnfStyle w:val="000000000000" w:firstRow="0" w:lastRow="0" w:firstColumn="0" w:lastColumn="0" w:oddVBand="0" w:evenVBand="0" w:oddHBand="0" w:evenHBand="0" w:firstRowFirstColumn="0" w:firstRowLastColumn="0" w:lastRowFirstColumn="0" w:lastRowLastColumn="0"/>
              <w:rPr>
                <w:rFonts w:cs="Calibri"/>
                <w:b/>
                <w:color w:val="000000"/>
              </w:rPr>
            </w:pPr>
            <w:r w:rsidRPr="00825E5D">
              <w:rPr>
                <w:rFonts w:cs="Calibri"/>
                <w:b/>
                <w:color w:val="000000"/>
              </w:rPr>
              <w:t>$94,830,780</w:t>
            </w:r>
          </w:p>
        </w:tc>
        <w:tc>
          <w:tcPr>
            <w:tcW w:w="0" w:type="dxa"/>
            <w:vAlign w:val="center"/>
          </w:tcPr>
          <w:p w14:paraId="34F41A0F" w14:textId="4D76EB70" w:rsidR="00F93A50" w:rsidRPr="00825E5D" w:rsidRDefault="00F93A50" w:rsidP="008007DA">
            <w:pPr>
              <w:pStyle w:val="Tabletext0"/>
              <w:spacing w:before="0" w:after="0"/>
              <w:jc w:val="right"/>
              <w:cnfStyle w:val="000000000000" w:firstRow="0" w:lastRow="0" w:firstColumn="0" w:lastColumn="0" w:oddVBand="0" w:evenVBand="0" w:oddHBand="0" w:evenHBand="0" w:firstRowFirstColumn="0" w:firstRowLastColumn="0" w:lastRowFirstColumn="0" w:lastRowLastColumn="0"/>
              <w:rPr>
                <w:rFonts w:cs="Calibri"/>
                <w:b/>
                <w:color w:val="000000"/>
              </w:rPr>
            </w:pPr>
            <w:r w:rsidRPr="00825E5D">
              <w:rPr>
                <w:rFonts w:cs="Calibri"/>
                <w:b/>
                <w:color w:val="000000"/>
              </w:rPr>
              <w:t>$96,038,066</w:t>
            </w:r>
          </w:p>
        </w:tc>
      </w:tr>
    </w:tbl>
    <w:p w14:paraId="4631ADEC" w14:textId="3D2B0702" w:rsidR="008E039C" w:rsidRPr="00747545" w:rsidRDefault="008E039C" w:rsidP="008E039C">
      <w:pPr>
        <w:pStyle w:val="TableFooter"/>
      </w:pPr>
      <w:bookmarkStart w:id="47" w:name="_Toc133832636"/>
      <w:r>
        <w:t>Source: DCAR Table 13, with edits to incorporate ESC’s advice.</w:t>
      </w:r>
    </w:p>
    <w:p w14:paraId="628F8D2C" w14:textId="4313C8BB" w:rsidR="00AD6BFC" w:rsidRDefault="00AD6BFC" w:rsidP="0078130E">
      <w:pPr>
        <w:pStyle w:val="Heading4"/>
      </w:pPr>
      <w:r>
        <w:lastRenderedPageBreak/>
        <w:t>Option 2:</w:t>
      </w:r>
      <w:r w:rsidR="003A197D">
        <w:t xml:space="preserve"> Make t</w:t>
      </w:r>
      <w:r>
        <w:t xml:space="preserve">he </w:t>
      </w:r>
      <w:r w:rsidR="003A197D">
        <w:t xml:space="preserve">current </w:t>
      </w:r>
      <w:r>
        <w:t xml:space="preserve">temporary items </w:t>
      </w:r>
      <w:proofErr w:type="gramStart"/>
      <w:r>
        <w:t>permanent</w:t>
      </w:r>
      <w:proofErr w:type="gramEnd"/>
    </w:p>
    <w:p w14:paraId="27184E90" w14:textId="3E0F3EA6" w:rsidR="00AD6BFC" w:rsidRPr="001D278E" w:rsidRDefault="00AD6BFC" w:rsidP="0078130E">
      <w:pPr>
        <w:rPr>
          <w:lang w:eastAsia="en-GB"/>
        </w:rPr>
      </w:pPr>
      <w:r w:rsidRPr="0027526D">
        <w:t xml:space="preserve">The financial implications to the MBS resulting from the proposed listing of permanent MBS items for SARS-CoV-2 and respiratory pathogen nucleic acid testing are summarised in </w:t>
      </w:r>
      <w:r w:rsidRPr="0027526D">
        <w:fldChar w:fldCharType="begin"/>
      </w:r>
      <w:r w:rsidRPr="0027526D">
        <w:instrText xml:space="preserve"> REF _Ref132199828 </w:instrText>
      </w:r>
      <w:r>
        <w:instrText xml:space="preserve"> \* MERGEFORMAT </w:instrText>
      </w:r>
      <w:r w:rsidRPr="0027526D">
        <w:fldChar w:fldCharType="separate"/>
      </w:r>
      <w:r w:rsidR="00525416" w:rsidRPr="0027526D">
        <w:t>Table </w:t>
      </w:r>
      <w:r w:rsidR="00525416">
        <w:t>15</w:t>
      </w:r>
      <w:r w:rsidRPr="0027526D">
        <w:rPr>
          <w:noProof/>
        </w:rPr>
        <w:fldChar w:fldCharType="end"/>
      </w:r>
      <w:r w:rsidRPr="0027526D">
        <w:t xml:space="preserve">. </w:t>
      </w:r>
    </w:p>
    <w:p w14:paraId="74A98110" w14:textId="54D4640F" w:rsidR="00CE3E95" w:rsidRPr="0001290C" w:rsidRDefault="00CE3E95" w:rsidP="0078130E">
      <w:pPr>
        <w:pStyle w:val="Caption"/>
      </w:pPr>
      <w:bookmarkStart w:id="48" w:name="_Ref132199828"/>
      <w:r w:rsidRPr="0027526D">
        <w:t>Table </w:t>
      </w:r>
      <w:r>
        <w:fldChar w:fldCharType="begin"/>
      </w:r>
      <w:r>
        <w:instrText>SEQ Table \* ARABIC</w:instrText>
      </w:r>
      <w:r>
        <w:fldChar w:fldCharType="separate"/>
      </w:r>
      <w:r w:rsidR="00525416">
        <w:rPr>
          <w:noProof/>
        </w:rPr>
        <w:t>15</w:t>
      </w:r>
      <w:r>
        <w:fldChar w:fldCharType="end"/>
      </w:r>
      <w:bookmarkEnd w:id="48"/>
      <w:r w:rsidRPr="0027526D">
        <w:tab/>
        <w:t>Net financial implications of proposed permanent NAATs for SARS-CoV-2 and respiratory pathogen testing to the MBS</w:t>
      </w:r>
      <w:r w:rsidR="00F61271">
        <w:t>:</w:t>
      </w:r>
      <w:r>
        <w:t xml:space="preserve"> </w:t>
      </w:r>
      <w:r w:rsidRPr="0078130E">
        <w:rPr>
          <w:u w:val="single"/>
        </w:rPr>
        <w:t xml:space="preserve">option </w:t>
      </w:r>
      <w:proofErr w:type="gramStart"/>
      <w:r w:rsidRPr="0078130E">
        <w:rPr>
          <w:u w:val="single"/>
        </w:rPr>
        <w:t>2</w:t>
      </w:r>
      <w:proofErr w:type="gramEnd"/>
    </w:p>
    <w:tbl>
      <w:tblPr>
        <w:tblStyle w:val="TableGrid1"/>
        <w:tblW w:w="9351" w:type="dxa"/>
        <w:tblLayout w:type="fixed"/>
        <w:tblLook w:val="04A0" w:firstRow="1" w:lastRow="0" w:firstColumn="1" w:lastColumn="0" w:noHBand="0" w:noVBand="1"/>
      </w:tblPr>
      <w:tblGrid>
        <w:gridCol w:w="1838"/>
        <w:gridCol w:w="1252"/>
        <w:gridCol w:w="1252"/>
        <w:gridCol w:w="1252"/>
        <w:gridCol w:w="1252"/>
        <w:gridCol w:w="1252"/>
        <w:gridCol w:w="1253"/>
      </w:tblGrid>
      <w:tr w:rsidR="00CE3E95" w14:paraId="07115048" w14:textId="77777777" w:rsidTr="007B74B9">
        <w:trPr>
          <w:cnfStyle w:val="100000000000" w:firstRow="1" w:lastRow="0" w:firstColumn="0" w:lastColumn="0" w:oddVBand="0" w:evenVBand="0" w:oddHBand="0" w:evenHBand="0" w:firstRowFirstColumn="0" w:firstRowLastColumn="0" w:lastRowFirstColumn="0" w:lastRowLastColumn="0"/>
          <w:trHeight w:val="410"/>
          <w:tblHeader/>
        </w:trPr>
        <w:tc>
          <w:tcPr>
            <w:tcW w:w="1838" w:type="dxa"/>
            <w:hideMark/>
          </w:tcPr>
          <w:p w14:paraId="25C94B69" w14:textId="77777777" w:rsidR="00CE3E95" w:rsidRDefault="00CE3E95" w:rsidP="007B74B9">
            <w:pPr>
              <w:pStyle w:val="TableFigureHeading"/>
            </w:pPr>
            <w:r>
              <w:t>Parameter</w:t>
            </w:r>
          </w:p>
        </w:tc>
        <w:tc>
          <w:tcPr>
            <w:tcW w:w="1252" w:type="dxa"/>
            <w:hideMark/>
          </w:tcPr>
          <w:p w14:paraId="365EB3B7" w14:textId="77777777" w:rsidR="00CE3E95" w:rsidRDefault="00CE3E95" w:rsidP="007B74B9">
            <w:pPr>
              <w:pStyle w:val="TableFigureHeading"/>
              <w:jc w:val="center"/>
            </w:pPr>
            <w:r>
              <w:t>2024</w:t>
            </w:r>
          </w:p>
        </w:tc>
        <w:tc>
          <w:tcPr>
            <w:tcW w:w="1252" w:type="dxa"/>
            <w:hideMark/>
          </w:tcPr>
          <w:p w14:paraId="6A2152A3" w14:textId="77777777" w:rsidR="00CE3E95" w:rsidRDefault="00CE3E95" w:rsidP="007B74B9">
            <w:pPr>
              <w:pStyle w:val="TableFigureHeading"/>
              <w:jc w:val="center"/>
            </w:pPr>
            <w:r>
              <w:t>2025</w:t>
            </w:r>
          </w:p>
        </w:tc>
        <w:tc>
          <w:tcPr>
            <w:tcW w:w="1252" w:type="dxa"/>
            <w:hideMark/>
          </w:tcPr>
          <w:p w14:paraId="1B6C2B48" w14:textId="77777777" w:rsidR="00CE3E95" w:rsidRDefault="00CE3E95" w:rsidP="007B74B9">
            <w:pPr>
              <w:pStyle w:val="TableFigureHeading"/>
              <w:jc w:val="center"/>
            </w:pPr>
            <w:r>
              <w:t>2026</w:t>
            </w:r>
          </w:p>
        </w:tc>
        <w:tc>
          <w:tcPr>
            <w:tcW w:w="1252" w:type="dxa"/>
            <w:hideMark/>
          </w:tcPr>
          <w:p w14:paraId="1FC52A7F" w14:textId="77777777" w:rsidR="00CE3E95" w:rsidRDefault="00CE3E95" w:rsidP="007B74B9">
            <w:pPr>
              <w:pStyle w:val="TableFigureHeading"/>
              <w:jc w:val="center"/>
            </w:pPr>
            <w:r>
              <w:t>2027</w:t>
            </w:r>
          </w:p>
        </w:tc>
        <w:tc>
          <w:tcPr>
            <w:tcW w:w="1252" w:type="dxa"/>
            <w:hideMark/>
          </w:tcPr>
          <w:p w14:paraId="69FC0C99" w14:textId="77777777" w:rsidR="00CE3E95" w:rsidRDefault="00CE3E95" w:rsidP="007B74B9">
            <w:pPr>
              <w:pStyle w:val="TableFigureHeading"/>
              <w:jc w:val="center"/>
            </w:pPr>
            <w:r>
              <w:t>2028</w:t>
            </w:r>
          </w:p>
        </w:tc>
        <w:tc>
          <w:tcPr>
            <w:tcW w:w="1253" w:type="dxa"/>
            <w:hideMark/>
          </w:tcPr>
          <w:p w14:paraId="057C27D9" w14:textId="77777777" w:rsidR="00CE3E95" w:rsidRDefault="00CE3E95" w:rsidP="007B74B9">
            <w:pPr>
              <w:pStyle w:val="TableFigureHeading"/>
              <w:jc w:val="center"/>
            </w:pPr>
            <w:r>
              <w:t>2029</w:t>
            </w:r>
          </w:p>
        </w:tc>
      </w:tr>
      <w:tr w:rsidR="00CE3E95" w14:paraId="71E0C8AC" w14:textId="77777777" w:rsidTr="007B74B9">
        <w:trPr>
          <w:trHeight w:val="287"/>
        </w:trPr>
        <w:tc>
          <w:tcPr>
            <w:tcW w:w="9351" w:type="dxa"/>
            <w:gridSpan w:val="7"/>
          </w:tcPr>
          <w:p w14:paraId="3E418038" w14:textId="77777777" w:rsidR="00CE3E95" w:rsidRPr="00446363" w:rsidRDefault="00CE3E95" w:rsidP="007B74B9">
            <w:pPr>
              <w:pStyle w:val="Tabletext0"/>
              <w:jc w:val="left"/>
              <w:rPr>
                <w:b/>
                <w:bCs/>
              </w:rPr>
            </w:pPr>
            <w:r w:rsidRPr="00446363">
              <w:rPr>
                <w:b/>
                <w:bCs/>
              </w:rPr>
              <w:t xml:space="preserve">Estimated use and cost of the proposed </w:t>
            </w:r>
            <w:r>
              <w:rPr>
                <w:b/>
                <w:bCs/>
              </w:rPr>
              <w:t>permanent nucleic acid amplification testing for SARS-CoV-2 and respiratory pathogens</w:t>
            </w:r>
          </w:p>
        </w:tc>
      </w:tr>
      <w:tr w:rsidR="00CE3E95" w14:paraId="452833FD" w14:textId="77777777" w:rsidTr="007B74B9">
        <w:trPr>
          <w:trHeight w:val="287"/>
        </w:trPr>
        <w:tc>
          <w:tcPr>
            <w:tcW w:w="1838" w:type="dxa"/>
            <w:hideMark/>
          </w:tcPr>
          <w:p w14:paraId="577F50A4" w14:textId="77777777" w:rsidR="00CE3E95" w:rsidRDefault="00CE3E95" w:rsidP="007B74B9">
            <w:pPr>
              <w:rPr>
                <w:rFonts w:ascii="Arial Narrow" w:hAnsi="Arial Narrow" w:cs="Calibri"/>
                <w:color w:val="000000"/>
              </w:rPr>
            </w:pPr>
            <w:r>
              <w:rPr>
                <w:rFonts w:ascii="Arial Narrow" w:hAnsi="Arial Narrow" w:cs="Calibri"/>
                <w:color w:val="000000"/>
              </w:rPr>
              <w:t>Item AAAA services</w:t>
            </w:r>
          </w:p>
        </w:tc>
        <w:tc>
          <w:tcPr>
            <w:tcW w:w="1252" w:type="dxa"/>
            <w:vAlign w:val="center"/>
            <w:hideMark/>
          </w:tcPr>
          <w:p w14:paraId="4A457B9E" w14:textId="77777777" w:rsidR="00CE3E95" w:rsidRPr="00046DC7" w:rsidRDefault="00CE3E95" w:rsidP="007B74B9">
            <w:pPr>
              <w:pStyle w:val="Tabletext0"/>
              <w:jc w:val="right"/>
            </w:pPr>
            <w:r w:rsidRPr="00046DC7">
              <w:t>1</w:t>
            </w:r>
            <w:r>
              <w:t>,</w:t>
            </w:r>
            <w:r w:rsidRPr="00046DC7">
              <w:t>967</w:t>
            </w:r>
            <w:r>
              <w:t>,</w:t>
            </w:r>
            <w:r w:rsidRPr="00046DC7">
              <w:t>175</w:t>
            </w:r>
          </w:p>
        </w:tc>
        <w:tc>
          <w:tcPr>
            <w:tcW w:w="1252" w:type="dxa"/>
            <w:vAlign w:val="center"/>
            <w:hideMark/>
          </w:tcPr>
          <w:p w14:paraId="66A446A5" w14:textId="77777777" w:rsidR="00CE3E95" w:rsidRPr="00046DC7" w:rsidRDefault="00CE3E95" w:rsidP="007B74B9">
            <w:pPr>
              <w:pStyle w:val="Tabletext0"/>
              <w:jc w:val="right"/>
            </w:pPr>
            <w:r w:rsidRPr="00046DC7">
              <w:t>1</w:t>
            </w:r>
            <w:r>
              <w:t>,</w:t>
            </w:r>
            <w:r w:rsidRPr="00046DC7">
              <w:t>994</w:t>
            </w:r>
            <w:r>
              <w:t>,</w:t>
            </w:r>
            <w:r w:rsidRPr="00046DC7">
              <w:t>231</w:t>
            </w:r>
          </w:p>
        </w:tc>
        <w:tc>
          <w:tcPr>
            <w:tcW w:w="1252" w:type="dxa"/>
            <w:vAlign w:val="center"/>
            <w:hideMark/>
          </w:tcPr>
          <w:p w14:paraId="47371782" w14:textId="77777777" w:rsidR="00CE3E95" w:rsidRPr="00046DC7" w:rsidRDefault="00CE3E95" w:rsidP="007B74B9">
            <w:pPr>
              <w:pStyle w:val="Tabletext0"/>
              <w:jc w:val="right"/>
            </w:pPr>
            <w:r w:rsidRPr="00046DC7">
              <w:t>2</w:t>
            </w:r>
            <w:r>
              <w:t>,</w:t>
            </w:r>
            <w:r w:rsidRPr="00046DC7">
              <w:t>021</w:t>
            </w:r>
            <w:r>
              <w:t>,</w:t>
            </w:r>
            <w:r w:rsidRPr="00046DC7">
              <w:t>141</w:t>
            </w:r>
          </w:p>
        </w:tc>
        <w:tc>
          <w:tcPr>
            <w:tcW w:w="1252" w:type="dxa"/>
            <w:vAlign w:val="center"/>
            <w:hideMark/>
          </w:tcPr>
          <w:p w14:paraId="278DC1D3" w14:textId="77777777" w:rsidR="00CE3E95" w:rsidRPr="00046DC7" w:rsidRDefault="00CE3E95" w:rsidP="007B74B9">
            <w:pPr>
              <w:pStyle w:val="Tabletext0"/>
              <w:jc w:val="right"/>
            </w:pPr>
            <w:r w:rsidRPr="00046DC7">
              <w:t>2</w:t>
            </w:r>
            <w:r>
              <w:t>,</w:t>
            </w:r>
            <w:r w:rsidRPr="00046DC7">
              <w:t>047</w:t>
            </w:r>
            <w:r>
              <w:t>,</w:t>
            </w:r>
            <w:r w:rsidRPr="00046DC7">
              <w:t>886</w:t>
            </w:r>
          </w:p>
        </w:tc>
        <w:tc>
          <w:tcPr>
            <w:tcW w:w="1252" w:type="dxa"/>
            <w:vAlign w:val="center"/>
            <w:hideMark/>
          </w:tcPr>
          <w:p w14:paraId="04518F34" w14:textId="77777777" w:rsidR="00CE3E95" w:rsidRPr="00046DC7" w:rsidRDefault="00CE3E95" w:rsidP="007B74B9">
            <w:pPr>
              <w:pStyle w:val="Tabletext0"/>
              <w:jc w:val="right"/>
            </w:pPr>
            <w:r w:rsidRPr="00046DC7">
              <w:t>2</w:t>
            </w:r>
            <w:r>
              <w:t>,</w:t>
            </w:r>
            <w:r w:rsidRPr="00046DC7">
              <w:t>074</w:t>
            </w:r>
            <w:r>
              <w:t>,</w:t>
            </w:r>
            <w:r w:rsidRPr="00046DC7">
              <w:t>483</w:t>
            </w:r>
          </w:p>
        </w:tc>
        <w:tc>
          <w:tcPr>
            <w:tcW w:w="1253" w:type="dxa"/>
            <w:vAlign w:val="center"/>
            <w:hideMark/>
          </w:tcPr>
          <w:p w14:paraId="47EF5F4F" w14:textId="77777777" w:rsidR="00CE3E95" w:rsidRPr="00046DC7" w:rsidRDefault="00CE3E95" w:rsidP="007B74B9">
            <w:pPr>
              <w:pStyle w:val="Tabletext0"/>
              <w:jc w:val="right"/>
            </w:pPr>
            <w:r w:rsidRPr="00046DC7">
              <w:t>2</w:t>
            </w:r>
            <w:r>
              <w:t>,</w:t>
            </w:r>
            <w:r w:rsidRPr="00046DC7">
              <w:t>100</w:t>
            </w:r>
            <w:r>
              <w:t>,</w:t>
            </w:r>
            <w:r w:rsidRPr="00046DC7">
              <w:t>893</w:t>
            </w:r>
          </w:p>
        </w:tc>
      </w:tr>
      <w:tr w:rsidR="00CE3E95" w14:paraId="0AF70101" w14:textId="77777777" w:rsidTr="007B74B9">
        <w:trPr>
          <w:trHeight w:val="320"/>
        </w:trPr>
        <w:tc>
          <w:tcPr>
            <w:tcW w:w="1838" w:type="dxa"/>
            <w:hideMark/>
          </w:tcPr>
          <w:p w14:paraId="325F4608" w14:textId="77777777" w:rsidR="00CE3E95" w:rsidRDefault="00CE3E95" w:rsidP="007B74B9">
            <w:pPr>
              <w:rPr>
                <w:rFonts w:ascii="Arial Narrow" w:hAnsi="Arial Narrow" w:cs="Calibri"/>
                <w:color w:val="000000"/>
              </w:rPr>
            </w:pPr>
            <w:r>
              <w:rPr>
                <w:rFonts w:ascii="Arial Narrow" w:hAnsi="Arial Narrow" w:cs="Calibri"/>
                <w:color w:val="000000"/>
              </w:rPr>
              <w:t xml:space="preserve">Cost of AAAA </w:t>
            </w:r>
          </w:p>
        </w:tc>
        <w:tc>
          <w:tcPr>
            <w:tcW w:w="1252" w:type="dxa"/>
            <w:vAlign w:val="center"/>
            <w:hideMark/>
          </w:tcPr>
          <w:p w14:paraId="0C0E6193" w14:textId="77777777" w:rsidR="00CE3E95" w:rsidRPr="00046DC7" w:rsidRDefault="00CE3E95" w:rsidP="007B74B9">
            <w:pPr>
              <w:pStyle w:val="Tabletext0"/>
              <w:jc w:val="right"/>
            </w:pPr>
            <w:r w:rsidRPr="00046DC7">
              <w:t>$115,178,095</w:t>
            </w:r>
          </w:p>
        </w:tc>
        <w:tc>
          <w:tcPr>
            <w:tcW w:w="1252" w:type="dxa"/>
            <w:vAlign w:val="center"/>
            <w:hideMark/>
          </w:tcPr>
          <w:p w14:paraId="1EC1EE84" w14:textId="77777777" w:rsidR="00CE3E95" w:rsidRPr="00046DC7" w:rsidRDefault="00CE3E95" w:rsidP="007B74B9">
            <w:pPr>
              <w:pStyle w:val="Tabletext0"/>
              <w:jc w:val="right"/>
            </w:pPr>
            <w:r w:rsidRPr="00046DC7">
              <w:t xml:space="preserve">$116,762,239 </w:t>
            </w:r>
          </w:p>
        </w:tc>
        <w:tc>
          <w:tcPr>
            <w:tcW w:w="1252" w:type="dxa"/>
            <w:vAlign w:val="center"/>
            <w:hideMark/>
          </w:tcPr>
          <w:p w14:paraId="10E7F494" w14:textId="77777777" w:rsidR="00CE3E95" w:rsidRPr="00046DC7" w:rsidRDefault="00CE3E95" w:rsidP="007B74B9">
            <w:pPr>
              <w:pStyle w:val="Tabletext0"/>
              <w:jc w:val="right"/>
            </w:pPr>
            <w:r w:rsidRPr="00046DC7">
              <w:t xml:space="preserve">$118,337,779 </w:t>
            </w:r>
          </w:p>
        </w:tc>
        <w:tc>
          <w:tcPr>
            <w:tcW w:w="1252" w:type="dxa"/>
            <w:vAlign w:val="center"/>
            <w:hideMark/>
          </w:tcPr>
          <w:p w14:paraId="2D9E9534" w14:textId="77777777" w:rsidR="00CE3E95" w:rsidRPr="00046DC7" w:rsidRDefault="00CE3E95" w:rsidP="007B74B9">
            <w:pPr>
              <w:pStyle w:val="Tabletext0"/>
              <w:jc w:val="right"/>
            </w:pPr>
            <w:r w:rsidRPr="00046DC7">
              <w:t xml:space="preserve">$119,903,745 </w:t>
            </w:r>
          </w:p>
        </w:tc>
        <w:tc>
          <w:tcPr>
            <w:tcW w:w="1252" w:type="dxa"/>
            <w:vAlign w:val="center"/>
            <w:hideMark/>
          </w:tcPr>
          <w:p w14:paraId="37CEB1A6" w14:textId="77777777" w:rsidR="00CE3E95" w:rsidRPr="00046DC7" w:rsidRDefault="00CE3E95" w:rsidP="007B74B9">
            <w:pPr>
              <w:pStyle w:val="Tabletext0"/>
              <w:jc w:val="right"/>
            </w:pPr>
            <w:r w:rsidRPr="00046DC7">
              <w:t xml:space="preserve">$121,460,974 </w:t>
            </w:r>
          </w:p>
        </w:tc>
        <w:tc>
          <w:tcPr>
            <w:tcW w:w="1253" w:type="dxa"/>
            <w:vAlign w:val="center"/>
            <w:hideMark/>
          </w:tcPr>
          <w:p w14:paraId="0F820B45" w14:textId="77777777" w:rsidR="00CE3E95" w:rsidRPr="00046DC7" w:rsidRDefault="00CE3E95" w:rsidP="007B74B9">
            <w:pPr>
              <w:pStyle w:val="Tabletext0"/>
              <w:jc w:val="right"/>
            </w:pPr>
            <w:r w:rsidRPr="00046DC7">
              <w:t xml:space="preserve">$123,007,263 </w:t>
            </w:r>
          </w:p>
        </w:tc>
      </w:tr>
      <w:tr w:rsidR="00CE3E95" w14:paraId="13B60818" w14:textId="77777777" w:rsidTr="007B74B9">
        <w:trPr>
          <w:trHeight w:val="369"/>
        </w:trPr>
        <w:tc>
          <w:tcPr>
            <w:tcW w:w="1838" w:type="dxa"/>
            <w:hideMark/>
          </w:tcPr>
          <w:p w14:paraId="40EE39E9" w14:textId="77777777" w:rsidR="00CE3E95" w:rsidRDefault="00CE3E95" w:rsidP="007B74B9">
            <w:pPr>
              <w:rPr>
                <w:rFonts w:ascii="Arial Narrow" w:hAnsi="Arial Narrow" w:cs="Calibri"/>
                <w:color w:val="000000"/>
              </w:rPr>
            </w:pPr>
            <w:r>
              <w:rPr>
                <w:rFonts w:ascii="Arial Narrow" w:hAnsi="Arial Narrow" w:cs="Calibri"/>
                <w:color w:val="000000"/>
              </w:rPr>
              <w:t>Item BBBB services</w:t>
            </w:r>
          </w:p>
        </w:tc>
        <w:tc>
          <w:tcPr>
            <w:tcW w:w="1252" w:type="dxa"/>
            <w:vAlign w:val="center"/>
            <w:hideMark/>
          </w:tcPr>
          <w:p w14:paraId="0E30827A" w14:textId="77777777" w:rsidR="00CE3E95" w:rsidRPr="00046DC7" w:rsidRDefault="00CE3E95" w:rsidP="007B74B9">
            <w:pPr>
              <w:pStyle w:val="Tabletext0"/>
              <w:jc w:val="right"/>
            </w:pPr>
            <w:r w:rsidRPr="00046DC7">
              <w:t>156,569</w:t>
            </w:r>
          </w:p>
        </w:tc>
        <w:tc>
          <w:tcPr>
            <w:tcW w:w="1252" w:type="dxa"/>
            <w:vAlign w:val="center"/>
            <w:hideMark/>
          </w:tcPr>
          <w:p w14:paraId="760A4C32" w14:textId="77777777" w:rsidR="00CE3E95" w:rsidRPr="00046DC7" w:rsidRDefault="00CE3E95" w:rsidP="007B74B9">
            <w:pPr>
              <w:pStyle w:val="Tabletext0"/>
              <w:jc w:val="right"/>
            </w:pPr>
            <w:r w:rsidRPr="00046DC7">
              <w:t>158,723</w:t>
            </w:r>
          </w:p>
        </w:tc>
        <w:tc>
          <w:tcPr>
            <w:tcW w:w="1252" w:type="dxa"/>
            <w:vAlign w:val="center"/>
            <w:hideMark/>
          </w:tcPr>
          <w:p w14:paraId="041A1E1E" w14:textId="77777777" w:rsidR="00CE3E95" w:rsidRPr="00046DC7" w:rsidRDefault="00CE3E95" w:rsidP="007B74B9">
            <w:pPr>
              <w:pStyle w:val="Tabletext0"/>
              <w:jc w:val="right"/>
            </w:pPr>
            <w:r w:rsidRPr="00046DC7">
              <w:t>160,865</w:t>
            </w:r>
          </w:p>
        </w:tc>
        <w:tc>
          <w:tcPr>
            <w:tcW w:w="1252" w:type="dxa"/>
            <w:vAlign w:val="center"/>
            <w:hideMark/>
          </w:tcPr>
          <w:p w14:paraId="7902136D" w14:textId="77777777" w:rsidR="00CE3E95" w:rsidRPr="00046DC7" w:rsidRDefault="00CE3E95" w:rsidP="007B74B9">
            <w:pPr>
              <w:pStyle w:val="Tabletext0"/>
              <w:jc w:val="right"/>
            </w:pPr>
            <w:r w:rsidRPr="00046DC7">
              <w:t>162,993</w:t>
            </w:r>
          </w:p>
        </w:tc>
        <w:tc>
          <w:tcPr>
            <w:tcW w:w="1252" w:type="dxa"/>
            <w:vAlign w:val="center"/>
            <w:hideMark/>
          </w:tcPr>
          <w:p w14:paraId="5FB03515" w14:textId="77777777" w:rsidR="00CE3E95" w:rsidRPr="00046DC7" w:rsidRDefault="00CE3E95" w:rsidP="007B74B9">
            <w:pPr>
              <w:pStyle w:val="Tabletext0"/>
              <w:jc w:val="right"/>
            </w:pPr>
            <w:r w:rsidRPr="00046DC7">
              <w:t>165,110</w:t>
            </w:r>
          </w:p>
        </w:tc>
        <w:tc>
          <w:tcPr>
            <w:tcW w:w="1253" w:type="dxa"/>
            <w:vAlign w:val="center"/>
            <w:hideMark/>
          </w:tcPr>
          <w:p w14:paraId="05F14378" w14:textId="77777777" w:rsidR="00CE3E95" w:rsidRPr="00046DC7" w:rsidRDefault="00CE3E95" w:rsidP="007B74B9">
            <w:pPr>
              <w:pStyle w:val="Tabletext0"/>
              <w:jc w:val="right"/>
            </w:pPr>
            <w:r w:rsidRPr="00046DC7">
              <w:t>167,212</w:t>
            </w:r>
          </w:p>
        </w:tc>
      </w:tr>
      <w:tr w:rsidR="00CE3E95" w14:paraId="44B2025C" w14:textId="77777777" w:rsidTr="007B74B9">
        <w:trPr>
          <w:trHeight w:val="320"/>
        </w:trPr>
        <w:tc>
          <w:tcPr>
            <w:tcW w:w="1838" w:type="dxa"/>
            <w:hideMark/>
          </w:tcPr>
          <w:p w14:paraId="49614EB8" w14:textId="77777777" w:rsidR="00CE3E95" w:rsidRDefault="00CE3E95" w:rsidP="007B74B9">
            <w:pPr>
              <w:rPr>
                <w:rFonts w:ascii="Arial Narrow" w:hAnsi="Arial Narrow" w:cs="Calibri"/>
                <w:color w:val="000000"/>
              </w:rPr>
            </w:pPr>
            <w:r>
              <w:rPr>
                <w:rFonts w:ascii="Arial Narrow" w:hAnsi="Arial Narrow" w:cs="Calibri"/>
                <w:color w:val="000000"/>
              </w:rPr>
              <w:t xml:space="preserve">Cost of BBBB </w:t>
            </w:r>
          </w:p>
        </w:tc>
        <w:tc>
          <w:tcPr>
            <w:tcW w:w="1252" w:type="dxa"/>
            <w:vAlign w:val="center"/>
            <w:hideMark/>
          </w:tcPr>
          <w:p w14:paraId="3515C60E" w14:textId="77777777" w:rsidR="00CE3E95" w:rsidRPr="00046DC7" w:rsidRDefault="00CE3E95" w:rsidP="007B74B9">
            <w:pPr>
              <w:pStyle w:val="Tabletext0"/>
              <w:jc w:val="right"/>
            </w:pPr>
            <w:r w:rsidRPr="00046DC7">
              <w:t xml:space="preserve"> $9,949,990 </w:t>
            </w:r>
          </w:p>
        </w:tc>
        <w:tc>
          <w:tcPr>
            <w:tcW w:w="1252" w:type="dxa"/>
            <w:vAlign w:val="center"/>
            <w:hideMark/>
          </w:tcPr>
          <w:p w14:paraId="1F5BDF6E" w14:textId="77777777" w:rsidR="00CE3E95" w:rsidRPr="00046DC7" w:rsidRDefault="00CE3E95" w:rsidP="007B74B9">
            <w:pPr>
              <w:pStyle w:val="Tabletext0"/>
              <w:jc w:val="right"/>
            </w:pPr>
            <w:r w:rsidRPr="00046DC7">
              <w:t xml:space="preserve"> $10,086,843 </w:t>
            </w:r>
          </w:p>
        </w:tc>
        <w:tc>
          <w:tcPr>
            <w:tcW w:w="1252" w:type="dxa"/>
            <w:vAlign w:val="center"/>
            <w:hideMark/>
          </w:tcPr>
          <w:p w14:paraId="2297385C" w14:textId="77777777" w:rsidR="00CE3E95" w:rsidRPr="00046DC7" w:rsidRDefault="00CE3E95" w:rsidP="007B74B9">
            <w:pPr>
              <w:pStyle w:val="Tabletext0"/>
              <w:jc w:val="right"/>
            </w:pPr>
            <w:r w:rsidRPr="00046DC7">
              <w:t xml:space="preserve"> $10,222,952 </w:t>
            </w:r>
          </w:p>
        </w:tc>
        <w:tc>
          <w:tcPr>
            <w:tcW w:w="1252" w:type="dxa"/>
            <w:vAlign w:val="center"/>
            <w:hideMark/>
          </w:tcPr>
          <w:p w14:paraId="1E59DA25" w14:textId="77777777" w:rsidR="00CE3E95" w:rsidRPr="00046DC7" w:rsidRDefault="00CE3E95" w:rsidP="007B74B9">
            <w:pPr>
              <w:pStyle w:val="Tabletext0"/>
              <w:jc w:val="right"/>
            </w:pPr>
            <w:r w:rsidRPr="00046DC7">
              <w:t xml:space="preserve"> $10,358,235 </w:t>
            </w:r>
          </w:p>
        </w:tc>
        <w:tc>
          <w:tcPr>
            <w:tcW w:w="1252" w:type="dxa"/>
            <w:vAlign w:val="center"/>
            <w:hideMark/>
          </w:tcPr>
          <w:p w14:paraId="7812842C" w14:textId="77777777" w:rsidR="00CE3E95" w:rsidRPr="00046DC7" w:rsidRDefault="00CE3E95" w:rsidP="007B74B9">
            <w:pPr>
              <w:pStyle w:val="Tabletext0"/>
              <w:jc w:val="right"/>
            </w:pPr>
            <w:r w:rsidRPr="00046DC7">
              <w:t xml:space="preserve"> $10,492,763 </w:t>
            </w:r>
          </w:p>
        </w:tc>
        <w:tc>
          <w:tcPr>
            <w:tcW w:w="1253" w:type="dxa"/>
            <w:vAlign w:val="center"/>
            <w:hideMark/>
          </w:tcPr>
          <w:p w14:paraId="796577CE" w14:textId="77777777" w:rsidR="00CE3E95" w:rsidRPr="00046DC7" w:rsidRDefault="00CE3E95" w:rsidP="007B74B9">
            <w:pPr>
              <w:pStyle w:val="Tabletext0"/>
              <w:jc w:val="right"/>
            </w:pPr>
            <w:r w:rsidRPr="00046DC7">
              <w:t xml:space="preserve"> $10,626,346 </w:t>
            </w:r>
          </w:p>
        </w:tc>
      </w:tr>
      <w:tr w:rsidR="00CE3E95" w14:paraId="74B03656" w14:textId="77777777" w:rsidTr="007B74B9">
        <w:trPr>
          <w:trHeight w:val="285"/>
        </w:trPr>
        <w:tc>
          <w:tcPr>
            <w:tcW w:w="1838" w:type="dxa"/>
            <w:hideMark/>
          </w:tcPr>
          <w:p w14:paraId="7C116C3E" w14:textId="77777777" w:rsidR="00CE3E95" w:rsidRDefault="00CE3E95" w:rsidP="007B74B9">
            <w:pPr>
              <w:rPr>
                <w:rFonts w:ascii="Arial Narrow" w:hAnsi="Arial Narrow" w:cs="Calibri"/>
                <w:color w:val="000000"/>
              </w:rPr>
            </w:pPr>
            <w:r>
              <w:rPr>
                <w:rFonts w:ascii="Arial Narrow" w:hAnsi="Arial Narrow" w:cs="Calibri"/>
                <w:color w:val="000000"/>
              </w:rPr>
              <w:t>Item CCCC services</w:t>
            </w:r>
          </w:p>
        </w:tc>
        <w:tc>
          <w:tcPr>
            <w:tcW w:w="1252" w:type="dxa"/>
            <w:vAlign w:val="center"/>
            <w:hideMark/>
          </w:tcPr>
          <w:p w14:paraId="43728B26" w14:textId="77777777" w:rsidR="00CE3E95" w:rsidRPr="00046DC7" w:rsidRDefault="00CE3E95" w:rsidP="007B74B9">
            <w:pPr>
              <w:pStyle w:val="Tabletext0"/>
              <w:jc w:val="right"/>
            </w:pPr>
            <w:r w:rsidRPr="00046DC7">
              <w:t xml:space="preserve">1,641,294 </w:t>
            </w:r>
          </w:p>
        </w:tc>
        <w:tc>
          <w:tcPr>
            <w:tcW w:w="1252" w:type="dxa"/>
            <w:vAlign w:val="center"/>
            <w:hideMark/>
          </w:tcPr>
          <w:p w14:paraId="1C50F7C4" w14:textId="77777777" w:rsidR="00CE3E95" w:rsidRPr="00046DC7" w:rsidRDefault="00CE3E95" w:rsidP="007B74B9">
            <w:pPr>
              <w:pStyle w:val="Tabletext0"/>
              <w:jc w:val="right"/>
            </w:pPr>
            <w:r w:rsidRPr="00046DC7">
              <w:t xml:space="preserve">1,663,868 </w:t>
            </w:r>
          </w:p>
        </w:tc>
        <w:tc>
          <w:tcPr>
            <w:tcW w:w="1252" w:type="dxa"/>
            <w:vAlign w:val="center"/>
            <w:hideMark/>
          </w:tcPr>
          <w:p w14:paraId="693DCE34" w14:textId="77777777" w:rsidR="00CE3E95" w:rsidRPr="00046DC7" w:rsidRDefault="00CE3E95" w:rsidP="007B74B9">
            <w:pPr>
              <w:pStyle w:val="Tabletext0"/>
              <w:jc w:val="right"/>
            </w:pPr>
            <w:r w:rsidRPr="00046DC7">
              <w:t xml:space="preserve">1,686,320 </w:t>
            </w:r>
          </w:p>
        </w:tc>
        <w:tc>
          <w:tcPr>
            <w:tcW w:w="1252" w:type="dxa"/>
            <w:vAlign w:val="center"/>
            <w:hideMark/>
          </w:tcPr>
          <w:p w14:paraId="031C7CFB" w14:textId="77777777" w:rsidR="00CE3E95" w:rsidRPr="00046DC7" w:rsidRDefault="00CE3E95" w:rsidP="007B74B9">
            <w:pPr>
              <w:pStyle w:val="Tabletext0"/>
              <w:jc w:val="right"/>
            </w:pPr>
            <w:r w:rsidRPr="00046DC7">
              <w:t xml:space="preserve">1,708,636 </w:t>
            </w:r>
          </w:p>
        </w:tc>
        <w:tc>
          <w:tcPr>
            <w:tcW w:w="1252" w:type="dxa"/>
            <w:vAlign w:val="center"/>
            <w:hideMark/>
          </w:tcPr>
          <w:p w14:paraId="76F365B9" w14:textId="77777777" w:rsidR="00CE3E95" w:rsidRPr="00046DC7" w:rsidRDefault="00CE3E95" w:rsidP="007B74B9">
            <w:pPr>
              <w:pStyle w:val="Tabletext0"/>
              <w:jc w:val="right"/>
            </w:pPr>
            <w:r w:rsidRPr="00046DC7">
              <w:t xml:space="preserve">1,730,827 </w:t>
            </w:r>
          </w:p>
        </w:tc>
        <w:tc>
          <w:tcPr>
            <w:tcW w:w="1253" w:type="dxa"/>
            <w:vAlign w:val="center"/>
            <w:hideMark/>
          </w:tcPr>
          <w:p w14:paraId="7292616B" w14:textId="77777777" w:rsidR="00CE3E95" w:rsidRPr="00046DC7" w:rsidRDefault="00CE3E95" w:rsidP="007B74B9">
            <w:pPr>
              <w:pStyle w:val="Tabletext0"/>
              <w:jc w:val="right"/>
            </w:pPr>
            <w:r w:rsidRPr="00046DC7">
              <w:t xml:space="preserve">1,752,862 </w:t>
            </w:r>
          </w:p>
        </w:tc>
      </w:tr>
      <w:tr w:rsidR="00CE3E95" w14:paraId="7F94A9C6" w14:textId="77777777" w:rsidTr="007B74B9">
        <w:trPr>
          <w:trHeight w:val="320"/>
        </w:trPr>
        <w:tc>
          <w:tcPr>
            <w:tcW w:w="1838" w:type="dxa"/>
            <w:hideMark/>
          </w:tcPr>
          <w:p w14:paraId="272173CF" w14:textId="77777777" w:rsidR="00CE3E95" w:rsidRDefault="00CE3E95" w:rsidP="007B74B9">
            <w:pPr>
              <w:rPr>
                <w:rFonts w:ascii="Arial Narrow" w:hAnsi="Arial Narrow" w:cs="Calibri"/>
                <w:color w:val="000000"/>
              </w:rPr>
            </w:pPr>
            <w:r>
              <w:rPr>
                <w:rFonts w:ascii="Arial Narrow" w:hAnsi="Arial Narrow" w:cs="Calibri"/>
                <w:color w:val="000000"/>
              </w:rPr>
              <w:t xml:space="preserve">Cost of CCCC </w:t>
            </w:r>
          </w:p>
        </w:tc>
        <w:tc>
          <w:tcPr>
            <w:tcW w:w="1252" w:type="dxa"/>
            <w:vAlign w:val="center"/>
            <w:hideMark/>
          </w:tcPr>
          <w:p w14:paraId="49649BB3" w14:textId="77777777" w:rsidR="00CE3E95" w:rsidRPr="00046DC7" w:rsidRDefault="00CE3E95" w:rsidP="007B74B9">
            <w:pPr>
              <w:pStyle w:val="Tabletext0"/>
              <w:jc w:val="right"/>
            </w:pPr>
            <w:r w:rsidRPr="00046DC7">
              <w:t xml:space="preserve">$112,592,768 </w:t>
            </w:r>
          </w:p>
        </w:tc>
        <w:tc>
          <w:tcPr>
            <w:tcW w:w="1252" w:type="dxa"/>
            <w:vAlign w:val="center"/>
            <w:hideMark/>
          </w:tcPr>
          <w:p w14:paraId="33B5F127" w14:textId="77777777" w:rsidR="00CE3E95" w:rsidRPr="00046DC7" w:rsidRDefault="00CE3E95" w:rsidP="007B74B9">
            <w:pPr>
              <w:pStyle w:val="Tabletext0"/>
              <w:jc w:val="right"/>
            </w:pPr>
            <w:r w:rsidRPr="00046DC7">
              <w:t xml:space="preserve">$114,141,376 </w:t>
            </w:r>
          </w:p>
        </w:tc>
        <w:tc>
          <w:tcPr>
            <w:tcW w:w="1252" w:type="dxa"/>
            <w:vAlign w:val="center"/>
            <w:hideMark/>
          </w:tcPr>
          <w:p w14:paraId="65F137D0" w14:textId="77777777" w:rsidR="00CE3E95" w:rsidRPr="00046DC7" w:rsidRDefault="00CE3E95" w:rsidP="007B74B9">
            <w:pPr>
              <w:pStyle w:val="Tabletext0"/>
              <w:jc w:val="right"/>
            </w:pPr>
            <w:r w:rsidRPr="00046DC7">
              <w:t xml:space="preserve">$115,681,575 </w:t>
            </w:r>
          </w:p>
        </w:tc>
        <w:tc>
          <w:tcPr>
            <w:tcW w:w="1252" w:type="dxa"/>
            <w:vAlign w:val="center"/>
            <w:hideMark/>
          </w:tcPr>
          <w:p w14:paraId="71F70DD0" w14:textId="77777777" w:rsidR="00CE3E95" w:rsidRPr="00046DC7" w:rsidRDefault="00CE3E95" w:rsidP="007B74B9">
            <w:pPr>
              <w:pStyle w:val="Tabletext0"/>
              <w:jc w:val="right"/>
            </w:pPr>
            <w:r w:rsidRPr="00046DC7">
              <w:t xml:space="preserve">$117,212,416 </w:t>
            </w:r>
          </w:p>
        </w:tc>
        <w:tc>
          <w:tcPr>
            <w:tcW w:w="1252" w:type="dxa"/>
            <w:vAlign w:val="center"/>
            <w:hideMark/>
          </w:tcPr>
          <w:p w14:paraId="2DD9C9F1" w14:textId="77777777" w:rsidR="00CE3E95" w:rsidRPr="00046DC7" w:rsidRDefault="00CE3E95" w:rsidP="007B74B9">
            <w:pPr>
              <w:pStyle w:val="Tabletext0"/>
              <w:jc w:val="right"/>
            </w:pPr>
            <w:r w:rsidRPr="00046DC7">
              <w:t xml:space="preserve">$118,734,714 </w:t>
            </w:r>
          </w:p>
        </w:tc>
        <w:tc>
          <w:tcPr>
            <w:tcW w:w="1253" w:type="dxa"/>
            <w:vAlign w:val="center"/>
            <w:hideMark/>
          </w:tcPr>
          <w:p w14:paraId="1724F340" w14:textId="77777777" w:rsidR="00CE3E95" w:rsidRPr="00046DC7" w:rsidRDefault="00CE3E95" w:rsidP="007B74B9">
            <w:pPr>
              <w:pStyle w:val="Tabletext0"/>
              <w:jc w:val="right"/>
            </w:pPr>
            <w:r w:rsidRPr="00046DC7">
              <w:t xml:space="preserve">$120,246,320 </w:t>
            </w:r>
          </w:p>
        </w:tc>
      </w:tr>
      <w:tr w:rsidR="00CE3E95" w14:paraId="3CAA3FA9" w14:textId="77777777" w:rsidTr="007B74B9">
        <w:trPr>
          <w:trHeight w:val="401"/>
        </w:trPr>
        <w:tc>
          <w:tcPr>
            <w:tcW w:w="1838" w:type="dxa"/>
            <w:hideMark/>
          </w:tcPr>
          <w:p w14:paraId="054214BC" w14:textId="77777777" w:rsidR="00CE3E95" w:rsidRDefault="00CE3E95" w:rsidP="007B74B9">
            <w:pPr>
              <w:rPr>
                <w:rFonts w:ascii="Arial Narrow" w:hAnsi="Arial Narrow" w:cs="Calibri"/>
                <w:color w:val="000000"/>
              </w:rPr>
            </w:pPr>
            <w:r>
              <w:rPr>
                <w:rFonts w:ascii="Arial Narrow" w:hAnsi="Arial Narrow" w:cs="Calibri"/>
                <w:color w:val="000000"/>
              </w:rPr>
              <w:t>Item DDDD services</w:t>
            </w:r>
          </w:p>
        </w:tc>
        <w:tc>
          <w:tcPr>
            <w:tcW w:w="1252" w:type="dxa"/>
            <w:vAlign w:val="center"/>
            <w:hideMark/>
          </w:tcPr>
          <w:p w14:paraId="532210E4" w14:textId="77777777" w:rsidR="00CE3E95" w:rsidRPr="00046DC7" w:rsidRDefault="00CE3E95" w:rsidP="007B74B9">
            <w:pPr>
              <w:pStyle w:val="Tabletext0"/>
              <w:jc w:val="right"/>
            </w:pPr>
            <w:r w:rsidRPr="00046DC7">
              <w:t>379,204</w:t>
            </w:r>
          </w:p>
        </w:tc>
        <w:tc>
          <w:tcPr>
            <w:tcW w:w="1252" w:type="dxa"/>
            <w:vAlign w:val="center"/>
            <w:hideMark/>
          </w:tcPr>
          <w:p w14:paraId="5CEED531" w14:textId="77777777" w:rsidR="00CE3E95" w:rsidRPr="00046DC7" w:rsidRDefault="00CE3E95" w:rsidP="007B74B9">
            <w:pPr>
              <w:pStyle w:val="Tabletext0"/>
              <w:jc w:val="right"/>
            </w:pPr>
            <w:r w:rsidRPr="00046DC7">
              <w:t>384,420</w:t>
            </w:r>
          </w:p>
        </w:tc>
        <w:tc>
          <w:tcPr>
            <w:tcW w:w="1252" w:type="dxa"/>
            <w:vAlign w:val="center"/>
            <w:hideMark/>
          </w:tcPr>
          <w:p w14:paraId="517594E3" w14:textId="77777777" w:rsidR="00CE3E95" w:rsidRPr="00046DC7" w:rsidRDefault="00CE3E95" w:rsidP="007B74B9">
            <w:pPr>
              <w:pStyle w:val="Tabletext0"/>
              <w:jc w:val="right"/>
            </w:pPr>
            <w:r w:rsidRPr="00046DC7">
              <w:t>389,607</w:t>
            </w:r>
          </w:p>
        </w:tc>
        <w:tc>
          <w:tcPr>
            <w:tcW w:w="1252" w:type="dxa"/>
            <w:vAlign w:val="center"/>
            <w:hideMark/>
          </w:tcPr>
          <w:p w14:paraId="26DDAB5F" w14:textId="77777777" w:rsidR="00CE3E95" w:rsidRPr="00046DC7" w:rsidRDefault="00CE3E95" w:rsidP="007B74B9">
            <w:pPr>
              <w:pStyle w:val="Tabletext0"/>
              <w:jc w:val="right"/>
            </w:pPr>
            <w:r w:rsidRPr="00046DC7">
              <w:t>394,763</w:t>
            </w:r>
          </w:p>
        </w:tc>
        <w:tc>
          <w:tcPr>
            <w:tcW w:w="1252" w:type="dxa"/>
            <w:vAlign w:val="center"/>
            <w:hideMark/>
          </w:tcPr>
          <w:p w14:paraId="21042C5D" w14:textId="77777777" w:rsidR="00CE3E95" w:rsidRPr="00046DC7" w:rsidRDefault="00CE3E95" w:rsidP="007B74B9">
            <w:pPr>
              <w:pStyle w:val="Tabletext0"/>
              <w:jc w:val="right"/>
            </w:pPr>
            <w:r w:rsidRPr="00046DC7">
              <w:t>399,890</w:t>
            </w:r>
          </w:p>
        </w:tc>
        <w:tc>
          <w:tcPr>
            <w:tcW w:w="1253" w:type="dxa"/>
            <w:vAlign w:val="center"/>
            <w:hideMark/>
          </w:tcPr>
          <w:p w14:paraId="38269EE3" w14:textId="77777777" w:rsidR="00CE3E95" w:rsidRPr="00046DC7" w:rsidRDefault="00CE3E95" w:rsidP="007B74B9">
            <w:pPr>
              <w:pStyle w:val="Tabletext0"/>
              <w:jc w:val="right"/>
            </w:pPr>
            <w:r w:rsidRPr="00046DC7">
              <w:t>404,981</w:t>
            </w:r>
          </w:p>
        </w:tc>
      </w:tr>
      <w:tr w:rsidR="00CE3E95" w14:paraId="16A190C1" w14:textId="77777777" w:rsidTr="007B74B9">
        <w:trPr>
          <w:trHeight w:val="320"/>
        </w:trPr>
        <w:tc>
          <w:tcPr>
            <w:tcW w:w="1838" w:type="dxa"/>
            <w:hideMark/>
          </w:tcPr>
          <w:p w14:paraId="6A58FE06" w14:textId="77777777" w:rsidR="00CE3E95" w:rsidRDefault="00CE3E95" w:rsidP="007B74B9">
            <w:pPr>
              <w:rPr>
                <w:rFonts w:ascii="Arial Narrow" w:hAnsi="Arial Narrow" w:cs="Calibri"/>
                <w:color w:val="000000"/>
              </w:rPr>
            </w:pPr>
            <w:r>
              <w:rPr>
                <w:rFonts w:ascii="Arial Narrow" w:hAnsi="Arial Narrow" w:cs="Calibri"/>
                <w:color w:val="000000"/>
              </w:rPr>
              <w:t xml:space="preserve">Cost of DDDD </w:t>
            </w:r>
          </w:p>
        </w:tc>
        <w:tc>
          <w:tcPr>
            <w:tcW w:w="1252" w:type="dxa"/>
            <w:vAlign w:val="center"/>
            <w:hideMark/>
          </w:tcPr>
          <w:p w14:paraId="73161EE4" w14:textId="77777777" w:rsidR="00CE3E95" w:rsidRPr="00046DC7" w:rsidRDefault="00CE3E95" w:rsidP="007B74B9">
            <w:pPr>
              <w:pStyle w:val="Tabletext0"/>
              <w:jc w:val="right"/>
            </w:pPr>
            <w:r w:rsidRPr="00046DC7">
              <w:t xml:space="preserve"> $27,909,424 </w:t>
            </w:r>
          </w:p>
        </w:tc>
        <w:tc>
          <w:tcPr>
            <w:tcW w:w="1252" w:type="dxa"/>
            <w:vAlign w:val="center"/>
            <w:hideMark/>
          </w:tcPr>
          <w:p w14:paraId="32AC148E" w14:textId="77777777" w:rsidR="00CE3E95" w:rsidRPr="00046DC7" w:rsidRDefault="00CE3E95" w:rsidP="007B74B9">
            <w:pPr>
              <w:pStyle w:val="Tabletext0"/>
              <w:jc w:val="right"/>
            </w:pPr>
            <w:r w:rsidRPr="00046DC7">
              <w:t xml:space="preserve"> $28,293,292 </w:t>
            </w:r>
          </w:p>
        </w:tc>
        <w:tc>
          <w:tcPr>
            <w:tcW w:w="1252" w:type="dxa"/>
            <w:vAlign w:val="center"/>
            <w:hideMark/>
          </w:tcPr>
          <w:p w14:paraId="0E9D4BA7" w14:textId="77777777" w:rsidR="00CE3E95" w:rsidRPr="00046DC7" w:rsidRDefault="00CE3E95" w:rsidP="007B74B9">
            <w:pPr>
              <w:pStyle w:val="Tabletext0"/>
              <w:jc w:val="right"/>
            </w:pPr>
            <w:r w:rsidRPr="00046DC7">
              <w:t xml:space="preserve"> $28,675,075 </w:t>
            </w:r>
          </w:p>
        </w:tc>
        <w:tc>
          <w:tcPr>
            <w:tcW w:w="1252" w:type="dxa"/>
            <w:vAlign w:val="center"/>
            <w:hideMark/>
          </w:tcPr>
          <w:p w14:paraId="436C04C2" w14:textId="77777777" w:rsidR="00CE3E95" w:rsidRPr="00046DC7" w:rsidRDefault="00CE3E95" w:rsidP="007B74B9">
            <w:pPr>
              <w:pStyle w:val="Tabletext0"/>
              <w:jc w:val="right"/>
            </w:pPr>
            <w:r w:rsidRPr="00046DC7">
              <w:t xml:space="preserve"> $29,054,539 </w:t>
            </w:r>
          </w:p>
        </w:tc>
        <w:tc>
          <w:tcPr>
            <w:tcW w:w="1252" w:type="dxa"/>
            <w:vAlign w:val="center"/>
            <w:hideMark/>
          </w:tcPr>
          <w:p w14:paraId="21FF5E12" w14:textId="77777777" w:rsidR="00CE3E95" w:rsidRPr="00046DC7" w:rsidRDefault="00CE3E95" w:rsidP="007B74B9">
            <w:pPr>
              <w:pStyle w:val="Tabletext0"/>
              <w:jc w:val="right"/>
            </w:pPr>
            <w:r w:rsidRPr="00046DC7">
              <w:t xml:space="preserve"> $29,431,885 </w:t>
            </w:r>
          </w:p>
        </w:tc>
        <w:tc>
          <w:tcPr>
            <w:tcW w:w="1253" w:type="dxa"/>
            <w:vAlign w:val="center"/>
            <w:hideMark/>
          </w:tcPr>
          <w:p w14:paraId="5CC898FA" w14:textId="77777777" w:rsidR="00CE3E95" w:rsidRPr="00046DC7" w:rsidRDefault="00CE3E95" w:rsidP="007B74B9">
            <w:pPr>
              <w:pStyle w:val="Tabletext0"/>
              <w:jc w:val="right"/>
            </w:pPr>
            <w:r w:rsidRPr="00046DC7">
              <w:t xml:space="preserve"> $29,806,581 </w:t>
            </w:r>
          </w:p>
        </w:tc>
      </w:tr>
      <w:tr w:rsidR="00CE3E95" w14:paraId="392E9114" w14:textId="77777777" w:rsidTr="007B74B9">
        <w:trPr>
          <w:trHeight w:val="355"/>
        </w:trPr>
        <w:tc>
          <w:tcPr>
            <w:tcW w:w="1838" w:type="dxa"/>
            <w:hideMark/>
          </w:tcPr>
          <w:p w14:paraId="4F3AFF19" w14:textId="77777777" w:rsidR="00CE3E95" w:rsidRDefault="00CE3E95" w:rsidP="007B74B9">
            <w:pPr>
              <w:rPr>
                <w:rFonts w:ascii="Arial Narrow" w:hAnsi="Arial Narrow" w:cs="Calibri"/>
                <w:color w:val="000000"/>
              </w:rPr>
            </w:pPr>
            <w:r>
              <w:rPr>
                <w:rFonts w:ascii="Arial Narrow" w:hAnsi="Arial Narrow" w:cs="Calibri"/>
                <w:color w:val="000000"/>
              </w:rPr>
              <w:t>Item EEEE services</w:t>
            </w:r>
          </w:p>
        </w:tc>
        <w:tc>
          <w:tcPr>
            <w:tcW w:w="1252" w:type="dxa"/>
            <w:vAlign w:val="center"/>
            <w:hideMark/>
          </w:tcPr>
          <w:p w14:paraId="25594AC2" w14:textId="77777777" w:rsidR="00CE3E95" w:rsidRPr="00046DC7" w:rsidRDefault="00CE3E95" w:rsidP="007B74B9">
            <w:pPr>
              <w:pStyle w:val="Tabletext0"/>
              <w:jc w:val="right"/>
            </w:pPr>
            <w:r w:rsidRPr="00046DC7">
              <w:t>339,042</w:t>
            </w:r>
          </w:p>
        </w:tc>
        <w:tc>
          <w:tcPr>
            <w:tcW w:w="1252" w:type="dxa"/>
            <w:vAlign w:val="center"/>
            <w:hideMark/>
          </w:tcPr>
          <w:p w14:paraId="6D95C4CC" w14:textId="77777777" w:rsidR="00CE3E95" w:rsidRPr="00046DC7" w:rsidRDefault="00CE3E95" w:rsidP="007B74B9">
            <w:pPr>
              <w:pStyle w:val="Tabletext0"/>
              <w:jc w:val="right"/>
            </w:pPr>
            <w:r w:rsidRPr="00046DC7">
              <w:t>343,705</w:t>
            </w:r>
          </w:p>
        </w:tc>
        <w:tc>
          <w:tcPr>
            <w:tcW w:w="1252" w:type="dxa"/>
            <w:vAlign w:val="center"/>
            <w:hideMark/>
          </w:tcPr>
          <w:p w14:paraId="25ABBB86" w14:textId="77777777" w:rsidR="00CE3E95" w:rsidRPr="00046DC7" w:rsidRDefault="00CE3E95" w:rsidP="007B74B9">
            <w:pPr>
              <w:pStyle w:val="Tabletext0"/>
              <w:jc w:val="right"/>
            </w:pPr>
            <w:r w:rsidRPr="00046DC7">
              <w:t>348,343</w:t>
            </w:r>
          </w:p>
        </w:tc>
        <w:tc>
          <w:tcPr>
            <w:tcW w:w="1252" w:type="dxa"/>
            <w:vAlign w:val="center"/>
            <w:hideMark/>
          </w:tcPr>
          <w:p w14:paraId="4845CF6F" w14:textId="77777777" w:rsidR="00CE3E95" w:rsidRPr="00046DC7" w:rsidRDefault="00CE3E95" w:rsidP="007B74B9">
            <w:pPr>
              <w:pStyle w:val="Tabletext0"/>
              <w:jc w:val="right"/>
            </w:pPr>
            <w:r w:rsidRPr="00046DC7">
              <w:t>352,953</w:t>
            </w:r>
          </w:p>
        </w:tc>
        <w:tc>
          <w:tcPr>
            <w:tcW w:w="1252" w:type="dxa"/>
            <w:vAlign w:val="center"/>
            <w:hideMark/>
          </w:tcPr>
          <w:p w14:paraId="3933A14D" w14:textId="77777777" w:rsidR="00CE3E95" w:rsidRPr="00046DC7" w:rsidRDefault="00CE3E95" w:rsidP="007B74B9">
            <w:pPr>
              <w:pStyle w:val="Tabletext0"/>
              <w:jc w:val="right"/>
            </w:pPr>
            <w:r w:rsidRPr="00046DC7">
              <w:t>357,537</w:t>
            </w:r>
          </w:p>
        </w:tc>
        <w:tc>
          <w:tcPr>
            <w:tcW w:w="1253" w:type="dxa"/>
            <w:vAlign w:val="center"/>
            <w:hideMark/>
          </w:tcPr>
          <w:p w14:paraId="0CBFE7DC" w14:textId="77777777" w:rsidR="00CE3E95" w:rsidRPr="00046DC7" w:rsidRDefault="00CE3E95" w:rsidP="007B74B9">
            <w:pPr>
              <w:pStyle w:val="Tabletext0"/>
              <w:jc w:val="right"/>
            </w:pPr>
            <w:r w:rsidRPr="00046DC7">
              <w:t>362,088</w:t>
            </w:r>
          </w:p>
        </w:tc>
      </w:tr>
      <w:tr w:rsidR="00CE3E95" w14:paraId="14EFAEEE" w14:textId="77777777" w:rsidTr="007B74B9">
        <w:trPr>
          <w:trHeight w:val="320"/>
        </w:trPr>
        <w:tc>
          <w:tcPr>
            <w:tcW w:w="1838" w:type="dxa"/>
            <w:hideMark/>
          </w:tcPr>
          <w:p w14:paraId="4A8081E9" w14:textId="77777777" w:rsidR="00CE3E95" w:rsidRDefault="00CE3E95" w:rsidP="007B74B9">
            <w:pPr>
              <w:rPr>
                <w:rFonts w:ascii="Arial Narrow" w:hAnsi="Arial Narrow" w:cs="Calibri"/>
                <w:color w:val="000000"/>
              </w:rPr>
            </w:pPr>
            <w:r>
              <w:rPr>
                <w:rFonts w:ascii="Arial Narrow" w:hAnsi="Arial Narrow" w:cs="Calibri"/>
                <w:color w:val="000000"/>
              </w:rPr>
              <w:t xml:space="preserve">Cost of EEEE </w:t>
            </w:r>
          </w:p>
        </w:tc>
        <w:tc>
          <w:tcPr>
            <w:tcW w:w="1252" w:type="dxa"/>
            <w:vAlign w:val="center"/>
            <w:hideMark/>
          </w:tcPr>
          <w:p w14:paraId="3F0492B9" w14:textId="77777777" w:rsidR="00CE3E95" w:rsidRPr="00046DC7" w:rsidRDefault="00CE3E95" w:rsidP="007B74B9">
            <w:pPr>
              <w:pStyle w:val="Tabletext0"/>
              <w:jc w:val="right"/>
            </w:pPr>
            <w:r w:rsidRPr="00046DC7">
              <w:t xml:space="preserve"> $26,648,689 </w:t>
            </w:r>
          </w:p>
        </w:tc>
        <w:tc>
          <w:tcPr>
            <w:tcW w:w="1252" w:type="dxa"/>
            <w:vAlign w:val="center"/>
            <w:hideMark/>
          </w:tcPr>
          <w:p w14:paraId="2D7D9D33" w14:textId="77777777" w:rsidR="00CE3E95" w:rsidRPr="00046DC7" w:rsidRDefault="00CE3E95" w:rsidP="007B74B9">
            <w:pPr>
              <w:pStyle w:val="Tabletext0"/>
              <w:jc w:val="right"/>
            </w:pPr>
            <w:r w:rsidRPr="00046DC7">
              <w:t xml:space="preserve"> $27,015,216 </w:t>
            </w:r>
          </w:p>
        </w:tc>
        <w:tc>
          <w:tcPr>
            <w:tcW w:w="1252" w:type="dxa"/>
            <w:vAlign w:val="center"/>
            <w:hideMark/>
          </w:tcPr>
          <w:p w14:paraId="470466C6" w14:textId="77777777" w:rsidR="00CE3E95" w:rsidRPr="00046DC7" w:rsidRDefault="00CE3E95" w:rsidP="007B74B9">
            <w:pPr>
              <w:pStyle w:val="Tabletext0"/>
              <w:jc w:val="right"/>
            </w:pPr>
            <w:r w:rsidRPr="00046DC7">
              <w:t xml:space="preserve"> $27,379,754 </w:t>
            </w:r>
          </w:p>
        </w:tc>
        <w:tc>
          <w:tcPr>
            <w:tcW w:w="1252" w:type="dxa"/>
            <w:vAlign w:val="center"/>
            <w:hideMark/>
          </w:tcPr>
          <w:p w14:paraId="0EE78B15" w14:textId="77777777" w:rsidR="00CE3E95" w:rsidRPr="00046DC7" w:rsidRDefault="00CE3E95" w:rsidP="007B74B9">
            <w:pPr>
              <w:pStyle w:val="Tabletext0"/>
              <w:jc w:val="right"/>
            </w:pPr>
            <w:r w:rsidRPr="00046DC7">
              <w:t xml:space="preserve"> $27,742,076 </w:t>
            </w:r>
          </w:p>
        </w:tc>
        <w:tc>
          <w:tcPr>
            <w:tcW w:w="1252" w:type="dxa"/>
            <w:vAlign w:val="center"/>
            <w:hideMark/>
          </w:tcPr>
          <w:p w14:paraId="63CF4D3D" w14:textId="77777777" w:rsidR="00CE3E95" w:rsidRPr="00046DC7" w:rsidRDefault="00CE3E95" w:rsidP="007B74B9">
            <w:pPr>
              <w:pStyle w:val="Tabletext0"/>
              <w:jc w:val="right"/>
            </w:pPr>
            <w:r w:rsidRPr="00046DC7">
              <w:t xml:space="preserve"> $28,102,377 </w:t>
            </w:r>
          </w:p>
        </w:tc>
        <w:tc>
          <w:tcPr>
            <w:tcW w:w="1253" w:type="dxa"/>
            <w:vAlign w:val="center"/>
            <w:hideMark/>
          </w:tcPr>
          <w:p w14:paraId="22D3083C" w14:textId="77777777" w:rsidR="00CE3E95" w:rsidRPr="00046DC7" w:rsidRDefault="00CE3E95" w:rsidP="007B74B9">
            <w:pPr>
              <w:pStyle w:val="Tabletext0"/>
              <w:jc w:val="right"/>
            </w:pPr>
            <w:r w:rsidRPr="00046DC7">
              <w:t xml:space="preserve"> $28,460,147 </w:t>
            </w:r>
          </w:p>
        </w:tc>
      </w:tr>
      <w:tr w:rsidR="00CE3E95" w14:paraId="74890EE8" w14:textId="77777777" w:rsidTr="007B74B9">
        <w:trPr>
          <w:trHeight w:val="320"/>
        </w:trPr>
        <w:tc>
          <w:tcPr>
            <w:tcW w:w="1838" w:type="dxa"/>
          </w:tcPr>
          <w:p w14:paraId="4A169EBA" w14:textId="77777777" w:rsidR="00CE3E95" w:rsidRDefault="00CE3E95" w:rsidP="007B74B9">
            <w:pPr>
              <w:rPr>
                <w:rFonts w:ascii="Arial Narrow" w:hAnsi="Arial Narrow" w:cs="Calibri"/>
                <w:color w:val="000000"/>
              </w:rPr>
            </w:pPr>
            <w:r>
              <w:rPr>
                <w:rFonts w:ascii="Arial Narrow" w:hAnsi="Arial Narrow" w:cs="Calibri"/>
                <w:color w:val="000000"/>
              </w:rPr>
              <w:t>Total number of services of proposed items</w:t>
            </w:r>
          </w:p>
        </w:tc>
        <w:tc>
          <w:tcPr>
            <w:tcW w:w="1252" w:type="dxa"/>
            <w:vAlign w:val="center"/>
          </w:tcPr>
          <w:p w14:paraId="60D41D3C" w14:textId="77777777" w:rsidR="00CE3E95" w:rsidRPr="00046DC7" w:rsidRDefault="00CE3E95" w:rsidP="007B74B9">
            <w:pPr>
              <w:pStyle w:val="Tabletext0"/>
              <w:jc w:val="right"/>
            </w:pPr>
            <w:r w:rsidRPr="001D278E">
              <w:t xml:space="preserve">    4,483,284 </w:t>
            </w:r>
          </w:p>
        </w:tc>
        <w:tc>
          <w:tcPr>
            <w:tcW w:w="1252" w:type="dxa"/>
            <w:vAlign w:val="center"/>
          </w:tcPr>
          <w:p w14:paraId="44727491" w14:textId="77777777" w:rsidR="00CE3E95" w:rsidRPr="00046DC7" w:rsidRDefault="00CE3E95" w:rsidP="007B74B9">
            <w:pPr>
              <w:pStyle w:val="Tabletext0"/>
              <w:jc w:val="right"/>
            </w:pPr>
            <w:r w:rsidRPr="001D278E">
              <w:t xml:space="preserve">    4,544,947 </w:t>
            </w:r>
          </w:p>
        </w:tc>
        <w:tc>
          <w:tcPr>
            <w:tcW w:w="1252" w:type="dxa"/>
            <w:vAlign w:val="center"/>
          </w:tcPr>
          <w:p w14:paraId="75EEBC7C" w14:textId="77777777" w:rsidR="00CE3E95" w:rsidRPr="00046DC7" w:rsidRDefault="00CE3E95" w:rsidP="007B74B9">
            <w:pPr>
              <w:pStyle w:val="Tabletext0"/>
              <w:jc w:val="right"/>
            </w:pPr>
            <w:r w:rsidRPr="001D278E">
              <w:t xml:space="preserve">    4,606,276 </w:t>
            </w:r>
          </w:p>
        </w:tc>
        <w:tc>
          <w:tcPr>
            <w:tcW w:w="1252" w:type="dxa"/>
            <w:vAlign w:val="center"/>
          </w:tcPr>
          <w:p w14:paraId="62C1CAC5" w14:textId="77777777" w:rsidR="00CE3E95" w:rsidRPr="00046DC7" w:rsidRDefault="00CE3E95" w:rsidP="007B74B9">
            <w:pPr>
              <w:pStyle w:val="Tabletext0"/>
              <w:jc w:val="right"/>
            </w:pPr>
            <w:r w:rsidRPr="001D278E">
              <w:t xml:space="preserve">    4,667,231 </w:t>
            </w:r>
          </w:p>
        </w:tc>
        <w:tc>
          <w:tcPr>
            <w:tcW w:w="1252" w:type="dxa"/>
            <w:vAlign w:val="center"/>
          </w:tcPr>
          <w:p w14:paraId="3F8CCCCB" w14:textId="77777777" w:rsidR="00CE3E95" w:rsidRPr="00046DC7" w:rsidRDefault="00CE3E95" w:rsidP="007B74B9">
            <w:pPr>
              <w:pStyle w:val="Tabletext0"/>
              <w:jc w:val="right"/>
            </w:pPr>
            <w:r w:rsidRPr="001D278E">
              <w:t xml:space="preserve">    4,727,846 </w:t>
            </w:r>
          </w:p>
        </w:tc>
        <w:tc>
          <w:tcPr>
            <w:tcW w:w="1253" w:type="dxa"/>
            <w:vAlign w:val="center"/>
          </w:tcPr>
          <w:p w14:paraId="179970CC" w14:textId="77777777" w:rsidR="00CE3E95" w:rsidRPr="00046DC7" w:rsidRDefault="00CE3E95" w:rsidP="007B74B9">
            <w:pPr>
              <w:pStyle w:val="Tabletext0"/>
              <w:jc w:val="right"/>
            </w:pPr>
            <w:r w:rsidRPr="001D278E">
              <w:t xml:space="preserve">    4,788,036 </w:t>
            </w:r>
          </w:p>
        </w:tc>
      </w:tr>
      <w:tr w:rsidR="00CE3E95" w:rsidRPr="00FC2B0F" w14:paraId="7D340F5E" w14:textId="77777777" w:rsidTr="007B74B9">
        <w:trPr>
          <w:trHeight w:val="541"/>
        </w:trPr>
        <w:tc>
          <w:tcPr>
            <w:tcW w:w="1838" w:type="dxa"/>
            <w:hideMark/>
          </w:tcPr>
          <w:p w14:paraId="490DE174" w14:textId="77777777" w:rsidR="00CE3E95" w:rsidRPr="0078130E" w:rsidRDefault="00CE3E95" w:rsidP="007B74B9">
            <w:pPr>
              <w:rPr>
                <w:rFonts w:ascii="Arial Narrow" w:hAnsi="Arial Narrow" w:cs="Calibri"/>
                <w:b/>
                <w:bCs/>
                <w:color w:val="000000"/>
              </w:rPr>
            </w:pPr>
            <w:r w:rsidRPr="0078130E">
              <w:rPr>
                <w:rFonts w:ascii="Arial Narrow" w:hAnsi="Arial Narrow" w:cs="Calibri"/>
                <w:b/>
                <w:bCs/>
                <w:color w:val="000000"/>
              </w:rPr>
              <w:t xml:space="preserve">Cost to MBS of proposed items (with </w:t>
            </w:r>
            <w:proofErr w:type="spellStart"/>
            <w:r w:rsidRPr="0078130E">
              <w:rPr>
                <w:rFonts w:ascii="Arial Narrow" w:hAnsi="Arial Narrow" w:cs="Calibri"/>
                <w:b/>
                <w:bCs/>
                <w:color w:val="000000"/>
              </w:rPr>
              <w:t>copayments</w:t>
            </w:r>
            <w:proofErr w:type="spellEnd"/>
            <w:r w:rsidRPr="0078130E">
              <w:rPr>
                <w:rFonts w:ascii="Arial Narrow" w:hAnsi="Arial Narrow" w:cs="Calibri"/>
                <w:b/>
                <w:bCs/>
                <w:color w:val="000000"/>
              </w:rPr>
              <w:t xml:space="preserve"> excluded)</w:t>
            </w:r>
          </w:p>
        </w:tc>
        <w:tc>
          <w:tcPr>
            <w:tcW w:w="1252" w:type="dxa"/>
            <w:vAlign w:val="center"/>
            <w:hideMark/>
          </w:tcPr>
          <w:p w14:paraId="348EECB1" w14:textId="77777777" w:rsidR="00CE3E95" w:rsidRPr="0078130E" w:rsidRDefault="00CE3E95" w:rsidP="007B74B9">
            <w:pPr>
              <w:pStyle w:val="Tabletext0"/>
              <w:jc w:val="right"/>
              <w:rPr>
                <w:b/>
                <w:bCs/>
              </w:rPr>
            </w:pPr>
            <w:r w:rsidRPr="0078130E">
              <w:rPr>
                <w:b/>
                <w:bCs/>
              </w:rPr>
              <w:t xml:space="preserve">$292,278,966 </w:t>
            </w:r>
          </w:p>
        </w:tc>
        <w:tc>
          <w:tcPr>
            <w:tcW w:w="1252" w:type="dxa"/>
            <w:vAlign w:val="center"/>
            <w:hideMark/>
          </w:tcPr>
          <w:p w14:paraId="6A1B1C10" w14:textId="77777777" w:rsidR="00CE3E95" w:rsidRPr="0078130E" w:rsidRDefault="00CE3E95" w:rsidP="007B74B9">
            <w:pPr>
              <w:pStyle w:val="Tabletext0"/>
              <w:jc w:val="right"/>
              <w:rPr>
                <w:b/>
                <w:bCs/>
              </w:rPr>
            </w:pPr>
            <w:r w:rsidRPr="0078130E">
              <w:rPr>
                <w:b/>
                <w:bCs/>
              </w:rPr>
              <w:t xml:space="preserve">$296,298,966 </w:t>
            </w:r>
          </w:p>
        </w:tc>
        <w:tc>
          <w:tcPr>
            <w:tcW w:w="1252" w:type="dxa"/>
            <w:vAlign w:val="center"/>
            <w:hideMark/>
          </w:tcPr>
          <w:p w14:paraId="2D1082E1" w14:textId="77777777" w:rsidR="00CE3E95" w:rsidRPr="0078130E" w:rsidRDefault="00CE3E95" w:rsidP="007B74B9">
            <w:pPr>
              <w:pStyle w:val="Tabletext0"/>
              <w:jc w:val="right"/>
              <w:rPr>
                <w:b/>
                <w:bCs/>
              </w:rPr>
            </w:pPr>
            <w:r w:rsidRPr="0078130E">
              <w:rPr>
                <w:b/>
                <w:bCs/>
              </w:rPr>
              <w:t xml:space="preserve">$300,297,135 </w:t>
            </w:r>
          </w:p>
        </w:tc>
        <w:tc>
          <w:tcPr>
            <w:tcW w:w="1252" w:type="dxa"/>
            <w:vAlign w:val="center"/>
            <w:hideMark/>
          </w:tcPr>
          <w:p w14:paraId="6D79CF3F" w14:textId="77777777" w:rsidR="00CE3E95" w:rsidRPr="0078130E" w:rsidRDefault="00CE3E95" w:rsidP="007B74B9">
            <w:pPr>
              <w:pStyle w:val="Tabletext0"/>
              <w:jc w:val="right"/>
              <w:rPr>
                <w:b/>
                <w:bCs/>
              </w:rPr>
            </w:pPr>
            <w:r w:rsidRPr="0078130E">
              <w:rPr>
                <w:b/>
                <w:bCs/>
              </w:rPr>
              <w:t xml:space="preserve">$304,271,011 </w:t>
            </w:r>
          </w:p>
        </w:tc>
        <w:tc>
          <w:tcPr>
            <w:tcW w:w="1252" w:type="dxa"/>
            <w:vAlign w:val="center"/>
            <w:hideMark/>
          </w:tcPr>
          <w:p w14:paraId="75109819" w14:textId="77777777" w:rsidR="00CE3E95" w:rsidRPr="0078130E" w:rsidRDefault="00CE3E95" w:rsidP="007B74B9">
            <w:pPr>
              <w:pStyle w:val="Tabletext0"/>
              <w:jc w:val="right"/>
              <w:rPr>
                <w:b/>
                <w:bCs/>
              </w:rPr>
            </w:pPr>
            <w:r w:rsidRPr="0078130E">
              <w:rPr>
                <w:b/>
                <w:bCs/>
              </w:rPr>
              <w:t xml:space="preserve">$308,222,712 </w:t>
            </w:r>
          </w:p>
        </w:tc>
        <w:tc>
          <w:tcPr>
            <w:tcW w:w="1253" w:type="dxa"/>
            <w:vAlign w:val="center"/>
            <w:hideMark/>
          </w:tcPr>
          <w:p w14:paraId="18A7ECCC" w14:textId="77777777" w:rsidR="00CE3E95" w:rsidRPr="0078130E" w:rsidRDefault="00CE3E95" w:rsidP="007B74B9">
            <w:pPr>
              <w:pStyle w:val="Tabletext0"/>
              <w:jc w:val="right"/>
              <w:rPr>
                <w:b/>
                <w:bCs/>
              </w:rPr>
            </w:pPr>
            <w:r w:rsidRPr="0078130E">
              <w:rPr>
                <w:b/>
                <w:bCs/>
              </w:rPr>
              <w:t xml:space="preserve">$312,146,657 </w:t>
            </w:r>
          </w:p>
        </w:tc>
      </w:tr>
      <w:tr w:rsidR="00CE3E95" w14:paraId="685BA5AD" w14:textId="77777777" w:rsidTr="007B74B9">
        <w:trPr>
          <w:trHeight w:val="421"/>
        </w:trPr>
        <w:tc>
          <w:tcPr>
            <w:tcW w:w="9351" w:type="dxa"/>
            <w:gridSpan w:val="7"/>
          </w:tcPr>
          <w:p w14:paraId="513E915E" w14:textId="77777777" w:rsidR="00CE3E95" w:rsidRPr="00D106D3" w:rsidRDefault="00CE3E95" w:rsidP="007B74B9">
            <w:pPr>
              <w:pStyle w:val="Tabletext0"/>
              <w:jc w:val="left"/>
              <w:rPr>
                <w:b/>
                <w:bCs/>
              </w:rPr>
            </w:pPr>
            <w:r w:rsidRPr="00D106D3">
              <w:rPr>
                <w:b/>
                <w:bCs/>
              </w:rPr>
              <w:t xml:space="preserve">Change in use and cost of other </w:t>
            </w:r>
            <w:r>
              <w:rPr>
                <w:b/>
                <w:bCs/>
              </w:rPr>
              <w:t xml:space="preserve">health </w:t>
            </w:r>
            <w:r w:rsidRPr="00D106D3">
              <w:rPr>
                <w:b/>
                <w:bCs/>
              </w:rPr>
              <w:t>technologies</w:t>
            </w:r>
          </w:p>
        </w:tc>
      </w:tr>
      <w:tr w:rsidR="00CE3E95" w14:paraId="1D2B238D" w14:textId="77777777" w:rsidTr="007B74B9">
        <w:trPr>
          <w:trHeight w:val="632"/>
        </w:trPr>
        <w:tc>
          <w:tcPr>
            <w:tcW w:w="1838" w:type="dxa"/>
          </w:tcPr>
          <w:p w14:paraId="1EEFD895" w14:textId="77777777" w:rsidR="00CE3E95" w:rsidRDefault="00CE3E95" w:rsidP="007B74B9">
            <w:pPr>
              <w:rPr>
                <w:rFonts w:ascii="Arial Narrow" w:hAnsi="Arial Narrow" w:cs="Calibri"/>
                <w:color w:val="000000"/>
              </w:rPr>
            </w:pPr>
            <w:r>
              <w:rPr>
                <w:rFonts w:ascii="Arial Narrow" w:hAnsi="Arial Narrow" w:cs="Calibri"/>
                <w:color w:val="000000"/>
              </w:rPr>
              <w:t>Change in use of Item 69494</w:t>
            </w:r>
          </w:p>
        </w:tc>
        <w:tc>
          <w:tcPr>
            <w:tcW w:w="1252" w:type="dxa"/>
            <w:vAlign w:val="center"/>
          </w:tcPr>
          <w:p w14:paraId="725493D5" w14:textId="77777777" w:rsidR="00CE3E95" w:rsidRPr="00046DC7" w:rsidRDefault="00CE3E95" w:rsidP="007B74B9">
            <w:pPr>
              <w:pStyle w:val="Tabletext0"/>
              <w:jc w:val="right"/>
            </w:pPr>
            <w:r>
              <w:rPr>
                <w:rFonts w:cs="Calibri"/>
                <w:color w:val="000000"/>
              </w:rPr>
              <w:t>-1,967,175</w:t>
            </w:r>
          </w:p>
        </w:tc>
        <w:tc>
          <w:tcPr>
            <w:tcW w:w="1252" w:type="dxa"/>
            <w:vAlign w:val="center"/>
          </w:tcPr>
          <w:p w14:paraId="31B84C10" w14:textId="77777777" w:rsidR="00CE3E95" w:rsidRPr="00046DC7" w:rsidRDefault="00CE3E95" w:rsidP="007B74B9">
            <w:pPr>
              <w:pStyle w:val="Tabletext0"/>
              <w:jc w:val="right"/>
            </w:pPr>
            <w:r>
              <w:rPr>
                <w:rFonts w:cs="Calibri"/>
                <w:color w:val="000000"/>
              </w:rPr>
              <w:t>-1,994,231</w:t>
            </w:r>
          </w:p>
        </w:tc>
        <w:tc>
          <w:tcPr>
            <w:tcW w:w="1252" w:type="dxa"/>
            <w:vAlign w:val="center"/>
          </w:tcPr>
          <w:p w14:paraId="064ADB0E" w14:textId="77777777" w:rsidR="00CE3E95" w:rsidRPr="00046DC7" w:rsidRDefault="00CE3E95" w:rsidP="007B74B9">
            <w:pPr>
              <w:pStyle w:val="Tabletext0"/>
              <w:jc w:val="right"/>
            </w:pPr>
            <w:r>
              <w:rPr>
                <w:rFonts w:cs="Calibri"/>
                <w:color w:val="000000"/>
              </w:rPr>
              <w:t>-2,021,141</w:t>
            </w:r>
          </w:p>
        </w:tc>
        <w:tc>
          <w:tcPr>
            <w:tcW w:w="1252" w:type="dxa"/>
            <w:vAlign w:val="center"/>
          </w:tcPr>
          <w:p w14:paraId="00C26861" w14:textId="77777777" w:rsidR="00CE3E95" w:rsidRPr="00046DC7" w:rsidRDefault="00CE3E95" w:rsidP="007B74B9">
            <w:pPr>
              <w:pStyle w:val="Tabletext0"/>
              <w:jc w:val="right"/>
            </w:pPr>
            <w:r>
              <w:rPr>
                <w:rFonts w:cs="Calibri"/>
                <w:color w:val="000000"/>
              </w:rPr>
              <w:t>-2,047,886</w:t>
            </w:r>
          </w:p>
        </w:tc>
        <w:tc>
          <w:tcPr>
            <w:tcW w:w="1252" w:type="dxa"/>
            <w:vAlign w:val="center"/>
          </w:tcPr>
          <w:p w14:paraId="3D2AFEDF" w14:textId="77777777" w:rsidR="00CE3E95" w:rsidRPr="00046DC7" w:rsidRDefault="00CE3E95" w:rsidP="007B74B9">
            <w:pPr>
              <w:pStyle w:val="Tabletext0"/>
              <w:jc w:val="right"/>
            </w:pPr>
            <w:r>
              <w:rPr>
                <w:rFonts w:cs="Calibri"/>
                <w:color w:val="000000"/>
              </w:rPr>
              <w:t>-2,074,483</w:t>
            </w:r>
          </w:p>
        </w:tc>
        <w:tc>
          <w:tcPr>
            <w:tcW w:w="1253" w:type="dxa"/>
            <w:vAlign w:val="center"/>
          </w:tcPr>
          <w:p w14:paraId="35807C3E" w14:textId="77777777" w:rsidR="00CE3E95" w:rsidRPr="00046DC7" w:rsidRDefault="00CE3E95" w:rsidP="007B74B9">
            <w:pPr>
              <w:pStyle w:val="Tabletext0"/>
              <w:jc w:val="right"/>
            </w:pPr>
            <w:r>
              <w:rPr>
                <w:rFonts w:cs="Calibri"/>
                <w:color w:val="000000"/>
              </w:rPr>
              <w:t>-2,100,893</w:t>
            </w:r>
          </w:p>
        </w:tc>
      </w:tr>
      <w:tr w:rsidR="00CE3E95" w14:paraId="044A277D" w14:textId="77777777" w:rsidTr="007B74B9">
        <w:trPr>
          <w:trHeight w:val="690"/>
        </w:trPr>
        <w:tc>
          <w:tcPr>
            <w:tcW w:w="1838" w:type="dxa"/>
          </w:tcPr>
          <w:p w14:paraId="1AFFA793" w14:textId="77777777" w:rsidR="00CE3E95" w:rsidRDefault="00CE3E95" w:rsidP="007B74B9">
            <w:pPr>
              <w:rPr>
                <w:rFonts w:ascii="Arial Narrow" w:hAnsi="Arial Narrow" w:cs="Calibri"/>
                <w:color w:val="000000"/>
              </w:rPr>
            </w:pPr>
            <w:r>
              <w:rPr>
                <w:rFonts w:ascii="Arial Narrow" w:hAnsi="Arial Narrow" w:cs="Calibri"/>
                <w:color w:val="000000"/>
              </w:rPr>
              <w:t>Change in use of Item 69496</w:t>
            </w:r>
          </w:p>
        </w:tc>
        <w:tc>
          <w:tcPr>
            <w:tcW w:w="1252" w:type="dxa"/>
            <w:vAlign w:val="center"/>
          </w:tcPr>
          <w:p w14:paraId="5CCC7397" w14:textId="77777777" w:rsidR="00CE3E95" w:rsidRPr="00046DC7" w:rsidRDefault="00CE3E95" w:rsidP="007B74B9">
            <w:pPr>
              <w:pStyle w:val="Tabletext0"/>
              <w:jc w:val="right"/>
            </w:pPr>
            <w:r>
              <w:rPr>
                <w:rFonts w:cs="Calibri"/>
                <w:color w:val="000000"/>
              </w:rPr>
              <w:t>-2,516,109</w:t>
            </w:r>
          </w:p>
        </w:tc>
        <w:tc>
          <w:tcPr>
            <w:tcW w:w="1252" w:type="dxa"/>
            <w:vAlign w:val="center"/>
          </w:tcPr>
          <w:p w14:paraId="2A7B42BF" w14:textId="77777777" w:rsidR="00CE3E95" w:rsidRPr="00046DC7" w:rsidRDefault="00CE3E95" w:rsidP="007B74B9">
            <w:pPr>
              <w:pStyle w:val="Tabletext0"/>
              <w:jc w:val="right"/>
            </w:pPr>
            <w:r>
              <w:rPr>
                <w:rFonts w:cs="Calibri"/>
                <w:color w:val="000000"/>
              </w:rPr>
              <w:t>-2,550,716</w:t>
            </w:r>
          </w:p>
        </w:tc>
        <w:tc>
          <w:tcPr>
            <w:tcW w:w="1252" w:type="dxa"/>
            <w:vAlign w:val="center"/>
          </w:tcPr>
          <w:p w14:paraId="55BC5986" w14:textId="77777777" w:rsidR="00CE3E95" w:rsidRPr="00046DC7" w:rsidRDefault="00CE3E95" w:rsidP="007B74B9">
            <w:pPr>
              <w:pStyle w:val="Tabletext0"/>
              <w:jc w:val="right"/>
            </w:pPr>
            <w:r>
              <w:rPr>
                <w:rFonts w:cs="Calibri"/>
                <w:color w:val="000000"/>
              </w:rPr>
              <w:t>-2,585,135</w:t>
            </w:r>
          </w:p>
        </w:tc>
        <w:tc>
          <w:tcPr>
            <w:tcW w:w="1252" w:type="dxa"/>
            <w:vAlign w:val="center"/>
          </w:tcPr>
          <w:p w14:paraId="35C3561A" w14:textId="77777777" w:rsidR="00CE3E95" w:rsidRPr="00046DC7" w:rsidRDefault="00CE3E95" w:rsidP="007B74B9">
            <w:pPr>
              <w:pStyle w:val="Tabletext0"/>
              <w:jc w:val="right"/>
            </w:pPr>
            <w:r>
              <w:rPr>
                <w:rFonts w:cs="Calibri"/>
                <w:color w:val="000000"/>
              </w:rPr>
              <w:t>-2,619,345</w:t>
            </w:r>
          </w:p>
        </w:tc>
        <w:tc>
          <w:tcPr>
            <w:tcW w:w="1252" w:type="dxa"/>
            <w:vAlign w:val="center"/>
          </w:tcPr>
          <w:p w14:paraId="21CAF6EB" w14:textId="77777777" w:rsidR="00CE3E95" w:rsidRPr="00046DC7" w:rsidRDefault="00CE3E95" w:rsidP="007B74B9">
            <w:pPr>
              <w:pStyle w:val="Tabletext0"/>
              <w:jc w:val="right"/>
            </w:pPr>
            <w:r>
              <w:rPr>
                <w:rFonts w:cs="Calibri"/>
                <w:color w:val="000000"/>
              </w:rPr>
              <w:t>-2,653,363</w:t>
            </w:r>
          </w:p>
        </w:tc>
        <w:tc>
          <w:tcPr>
            <w:tcW w:w="1253" w:type="dxa"/>
            <w:vAlign w:val="center"/>
          </w:tcPr>
          <w:p w14:paraId="026F5630" w14:textId="77777777" w:rsidR="00CE3E95" w:rsidRPr="00046DC7" w:rsidRDefault="00CE3E95" w:rsidP="007B74B9">
            <w:pPr>
              <w:pStyle w:val="Tabletext0"/>
              <w:jc w:val="right"/>
            </w:pPr>
            <w:r>
              <w:rPr>
                <w:rFonts w:cs="Calibri"/>
                <w:color w:val="000000"/>
              </w:rPr>
              <w:t>-2,687,143</w:t>
            </w:r>
          </w:p>
        </w:tc>
      </w:tr>
      <w:tr w:rsidR="00CE3E95" w14:paraId="5AC06098" w14:textId="77777777" w:rsidTr="007B74B9">
        <w:trPr>
          <w:trHeight w:val="690"/>
        </w:trPr>
        <w:tc>
          <w:tcPr>
            <w:tcW w:w="1838" w:type="dxa"/>
          </w:tcPr>
          <w:p w14:paraId="2BD994CB" w14:textId="77777777" w:rsidR="00CE3E95" w:rsidRDefault="00CE3E95" w:rsidP="007B74B9">
            <w:pPr>
              <w:rPr>
                <w:rFonts w:ascii="Arial Narrow" w:hAnsi="Arial Narrow" w:cs="Calibri"/>
                <w:color w:val="000000"/>
              </w:rPr>
            </w:pPr>
            <w:r>
              <w:rPr>
                <w:rFonts w:ascii="Arial Narrow" w:hAnsi="Arial Narrow" w:cs="Calibri"/>
                <w:color w:val="000000"/>
              </w:rPr>
              <w:t>Total change in number of services of existing items</w:t>
            </w:r>
          </w:p>
        </w:tc>
        <w:tc>
          <w:tcPr>
            <w:tcW w:w="1252" w:type="dxa"/>
            <w:vAlign w:val="center"/>
          </w:tcPr>
          <w:p w14:paraId="552E0AEC" w14:textId="77777777" w:rsidR="00CE3E95" w:rsidRDefault="00CE3E95" w:rsidP="007B74B9">
            <w:pPr>
              <w:pStyle w:val="Tabletext0"/>
              <w:jc w:val="right"/>
              <w:rPr>
                <w:rFonts w:cs="Calibri"/>
                <w:color w:val="000000"/>
              </w:rPr>
            </w:pPr>
            <w:r w:rsidRPr="002A2D18">
              <w:t>-4,483,284</w:t>
            </w:r>
          </w:p>
        </w:tc>
        <w:tc>
          <w:tcPr>
            <w:tcW w:w="1252" w:type="dxa"/>
            <w:vAlign w:val="center"/>
          </w:tcPr>
          <w:p w14:paraId="6265F2DC" w14:textId="77777777" w:rsidR="00CE3E95" w:rsidRDefault="00CE3E95" w:rsidP="007B74B9">
            <w:pPr>
              <w:pStyle w:val="Tabletext0"/>
              <w:jc w:val="right"/>
              <w:rPr>
                <w:rFonts w:cs="Calibri"/>
                <w:color w:val="000000"/>
              </w:rPr>
            </w:pPr>
            <w:r w:rsidRPr="002A2D18">
              <w:t>-4,544,947</w:t>
            </w:r>
          </w:p>
        </w:tc>
        <w:tc>
          <w:tcPr>
            <w:tcW w:w="1252" w:type="dxa"/>
            <w:vAlign w:val="center"/>
          </w:tcPr>
          <w:p w14:paraId="7C22D276" w14:textId="77777777" w:rsidR="00CE3E95" w:rsidRDefault="00CE3E95" w:rsidP="007B74B9">
            <w:pPr>
              <w:pStyle w:val="Tabletext0"/>
              <w:jc w:val="right"/>
              <w:rPr>
                <w:rFonts w:cs="Calibri"/>
                <w:color w:val="000000"/>
              </w:rPr>
            </w:pPr>
            <w:r w:rsidRPr="002A2D18">
              <w:t>-4,606,276</w:t>
            </w:r>
          </w:p>
        </w:tc>
        <w:tc>
          <w:tcPr>
            <w:tcW w:w="1252" w:type="dxa"/>
            <w:vAlign w:val="center"/>
          </w:tcPr>
          <w:p w14:paraId="5EF0F253" w14:textId="77777777" w:rsidR="00CE3E95" w:rsidRDefault="00CE3E95" w:rsidP="007B74B9">
            <w:pPr>
              <w:pStyle w:val="Tabletext0"/>
              <w:jc w:val="right"/>
              <w:rPr>
                <w:rFonts w:cs="Calibri"/>
                <w:color w:val="000000"/>
              </w:rPr>
            </w:pPr>
            <w:r w:rsidRPr="002A2D18">
              <w:t>-4,667,231</w:t>
            </w:r>
          </w:p>
        </w:tc>
        <w:tc>
          <w:tcPr>
            <w:tcW w:w="1252" w:type="dxa"/>
            <w:vAlign w:val="center"/>
          </w:tcPr>
          <w:p w14:paraId="5C8D44EC" w14:textId="77777777" w:rsidR="00CE3E95" w:rsidRDefault="00CE3E95" w:rsidP="007B74B9">
            <w:pPr>
              <w:pStyle w:val="Tabletext0"/>
              <w:jc w:val="right"/>
              <w:rPr>
                <w:rFonts w:cs="Calibri"/>
                <w:color w:val="000000"/>
              </w:rPr>
            </w:pPr>
            <w:r w:rsidRPr="002A2D18">
              <w:t>-4,727,846</w:t>
            </w:r>
          </w:p>
        </w:tc>
        <w:tc>
          <w:tcPr>
            <w:tcW w:w="1253" w:type="dxa"/>
            <w:vAlign w:val="center"/>
          </w:tcPr>
          <w:p w14:paraId="329A0BB8" w14:textId="77777777" w:rsidR="00CE3E95" w:rsidRDefault="00CE3E95" w:rsidP="007B74B9">
            <w:pPr>
              <w:pStyle w:val="Tabletext0"/>
              <w:jc w:val="right"/>
              <w:rPr>
                <w:rFonts w:cs="Calibri"/>
                <w:color w:val="000000"/>
              </w:rPr>
            </w:pPr>
            <w:r w:rsidRPr="002A2D18">
              <w:t>-4,788,036</w:t>
            </w:r>
          </w:p>
        </w:tc>
      </w:tr>
      <w:tr w:rsidR="00CE3E95" w14:paraId="6DCDF3C6" w14:textId="77777777" w:rsidTr="007B74B9">
        <w:trPr>
          <w:trHeight w:val="857"/>
        </w:trPr>
        <w:tc>
          <w:tcPr>
            <w:tcW w:w="1838" w:type="dxa"/>
          </w:tcPr>
          <w:p w14:paraId="21467D63" w14:textId="77777777" w:rsidR="00CE3E95" w:rsidRDefault="00CE3E95" w:rsidP="007B74B9">
            <w:pPr>
              <w:rPr>
                <w:rFonts w:ascii="Arial Narrow" w:hAnsi="Arial Narrow" w:cs="Calibri"/>
                <w:color w:val="000000"/>
              </w:rPr>
            </w:pPr>
            <w:r>
              <w:rPr>
                <w:rFonts w:ascii="Arial Narrow" w:hAnsi="Arial Narrow" w:cs="Calibri"/>
                <w:color w:val="000000"/>
              </w:rPr>
              <w:t xml:space="preserve">Net change in costs to the MBS (with appropriate </w:t>
            </w:r>
            <w:proofErr w:type="spellStart"/>
            <w:r>
              <w:rPr>
                <w:rFonts w:ascii="Arial Narrow" w:hAnsi="Arial Narrow" w:cs="Calibri"/>
                <w:color w:val="000000"/>
              </w:rPr>
              <w:t>copayments</w:t>
            </w:r>
            <w:proofErr w:type="spellEnd"/>
            <w:r>
              <w:rPr>
                <w:rFonts w:ascii="Arial Narrow" w:hAnsi="Arial Narrow" w:cs="Calibri"/>
                <w:color w:val="000000"/>
              </w:rPr>
              <w:t xml:space="preserve"> excluded)</w:t>
            </w:r>
          </w:p>
        </w:tc>
        <w:tc>
          <w:tcPr>
            <w:tcW w:w="1252" w:type="dxa"/>
            <w:vAlign w:val="center"/>
          </w:tcPr>
          <w:p w14:paraId="28451476" w14:textId="77777777" w:rsidR="00CE3E95" w:rsidRPr="001D278E" w:rsidRDefault="00CE3E95" w:rsidP="007B74B9">
            <w:pPr>
              <w:pStyle w:val="Tabletext0"/>
              <w:jc w:val="right"/>
              <w:rPr>
                <w:sz w:val="19"/>
                <w:szCs w:val="19"/>
              </w:rPr>
            </w:pPr>
            <w:r w:rsidRPr="001D278E">
              <w:rPr>
                <w:rFonts w:cs="Calibri"/>
                <w:color w:val="000000"/>
                <w:sz w:val="19"/>
                <w:szCs w:val="19"/>
              </w:rPr>
              <w:t>-$140,088,675</w:t>
            </w:r>
          </w:p>
        </w:tc>
        <w:tc>
          <w:tcPr>
            <w:tcW w:w="1252" w:type="dxa"/>
            <w:vAlign w:val="center"/>
          </w:tcPr>
          <w:p w14:paraId="7D2EB001" w14:textId="77777777" w:rsidR="00CE3E95" w:rsidRPr="001D278E" w:rsidRDefault="00CE3E95" w:rsidP="007B74B9">
            <w:pPr>
              <w:pStyle w:val="Tabletext0"/>
              <w:jc w:val="right"/>
              <w:rPr>
                <w:sz w:val="19"/>
                <w:szCs w:val="19"/>
              </w:rPr>
            </w:pPr>
            <w:r w:rsidRPr="001D278E">
              <w:rPr>
                <w:rFonts w:cs="Calibri"/>
                <w:color w:val="000000"/>
                <w:sz w:val="19"/>
                <w:szCs w:val="19"/>
              </w:rPr>
              <w:t>-$142,015,454</w:t>
            </w:r>
          </w:p>
        </w:tc>
        <w:tc>
          <w:tcPr>
            <w:tcW w:w="1252" w:type="dxa"/>
            <w:vAlign w:val="center"/>
          </w:tcPr>
          <w:p w14:paraId="03231EF6" w14:textId="77777777" w:rsidR="00CE3E95" w:rsidRPr="001D278E" w:rsidRDefault="00CE3E95" w:rsidP="007B74B9">
            <w:pPr>
              <w:pStyle w:val="Tabletext0"/>
              <w:jc w:val="right"/>
              <w:rPr>
                <w:sz w:val="19"/>
                <w:szCs w:val="19"/>
              </w:rPr>
            </w:pPr>
            <w:r w:rsidRPr="001D278E">
              <w:rPr>
                <w:rFonts w:cs="Calibri"/>
                <w:color w:val="000000"/>
                <w:sz w:val="19"/>
                <w:szCs w:val="19"/>
              </w:rPr>
              <w:t>-$143,931,769</w:t>
            </w:r>
          </w:p>
        </w:tc>
        <w:tc>
          <w:tcPr>
            <w:tcW w:w="1252" w:type="dxa"/>
            <w:vAlign w:val="center"/>
          </w:tcPr>
          <w:p w14:paraId="75677BEF" w14:textId="77777777" w:rsidR="00CE3E95" w:rsidRPr="001D278E" w:rsidRDefault="00CE3E95" w:rsidP="007B74B9">
            <w:pPr>
              <w:pStyle w:val="Tabletext0"/>
              <w:jc w:val="right"/>
              <w:rPr>
                <w:sz w:val="19"/>
                <w:szCs w:val="19"/>
              </w:rPr>
            </w:pPr>
            <w:r w:rsidRPr="001D278E">
              <w:rPr>
                <w:rFonts w:cs="Calibri"/>
                <w:color w:val="000000"/>
                <w:sz w:val="19"/>
                <w:szCs w:val="19"/>
              </w:rPr>
              <w:t>-$145,836,441</w:t>
            </w:r>
          </w:p>
        </w:tc>
        <w:tc>
          <w:tcPr>
            <w:tcW w:w="1252" w:type="dxa"/>
            <w:vAlign w:val="center"/>
          </w:tcPr>
          <w:p w14:paraId="1E0A855A" w14:textId="77777777" w:rsidR="00CE3E95" w:rsidRPr="001D278E" w:rsidRDefault="00CE3E95" w:rsidP="007B74B9">
            <w:pPr>
              <w:pStyle w:val="Tabletext0"/>
              <w:jc w:val="right"/>
              <w:rPr>
                <w:sz w:val="19"/>
                <w:szCs w:val="19"/>
              </w:rPr>
            </w:pPr>
            <w:r w:rsidRPr="001D278E">
              <w:rPr>
                <w:rFonts w:cs="Calibri"/>
                <w:color w:val="000000"/>
                <w:sz w:val="19"/>
                <w:szCs w:val="19"/>
              </w:rPr>
              <w:t>-$147,730,484</w:t>
            </w:r>
          </w:p>
        </w:tc>
        <w:tc>
          <w:tcPr>
            <w:tcW w:w="1253" w:type="dxa"/>
            <w:vAlign w:val="center"/>
          </w:tcPr>
          <w:p w14:paraId="14AA8C1D" w14:textId="77777777" w:rsidR="00CE3E95" w:rsidRPr="001D278E" w:rsidRDefault="00CE3E95" w:rsidP="007B74B9">
            <w:pPr>
              <w:pStyle w:val="Tabletext0"/>
              <w:jc w:val="right"/>
              <w:rPr>
                <w:sz w:val="19"/>
                <w:szCs w:val="19"/>
              </w:rPr>
            </w:pPr>
            <w:r w:rsidRPr="001D278E">
              <w:rPr>
                <w:rFonts w:cs="Calibri"/>
                <w:color w:val="000000"/>
                <w:sz w:val="19"/>
                <w:szCs w:val="19"/>
              </w:rPr>
              <w:t>-$149,611,224</w:t>
            </w:r>
          </w:p>
        </w:tc>
      </w:tr>
      <w:tr w:rsidR="00CE3E95" w14:paraId="2A64E4BA" w14:textId="77777777" w:rsidTr="007B74B9">
        <w:trPr>
          <w:trHeight w:val="719"/>
        </w:trPr>
        <w:tc>
          <w:tcPr>
            <w:tcW w:w="1838" w:type="dxa"/>
          </w:tcPr>
          <w:p w14:paraId="110DD876" w14:textId="77777777" w:rsidR="00CE3E95" w:rsidRPr="006326F6" w:rsidRDefault="00CE3E95" w:rsidP="007B74B9">
            <w:pPr>
              <w:rPr>
                <w:rFonts w:ascii="Arial Narrow" w:hAnsi="Arial Narrow" w:cs="Calibri"/>
                <w:b/>
                <w:bCs/>
                <w:color w:val="000000"/>
              </w:rPr>
            </w:pPr>
            <w:r w:rsidRPr="006326F6">
              <w:rPr>
                <w:rFonts w:ascii="Arial Narrow" w:hAnsi="Arial Narrow" w:cs="Calibri"/>
                <w:b/>
                <w:bCs/>
                <w:color w:val="000000"/>
              </w:rPr>
              <w:t xml:space="preserve">Net financial impact to the MBS </w:t>
            </w:r>
          </w:p>
        </w:tc>
        <w:tc>
          <w:tcPr>
            <w:tcW w:w="1252" w:type="dxa"/>
            <w:vAlign w:val="center"/>
          </w:tcPr>
          <w:p w14:paraId="5B35DF23" w14:textId="77777777" w:rsidR="00CE3E95" w:rsidRPr="006326F6" w:rsidRDefault="00CE3E95" w:rsidP="007B74B9">
            <w:pPr>
              <w:pStyle w:val="Tabletext0"/>
              <w:jc w:val="right"/>
              <w:rPr>
                <w:b/>
                <w:bCs/>
              </w:rPr>
            </w:pPr>
            <w:r w:rsidRPr="006326F6">
              <w:rPr>
                <w:b/>
                <w:bCs/>
              </w:rPr>
              <w:t xml:space="preserve">$152,190,291 </w:t>
            </w:r>
          </w:p>
        </w:tc>
        <w:tc>
          <w:tcPr>
            <w:tcW w:w="1252" w:type="dxa"/>
            <w:vAlign w:val="center"/>
          </w:tcPr>
          <w:p w14:paraId="3CBE2B5D" w14:textId="77777777" w:rsidR="00CE3E95" w:rsidRPr="006326F6" w:rsidRDefault="00CE3E95" w:rsidP="007B74B9">
            <w:pPr>
              <w:pStyle w:val="Tabletext0"/>
              <w:jc w:val="right"/>
              <w:rPr>
                <w:b/>
                <w:bCs/>
              </w:rPr>
            </w:pPr>
            <w:r w:rsidRPr="006326F6">
              <w:rPr>
                <w:b/>
                <w:bCs/>
              </w:rPr>
              <w:t xml:space="preserve">$154,283,512 </w:t>
            </w:r>
          </w:p>
        </w:tc>
        <w:tc>
          <w:tcPr>
            <w:tcW w:w="1252" w:type="dxa"/>
            <w:vAlign w:val="center"/>
          </w:tcPr>
          <w:p w14:paraId="66926CF8" w14:textId="77777777" w:rsidR="00CE3E95" w:rsidRPr="006326F6" w:rsidRDefault="00CE3E95" w:rsidP="007B74B9">
            <w:pPr>
              <w:pStyle w:val="Tabletext0"/>
              <w:jc w:val="right"/>
              <w:rPr>
                <w:b/>
                <w:bCs/>
              </w:rPr>
            </w:pPr>
            <w:r w:rsidRPr="006326F6">
              <w:rPr>
                <w:b/>
                <w:bCs/>
              </w:rPr>
              <w:t xml:space="preserve">$156,365,366 </w:t>
            </w:r>
          </w:p>
        </w:tc>
        <w:tc>
          <w:tcPr>
            <w:tcW w:w="1252" w:type="dxa"/>
            <w:vAlign w:val="center"/>
          </w:tcPr>
          <w:p w14:paraId="1A6B4C4C" w14:textId="77777777" w:rsidR="00CE3E95" w:rsidRPr="006326F6" w:rsidRDefault="00CE3E95" w:rsidP="007B74B9">
            <w:pPr>
              <w:pStyle w:val="Tabletext0"/>
              <w:jc w:val="right"/>
              <w:rPr>
                <w:b/>
                <w:bCs/>
              </w:rPr>
            </w:pPr>
            <w:r w:rsidRPr="006326F6">
              <w:rPr>
                <w:b/>
                <w:bCs/>
              </w:rPr>
              <w:t xml:space="preserve">$158,434,570 </w:t>
            </w:r>
          </w:p>
        </w:tc>
        <w:tc>
          <w:tcPr>
            <w:tcW w:w="1252" w:type="dxa"/>
            <w:vAlign w:val="center"/>
          </w:tcPr>
          <w:p w14:paraId="215AD029" w14:textId="77777777" w:rsidR="00CE3E95" w:rsidRPr="006326F6" w:rsidRDefault="00CE3E95" w:rsidP="007B74B9">
            <w:pPr>
              <w:pStyle w:val="Tabletext0"/>
              <w:jc w:val="right"/>
              <w:rPr>
                <w:b/>
                <w:bCs/>
              </w:rPr>
            </w:pPr>
            <w:r w:rsidRPr="006326F6">
              <w:rPr>
                <w:b/>
                <w:bCs/>
              </w:rPr>
              <w:t xml:space="preserve">$160,492,228 </w:t>
            </w:r>
          </w:p>
        </w:tc>
        <w:tc>
          <w:tcPr>
            <w:tcW w:w="1253" w:type="dxa"/>
            <w:vAlign w:val="center"/>
          </w:tcPr>
          <w:p w14:paraId="33F0727D" w14:textId="77777777" w:rsidR="00CE3E95" w:rsidRPr="006326F6" w:rsidRDefault="00CE3E95" w:rsidP="007B74B9">
            <w:pPr>
              <w:pStyle w:val="Tabletext0"/>
              <w:jc w:val="right"/>
              <w:rPr>
                <w:b/>
                <w:bCs/>
              </w:rPr>
            </w:pPr>
            <w:r w:rsidRPr="006326F6">
              <w:rPr>
                <w:b/>
                <w:bCs/>
              </w:rPr>
              <w:t xml:space="preserve">$162,535,433 </w:t>
            </w:r>
          </w:p>
        </w:tc>
      </w:tr>
    </w:tbl>
    <w:p w14:paraId="3051F1A6" w14:textId="73C79F36" w:rsidR="008E039C" w:rsidRPr="00747545" w:rsidRDefault="008E039C" w:rsidP="0078130E">
      <w:pPr>
        <w:pStyle w:val="TableFooter"/>
        <w:spacing w:before="0"/>
      </w:pPr>
      <w:r>
        <w:t>Source: DCAR Table 11, with edits to incorporate ESC’s advice.</w:t>
      </w:r>
    </w:p>
    <w:p w14:paraId="2980ED27" w14:textId="4855EF3F" w:rsidR="00476A0D" w:rsidRDefault="00476A0D" w:rsidP="00476A0D">
      <w:pPr>
        <w:pStyle w:val="Heading4"/>
      </w:pPr>
      <w:r>
        <w:lastRenderedPageBreak/>
        <w:t>Option 3: Revert to testing using the generic items</w:t>
      </w:r>
      <w:r w:rsidR="00F41BB4">
        <w:t xml:space="preserve"> (comparator)</w:t>
      </w:r>
    </w:p>
    <w:p w14:paraId="63ED6B55" w14:textId="15C1A78B" w:rsidR="00BE7EFB" w:rsidRPr="001D278E" w:rsidRDefault="00BE7EFB" w:rsidP="00BE7EFB">
      <w:pPr>
        <w:rPr>
          <w:lang w:eastAsia="en-GB"/>
        </w:rPr>
      </w:pPr>
      <w:r w:rsidRPr="0027526D">
        <w:t xml:space="preserve">The financial implications to the MBS resulting </w:t>
      </w:r>
      <w:r w:rsidR="009D4A42">
        <w:t>from SARS-CoV-2 testing reverting to using the generic items that were in place prior to the pandemic</w:t>
      </w:r>
      <w:r w:rsidRPr="0027526D">
        <w:t xml:space="preserve"> are summarised in </w:t>
      </w:r>
      <w:r w:rsidR="00C63712">
        <w:rPr>
          <w:noProof/>
        </w:rPr>
        <w:fldChar w:fldCharType="begin"/>
      </w:r>
      <w:r w:rsidR="00C63712">
        <w:rPr>
          <w:noProof/>
        </w:rPr>
        <w:instrText xml:space="preserve"> REF _Ref138428740 </w:instrText>
      </w:r>
      <w:r w:rsidR="00C63712">
        <w:rPr>
          <w:noProof/>
        </w:rPr>
        <w:fldChar w:fldCharType="separate"/>
      </w:r>
      <w:r w:rsidR="00525416" w:rsidRPr="0005386D">
        <w:t xml:space="preserve">Table </w:t>
      </w:r>
      <w:r w:rsidR="00525416">
        <w:rPr>
          <w:noProof/>
        </w:rPr>
        <w:t>16</w:t>
      </w:r>
      <w:r w:rsidR="00C63712">
        <w:rPr>
          <w:noProof/>
        </w:rPr>
        <w:fldChar w:fldCharType="end"/>
      </w:r>
      <w:r w:rsidRPr="0027526D">
        <w:t xml:space="preserve">. </w:t>
      </w:r>
    </w:p>
    <w:p w14:paraId="59389896" w14:textId="7CFC431F" w:rsidR="00513D55" w:rsidRPr="0078130E" w:rsidRDefault="00513D55" w:rsidP="00513D55">
      <w:pPr>
        <w:pStyle w:val="Caption"/>
        <w:rPr>
          <w:u w:val="single"/>
        </w:rPr>
      </w:pPr>
      <w:bookmarkStart w:id="49" w:name="_Ref138428740"/>
      <w:r w:rsidRPr="0005386D">
        <w:t xml:space="preserve">Table </w:t>
      </w:r>
      <w:fldSimple w:instr=" SEQ Table \* ARABIC ">
        <w:r w:rsidR="00525416">
          <w:rPr>
            <w:noProof/>
          </w:rPr>
          <w:t>16</w:t>
        </w:r>
      </w:fldSimple>
      <w:bookmarkEnd w:id="49"/>
      <w:r w:rsidRPr="0005386D">
        <w:t xml:space="preserve"> Net financial impact of the comparator</w:t>
      </w:r>
      <w:r w:rsidR="00F61271">
        <w:t xml:space="preserve">: </w:t>
      </w:r>
      <w:r w:rsidR="00F61271">
        <w:rPr>
          <w:u w:val="single"/>
        </w:rPr>
        <w:t xml:space="preserve">option </w:t>
      </w:r>
      <w:proofErr w:type="gramStart"/>
      <w:r w:rsidR="00F61271">
        <w:rPr>
          <w:u w:val="single"/>
        </w:rPr>
        <w:t>3</w:t>
      </w:r>
      <w:proofErr w:type="gramEnd"/>
    </w:p>
    <w:tbl>
      <w:tblPr>
        <w:tblStyle w:val="TableGrid1"/>
        <w:tblW w:w="9351" w:type="dxa"/>
        <w:tblLook w:val="04A0" w:firstRow="1" w:lastRow="0" w:firstColumn="1" w:lastColumn="0" w:noHBand="0" w:noVBand="1"/>
      </w:tblPr>
      <w:tblGrid>
        <w:gridCol w:w="1785"/>
        <w:gridCol w:w="1220"/>
        <w:gridCol w:w="1246"/>
        <w:gridCol w:w="1246"/>
        <w:gridCol w:w="1246"/>
        <w:gridCol w:w="1246"/>
        <w:gridCol w:w="1362"/>
      </w:tblGrid>
      <w:tr w:rsidR="00513D55" w14:paraId="59CDA684" w14:textId="77777777" w:rsidTr="0078130E">
        <w:trPr>
          <w:cnfStyle w:val="100000000000" w:firstRow="1" w:lastRow="0" w:firstColumn="0" w:lastColumn="0" w:oddVBand="0" w:evenVBand="0" w:oddHBand="0" w:evenHBand="0" w:firstRowFirstColumn="0" w:firstRowLastColumn="0" w:lastRowFirstColumn="0" w:lastRowLastColumn="0"/>
          <w:trHeight w:val="393"/>
        </w:trPr>
        <w:tc>
          <w:tcPr>
            <w:tcW w:w="2122" w:type="dxa"/>
            <w:hideMark/>
          </w:tcPr>
          <w:p w14:paraId="6B4288A8" w14:textId="407B0E2D" w:rsidR="00513D55" w:rsidRDefault="000D1926" w:rsidP="0078130E">
            <w:pPr>
              <w:rPr>
                <w:rFonts w:ascii="Arial Narrow" w:hAnsi="Arial Narrow" w:cs="Calibri"/>
                <w:b/>
                <w:bCs/>
                <w:color w:val="000000"/>
              </w:rPr>
            </w:pPr>
            <w:r>
              <w:rPr>
                <w:rFonts w:ascii="Arial Narrow" w:hAnsi="Arial Narrow" w:cs="Calibri"/>
                <w:b/>
                <w:bCs/>
                <w:color w:val="000000"/>
              </w:rPr>
              <w:t>Parameter</w:t>
            </w:r>
          </w:p>
        </w:tc>
        <w:tc>
          <w:tcPr>
            <w:tcW w:w="772" w:type="dxa"/>
            <w:hideMark/>
          </w:tcPr>
          <w:p w14:paraId="728190E3" w14:textId="77777777" w:rsidR="00513D55" w:rsidRDefault="00513D55" w:rsidP="0078130E">
            <w:pPr>
              <w:jc w:val="center"/>
              <w:rPr>
                <w:rFonts w:ascii="Arial Narrow" w:hAnsi="Arial Narrow" w:cs="Calibri"/>
                <w:b/>
                <w:bCs/>
                <w:color w:val="000000"/>
              </w:rPr>
            </w:pPr>
            <w:r>
              <w:rPr>
                <w:rFonts w:ascii="Arial Narrow" w:hAnsi="Arial Narrow" w:cs="Calibri"/>
                <w:b/>
                <w:bCs/>
                <w:color w:val="000000"/>
              </w:rPr>
              <w:t>2024</w:t>
            </w:r>
          </w:p>
        </w:tc>
        <w:tc>
          <w:tcPr>
            <w:tcW w:w="1258" w:type="dxa"/>
            <w:hideMark/>
          </w:tcPr>
          <w:p w14:paraId="6FA0380B" w14:textId="77777777" w:rsidR="00513D55" w:rsidRDefault="00513D55" w:rsidP="0078130E">
            <w:pPr>
              <w:jc w:val="center"/>
              <w:rPr>
                <w:rFonts w:ascii="Arial Narrow" w:hAnsi="Arial Narrow" w:cs="Calibri"/>
                <w:b/>
                <w:bCs/>
                <w:color w:val="000000"/>
              </w:rPr>
            </w:pPr>
            <w:r>
              <w:rPr>
                <w:rFonts w:ascii="Arial Narrow" w:hAnsi="Arial Narrow" w:cs="Calibri"/>
                <w:b/>
                <w:bCs/>
                <w:color w:val="000000"/>
              </w:rPr>
              <w:t>2025</w:t>
            </w:r>
          </w:p>
        </w:tc>
        <w:tc>
          <w:tcPr>
            <w:tcW w:w="1258" w:type="dxa"/>
            <w:hideMark/>
          </w:tcPr>
          <w:p w14:paraId="7092E745" w14:textId="77777777" w:rsidR="00513D55" w:rsidRDefault="00513D55" w:rsidP="0078130E">
            <w:pPr>
              <w:jc w:val="center"/>
              <w:rPr>
                <w:rFonts w:ascii="Arial Narrow" w:hAnsi="Arial Narrow" w:cs="Calibri"/>
                <w:b/>
                <w:bCs/>
                <w:color w:val="000000"/>
              </w:rPr>
            </w:pPr>
            <w:r>
              <w:rPr>
                <w:rFonts w:ascii="Arial Narrow" w:hAnsi="Arial Narrow" w:cs="Calibri"/>
                <w:b/>
                <w:bCs/>
                <w:color w:val="000000"/>
              </w:rPr>
              <w:t>2026</w:t>
            </w:r>
          </w:p>
        </w:tc>
        <w:tc>
          <w:tcPr>
            <w:tcW w:w="1258" w:type="dxa"/>
            <w:hideMark/>
          </w:tcPr>
          <w:p w14:paraId="4EBF23D9" w14:textId="77777777" w:rsidR="00513D55" w:rsidRDefault="00513D55" w:rsidP="0078130E">
            <w:pPr>
              <w:jc w:val="center"/>
              <w:rPr>
                <w:rFonts w:ascii="Arial Narrow" w:hAnsi="Arial Narrow" w:cs="Calibri"/>
                <w:b/>
                <w:bCs/>
                <w:color w:val="000000"/>
              </w:rPr>
            </w:pPr>
            <w:r>
              <w:rPr>
                <w:rFonts w:ascii="Arial Narrow" w:hAnsi="Arial Narrow" w:cs="Calibri"/>
                <w:b/>
                <w:bCs/>
                <w:color w:val="000000"/>
              </w:rPr>
              <w:t>2027</w:t>
            </w:r>
          </w:p>
        </w:tc>
        <w:tc>
          <w:tcPr>
            <w:tcW w:w="1258" w:type="dxa"/>
            <w:hideMark/>
          </w:tcPr>
          <w:p w14:paraId="15CF1753" w14:textId="77777777" w:rsidR="00513D55" w:rsidRDefault="00513D55" w:rsidP="0078130E">
            <w:pPr>
              <w:jc w:val="center"/>
              <w:rPr>
                <w:rFonts w:ascii="Arial Narrow" w:hAnsi="Arial Narrow" w:cs="Calibri"/>
                <w:b/>
                <w:bCs/>
                <w:color w:val="000000"/>
              </w:rPr>
            </w:pPr>
            <w:r>
              <w:rPr>
                <w:rFonts w:ascii="Arial Narrow" w:hAnsi="Arial Narrow" w:cs="Calibri"/>
                <w:b/>
                <w:bCs/>
                <w:color w:val="000000"/>
              </w:rPr>
              <w:t>2028</w:t>
            </w:r>
          </w:p>
        </w:tc>
        <w:tc>
          <w:tcPr>
            <w:tcW w:w="1425" w:type="dxa"/>
            <w:hideMark/>
          </w:tcPr>
          <w:p w14:paraId="44BE7650" w14:textId="77777777" w:rsidR="00513D55" w:rsidRDefault="00513D55" w:rsidP="0078130E">
            <w:pPr>
              <w:jc w:val="center"/>
              <w:rPr>
                <w:rFonts w:ascii="Arial Narrow" w:hAnsi="Arial Narrow" w:cs="Calibri"/>
                <w:b/>
                <w:bCs/>
                <w:color w:val="000000"/>
              </w:rPr>
            </w:pPr>
            <w:r>
              <w:rPr>
                <w:rFonts w:ascii="Arial Narrow" w:hAnsi="Arial Narrow" w:cs="Calibri"/>
                <w:b/>
                <w:bCs/>
                <w:color w:val="000000"/>
              </w:rPr>
              <w:t>2029</w:t>
            </w:r>
          </w:p>
        </w:tc>
      </w:tr>
      <w:tr w:rsidR="00513D55" w14:paraId="7D6FB63C" w14:textId="77777777" w:rsidTr="0078130E">
        <w:trPr>
          <w:trHeight w:val="454"/>
        </w:trPr>
        <w:tc>
          <w:tcPr>
            <w:tcW w:w="9351" w:type="dxa"/>
            <w:gridSpan w:val="7"/>
          </w:tcPr>
          <w:p w14:paraId="4179EC6C" w14:textId="77777777" w:rsidR="00513D55" w:rsidRDefault="00513D55">
            <w:pPr>
              <w:pStyle w:val="TableHeading0"/>
              <w:rPr>
                <w:rFonts w:cs="Calibri"/>
                <w:color w:val="000000"/>
              </w:rPr>
            </w:pPr>
            <w:r w:rsidRPr="00446363">
              <w:t xml:space="preserve">Estimated use and cost of the </w:t>
            </w:r>
            <w:r>
              <w:t>current generic</w:t>
            </w:r>
            <w:r w:rsidRPr="00446363">
              <w:t xml:space="preserve"> </w:t>
            </w:r>
            <w:r>
              <w:t>MBS items for respiratory pathogen testing</w:t>
            </w:r>
          </w:p>
        </w:tc>
      </w:tr>
      <w:tr w:rsidR="00513D55" w14:paraId="25A0B025" w14:textId="77777777" w:rsidTr="0078130E">
        <w:trPr>
          <w:trHeight w:val="700"/>
        </w:trPr>
        <w:tc>
          <w:tcPr>
            <w:tcW w:w="2122" w:type="dxa"/>
            <w:hideMark/>
          </w:tcPr>
          <w:p w14:paraId="41AF152E" w14:textId="77777777" w:rsidR="00513D55" w:rsidRPr="0078130E" w:rsidRDefault="00513D55" w:rsidP="0078130E">
            <w:pPr>
              <w:rPr>
                <w:rFonts w:ascii="Arial Narrow" w:hAnsi="Arial Narrow" w:cs="Calibri"/>
                <w:color w:val="000000"/>
              </w:rPr>
            </w:pPr>
            <w:r w:rsidRPr="0078130E">
              <w:rPr>
                <w:rFonts w:ascii="Arial Narrow" w:hAnsi="Arial Narrow" w:cs="Calibri"/>
                <w:color w:val="000000"/>
              </w:rPr>
              <w:t xml:space="preserve">Item 69494 (replacing AAAA) </w:t>
            </w:r>
          </w:p>
        </w:tc>
        <w:tc>
          <w:tcPr>
            <w:tcW w:w="772" w:type="dxa"/>
            <w:hideMark/>
          </w:tcPr>
          <w:p w14:paraId="74CC6970" w14:textId="77777777" w:rsidR="00513D55" w:rsidRDefault="00513D55">
            <w:pPr>
              <w:jc w:val="right"/>
              <w:rPr>
                <w:rFonts w:ascii="Arial Narrow" w:hAnsi="Arial Narrow" w:cs="Calibri"/>
                <w:color w:val="000000"/>
              </w:rPr>
            </w:pPr>
            <w:r>
              <w:rPr>
                <w:rFonts w:ascii="Arial Narrow" w:hAnsi="Arial Narrow" w:cs="Calibri"/>
                <w:color w:val="000000"/>
              </w:rPr>
              <w:t>1,967,175</w:t>
            </w:r>
          </w:p>
        </w:tc>
        <w:tc>
          <w:tcPr>
            <w:tcW w:w="1258" w:type="dxa"/>
            <w:hideMark/>
          </w:tcPr>
          <w:p w14:paraId="60F5E4D2" w14:textId="77777777" w:rsidR="00513D55" w:rsidRDefault="00513D55">
            <w:pPr>
              <w:jc w:val="right"/>
              <w:rPr>
                <w:rFonts w:ascii="Arial Narrow" w:hAnsi="Arial Narrow" w:cs="Calibri"/>
                <w:color w:val="000000"/>
              </w:rPr>
            </w:pPr>
            <w:r>
              <w:rPr>
                <w:rFonts w:ascii="Arial Narrow" w:hAnsi="Arial Narrow" w:cs="Calibri"/>
                <w:color w:val="000000"/>
              </w:rPr>
              <w:t>1,994,231</w:t>
            </w:r>
          </w:p>
        </w:tc>
        <w:tc>
          <w:tcPr>
            <w:tcW w:w="1258" w:type="dxa"/>
            <w:hideMark/>
          </w:tcPr>
          <w:p w14:paraId="5458454C" w14:textId="77777777" w:rsidR="00513D55" w:rsidRDefault="00513D55">
            <w:pPr>
              <w:jc w:val="right"/>
              <w:rPr>
                <w:rFonts w:ascii="Arial Narrow" w:hAnsi="Arial Narrow" w:cs="Calibri"/>
                <w:color w:val="000000"/>
              </w:rPr>
            </w:pPr>
            <w:r>
              <w:rPr>
                <w:rFonts w:ascii="Arial Narrow" w:hAnsi="Arial Narrow" w:cs="Calibri"/>
                <w:color w:val="000000"/>
              </w:rPr>
              <w:t>2,021,141</w:t>
            </w:r>
          </w:p>
        </w:tc>
        <w:tc>
          <w:tcPr>
            <w:tcW w:w="1258" w:type="dxa"/>
            <w:hideMark/>
          </w:tcPr>
          <w:p w14:paraId="59675BDC" w14:textId="77777777" w:rsidR="00513D55" w:rsidRDefault="00513D55">
            <w:pPr>
              <w:jc w:val="right"/>
              <w:rPr>
                <w:rFonts w:ascii="Arial Narrow" w:hAnsi="Arial Narrow" w:cs="Calibri"/>
                <w:color w:val="000000"/>
              </w:rPr>
            </w:pPr>
            <w:r>
              <w:rPr>
                <w:rFonts w:ascii="Arial Narrow" w:hAnsi="Arial Narrow" w:cs="Calibri"/>
                <w:color w:val="000000"/>
              </w:rPr>
              <w:t>2,047,886</w:t>
            </w:r>
          </w:p>
        </w:tc>
        <w:tc>
          <w:tcPr>
            <w:tcW w:w="1258" w:type="dxa"/>
            <w:hideMark/>
          </w:tcPr>
          <w:p w14:paraId="6D3BEC4C" w14:textId="77777777" w:rsidR="00513D55" w:rsidRDefault="00513D55">
            <w:pPr>
              <w:jc w:val="right"/>
              <w:rPr>
                <w:rFonts w:ascii="Arial Narrow" w:hAnsi="Arial Narrow" w:cs="Calibri"/>
                <w:color w:val="000000"/>
              </w:rPr>
            </w:pPr>
            <w:r>
              <w:rPr>
                <w:rFonts w:ascii="Arial Narrow" w:hAnsi="Arial Narrow" w:cs="Calibri"/>
                <w:color w:val="000000"/>
              </w:rPr>
              <w:t>2,074,483</w:t>
            </w:r>
          </w:p>
        </w:tc>
        <w:tc>
          <w:tcPr>
            <w:tcW w:w="1425" w:type="dxa"/>
            <w:hideMark/>
          </w:tcPr>
          <w:p w14:paraId="2EE51699" w14:textId="77777777" w:rsidR="00513D55" w:rsidRDefault="00513D55">
            <w:pPr>
              <w:jc w:val="right"/>
              <w:rPr>
                <w:rFonts w:ascii="Arial Narrow" w:hAnsi="Arial Narrow" w:cs="Calibri"/>
                <w:color w:val="000000"/>
              </w:rPr>
            </w:pPr>
            <w:r>
              <w:rPr>
                <w:rFonts w:ascii="Arial Narrow" w:hAnsi="Arial Narrow" w:cs="Calibri"/>
                <w:color w:val="000000"/>
              </w:rPr>
              <w:t>2,100,893</w:t>
            </w:r>
          </w:p>
        </w:tc>
      </w:tr>
      <w:tr w:rsidR="00513D55" w14:paraId="6E371EC3" w14:textId="77777777" w:rsidTr="0078130E">
        <w:trPr>
          <w:trHeight w:val="337"/>
        </w:trPr>
        <w:tc>
          <w:tcPr>
            <w:tcW w:w="2122" w:type="dxa"/>
            <w:hideMark/>
          </w:tcPr>
          <w:p w14:paraId="209236A3" w14:textId="77777777" w:rsidR="00513D55" w:rsidRPr="000B6BFB" w:rsidRDefault="00513D55" w:rsidP="0078130E">
            <w:pPr>
              <w:rPr>
                <w:rFonts w:ascii="Arial Narrow" w:hAnsi="Arial Narrow" w:cs="Calibri"/>
                <w:color w:val="000000"/>
              </w:rPr>
            </w:pPr>
            <w:r w:rsidRPr="000B6BFB">
              <w:rPr>
                <w:rFonts w:ascii="Arial Narrow" w:hAnsi="Arial Narrow" w:cs="Calibri"/>
                <w:color w:val="000000"/>
              </w:rPr>
              <w:t>Benefit paid</w:t>
            </w:r>
          </w:p>
        </w:tc>
        <w:tc>
          <w:tcPr>
            <w:tcW w:w="772" w:type="dxa"/>
            <w:hideMark/>
          </w:tcPr>
          <w:p w14:paraId="2446D1B9" w14:textId="77777777" w:rsidR="00513D55" w:rsidRDefault="00513D55">
            <w:pPr>
              <w:jc w:val="right"/>
              <w:rPr>
                <w:rFonts w:ascii="Arial Narrow" w:hAnsi="Arial Narrow" w:cs="Calibri"/>
                <w:color w:val="000000"/>
              </w:rPr>
            </w:pPr>
            <w:r>
              <w:rPr>
                <w:rFonts w:ascii="Arial Narrow" w:hAnsi="Arial Narrow" w:cs="Calibri"/>
                <w:color w:val="000000"/>
              </w:rPr>
              <w:t>$47,999,069</w:t>
            </w:r>
          </w:p>
        </w:tc>
        <w:tc>
          <w:tcPr>
            <w:tcW w:w="1258" w:type="dxa"/>
            <w:hideMark/>
          </w:tcPr>
          <w:p w14:paraId="4BE87D20" w14:textId="77777777" w:rsidR="00513D55" w:rsidRDefault="00513D55">
            <w:pPr>
              <w:jc w:val="right"/>
              <w:rPr>
                <w:rFonts w:ascii="Arial Narrow" w:hAnsi="Arial Narrow" w:cs="Calibri"/>
                <w:color w:val="000000"/>
              </w:rPr>
            </w:pPr>
            <w:r>
              <w:rPr>
                <w:rFonts w:ascii="Arial Narrow" w:hAnsi="Arial Narrow" w:cs="Calibri"/>
                <w:color w:val="000000"/>
              </w:rPr>
              <w:t>$48,659,242</w:t>
            </w:r>
          </w:p>
        </w:tc>
        <w:tc>
          <w:tcPr>
            <w:tcW w:w="1258" w:type="dxa"/>
            <w:hideMark/>
          </w:tcPr>
          <w:p w14:paraId="31150313" w14:textId="77777777" w:rsidR="00513D55" w:rsidRDefault="00513D55">
            <w:pPr>
              <w:jc w:val="right"/>
              <w:rPr>
                <w:rFonts w:ascii="Arial Narrow" w:hAnsi="Arial Narrow" w:cs="Calibri"/>
                <w:color w:val="000000"/>
              </w:rPr>
            </w:pPr>
            <w:r>
              <w:rPr>
                <w:rFonts w:ascii="Arial Narrow" w:hAnsi="Arial Narrow" w:cs="Calibri"/>
                <w:color w:val="000000"/>
              </w:rPr>
              <w:t>$49,315,829</w:t>
            </w:r>
          </w:p>
        </w:tc>
        <w:tc>
          <w:tcPr>
            <w:tcW w:w="1258" w:type="dxa"/>
            <w:hideMark/>
          </w:tcPr>
          <w:p w14:paraId="0E23D090" w14:textId="77777777" w:rsidR="00513D55" w:rsidRDefault="00513D55">
            <w:pPr>
              <w:jc w:val="right"/>
              <w:rPr>
                <w:rFonts w:ascii="Arial Narrow" w:hAnsi="Arial Narrow" w:cs="Calibri"/>
                <w:color w:val="000000"/>
              </w:rPr>
            </w:pPr>
            <w:r>
              <w:rPr>
                <w:rFonts w:ascii="Arial Narrow" w:hAnsi="Arial Narrow" w:cs="Calibri"/>
                <w:color w:val="000000"/>
              </w:rPr>
              <w:t>$49,968,427</w:t>
            </w:r>
          </w:p>
        </w:tc>
        <w:tc>
          <w:tcPr>
            <w:tcW w:w="1258" w:type="dxa"/>
            <w:hideMark/>
          </w:tcPr>
          <w:p w14:paraId="0F04E3EE" w14:textId="77777777" w:rsidR="00513D55" w:rsidRDefault="00513D55">
            <w:pPr>
              <w:jc w:val="right"/>
              <w:rPr>
                <w:rFonts w:ascii="Arial Narrow" w:hAnsi="Arial Narrow" w:cs="Calibri"/>
                <w:color w:val="000000"/>
              </w:rPr>
            </w:pPr>
            <w:r>
              <w:rPr>
                <w:rFonts w:ascii="Arial Narrow" w:hAnsi="Arial Narrow" w:cs="Calibri"/>
                <w:color w:val="000000"/>
              </w:rPr>
              <w:t>$50,617,383</w:t>
            </w:r>
          </w:p>
        </w:tc>
        <w:tc>
          <w:tcPr>
            <w:tcW w:w="1425" w:type="dxa"/>
            <w:hideMark/>
          </w:tcPr>
          <w:p w14:paraId="49A8DD1B" w14:textId="77777777" w:rsidR="00513D55" w:rsidRDefault="00513D55">
            <w:pPr>
              <w:jc w:val="right"/>
              <w:rPr>
                <w:rFonts w:ascii="Arial Narrow" w:hAnsi="Arial Narrow" w:cs="Calibri"/>
                <w:color w:val="000000"/>
              </w:rPr>
            </w:pPr>
            <w:r>
              <w:rPr>
                <w:rFonts w:ascii="Arial Narrow" w:hAnsi="Arial Narrow" w:cs="Calibri"/>
                <w:color w:val="000000"/>
              </w:rPr>
              <w:t>$51,261,780</w:t>
            </w:r>
          </w:p>
        </w:tc>
      </w:tr>
      <w:tr w:rsidR="00513D55" w14:paraId="690C5DFD" w14:textId="77777777" w:rsidTr="0078130E">
        <w:trPr>
          <w:trHeight w:val="1141"/>
        </w:trPr>
        <w:tc>
          <w:tcPr>
            <w:tcW w:w="2122" w:type="dxa"/>
            <w:hideMark/>
          </w:tcPr>
          <w:p w14:paraId="53A40365" w14:textId="77777777" w:rsidR="00513D55" w:rsidRPr="0078130E" w:rsidRDefault="00513D55" w:rsidP="0078130E">
            <w:pPr>
              <w:rPr>
                <w:rFonts w:ascii="Arial Narrow" w:hAnsi="Arial Narrow" w:cs="Calibri"/>
                <w:color w:val="000000"/>
              </w:rPr>
            </w:pPr>
            <w:r w:rsidRPr="0078130E">
              <w:rPr>
                <w:rFonts w:ascii="Arial Narrow" w:hAnsi="Arial Narrow" w:cs="Calibri"/>
                <w:color w:val="000000"/>
              </w:rPr>
              <w:t>Item 69496 (replacing BBBB, CCCC, DDDD, EEEE)</w:t>
            </w:r>
          </w:p>
        </w:tc>
        <w:tc>
          <w:tcPr>
            <w:tcW w:w="772" w:type="dxa"/>
            <w:hideMark/>
          </w:tcPr>
          <w:p w14:paraId="56230A8A" w14:textId="77777777" w:rsidR="00513D55" w:rsidRDefault="00513D55">
            <w:pPr>
              <w:jc w:val="right"/>
              <w:rPr>
                <w:rFonts w:ascii="Arial Narrow" w:hAnsi="Arial Narrow" w:cs="Calibri"/>
                <w:color w:val="000000"/>
              </w:rPr>
            </w:pPr>
            <w:r>
              <w:rPr>
                <w:rFonts w:ascii="Arial Narrow" w:hAnsi="Arial Narrow" w:cs="Calibri"/>
                <w:color w:val="000000"/>
              </w:rPr>
              <w:t>2,516,109</w:t>
            </w:r>
          </w:p>
        </w:tc>
        <w:tc>
          <w:tcPr>
            <w:tcW w:w="1258" w:type="dxa"/>
            <w:hideMark/>
          </w:tcPr>
          <w:p w14:paraId="1958299A" w14:textId="77777777" w:rsidR="00513D55" w:rsidRDefault="00513D55">
            <w:pPr>
              <w:jc w:val="right"/>
              <w:rPr>
                <w:rFonts w:ascii="Arial Narrow" w:hAnsi="Arial Narrow" w:cs="Calibri"/>
                <w:color w:val="000000"/>
              </w:rPr>
            </w:pPr>
            <w:r>
              <w:rPr>
                <w:rFonts w:ascii="Arial Narrow" w:hAnsi="Arial Narrow" w:cs="Calibri"/>
                <w:color w:val="000000"/>
              </w:rPr>
              <w:t>2,550,716</w:t>
            </w:r>
          </w:p>
        </w:tc>
        <w:tc>
          <w:tcPr>
            <w:tcW w:w="1258" w:type="dxa"/>
            <w:hideMark/>
          </w:tcPr>
          <w:p w14:paraId="6640A7C6" w14:textId="77777777" w:rsidR="00513D55" w:rsidRDefault="00513D55">
            <w:pPr>
              <w:jc w:val="right"/>
              <w:rPr>
                <w:rFonts w:ascii="Arial Narrow" w:hAnsi="Arial Narrow" w:cs="Calibri"/>
                <w:color w:val="000000"/>
              </w:rPr>
            </w:pPr>
            <w:r>
              <w:rPr>
                <w:rFonts w:ascii="Arial Narrow" w:hAnsi="Arial Narrow" w:cs="Calibri"/>
                <w:color w:val="000000"/>
              </w:rPr>
              <w:t>2,585,135</w:t>
            </w:r>
          </w:p>
        </w:tc>
        <w:tc>
          <w:tcPr>
            <w:tcW w:w="1258" w:type="dxa"/>
            <w:hideMark/>
          </w:tcPr>
          <w:p w14:paraId="597144EC" w14:textId="77777777" w:rsidR="00513D55" w:rsidRDefault="00513D55">
            <w:pPr>
              <w:jc w:val="right"/>
              <w:rPr>
                <w:rFonts w:ascii="Arial Narrow" w:hAnsi="Arial Narrow" w:cs="Calibri"/>
                <w:color w:val="000000"/>
              </w:rPr>
            </w:pPr>
            <w:r>
              <w:rPr>
                <w:rFonts w:ascii="Arial Narrow" w:hAnsi="Arial Narrow" w:cs="Calibri"/>
                <w:color w:val="000000"/>
              </w:rPr>
              <w:t>2,619,345</w:t>
            </w:r>
          </w:p>
        </w:tc>
        <w:tc>
          <w:tcPr>
            <w:tcW w:w="1258" w:type="dxa"/>
            <w:hideMark/>
          </w:tcPr>
          <w:p w14:paraId="696E0473" w14:textId="77777777" w:rsidR="00513D55" w:rsidRDefault="00513D55">
            <w:pPr>
              <w:jc w:val="right"/>
              <w:rPr>
                <w:rFonts w:ascii="Arial Narrow" w:hAnsi="Arial Narrow" w:cs="Calibri"/>
                <w:color w:val="000000"/>
              </w:rPr>
            </w:pPr>
            <w:r>
              <w:rPr>
                <w:rFonts w:ascii="Arial Narrow" w:hAnsi="Arial Narrow" w:cs="Calibri"/>
                <w:color w:val="000000"/>
              </w:rPr>
              <w:t>2,653,363</w:t>
            </w:r>
          </w:p>
        </w:tc>
        <w:tc>
          <w:tcPr>
            <w:tcW w:w="1425" w:type="dxa"/>
            <w:hideMark/>
          </w:tcPr>
          <w:p w14:paraId="3CAD8D23" w14:textId="77777777" w:rsidR="00513D55" w:rsidRDefault="00513D55">
            <w:pPr>
              <w:jc w:val="right"/>
              <w:rPr>
                <w:rFonts w:ascii="Arial Narrow" w:hAnsi="Arial Narrow" w:cs="Calibri"/>
                <w:color w:val="000000"/>
              </w:rPr>
            </w:pPr>
            <w:r>
              <w:rPr>
                <w:rFonts w:ascii="Arial Narrow" w:hAnsi="Arial Narrow" w:cs="Calibri"/>
                <w:color w:val="000000"/>
              </w:rPr>
              <w:t>2,687,143</w:t>
            </w:r>
          </w:p>
        </w:tc>
      </w:tr>
      <w:tr w:rsidR="00513D55" w14:paraId="3C34E12B" w14:textId="77777777" w:rsidTr="0078130E">
        <w:trPr>
          <w:trHeight w:val="337"/>
        </w:trPr>
        <w:tc>
          <w:tcPr>
            <w:tcW w:w="2122" w:type="dxa"/>
            <w:hideMark/>
          </w:tcPr>
          <w:p w14:paraId="1A7EB0CB" w14:textId="77777777" w:rsidR="00513D55" w:rsidRDefault="00513D55" w:rsidP="0078130E">
            <w:pPr>
              <w:rPr>
                <w:rFonts w:ascii="Arial Narrow" w:hAnsi="Arial Narrow" w:cs="Calibri"/>
                <w:color w:val="000000"/>
              </w:rPr>
            </w:pPr>
            <w:r>
              <w:rPr>
                <w:rFonts w:ascii="Arial Narrow" w:hAnsi="Arial Narrow" w:cs="Calibri"/>
                <w:color w:val="000000"/>
              </w:rPr>
              <w:t>Benefit paid</w:t>
            </w:r>
          </w:p>
        </w:tc>
        <w:tc>
          <w:tcPr>
            <w:tcW w:w="772" w:type="dxa"/>
            <w:hideMark/>
          </w:tcPr>
          <w:p w14:paraId="09511538" w14:textId="77777777" w:rsidR="00513D55" w:rsidRDefault="00513D55">
            <w:pPr>
              <w:jc w:val="right"/>
              <w:rPr>
                <w:rFonts w:ascii="Arial Narrow" w:hAnsi="Arial Narrow" w:cs="Calibri"/>
                <w:color w:val="000000"/>
              </w:rPr>
            </w:pPr>
            <w:r>
              <w:rPr>
                <w:rFonts w:ascii="Arial Narrow" w:hAnsi="Arial Narrow" w:cs="Calibri"/>
                <w:color w:val="000000"/>
              </w:rPr>
              <w:t>$92,089,605</w:t>
            </w:r>
          </w:p>
        </w:tc>
        <w:tc>
          <w:tcPr>
            <w:tcW w:w="1258" w:type="dxa"/>
            <w:hideMark/>
          </w:tcPr>
          <w:p w14:paraId="06A7C509" w14:textId="77777777" w:rsidR="00513D55" w:rsidRDefault="00513D55">
            <w:pPr>
              <w:jc w:val="right"/>
              <w:rPr>
                <w:rFonts w:ascii="Arial Narrow" w:hAnsi="Arial Narrow" w:cs="Calibri"/>
                <w:color w:val="000000"/>
              </w:rPr>
            </w:pPr>
            <w:r>
              <w:rPr>
                <w:rFonts w:ascii="Arial Narrow" w:hAnsi="Arial Narrow" w:cs="Calibri"/>
                <w:color w:val="000000"/>
              </w:rPr>
              <w:t>$93,356,211</w:t>
            </w:r>
          </w:p>
        </w:tc>
        <w:tc>
          <w:tcPr>
            <w:tcW w:w="1258" w:type="dxa"/>
            <w:hideMark/>
          </w:tcPr>
          <w:p w14:paraId="6D3EACE1" w14:textId="77777777" w:rsidR="00513D55" w:rsidRDefault="00513D55">
            <w:pPr>
              <w:jc w:val="right"/>
              <w:rPr>
                <w:rFonts w:ascii="Arial Narrow" w:hAnsi="Arial Narrow" w:cs="Calibri"/>
                <w:color w:val="000000"/>
              </w:rPr>
            </w:pPr>
            <w:r>
              <w:rPr>
                <w:rFonts w:ascii="Arial Narrow" w:hAnsi="Arial Narrow" w:cs="Calibri"/>
                <w:color w:val="000000"/>
              </w:rPr>
              <w:t>$94,615,940</w:t>
            </w:r>
          </w:p>
        </w:tc>
        <w:tc>
          <w:tcPr>
            <w:tcW w:w="1258" w:type="dxa"/>
            <w:hideMark/>
          </w:tcPr>
          <w:p w14:paraId="187B1FF0" w14:textId="77777777" w:rsidR="00513D55" w:rsidRDefault="00513D55">
            <w:pPr>
              <w:jc w:val="right"/>
              <w:rPr>
                <w:rFonts w:ascii="Arial Narrow" w:hAnsi="Arial Narrow" w:cs="Calibri"/>
                <w:color w:val="000000"/>
              </w:rPr>
            </w:pPr>
            <w:r>
              <w:rPr>
                <w:rFonts w:ascii="Arial Narrow" w:hAnsi="Arial Narrow" w:cs="Calibri"/>
                <w:color w:val="000000"/>
              </w:rPr>
              <w:t>$95,868,014</w:t>
            </w:r>
          </w:p>
        </w:tc>
        <w:tc>
          <w:tcPr>
            <w:tcW w:w="1258" w:type="dxa"/>
            <w:hideMark/>
          </w:tcPr>
          <w:p w14:paraId="4684F8C1" w14:textId="77777777" w:rsidR="00513D55" w:rsidRDefault="00513D55">
            <w:pPr>
              <w:jc w:val="right"/>
              <w:rPr>
                <w:rFonts w:ascii="Arial Narrow" w:hAnsi="Arial Narrow" w:cs="Calibri"/>
                <w:color w:val="000000"/>
              </w:rPr>
            </w:pPr>
            <w:r>
              <w:rPr>
                <w:rFonts w:ascii="Arial Narrow" w:hAnsi="Arial Narrow" w:cs="Calibri"/>
                <w:color w:val="000000"/>
              </w:rPr>
              <w:t>$97,113,101</w:t>
            </w:r>
          </w:p>
        </w:tc>
        <w:tc>
          <w:tcPr>
            <w:tcW w:w="1425" w:type="dxa"/>
            <w:hideMark/>
          </w:tcPr>
          <w:p w14:paraId="7647D149" w14:textId="77777777" w:rsidR="00513D55" w:rsidRDefault="00513D55">
            <w:pPr>
              <w:jc w:val="right"/>
              <w:rPr>
                <w:rFonts w:ascii="Arial Narrow" w:hAnsi="Arial Narrow" w:cs="Calibri"/>
                <w:color w:val="000000"/>
              </w:rPr>
            </w:pPr>
            <w:r>
              <w:rPr>
                <w:rFonts w:ascii="Arial Narrow" w:hAnsi="Arial Narrow" w:cs="Calibri"/>
                <w:color w:val="000000"/>
              </w:rPr>
              <w:t>$98,349,444</w:t>
            </w:r>
          </w:p>
        </w:tc>
      </w:tr>
      <w:tr w:rsidR="00513D55" w14:paraId="15111CC4" w14:textId="77777777" w:rsidTr="0078130E">
        <w:trPr>
          <w:trHeight w:val="337"/>
        </w:trPr>
        <w:tc>
          <w:tcPr>
            <w:tcW w:w="2122" w:type="dxa"/>
            <w:hideMark/>
          </w:tcPr>
          <w:p w14:paraId="53AF0E01" w14:textId="3AA0B20E" w:rsidR="00513D55" w:rsidRPr="006326F6" w:rsidRDefault="001C696C" w:rsidP="0078130E">
            <w:pPr>
              <w:rPr>
                <w:rFonts w:ascii="Arial Narrow" w:hAnsi="Arial Narrow" w:cs="Calibri"/>
                <w:b/>
                <w:bCs/>
                <w:color w:val="000000"/>
              </w:rPr>
            </w:pPr>
            <w:r>
              <w:rPr>
                <w:rFonts w:ascii="Arial Narrow" w:hAnsi="Arial Narrow" w:cs="Calibri"/>
                <w:b/>
                <w:bCs/>
                <w:color w:val="000000"/>
              </w:rPr>
              <w:t>Total cost to</w:t>
            </w:r>
            <w:r w:rsidR="00513D55" w:rsidRPr="0043490D">
              <w:rPr>
                <w:rFonts w:ascii="Arial Narrow" w:hAnsi="Arial Narrow" w:cs="Calibri"/>
                <w:b/>
                <w:bCs/>
                <w:color w:val="000000"/>
              </w:rPr>
              <w:t xml:space="preserve"> MBS</w:t>
            </w:r>
          </w:p>
        </w:tc>
        <w:tc>
          <w:tcPr>
            <w:tcW w:w="772" w:type="dxa"/>
            <w:hideMark/>
          </w:tcPr>
          <w:p w14:paraId="7DB91EF7" w14:textId="77777777" w:rsidR="00513D55" w:rsidRPr="006326F6" w:rsidRDefault="00513D55">
            <w:pPr>
              <w:jc w:val="right"/>
              <w:rPr>
                <w:rFonts w:ascii="Arial Narrow" w:hAnsi="Arial Narrow" w:cs="Calibri"/>
                <w:b/>
                <w:bCs/>
                <w:color w:val="000000"/>
              </w:rPr>
            </w:pPr>
            <w:r w:rsidRPr="006326F6">
              <w:rPr>
                <w:rFonts w:ascii="Arial Narrow" w:hAnsi="Arial Narrow" w:cs="Calibri"/>
                <w:b/>
                <w:bCs/>
                <w:color w:val="000000"/>
              </w:rPr>
              <w:t>$140,088,675</w:t>
            </w:r>
          </w:p>
        </w:tc>
        <w:tc>
          <w:tcPr>
            <w:tcW w:w="1258" w:type="dxa"/>
            <w:hideMark/>
          </w:tcPr>
          <w:p w14:paraId="41E5EB6E" w14:textId="77777777" w:rsidR="00513D55" w:rsidRPr="006326F6" w:rsidRDefault="00513D55">
            <w:pPr>
              <w:jc w:val="right"/>
              <w:rPr>
                <w:rFonts w:ascii="Arial Narrow" w:hAnsi="Arial Narrow" w:cs="Calibri"/>
                <w:b/>
                <w:bCs/>
                <w:color w:val="000000"/>
              </w:rPr>
            </w:pPr>
            <w:r w:rsidRPr="006326F6">
              <w:rPr>
                <w:rFonts w:ascii="Arial Narrow" w:hAnsi="Arial Narrow" w:cs="Calibri"/>
                <w:b/>
                <w:bCs/>
                <w:color w:val="000000"/>
              </w:rPr>
              <w:t>$142,015,454</w:t>
            </w:r>
          </w:p>
        </w:tc>
        <w:tc>
          <w:tcPr>
            <w:tcW w:w="1258" w:type="dxa"/>
            <w:hideMark/>
          </w:tcPr>
          <w:p w14:paraId="2C85C4FC" w14:textId="77777777" w:rsidR="00513D55" w:rsidRPr="006326F6" w:rsidRDefault="00513D55">
            <w:pPr>
              <w:jc w:val="right"/>
              <w:rPr>
                <w:rFonts w:ascii="Arial Narrow" w:hAnsi="Arial Narrow" w:cs="Calibri"/>
                <w:b/>
                <w:bCs/>
                <w:color w:val="000000"/>
              </w:rPr>
            </w:pPr>
            <w:r w:rsidRPr="006326F6">
              <w:rPr>
                <w:rFonts w:ascii="Arial Narrow" w:hAnsi="Arial Narrow" w:cs="Calibri"/>
                <w:b/>
                <w:bCs/>
                <w:color w:val="000000"/>
              </w:rPr>
              <w:t>$143,931,769</w:t>
            </w:r>
          </w:p>
        </w:tc>
        <w:tc>
          <w:tcPr>
            <w:tcW w:w="1258" w:type="dxa"/>
            <w:hideMark/>
          </w:tcPr>
          <w:p w14:paraId="22E2D236" w14:textId="77777777" w:rsidR="00513D55" w:rsidRPr="006326F6" w:rsidRDefault="00513D55">
            <w:pPr>
              <w:jc w:val="right"/>
              <w:rPr>
                <w:rFonts w:ascii="Arial Narrow" w:hAnsi="Arial Narrow" w:cs="Calibri"/>
                <w:b/>
                <w:bCs/>
                <w:color w:val="000000"/>
              </w:rPr>
            </w:pPr>
            <w:r w:rsidRPr="006326F6">
              <w:rPr>
                <w:rFonts w:ascii="Arial Narrow" w:hAnsi="Arial Narrow" w:cs="Calibri"/>
                <w:b/>
                <w:bCs/>
                <w:color w:val="000000"/>
              </w:rPr>
              <w:t>$145,836,441</w:t>
            </w:r>
          </w:p>
        </w:tc>
        <w:tc>
          <w:tcPr>
            <w:tcW w:w="1258" w:type="dxa"/>
            <w:hideMark/>
          </w:tcPr>
          <w:p w14:paraId="72A73336" w14:textId="77777777" w:rsidR="00513D55" w:rsidRPr="006326F6" w:rsidRDefault="00513D55">
            <w:pPr>
              <w:jc w:val="right"/>
              <w:rPr>
                <w:rFonts w:ascii="Arial Narrow" w:hAnsi="Arial Narrow" w:cs="Calibri"/>
                <w:b/>
                <w:bCs/>
                <w:color w:val="000000"/>
              </w:rPr>
            </w:pPr>
            <w:r w:rsidRPr="006326F6">
              <w:rPr>
                <w:rFonts w:ascii="Arial Narrow" w:hAnsi="Arial Narrow" w:cs="Calibri"/>
                <w:b/>
                <w:bCs/>
                <w:color w:val="000000"/>
              </w:rPr>
              <w:t>$147,730,484</w:t>
            </w:r>
          </w:p>
        </w:tc>
        <w:tc>
          <w:tcPr>
            <w:tcW w:w="1425" w:type="dxa"/>
            <w:hideMark/>
          </w:tcPr>
          <w:p w14:paraId="13649768" w14:textId="77777777" w:rsidR="00513D55" w:rsidRPr="006326F6" w:rsidRDefault="00513D55">
            <w:pPr>
              <w:jc w:val="right"/>
              <w:rPr>
                <w:rFonts w:ascii="Arial Narrow" w:hAnsi="Arial Narrow" w:cs="Calibri"/>
                <w:b/>
                <w:bCs/>
                <w:color w:val="000000"/>
              </w:rPr>
            </w:pPr>
            <w:r w:rsidRPr="006326F6">
              <w:rPr>
                <w:rFonts w:ascii="Arial Narrow" w:hAnsi="Arial Narrow" w:cs="Calibri"/>
                <w:b/>
                <w:bCs/>
                <w:color w:val="000000"/>
              </w:rPr>
              <w:t>$149,611,224</w:t>
            </w:r>
          </w:p>
        </w:tc>
      </w:tr>
    </w:tbl>
    <w:p w14:paraId="143BE7CE" w14:textId="1D92C23F" w:rsidR="00513D55" w:rsidRPr="00213A76" w:rsidRDefault="00513D55" w:rsidP="0078130E">
      <w:pPr>
        <w:pStyle w:val="TableFooter"/>
        <w:spacing w:before="0"/>
      </w:pPr>
      <w:r>
        <w:t>Source: DCAR Table 67</w:t>
      </w:r>
    </w:p>
    <w:p w14:paraId="7838A9FF" w14:textId="26A7AE4E" w:rsidR="00772829" w:rsidRDefault="00C36633" w:rsidP="002A18BE">
      <w:pPr>
        <w:pStyle w:val="Heading2"/>
        <w:numPr>
          <w:ilvl w:val="0"/>
          <w:numId w:val="0"/>
        </w:numPr>
      </w:pPr>
      <w:r>
        <w:t>1</w:t>
      </w:r>
      <w:r w:rsidR="00CB2E78">
        <w:t>5</w:t>
      </w:r>
      <w:r>
        <w:t>.</w:t>
      </w:r>
      <w:r>
        <w:tab/>
      </w:r>
      <w:r w:rsidR="00772829" w:rsidRPr="00CE28E3">
        <w:t xml:space="preserve">Other relevant </w:t>
      </w:r>
      <w:r w:rsidR="00FA5766">
        <w:t>information</w:t>
      </w:r>
      <w:bookmarkEnd w:id="47"/>
    </w:p>
    <w:p w14:paraId="54E5A97C" w14:textId="53DBC754" w:rsidR="00A27DB3" w:rsidRPr="00A27DB3" w:rsidRDefault="00A27DB3" w:rsidP="00A27DB3">
      <w:r>
        <w:t>Nil.</w:t>
      </w:r>
    </w:p>
    <w:p w14:paraId="66D51347" w14:textId="25CCE031" w:rsidR="00CB2E78" w:rsidRDefault="00CB2E78" w:rsidP="00CB2E78">
      <w:pPr>
        <w:pStyle w:val="Heading2"/>
        <w:numPr>
          <w:ilvl w:val="0"/>
          <w:numId w:val="0"/>
        </w:numPr>
      </w:pPr>
      <w:r>
        <w:t>16.</w:t>
      </w:r>
      <w:r>
        <w:tab/>
        <w:t>Key issues from ESC to MSAC</w:t>
      </w:r>
    </w:p>
    <w:p w14:paraId="1D606D6F" w14:textId="77777777" w:rsidR="00CB2E78" w:rsidRDefault="00CB2E78" w:rsidP="00CB2E78">
      <w:pPr>
        <w:pStyle w:val="BoxName0"/>
      </w:pPr>
      <w:r w:rsidRPr="00C749CB">
        <w:t>Main issues for MSAC consideration</w:t>
      </w:r>
    </w:p>
    <w:p w14:paraId="17530BCD" w14:textId="77777777" w:rsidR="00CB2E78" w:rsidRDefault="00CB2E78" w:rsidP="00CB2E78">
      <w:pPr>
        <w:pStyle w:val="BoxHeading"/>
      </w:pPr>
      <w:r>
        <w:t>Clinical issues:</w:t>
      </w:r>
    </w:p>
    <w:p w14:paraId="67F86E18" w14:textId="77777777" w:rsidR="00CB2E78" w:rsidRDefault="00CB2E78" w:rsidP="00CB2E78">
      <w:pPr>
        <w:pStyle w:val="BoxBullet"/>
      </w:pPr>
      <w:r>
        <w:t xml:space="preserve">The </w:t>
      </w:r>
      <w:r w:rsidRPr="001A772E">
        <w:t>DCAR</w:t>
      </w:r>
      <w:r>
        <w:t>’s</w:t>
      </w:r>
      <w:r w:rsidRPr="001A772E">
        <w:t xml:space="preserve"> </w:t>
      </w:r>
      <w:r>
        <w:t>assumption</w:t>
      </w:r>
      <w:r w:rsidRPr="001A772E">
        <w:t xml:space="preserve"> that </w:t>
      </w:r>
      <w:r>
        <w:t>comparative safety and effectiveness would be the same between the intervention and comparator may not be correct.</w:t>
      </w:r>
      <w:r w:rsidRPr="001A772E">
        <w:t xml:space="preserve"> </w:t>
      </w:r>
      <w:r>
        <w:t xml:space="preserve">The available evidence was limited, but because multi-pathogen testing (option 1) may drive best clinical practice it may be associated with some </w:t>
      </w:r>
      <w:r w:rsidRPr="001A772E">
        <w:t xml:space="preserve">incremental </w:t>
      </w:r>
      <w:r>
        <w:t xml:space="preserve">clinical </w:t>
      </w:r>
      <w:r w:rsidRPr="001A772E">
        <w:t>effectiveness</w:t>
      </w:r>
      <w:r>
        <w:t xml:space="preserve">. Multi-pathogen testing may potentially reduce the number of tests requested per patient to ascertain the diagnosis, allow earlier PBS-listed antiviral treatment in high-risk patients, and improve clinical management from </w:t>
      </w:r>
      <w:r w:rsidRPr="001A772E">
        <w:t xml:space="preserve">patient </w:t>
      </w:r>
      <w:proofErr w:type="spellStart"/>
      <w:r w:rsidRPr="001A772E">
        <w:t>cohorting</w:t>
      </w:r>
      <w:proofErr w:type="spellEnd"/>
      <w:r w:rsidRPr="001A772E">
        <w:t xml:space="preserve"> and/or quarantining based on </w:t>
      </w:r>
      <w:r>
        <w:t xml:space="preserve">respiratory pathogen </w:t>
      </w:r>
      <w:r w:rsidRPr="001A772E">
        <w:t>test results</w:t>
      </w:r>
      <w:r>
        <w:t xml:space="preserve">. </w:t>
      </w:r>
    </w:p>
    <w:p w14:paraId="40A47885" w14:textId="77777777" w:rsidR="00CB2E78" w:rsidRDefault="00CB2E78" w:rsidP="00CB2E78">
      <w:pPr>
        <w:pStyle w:val="BoxBullet"/>
      </w:pPr>
      <w:r>
        <w:t>The main safety issue was the risk of a false-negative result with rapid NAATs, however rapid NAATs currently comprise a very small proportion (&lt;0.01%) of MBS-funded SARS-CoV-2 testing.</w:t>
      </w:r>
    </w:p>
    <w:p w14:paraId="00B04C14" w14:textId="77777777" w:rsidR="00CB2E78" w:rsidRDefault="00CB2E78" w:rsidP="00CB2E78">
      <w:pPr>
        <w:pStyle w:val="BoxBullet"/>
      </w:pPr>
      <w:r>
        <w:t xml:space="preserve">Rapid NAATs are more expensive but have faster turnaround times than standard NAATs. MSAC may wish to consider whether a separate MBS item (or items) at a higher fee </w:t>
      </w:r>
      <w:proofErr w:type="gramStart"/>
      <w:r>
        <w:t>are</w:t>
      </w:r>
      <w:proofErr w:type="gramEnd"/>
      <w:r>
        <w:t xml:space="preserve"> warranted for rapid NAATs, for settings where the turnaround time of standard NAATs is likely to be longer than 24 hours (e.g. remote and regional areas), as rapid NAATs may be associated with additional clinical utility in remote areas. However, the MBS is typically </w:t>
      </w:r>
      <w:r w:rsidRPr="0054343B">
        <w:t>method</w:t>
      </w:r>
      <w:r>
        <w:t>-</w:t>
      </w:r>
      <w:r w:rsidRPr="0054343B">
        <w:t xml:space="preserve">agnostic and items for high-cost methodologies would </w:t>
      </w:r>
      <w:r>
        <w:t>need to be justified</w:t>
      </w:r>
      <w:r w:rsidRPr="0054343B">
        <w:t>.</w:t>
      </w:r>
    </w:p>
    <w:p w14:paraId="066352DE" w14:textId="3FC17E75" w:rsidR="00CB2E78" w:rsidRDefault="00CB2E78" w:rsidP="00CB2E78">
      <w:pPr>
        <w:pStyle w:val="BoxBullet"/>
      </w:pPr>
      <w:r>
        <w:t xml:space="preserve">A two-step ladder of MBS items comprised of 4 and </w:t>
      </w:r>
      <w:r w:rsidR="1F1D4991">
        <w:t>≥</w:t>
      </w:r>
      <w:r>
        <w:t>5 respiratory pathogen tests (o</w:t>
      </w:r>
      <w:r w:rsidRPr="000D7194">
        <w:t>ption 1</w:t>
      </w:r>
      <w:r>
        <w:t xml:space="preserve">) </w:t>
      </w:r>
      <w:proofErr w:type="gramStart"/>
      <w:r w:rsidRPr="000D7194">
        <w:t>appears</w:t>
      </w:r>
      <w:proofErr w:type="gramEnd"/>
      <w:r w:rsidRPr="000D7194">
        <w:t xml:space="preserve"> to align with best clinical practice</w:t>
      </w:r>
      <w:r>
        <w:t xml:space="preserve"> given the presentation and potential differential </w:t>
      </w:r>
      <w:r>
        <w:lastRenderedPageBreak/>
        <w:t>diagnosis of the common notifiable viral respiratory diseases, so may be preferred over making the current temporary items permanent (option 2) or reverting to generic items (option 3)</w:t>
      </w:r>
      <w:r w:rsidRPr="000D7194">
        <w:t xml:space="preserve">. </w:t>
      </w:r>
    </w:p>
    <w:p w14:paraId="2B6EB996" w14:textId="77777777" w:rsidR="00CB2E78" w:rsidRDefault="00CB2E78" w:rsidP="00CB2E78">
      <w:pPr>
        <w:pStyle w:val="BoxBullet"/>
      </w:pPr>
      <w:r>
        <w:t>Wide variation in utilisation between different jurisdictions may imply that the current temporary item ladder is confusing, with requests not necessarily being based on clinical indication. The current five-step temporary item ladder also does not align well with the testing offered by laboratories.</w:t>
      </w:r>
    </w:p>
    <w:p w14:paraId="51D27189" w14:textId="77777777" w:rsidR="00CB2E78" w:rsidRDefault="00CB2E78" w:rsidP="00CB2E78">
      <w:pPr>
        <w:pStyle w:val="BoxBullet"/>
      </w:pPr>
      <w:r>
        <w:t xml:space="preserve">The inclusion of </w:t>
      </w:r>
      <w:r w:rsidRPr="000D7194">
        <w:t>SARS-CoV-2</w:t>
      </w:r>
      <w:r>
        <w:t xml:space="preserve"> in a multi-pathogen test may not need to be mandatory in the long term, as the relevance of specific respiratory pathogens will change over time. </w:t>
      </w:r>
      <w:proofErr w:type="gramStart"/>
      <w:r>
        <w:t>However</w:t>
      </w:r>
      <w:proofErr w:type="gramEnd"/>
      <w:r>
        <w:t xml:space="preserve"> SARS-CoV-2 could still be included as a target in the revised MBS item descriptors due to its current relevance, alongside the other respiratory pathogens proposed for the 4-pathogen test: influenza A and B, and RSV.</w:t>
      </w:r>
    </w:p>
    <w:p w14:paraId="115A7E9C" w14:textId="77777777" w:rsidR="00CB2E78" w:rsidRDefault="00CB2E78" w:rsidP="00CB2E78">
      <w:pPr>
        <w:pStyle w:val="BoxBullet"/>
      </w:pPr>
      <w:r w:rsidRPr="0072615D">
        <w:t xml:space="preserve">The proposal for </w:t>
      </w:r>
      <w:r>
        <w:t>two</w:t>
      </w:r>
      <w:r w:rsidRPr="0072615D">
        <w:t xml:space="preserve"> multiplex items makes clinical sense, but a standalone SARS-CoV-2 </w:t>
      </w:r>
      <w:r>
        <w:t xml:space="preserve">item (with an appropriate fee) </w:t>
      </w:r>
      <w:r w:rsidRPr="0072615D">
        <w:t xml:space="preserve">may also </w:t>
      </w:r>
      <w:r>
        <w:t xml:space="preserve">continue to </w:t>
      </w:r>
      <w:r w:rsidRPr="0072615D">
        <w:t>be needed</w:t>
      </w:r>
      <w:r>
        <w:t xml:space="preserve"> in the short term. Appropriate r</w:t>
      </w:r>
      <w:r w:rsidRPr="0072615D">
        <w:t>eimbursement for multipl</w:t>
      </w:r>
      <w:r>
        <w:t>ex</w:t>
      </w:r>
      <w:r w:rsidRPr="0072615D">
        <w:t xml:space="preserve"> items would be expected to incentivise best practice in testing for respiratory pathogens.</w:t>
      </w:r>
    </w:p>
    <w:p w14:paraId="57B7DCC5" w14:textId="77777777" w:rsidR="00CB2E78" w:rsidRDefault="00CB2E78" w:rsidP="00CB2E78">
      <w:pPr>
        <w:pStyle w:val="BoxBullet"/>
      </w:pPr>
      <w:r>
        <w:t>There remains a need for comprehensive and current national respiratory pathogen testing guidelines.</w:t>
      </w:r>
    </w:p>
    <w:p w14:paraId="439D50F3" w14:textId="77777777" w:rsidR="00CB2E78" w:rsidRDefault="00CB2E78" w:rsidP="00CB2E78">
      <w:pPr>
        <w:pStyle w:val="BoxHeading"/>
      </w:pPr>
      <w:r>
        <w:t>Economic issues:</w:t>
      </w:r>
    </w:p>
    <w:p w14:paraId="05375CE3" w14:textId="77777777" w:rsidR="00CB2E78" w:rsidRPr="0072615D" w:rsidRDefault="00CB2E78" w:rsidP="00CB2E78">
      <w:pPr>
        <w:pStyle w:val="BoxBullet"/>
      </w:pPr>
      <w:r>
        <w:t>The DCAR’s assumption of no incremental effectiveness effectively reduced the cost-consequences analysis to a cost comparison and may have underestimated the clinical effectiveness of multi-pathogen testing.</w:t>
      </w:r>
    </w:p>
    <w:p w14:paraId="37F32571" w14:textId="77777777" w:rsidR="00CB2E78" w:rsidRDefault="00CB2E78" w:rsidP="00CB2E78">
      <w:pPr>
        <w:pStyle w:val="BoxHeading"/>
      </w:pPr>
      <w:r>
        <w:t>Financial issues:</w:t>
      </w:r>
    </w:p>
    <w:p w14:paraId="05F023A4" w14:textId="77777777" w:rsidR="00CB2E78" w:rsidRDefault="00CB2E78" w:rsidP="00CB2E78">
      <w:pPr>
        <w:pStyle w:val="BoxBullet"/>
      </w:pPr>
      <w:r w:rsidRPr="0072615D">
        <w:t xml:space="preserve">The justification of the proposed fees </w:t>
      </w:r>
      <w:r>
        <w:t>wa</w:t>
      </w:r>
      <w:r w:rsidRPr="0072615D">
        <w:t xml:space="preserve">s based on </w:t>
      </w:r>
      <w:r>
        <w:t>the</w:t>
      </w:r>
      <w:r w:rsidRPr="0072615D">
        <w:t xml:space="preserve"> HTA</w:t>
      </w:r>
      <w:r>
        <w:t>-</w:t>
      </w:r>
      <w:r w:rsidRPr="0072615D">
        <w:t>group</w:t>
      </w:r>
      <w:r>
        <w:t>’s</w:t>
      </w:r>
      <w:r w:rsidRPr="0072615D">
        <w:t xml:space="preserve"> consultations with stakeholders. The DCAR acknowledge</w:t>
      </w:r>
      <w:r>
        <w:t>d</w:t>
      </w:r>
      <w:r w:rsidRPr="0072615D">
        <w:t xml:space="preserve"> the uncertainty in these fees.</w:t>
      </w:r>
    </w:p>
    <w:p w14:paraId="6893F7E8" w14:textId="77777777" w:rsidR="00CB2E78" w:rsidRPr="000715DF" w:rsidRDefault="00CB2E78" w:rsidP="00CB2E78">
      <w:pPr>
        <w:pStyle w:val="BoxBullet"/>
      </w:pPr>
      <w:r>
        <w:t>Estimated u</w:t>
      </w:r>
      <w:r w:rsidRPr="0078130E">
        <w:t xml:space="preserve">tilisation </w:t>
      </w:r>
      <w:r>
        <w:t>was uncertain given long-term data do not exist in relation to SARS-CoV-2 testing in a post-pandemic context.</w:t>
      </w:r>
    </w:p>
    <w:p w14:paraId="0F9A7B5E" w14:textId="77777777" w:rsidR="00CB2E78" w:rsidRDefault="00CB2E78" w:rsidP="00CB2E78">
      <w:pPr>
        <w:pStyle w:val="BoxBullet"/>
        <w:rPr>
          <w:b/>
          <w:bCs/>
        </w:rPr>
      </w:pPr>
      <w:r>
        <w:t>T</w:t>
      </w:r>
      <w:r w:rsidRPr="0072615D">
        <w:t xml:space="preserve">he financial implications for the MBS </w:t>
      </w:r>
      <w:r>
        <w:t xml:space="preserve">are </w:t>
      </w:r>
      <w:r w:rsidRPr="0072615D">
        <w:t xml:space="preserve">high and uncertain. </w:t>
      </w:r>
      <w:r>
        <w:t>A</w:t>
      </w:r>
      <w:r w:rsidRPr="0072615D">
        <w:t>llowing for a stand-alone item for SAR</w:t>
      </w:r>
      <w:r>
        <w:t>S</w:t>
      </w:r>
      <w:r w:rsidRPr="0072615D">
        <w:t>-CoV-2</w:t>
      </w:r>
      <w:r>
        <w:t xml:space="preserve"> testing</w:t>
      </w:r>
      <w:r w:rsidRPr="0072615D">
        <w:t xml:space="preserve">, in addition to the </w:t>
      </w:r>
      <w:r>
        <w:t xml:space="preserve">proposed </w:t>
      </w:r>
      <w:r w:rsidRPr="0072615D">
        <w:t>4-pathogen and ≥5 pathogen panels</w:t>
      </w:r>
      <w:r>
        <w:t xml:space="preserve"> (option 1b),</w:t>
      </w:r>
      <w:r w:rsidRPr="0072615D">
        <w:t xml:space="preserve"> would reduce the </w:t>
      </w:r>
      <w:r>
        <w:t>financial</w:t>
      </w:r>
      <w:r w:rsidRPr="0072615D">
        <w:t xml:space="preserve"> impact to the MBS</w:t>
      </w:r>
      <w:r>
        <w:t xml:space="preserve"> compared to the 4-pathogen and </w:t>
      </w:r>
      <w:r w:rsidRPr="0072615D">
        <w:t>≥5 pathogen panels</w:t>
      </w:r>
      <w:r>
        <w:t xml:space="preserve"> alone (option 1a)</w:t>
      </w:r>
      <w:r w:rsidRPr="0072615D">
        <w:t>.</w:t>
      </w:r>
    </w:p>
    <w:p w14:paraId="347B70D5" w14:textId="77777777" w:rsidR="00CB2E78" w:rsidRDefault="00CB2E78" w:rsidP="00CB2E78">
      <w:pPr>
        <w:pStyle w:val="BoxHeading"/>
      </w:pPr>
      <w:r>
        <w:t>Other relevant information:</w:t>
      </w:r>
    </w:p>
    <w:p w14:paraId="7EA4713E" w14:textId="77777777" w:rsidR="00CB2E78" w:rsidRDefault="00CB2E78" w:rsidP="00CB2E78">
      <w:pPr>
        <w:pStyle w:val="BoxBullet"/>
      </w:pPr>
      <w:r>
        <w:t xml:space="preserve">If rapid NAATs are to be </w:t>
      </w:r>
      <w:proofErr w:type="gramStart"/>
      <w:r>
        <w:t>funded</w:t>
      </w:r>
      <w:proofErr w:type="gramEnd"/>
      <w:r>
        <w:t xml:space="preserve"> then standards would be needed to ensure that only those tests with acceptable analytical validity are funded. </w:t>
      </w:r>
    </w:p>
    <w:p w14:paraId="05995DE0" w14:textId="77777777" w:rsidR="00CB2E78" w:rsidRDefault="00CB2E78" w:rsidP="00CB2E78">
      <w:pPr>
        <w:pStyle w:val="BoxBullet"/>
      </w:pPr>
      <w:r>
        <w:t xml:space="preserve">It was noted that rapid NAAT product details on the TGA website are insufficient to allow independent risk-of-bias assessments on the performance of analytic validity of TGA-approved tests. This could be addressed for future assessments by requiring manufacturers to publish the Instructions for Use (IFU), as is currently mandated for the </w:t>
      </w:r>
      <w:r w:rsidRPr="0058351B">
        <w:t>Product Information for medicine</w:t>
      </w:r>
      <w:r>
        <w:t>s.</w:t>
      </w:r>
    </w:p>
    <w:p w14:paraId="67B301B6" w14:textId="77777777" w:rsidR="00CB2E78" w:rsidRDefault="00CB2E78" w:rsidP="00CB2E78">
      <w:pPr>
        <w:spacing w:before="240"/>
        <w:rPr>
          <w:rStyle w:val="Strong"/>
          <w:rFonts w:cs="Times New Roman"/>
          <w:color w:val="000000"/>
          <w:szCs w:val="20"/>
          <w:lang w:eastAsia="en-AU"/>
        </w:rPr>
      </w:pPr>
      <w:r w:rsidRPr="00194327">
        <w:rPr>
          <w:rStyle w:val="Strong"/>
        </w:rPr>
        <w:t>ESC discussion</w:t>
      </w:r>
    </w:p>
    <w:p w14:paraId="59558AD1" w14:textId="77777777" w:rsidR="00CB2E78" w:rsidRDefault="00CB2E78" w:rsidP="00CB2E78">
      <w:r>
        <w:t xml:space="preserve">ESC noted that this application sought MSAC’s advice on </w:t>
      </w:r>
      <w:r w:rsidRPr="00332A21">
        <w:t xml:space="preserve">permanent </w:t>
      </w:r>
      <w:r>
        <w:t>Medicare Benefits Schedule (</w:t>
      </w:r>
      <w:r w:rsidRPr="00332A21">
        <w:t>MBS</w:t>
      </w:r>
      <w:r>
        <w:t>)</w:t>
      </w:r>
      <w:r w:rsidRPr="00332A21">
        <w:t xml:space="preserve"> items for the use and public funding of laboratory-based </w:t>
      </w:r>
      <w:r>
        <w:t>polymerase chain reaction (</w:t>
      </w:r>
      <w:r w:rsidRPr="00332A21">
        <w:t>PCR</w:t>
      </w:r>
      <w:r>
        <w:t>)</w:t>
      </w:r>
      <w:r w:rsidRPr="00332A21">
        <w:t xml:space="preserve"> testing for SARS-CoV-2, including the use and utility of multiplex PCR testing for SARS-CoV-2 and other respiratory pathogens</w:t>
      </w:r>
      <w:r>
        <w:t>, on behalf of the Minister for Health and Aged Care</w:t>
      </w:r>
      <w:r w:rsidRPr="00332A21">
        <w:t>.</w:t>
      </w:r>
    </w:p>
    <w:p w14:paraId="41BB5CC0" w14:textId="77777777" w:rsidR="00CB2E78" w:rsidRDefault="00CB2E78" w:rsidP="00CB2E78">
      <w:r>
        <w:t xml:space="preserve">ESC noted that three generic MBS items for generic pathogen testing (MBS items </w:t>
      </w:r>
      <w:r w:rsidRPr="00427D48">
        <w:t>69494</w:t>
      </w:r>
      <w:r>
        <w:t xml:space="preserve">-6 for 1, 2 and 3+ tests) have been available since May 2007. Following the onset of the COVID-19 </w:t>
      </w:r>
      <w:r>
        <w:lastRenderedPageBreak/>
        <w:t xml:space="preserve">pandemic temporary MBS items for </w:t>
      </w:r>
      <w:r w:rsidRPr="00F93F99">
        <w:t>nucleic acid amplification test</w:t>
      </w:r>
      <w:r>
        <w:t>s (</w:t>
      </w:r>
      <w:r w:rsidRPr="00F93F99">
        <w:t>NAAT</w:t>
      </w:r>
      <w:r>
        <w:t>s) were listed on the MBS on 1 April 2020, which in combination with the generic items funded testing for SARS-CoV-2 and other respiratory pathogens (MBS item 69479 for the public setting and 69480 for the private setting). Since 1 October 2022, those temporary items were replaced with a five-step ladder of temporary MBS items for the detection of SARS-CoV-2 and other pathogens in the public setting (items 69506-10) and private setting (items 69511-15), for 1, 2-4, 5-8, 9-12, or 13+ tests. ESC noted that in the absence of a decision of Government to embed permanent items in the MBS the current temporary items will expire on 31 December 2023, and testing for SARS-CoV-2 will revert to using the generic items 69494-6. This application therefore sought MSAC’s advice on behalf of the Minister on the public funding of SARS-CoV-2 NAAT after this date. ESC noted that on 5 May 2023, the World Health Organization (WHO) had declared that COVID-19 is no longer a global health emergency.</w:t>
      </w:r>
    </w:p>
    <w:p w14:paraId="4BE21002" w14:textId="77777777" w:rsidR="00CB2E78" w:rsidRDefault="00CB2E78" w:rsidP="00CB2E78">
      <w:pPr>
        <w:pStyle w:val="NormalBeforeBullet0"/>
      </w:pPr>
      <w:r>
        <w:t>ESC noted that the DCAR presented three options for the future of MBS-funded SARS-CoV-2 testing:</w:t>
      </w:r>
    </w:p>
    <w:p w14:paraId="3A8D09E6" w14:textId="77777777" w:rsidR="00CB2E78" w:rsidRDefault="00CB2E78" w:rsidP="009746CA">
      <w:pPr>
        <w:pStyle w:val="ListParagraph"/>
        <w:numPr>
          <w:ilvl w:val="0"/>
          <w:numId w:val="22"/>
        </w:numPr>
        <w:spacing w:before="0" w:after="0" w:line="240" w:lineRule="auto"/>
      </w:pPr>
      <w:r>
        <w:t xml:space="preserve">Option 1: A two-item multi-pathogen testing ladder proposed by the assessment group: </w:t>
      </w:r>
      <w:r w:rsidRPr="0090697C">
        <w:t xml:space="preserve">Item XXXX for 4 pathogens (SARS-CoV-2, </w:t>
      </w:r>
      <w:r>
        <w:t>i</w:t>
      </w:r>
      <w:r w:rsidRPr="0090697C">
        <w:t xml:space="preserve">nfluenza A and B, </w:t>
      </w:r>
      <w:r>
        <w:t>and respiratory syncytial virus (</w:t>
      </w:r>
      <w:r w:rsidRPr="0090697C">
        <w:t>RSV</w:t>
      </w:r>
      <w:r>
        <w:t>)</w:t>
      </w:r>
      <w:r w:rsidRPr="0090697C">
        <w:t>)</w:t>
      </w:r>
      <w:r>
        <w:t xml:space="preserve">, and </w:t>
      </w:r>
      <w:r w:rsidRPr="0090697C">
        <w:t xml:space="preserve">Item YYYY for </w:t>
      </w:r>
      <w:r>
        <w:t>≥5</w:t>
      </w:r>
      <w:r w:rsidRPr="0090697C">
        <w:t xml:space="preserve"> pathogens (SARS-CoV-2, </w:t>
      </w:r>
      <w:r>
        <w:t>i</w:t>
      </w:r>
      <w:r w:rsidRPr="0090697C">
        <w:t>nfluenza A and B, RSV</w:t>
      </w:r>
      <w:r>
        <w:t xml:space="preserve">, </w:t>
      </w:r>
      <w:r w:rsidRPr="0090697C">
        <w:t xml:space="preserve">plus other viral or non-viral </w:t>
      </w:r>
      <w:r>
        <w:t xml:space="preserve">respiratory </w:t>
      </w:r>
      <w:r w:rsidRPr="0090697C">
        <w:t>pathogens)</w:t>
      </w:r>
      <w:r>
        <w:t>. This proposal also included two sub-options:</w:t>
      </w:r>
    </w:p>
    <w:p w14:paraId="4FC188FB" w14:textId="77777777" w:rsidR="00CB2E78" w:rsidRDefault="00CB2E78" w:rsidP="009746CA">
      <w:pPr>
        <w:pStyle w:val="ListParagraph"/>
        <w:numPr>
          <w:ilvl w:val="1"/>
          <w:numId w:val="22"/>
        </w:numPr>
        <w:spacing w:before="0" w:after="0" w:line="240" w:lineRule="auto"/>
      </w:pPr>
      <w:r>
        <w:t>Where testing for SARS-CoV-2 alone ceases (option 1a</w:t>
      </w:r>
      <w:proofErr w:type="gramStart"/>
      <w:r>
        <w:t>);</w:t>
      </w:r>
      <w:proofErr w:type="gramEnd"/>
    </w:p>
    <w:p w14:paraId="4EB0E983" w14:textId="77777777" w:rsidR="00CB2E78" w:rsidRPr="0090697C" w:rsidRDefault="00CB2E78" w:rsidP="009746CA">
      <w:pPr>
        <w:pStyle w:val="ListParagraph"/>
        <w:numPr>
          <w:ilvl w:val="1"/>
          <w:numId w:val="22"/>
        </w:numPr>
        <w:spacing w:before="0" w:after="0" w:line="240" w:lineRule="auto"/>
      </w:pPr>
      <w:r>
        <w:t>Where testing for SARS-CoV-2 alone continues under 69494 (option 1b).</w:t>
      </w:r>
    </w:p>
    <w:p w14:paraId="73FB28BE" w14:textId="77777777" w:rsidR="00CB2E78" w:rsidRDefault="00CB2E78" w:rsidP="009746CA">
      <w:pPr>
        <w:pStyle w:val="ListParagraph"/>
        <w:numPr>
          <w:ilvl w:val="0"/>
          <w:numId w:val="22"/>
        </w:numPr>
        <w:spacing w:before="0" w:after="240" w:line="240" w:lineRule="auto"/>
      </w:pPr>
      <w:r>
        <w:t>Option 2: Make the current temporary five-step ladder items permanent (with a minor amendment to replace ‘tests’ with ‘pathogens’)</w:t>
      </w:r>
    </w:p>
    <w:p w14:paraId="0556FF48" w14:textId="77777777" w:rsidR="00CB2E78" w:rsidRDefault="00CB2E78" w:rsidP="009746CA">
      <w:pPr>
        <w:pStyle w:val="ListParagraph"/>
        <w:numPr>
          <w:ilvl w:val="0"/>
          <w:numId w:val="22"/>
        </w:numPr>
        <w:spacing w:before="0" w:after="240" w:line="240" w:lineRule="auto"/>
      </w:pPr>
      <w:r>
        <w:t>Option 3 (comparator): allow SARS-CoV-2-specific MBS items to end when the temporary items expire. Pathogen testing would revert to using the generic MBS items.</w:t>
      </w:r>
    </w:p>
    <w:p w14:paraId="758C232D" w14:textId="77777777" w:rsidR="00CB2E78" w:rsidRPr="003B290C" w:rsidRDefault="00CB2E78" w:rsidP="00CB2E78">
      <w:r>
        <w:t>ESC noted that the</w:t>
      </w:r>
      <w:r w:rsidRPr="003B290C">
        <w:t xml:space="preserve"> temporary </w:t>
      </w:r>
      <w:r>
        <w:t xml:space="preserve">MBS </w:t>
      </w:r>
      <w:r w:rsidRPr="003B290C">
        <w:t xml:space="preserve">items include </w:t>
      </w:r>
      <w:r>
        <w:t xml:space="preserve">test </w:t>
      </w:r>
      <w:r w:rsidRPr="003B290C">
        <w:t>panels that are similar in size</w:t>
      </w:r>
      <w:r>
        <w:t>,</w:t>
      </w:r>
      <w:r w:rsidRPr="003B290C">
        <w:t xml:space="preserve"> </w:t>
      </w:r>
      <w:r>
        <w:t>but which</w:t>
      </w:r>
      <w:r w:rsidRPr="003B290C">
        <w:t xml:space="preserve"> do not map clearly to the commercial test kits available</w:t>
      </w:r>
      <w:r>
        <w:t>. These panels</w:t>
      </w:r>
      <w:r w:rsidRPr="003B290C">
        <w:t xml:space="preserve"> may be provided as multiple individual tests and/or laboratory-developed tests. </w:t>
      </w:r>
      <w:r>
        <w:t xml:space="preserve">ESC noted that the DCAR was unable to </w:t>
      </w:r>
      <w:r w:rsidRPr="003B290C">
        <w:t xml:space="preserve">separate </w:t>
      </w:r>
      <w:r>
        <w:t xml:space="preserve">the </w:t>
      </w:r>
      <w:r w:rsidRPr="003B290C">
        <w:t>costings for the ‘5</w:t>
      </w:r>
      <w:r>
        <w:t>–</w:t>
      </w:r>
      <w:r w:rsidRPr="003B290C">
        <w:t>8 tests’ and ‘9</w:t>
      </w:r>
      <w:r>
        <w:t>–</w:t>
      </w:r>
      <w:r w:rsidRPr="003B290C">
        <w:t>12 tests’</w:t>
      </w:r>
      <w:r>
        <w:t xml:space="preserve"> options. ESC also noted that </w:t>
      </w:r>
      <w:r w:rsidRPr="003B290C">
        <w:t>utilisation pattern</w:t>
      </w:r>
      <w:r>
        <w:t>s</w:t>
      </w:r>
      <w:r w:rsidRPr="003B290C">
        <w:t xml:space="preserve"> of the different items </w:t>
      </w:r>
      <w:r>
        <w:t xml:space="preserve">appeared to be random </w:t>
      </w:r>
      <w:r w:rsidRPr="003B290C">
        <w:t>across the states and territories and between public and private laboratories</w:t>
      </w:r>
      <w:r>
        <w:t>, and considered that this</w:t>
      </w:r>
      <w:r w:rsidRPr="003B290C">
        <w:t xml:space="preserve"> may reflect </w:t>
      </w:r>
      <w:r>
        <w:t xml:space="preserve">lack of clarity with </w:t>
      </w:r>
      <w:r w:rsidRPr="003B290C">
        <w:t xml:space="preserve">the </w:t>
      </w:r>
      <w:r>
        <w:t>temporary</w:t>
      </w:r>
      <w:r w:rsidRPr="003B290C">
        <w:t xml:space="preserve"> item </w:t>
      </w:r>
      <w:r>
        <w:t>ladders</w:t>
      </w:r>
      <w:r w:rsidRPr="003B290C">
        <w:t xml:space="preserve">. </w:t>
      </w:r>
    </w:p>
    <w:p w14:paraId="1C2E7421" w14:textId="77777777" w:rsidR="00CB2E78" w:rsidRDefault="00CB2E78" w:rsidP="00CB2E78">
      <w:r>
        <w:t>ESC noted the DCAR had undertaken detailed costing analyses. B</w:t>
      </w:r>
      <w:r w:rsidRPr="003B290C">
        <w:t xml:space="preserve">ased on </w:t>
      </w:r>
      <w:r>
        <w:t xml:space="preserve">comparison of </w:t>
      </w:r>
      <w:r w:rsidRPr="003B290C">
        <w:t xml:space="preserve">the </w:t>
      </w:r>
      <w:r>
        <w:t>DCAR</w:t>
      </w:r>
      <w:r w:rsidRPr="003B290C">
        <w:t>’s estimate</w:t>
      </w:r>
      <w:r>
        <w:t>d costs to the 85% benefits of the temporary items, the cost</w:t>
      </w:r>
      <w:r w:rsidRPr="003B290C">
        <w:t xml:space="preserve"> </w:t>
      </w:r>
      <w:r>
        <w:t>to provide</w:t>
      </w:r>
      <w:r w:rsidRPr="003B290C">
        <w:t xml:space="preserve"> a single SARS-CoV-2 test </w:t>
      </w:r>
      <w:r>
        <w:t>was</w:t>
      </w:r>
      <w:r w:rsidRPr="003B290C">
        <w:t xml:space="preserve"> $43.58</w:t>
      </w:r>
      <w:r>
        <w:t>, which if provided under 69511</w:t>
      </w:r>
      <w:r w:rsidRPr="003B290C">
        <w:t xml:space="preserve"> would offer </w:t>
      </w:r>
      <w:r>
        <w:t xml:space="preserve">providers </w:t>
      </w:r>
      <w:r w:rsidRPr="003B290C">
        <w:t>a margin of $14.97 per test</w:t>
      </w:r>
      <w:r>
        <w:t>. A 2-4 test service</w:t>
      </w:r>
      <w:r w:rsidRPr="003B290C">
        <w:t xml:space="preserve"> was costed at $66.51 but </w:t>
      </w:r>
      <w:r>
        <w:t>69512 has</w:t>
      </w:r>
      <w:r w:rsidRPr="003B290C">
        <w:t xml:space="preserve"> a</w:t>
      </w:r>
      <w:r>
        <w:t>n</w:t>
      </w:r>
      <w:r w:rsidRPr="003B290C">
        <w:t xml:space="preserve"> 85% benefit of $63.55</w:t>
      </w:r>
      <w:r>
        <w:t>,</w:t>
      </w:r>
      <w:r w:rsidRPr="003B290C">
        <w:t xml:space="preserve"> resulting in a gap fee of </w:t>
      </w:r>
      <w:r>
        <w:t>–</w:t>
      </w:r>
      <w:r w:rsidRPr="003B290C">
        <w:t>$2.96.</w:t>
      </w:r>
      <w:r>
        <w:t xml:space="preserve"> Therefore, the DCAR</w:t>
      </w:r>
      <w:r w:rsidRPr="003B290C">
        <w:t xml:space="preserve"> propose</w:t>
      </w:r>
      <w:r>
        <w:t>d</w:t>
      </w:r>
      <w:r w:rsidRPr="003B290C">
        <w:t xml:space="preserve"> </w:t>
      </w:r>
      <w:r>
        <w:t>fees</w:t>
      </w:r>
      <w:r w:rsidRPr="003B290C">
        <w:t xml:space="preserve"> </w:t>
      </w:r>
      <w:r>
        <w:t>for XXXX and YYYY aiming to</w:t>
      </w:r>
      <w:r w:rsidRPr="003B290C">
        <w:t xml:space="preserve"> </w:t>
      </w:r>
      <w:r>
        <w:t>more accurately</w:t>
      </w:r>
      <w:r w:rsidRPr="003B290C">
        <w:t xml:space="preserve"> reflect </w:t>
      </w:r>
      <w:r>
        <w:t xml:space="preserve">the cost to provide these tests. ESC considered that the fees for the current temporary MBS items and the DCAR’s proposed items were considerably higher than the fees for the generic MBS items, and noted that consultation input from pathology providers indicated that the fees for both the generic items and the current temporary items were insufficient to cover the cost of respiratory pathogen testing. ESC considered the fees for the generic items may be too low, and noted the DCAR stated this discrepancy was because they were intended to reflect the cost of antigen testing rather than nucleic acid testing. </w:t>
      </w:r>
      <w:proofErr w:type="gramStart"/>
      <w:r>
        <w:t>However</w:t>
      </w:r>
      <w:proofErr w:type="gramEnd"/>
      <w:r>
        <w:t xml:space="preserve"> ESC noted policy advice clarified that the generic items and their </w:t>
      </w:r>
      <w:r w:rsidRPr="005C20D5">
        <w:t>predecessor</w:t>
      </w:r>
      <w:r>
        <w:t xml:space="preserve"> MBS items include testing of nucleic acids and</w:t>
      </w:r>
      <w:r w:rsidRPr="005C20D5">
        <w:t xml:space="preserve"> dat</w:t>
      </w:r>
      <w:r>
        <w:t>e</w:t>
      </w:r>
      <w:r w:rsidRPr="005C20D5">
        <w:t xml:space="preserve"> back </w:t>
      </w:r>
      <w:r>
        <w:t xml:space="preserve">over </w:t>
      </w:r>
      <w:r w:rsidRPr="005C20D5">
        <w:t>20 years,</w:t>
      </w:r>
    </w:p>
    <w:p w14:paraId="3D29D65A" w14:textId="77777777" w:rsidR="00CB2E78" w:rsidRDefault="00CB2E78" w:rsidP="00CB2E78">
      <w:r w:rsidRPr="00F93F99">
        <w:t>ESC note</w:t>
      </w:r>
      <w:r>
        <w:t xml:space="preserve">d that nucleic acid tests (NAATs) can be standard or rapid. Standard NAATs have a turnaround time of 2–24 hours in metropolitan areas or 2–3 days in regional/rural areas. Standard NAATs must be performed in an accredited laboratory, so transport times must be considered. Rapid NAATs are more expensive than standard NAATs, and results are available </w:t>
      </w:r>
      <w:r>
        <w:lastRenderedPageBreak/>
        <w:t xml:space="preserve">within 1 hour because they use kits with cartridges to speed up the process and can be performed by laboratories or trained healthcare workers. However, ESC noted that currently, rapid NAATs comprise </w:t>
      </w:r>
      <w:r w:rsidRPr="009E04BB">
        <w:t xml:space="preserve">only a very small proportion of </w:t>
      </w:r>
      <w:r w:rsidRPr="00165520">
        <w:t xml:space="preserve">MBS-funded </w:t>
      </w:r>
      <w:r w:rsidRPr="00D72B1C">
        <w:t xml:space="preserve">SARS-CoV-2 </w:t>
      </w:r>
      <w:r w:rsidRPr="002C6D15">
        <w:t xml:space="preserve">NAATs (the DCAR estimated </w:t>
      </w:r>
      <w:r w:rsidRPr="00835699">
        <w:t>&lt;0.01%</w:t>
      </w:r>
      <w:r w:rsidRPr="00654AA8">
        <w:t>)</w:t>
      </w:r>
      <w:r w:rsidRPr="00442619">
        <w:t xml:space="preserve">. </w:t>
      </w:r>
      <w:r w:rsidRPr="00AF74A8">
        <w:t>ESC noted a separate MBS item was not proposed for rapid NAATs. ESC</w:t>
      </w:r>
      <w:r w:rsidRPr="009E04BB">
        <w:t xml:space="preserve"> noted that</w:t>
      </w:r>
      <w:r>
        <w:t xml:space="preserve"> 13 SARS-CoV-2 rapid assays currently have</w:t>
      </w:r>
      <w:r w:rsidRPr="0040596C">
        <w:t xml:space="preserve"> </w:t>
      </w:r>
      <w:r>
        <w:t>Therapeutic Goods Administration (TGA) approval.</w:t>
      </w:r>
    </w:p>
    <w:p w14:paraId="091115A9" w14:textId="77777777" w:rsidR="00CB2E78" w:rsidRPr="00F93F99" w:rsidRDefault="00CB2E78" w:rsidP="00CB2E78">
      <w:r>
        <w:t>ESC noted the current temporary MBS item ladders have lower fees for</w:t>
      </w:r>
      <w:r w:rsidRPr="00533F34">
        <w:t xml:space="preserve"> public </w:t>
      </w:r>
      <w:r>
        <w:t>(items 69506-10) than</w:t>
      </w:r>
      <w:r w:rsidRPr="00533F34">
        <w:t xml:space="preserve"> private</w:t>
      </w:r>
      <w:r>
        <w:t xml:space="preserve"> (items 69511-15)</w:t>
      </w:r>
      <w:r w:rsidRPr="00533F34">
        <w:t xml:space="preserve"> pathology providers</w:t>
      </w:r>
      <w:r>
        <w:t xml:space="preserve">. ESC noted that for the purpose of assessing option 2 the private provider fees were assumed to </w:t>
      </w:r>
      <w:proofErr w:type="gramStart"/>
      <w:r>
        <w:t>more accurately represent the cost of the current temporary items</w:t>
      </w:r>
      <w:proofErr w:type="gramEnd"/>
      <w:r>
        <w:t>, because the public provider fees include a fifty-fifty cost-sharing agreement between the Commonwealth and states and territories. ESC noted that MSAC was not requested to consider the fee differential,</w:t>
      </w:r>
      <w:r w:rsidRPr="00533F34">
        <w:t xml:space="preserve"> as </w:t>
      </w:r>
      <w:r>
        <w:t>the continuation of the cost-sharing agreement would be</w:t>
      </w:r>
      <w:r w:rsidRPr="00533F34">
        <w:t xml:space="preserve"> a decision for Government</w:t>
      </w:r>
      <w:r>
        <w:t>.</w:t>
      </w:r>
    </w:p>
    <w:p w14:paraId="6F78BB80" w14:textId="77777777" w:rsidR="00CB2E78" w:rsidRDefault="00CB2E78" w:rsidP="00CB2E78">
      <w:r>
        <w:t>ESC noted that SARS-CoV-2 testing has been bulk-billed throughout the COVID-19 pandemic, and considered it may be inappropriate for any testing for infectious diseases to incur out-of-pocket costs to patients given the broader public health benefits that accrue from removing affordability barriers to such tests. ESC noted the MBS is intended to fund private services with benefit for the individual, and that public health is usually funded though the public health system or other funding sources.</w:t>
      </w:r>
    </w:p>
    <w:p w14:paraId="05BE05CE" w14:textId="77777777" w:rsidR="00CB2E78" w:rsidRDefault="00CB2E78" w:rsidP="00CB2E78">
      <w:r>
        <w:t xml:space="preserve">ESC noted consumer issues included potential inequity of access if public funding were not continued, and that access to SARS-CoV-2 testing was a prerequisite to access PBS-listed COVID-19 antiviral therapy. ESC noted one respondent commented that the public may be better served by having SARS-CoV-2 in a broader panel rather than in a single pathogen test. ESC agreed with the DCAR that the current application could be an opportunity to re-examine pathogen testing on the MBS more broadly. ESC noted that no consultation feedback had been received from consumer </w:t>
      </w:r>
      <w:r w:rsidRPr="00BA194C">
        <w:t>groups</w:t>
      </w:r>
      <w:r>
        <w:t xml:space="preserve"> to date (closed Friday, 9 June 2023) or the </w:t>
      </w:r>
      <w:proofErr w:type="gramStart"/>
      <w:r>
        <w:t>general public</w:t>
      </w:r>
      <w:proofErr w:type="gramEnd"/>
      <w:r>
        <w:t>. In light of this,</w:t>
      </w:r>
      <w:r w:rsidRPr="00BA194C">
        <w:t xml:space="preserve"> ESC </w:t>
      </w:r>
      <w:r>
        <w:t>was of the view that</w:t>
      </w:r>
      <w:r w:rsidRPr="00BA194C">
        <w:t xml:space="preserve"> </w:t>
      </w:r>
      <w:r>
        <w:t>MSAC’s consideration of this application could be better informed by</w:t>
      </w:r>
      <w:r w:rsidRPr="00BA194C">
        <w:t xml:space="preserve"> additional targeted consultation with communities that may be most affected by changing MBS items for acute respiratory infection (ARI) testing because of increased mortality from ARIs, such as </w:t>
      </w:r>
      <w:r>
        <w:t>consumer organisations representing older people,</w:t>
      </w:r>
      <w:r w:rsidRPr="00BA194C">
        <w:t xml:space="preserve"> </w:t>
      </w:r>
      <w:r>
        <w:t xml:space="preserve">culturally and linguistically </w:t>
      </w:r>
      <w:r w:rsidRPr="00BA194C">
        <w:t xml:space="preserve">diverse </w:t>
      </w:r>
      <w:r>
        <w:t xml:space="preserve">people, and representatives of the </w:t>
      </w:r>
      <w:r w:rsidRPr="00BA194C">
        <w:t xml:space="preserve">aged care </w:t>
      </w:r>
      <w:r>
        <w:t>sector and potentially other sectors with public facing positions such as education</w:t>
      </w:r>
      <w:r w:rsidRPr="00BA194C">
        <w:t>.</w:t>
      </w:r>
      <w:r>
        <w:t xml:space="preserve"> ESC considered that respiratory pathogen test results may be used to encourage infected individuals to isolate, which can come at a financial cost to them.</w:t>
      </w:r>
    </w:p>
    <w:p w14:paraId="65F15D51" w14:textId="77777777" w:rsidR="00CB2E78" w:rsidRPr="003B290C" w:rsidRDefault="00CB2E78" w:rsidP="00CB2E78">
      <w:r>
        <w:t>ESC noted that c</w:t>
      </w:r>
      <w:r w:rsidRPr="003B290C">
        <w:t xml:space="preserve">urrent </w:t>
      </w:r>
      <w:r>
        <w:t xml:space="preserve">best </w:t>
      </w:r>
      <w:r w:rsidRPr="003B290C">
        <w:t xml:space="preserve">clinical practice is to test vulnerable individuals with symptoms of </w:t>
      </w:r>
      <w:r>
        <w:t>acute respiratory infection (</w:t>
      </w:r>
      <w:r w:rsidRPr="003B290C">
        <w:t>ARI</w:t>
      </w:r>
      <w:r>
        <w:t>)</w:t>
      </w:r>
      <w:r w:rsidRPr="003B290C">
        <w:t xml:space="preserve"> for a range of pathogens, </w:t>
      </w:r>
      <w:r>
        <w:t>rather than only</w:t>
      </w:r>
      <w:r w:rsidRPr="003B290C">
        <w:t xml:space="preserve"> SARS-CoV-2</w:t>
      </w:r>
      <w:r>
        <w:t xml:space="preserve"> alone</w:t>
      </w:r>
      <w:r w:rsidRPr="003B290C">
        <w:t>. Several states have guidelines that specify</w:t>
      </w:r>
      <w:r>
        <w:t>,</w:t>
      </w:r>
      <w:r w:rsidRPr="003B290C">
        <w:t xml:space="preserve"> at a minimum, testing</w:t>
      </w:r>
      <w:r>
        <w:t xml:space="preserve"> at initial presentation</w:t>
      </w:r>
      <w:r w:rsidRPr="003B290C">
        <w:t xml:space="preserve"> for SARS-CoV-2 </w:t>
      </w:r>
      <w:r>
        <w:t>and i</w:t>
      </w:r>
      <w:r w:rsidRPr="003B290C">
        <w:t xml:space="preserve">nfluenza A and B. This broader testing </w:t>
      </w:r>
      <w:r>
        <w:t>for</w:t>
      </w:r>
      <w:r w:rsidRPr="003B290C">
        <w:t xml:space="preserve"> those at risk of severe disease would influence decisions about the need for</w:t>
      </w:r>
      <w:r>
        <w:t xml:space="preserve"> </w:t>
      </w:r>
      <w:r w:rsidRPr="003B290C">
        <w:t>treatment</w:t>
      </w:r>
      <w:r>
        <w:t>,</w:t>
      </w:r>
      <w:r w:rsidRPr="003B290C">
        <w:t xml:space="preserve"> as well as the required duration of any isolation period.</w:t>
      </w:r>
    </w:p>
    <w:p w14:paraId="7795D014" w14:textId="77777777" w:rsidR="00CB2E78" w:rsidRPr="00DB08DE" w:rsidRDefault="00CB2E78" w:rsidP="00CB2E78">
      <w:r>
        <w:t xml:space="preserve">ESC considered multi-pathogen testing (option 1) appeared to be the most appropriate option, as it reflects best clinical practice for patients suspected of respiratory infection. ESC did not consider it necessary to make </w:t>
      </w:r>
      <w:r w:rsidRPr="00DB08DE">
        <w:t xml:space="preserve">SARS-CoV-2 </w:t>
      </w:r>
      <w:r>
        <w:t xml:space="preserve">a </w:t>
      </w:r>
      <w:r w:rsidRPr="00DB08DE">
        <w:t>mandatory</w:t>
      </w:r>
      <w:r>
        <w:t xml:space="preserve"> target in the listed pathogens</w:t>
      </w:r>
      <w:r w:rsidRPr="00DB08DE">
        <w:t>, but</w:t>
      </w:r>
      <w:r>
        <w:t xml:space="preserve"> considered</w:t>
      </w:r>
      <w:r w:rsidRPr="00DB08DE">
        <w:t xml:space="preserve"> </w:t>
      </w:r>
      <w:r>
        <w:t xml:space="preserve">it </w:t>
      </w:r>
      <w:r w:rsidRPr="00DB08DE">
        <w:t>could still be listed as a</w:t>
      </w:r>
      <w:r>
        <w:t>n optional</w:t>
      </w:r>
      <w:r w:rsidRPr="00DB08DE">
        <w:t xml:space="preserve"> target</w:t>
      </w:r>
      <w:r>
        <w:t>,</w:t>
      </w:r>
      <w:r w:rsidRPr="00DB08DE">
        <w:t xml:space="preserve"> as suggested by Public Pathology Australia</w:t>
      </w:r>
      <w:r>
        <w:t>.</w:t>
      </w:r>
    </w:p>
    <w:p w14:paraId="495C7F6F" w14:textId="77777777" w:rsidR="00CB2E78" w:rsidRDefault="00CB2E78" w:rsidP="00CB2E78">
      <w:r>
        <w:t>In terms of comparative safety, ESC noted that DCAR proposed the</w:t>
      </w:r>
      <w:r w:rsidRPr="00C70BE5">
        <w:t xml:space="preserve"> same </w:t>
      </w:r>
      <w:proofErr w:type="gramStart"/>
      <w:r w:rsidRPr="00C70BE5">
        <w:t>laboratory-based</w:t>
      </w:r>
      <w:proofErr w:type="gramEnd"/>
      <w:r w:rsidRPr="00C70BE5">
        <w:t xml:space="preserve"> NAATs would be performed when providing a service </w:t>
      </w:r>
      <w:r>
        <w:t>under either</w:t>
      </w:r>
      <w:r w:rsidRPr="00C70BE5">
        <w:t xml:space="preserve"> the proposed items or the comparator</w:t>
      </w:r>
      <w:r>
        <w:t xml:space="preserve"> items, and so there would be no difference in safety</w:t>
      </w:r>
      <w:r w:rsidRPr="00C70BE5">
        <w:t xml:space="preserve">. </w:t>
      </w:r>
      <w:r>
        <w:t>ESC considered that there would likely be n</w:t>
      </w:r>
      <w:r w:rsidRPr="00C70BE5">
        <w:t>o new safety issues related to sample collection and the testing process.</w:t>
      </w:r>
      <w:r>
        <w:t xml:space="preserve"> ESC considered the </w:t>
      </w:r>
      <w:r>
        <w:lastRenderedPageBreak/>
        <w:t xml:space="preserve">main </w:t>
      </w:r>
      <w:r w:rsidRPr="00C70BE5">
        <w:t xml:space="preserve">safety issue </w:t>
      </w:r>
      <w:r>
        <w:t>to be</w:t>
      </w:r>
      <w:r w:rsidRPr="00C70BE5">
        <w:t xml:space="preserve"> the risk of false negative result</w:t>
      </w:r>
      <w:r>
        <w:t>s</w:t>
      </w:r>
      <w:r w:rsidRPr="00C70BE5">
        <w:t xml:space="preserve"> with rapid NAATs</w:t>
      </w:r>
      <w:r>
        <w:t>, which was</w:t>
      </w:r>
      <w:r w:rsidRPr="00C70BE5">
        <w:t xml:space="preserve"> considered as part of the</w:t>
      </w:r>
      <w:r>
        <w:t xml:space="preserve"> comparative efficacy </w:t>
      </w:r>
      <w:r w:rsidRPr="00C70BE5">
        <w:t>evaluation</w:t>
      </w:r>
      <w:r>
        <w:t>.</w:t>
      </w:r>
    </w:p>
    <w:p w14:paraId="7C919C03" w14:textId="77777777" w:rsidR="00CB2E78" w:rsidRDefault="00CB2E78" w:rsidP="00CB2E78">
      <w:r>
        <w:t>ESC noted t</w:t>
      </w:r>
      <w:r w:rsidRPr="001A772E">
        <w:t xml:space="preserve">he DCAR </w:t>
      </w:r>
      <w:r>
        <w:t>also assumed</w:t>
      </w:r>
      <w:r w:rsidRPr="001A772E">
        <w:t xml:space="preserve"> that there </w:t>
      </w:r>
      <w:r>
        <w:t>wa</w:t>
      </w:r>
      <w:r w:rsidRPr="001A772E">
        <w:t>s no difference between the intervention and comparator in terms of comparative effectiveness</w:t>
      </w:r>
      <w:r>
        <w:t xml:space="preserve">. ESC questioned this assumption, and considered it may or may not be reasonable, and that the intervention may in fact offer improved effectiveness compared to comparator testing. ESC considered that multi-pathogen respiratory virus testing may allow earlier pathogen-specific antiviral treatment in high-risk patients, as well as patient </w:t>
      </w:r>
      <w:proofErr w:type="spellStart"/>
      <w:r>
        <w:t>cohorting</w:t>
      </w:r>
      <w:proofErr w:type="spellEnd"/>
      <w:r>
        <w:t xml:space="preserve"> and quarantining, which could plausibly be assumed to improve patient outcomes at a population level. ESC also considered that the DCAR assumed the same profile of pathogen testing would simply take place via different MBS items, however the testing profile may be influenced by factors such as:</w:t>
      </w:r>
    </w:p>
    <w:p w14:paraId="791B255C" w14:textId="77777777" w:rsidR="00CB2E78" w:rsidRPr="00CF3C0C" w:rsidRDefault="00CB2E78" w:rsidP="00CB2E78">
      <w:pPr>
        <w:pStyle w:val="Bullet"/>
        <w:numPr>
          <w:ilvl w:val="0"/>
          <w:numId w:val="17"/>
        </w:numPr>
        <w:spacing w:before="0"/>
        <w:rPr>
          <w:rFonts w:ascii="Franklin Gothic Book" w:hAnsi="Franklin Gothic Book"/>
        </w:rPr>
      </w:pPr>
      <w:r>
        <w:rPr>
          <w:rFonts w:ascii="Franklin Gothic Book" w:hAnsi="Franklin Gothic Book"/>
        </w:rPr>
        <w:t>whether appropriate use of</w:t>
      </w:r>
      <w:r w:rsidRPr="00CF3C0C">
        <w:rPr>
          <w:rFonts w:ascii="Franklin Gothic Book" w:hAnsi="Franklin Gothic Book"/>
        </w:rPr>
        <w:t xml:space="preserve"> NAATs </w:t>
      </w:r>
      <w:r>
        <w:rPr>
          <w:rFonts w:ascii="Franklin Gothic Book" w:hAnsi="Franklin Gothic Book"/>
        </w:rPr>
        <w:t>is being</w:t>
      </w:r>
      <w:r w:rsidRPr="00CF3C0C">
        <w:rPr>
          <w:rFonts w:ascii="Franklin Gothic Book" w:hAnsi="Franklin Gothic Book"/>
        </w:rPr>
        <w:t xml:space="preserve"> </w:t>
      </w:r>
      <w:r>
        <w:rPr>
          <w:rFonts w:ascii="Franklin Gothic Book" w:hAnsi="Franklin Gothic Book"/>
        </w:rPr>
        <w:t xml:space="preserve">performed </w:t>
      </w:r>
      <w:r w:rsidRPr="00CF3C0C">
        <w:rPr>
          <w:rFonts w:ascii="Franklin Gothic Book" w:hAnsi="Franklin Gothic Book"/>
        </w:rPr>
        <w:t xml:space="preserve">for other respiratory pathogens </w:t>
      </w:r>
    </w:p>
    <w:p w14:paraId="21752772" w14:textId="77777777" w:rsidR="00CB2E78" w:rsidRPr="00CF3C0C" w:rsidRDefault="00CB2E78" w:rsidP="00CB2E78">
      <w:pPr>
        <w:pStyle w:val="Bullet"/>
        <w:numPr>
          <w:ilvl w:val="0"/>
          <w:numId w:val="17"/>
        </w:numPr>
        <w:spacing w:before="0"/>
        <w:rPr>
          <w:rFonts w:ascii="Franklin Gothic Book" w:hAnsi="Franklin Gothic Book"/>
        </w:rPr>
      </w:pPr>
      <w:r w:rsidRPr="00CF3C0C">
        <w:rPr>
          <w:rFonts w:ascii="Franklin Gothic Book" w:hAnsi="Franklin Gothic Book"/>
        </w:rPr>
        <w:t>if a 4-pathogen NAAT item</w:t>
      </w:r>
      <w:r>
        <w:rPr>
          <w:rFonts w:ascii="Franklin Gothic Book" w:hAnsi="Franklin Gothic Book"/>
        </w:rPr>
        <w:t xml:space="preserve"> (item XXXX)</w:t>
      </w:r>
      <w:r w:rsidRPr="00CF3C0C">
        <w:rPr>
          <w:rFonts w:ascii="Franklin Gothic Book" w:hAnsi="Franklin Gothic Book"/>
        </w:rPr>
        <w:t xml:space="preserve"> will drive </w:t>
      </w:r>
      <w:r>
        <w:rPr>
          <w:rFonts w:ascii="Franklin Gothic Book" w:hAnsi="Franklin Gothic Book"/>
        </w:rPr>
        <w:t>best clinical practice</w:t>
      </w:r>
      <w:r w:rsidRPr="00CF3C0C">
        <w:rPr>
          <w:rFonts w:ascii="Franklin Gothic Book" w:hAnsi="Franklin Gothic Book"/>
        </w:rPr>
        <w:t xml:space="preserve">, this may be associated with </w:t>
      </w:r>
      <w:r>
        <w:rPr>
          <w:rFonts w:ascii="Franklin Gothic Book" w:hAnsi="Franklin Gothic Book"/>
        </w:rPr>
        <w:t>more efficient diagnostic yield</w:t>
      </w:r>
      <w:r w:rsidRPr="00CF3C0C">
        <w:rPr>
          <w:rFonts w:ascii="Franklin Gothic Book" w:hAnsi="Franklin Gothic Book"/>
        </w:rPr>
        <w:t xml:space="preserve"> </w:t>
      </w:r>
      <w:r>
        <w:rPr>
          <w:rFonts w:ascii="Franklin Gothic Book" w:hAnsi="Franklin Gothic Book"/>
        </w:rPr>
        <w:t>ascertainment</w:t>
      </w:r>
      <w:r w:rsidRPr="00CF3C0C">
        <w:rPr>
          <w:rFonts w:ascii="Franklin Gothic Book" w:hAnsi="Franklin Gothic Book"/>
        </w:rPr>
        <w:t xml:space="preserve"> </w:t>
      </w:r>
      <w:r>
        <w:rPr>
          <w:rFonts w:ascii="Franklin Gothic Book" w:hAnsi="Franklin Gothic Book"/>
        </w:rPr>
        <w:t>by reducing the number of tests needed per population,</w:t>
      </w:r>
      <w:r w:rsidRPr="00CF3C0C">
        <w:rPr>
          <w:rFonts w:ascii="Franklin Gothic Book" w:hAnsi="Franklin Gothic Book"/>
        </w:rPr>
        <w:t xml:space="preserve"> and </w:t>
      </w:r>
      <w:r>
        <w:rPr>
          <w:rFonts w:ascii="Franklin Gothic Book" w:hAnsi="Franklin Gothic Book"/>
        </w:rPr>
        <w:t xml:space="preserve">consequence for </w:t>
      </w:r>
      <w:r w:rsidRPr="00CF3C0C">
        <w:rPr>
          <w:rFonts w:ascii="Franklin Gothic Book" w:hAnsi="Franklin Gothic Book"/>
        </w:rPr>
        <w:t xml:space="preserve">reduced rates of </w:t>
      </w:r>
      <w:r>
        <w:rPr>
          <w:rFonts w:ascii="Franklin Gothic Book" w:hAnsi="Franklin Gothic Book"/>
        </w:rPr>
        <w:t xml:space="preserve">transmitted </w:t>
      </w:r>
      <w:proofErr w:type="gramStart"/>
      <w:r w:rsidRPr="00CF3C0C">
        <w:rPr>
          <w:rFonts w:ascii="Franklin Gothic Book" w:hAnsi="Franklin Gothic Book"/>
        </w:rPr>
        <w:t>infection</w:t>
      </w:r>
      <w:proofErr w:type="gramEnd"/>
    </w:p>
    <w:p w14:paraId="2676FEFB" w14:textId="77777777" w:rsidR="00CB2E78" w:rsidRDefault="00CB2E78" w:rsidP="00CB2E78">
      <w:pPr>
        <w:pStyle w:val="BulletLast"/>
        <w:numPr>
          <w:ilvl w:val="0"/>
          <w:numId w:val="17"/>
        </w:numPr>
      </w:pPr>
      <w:r>
        <w:t xml:space="preserve">whether </w:t>
      </w:r>
      <w:r w:rsidRPr="003A6105">
        <w:t xml:space="preserve">a 3-pathogen item </w:t>
      </w:r>
      <w:r>
        <w:t>for SARS-CoV-2 and influenza A and B</w:t>
      </w:r>
      <w:r w:rsidRPr="003A6105">
        <w:t xml:space="preserve"> </w:t>
      </w:r>
      <w:r>
        <w:t>is appropriate.</w:t>
      </w:r>
    </w:p>
    <w:p w14:paraId="3E20B05C" w14:textId="77777777" w:rsidR="00CB2E78" w:rsidRDefault="00CB2E78" w:rsidP="00CB2E78">
      <w:r>
        <w:t xml:space="preserve">ESC considered that continuing to publicly fund SARS-CoV-2 testing may also reduce barriers to access NAATs for vulnerable people at high risk of adverse outcomes, who may benefit from PBS-listed antiviral therapy, although vulnerable people at high risk of adverse outcomes requiring access to PBS-listed antiviral therapy can currently gain access via a positive rapid antigen test and a telehealth consultation. Also, if a separate MBS item were considered for rapid NAAT, this may have additional clinical utility in remote areas given the longer turnaround time for standard NAATs. </w:t>
      </w:r>
    </w:p>
    <w:p w14:paraId="071A96B6" w14:textId="77777777" w:rsidR="00CB2E78" w:rsidRDefault="00CB2E78" w:rsidP="00CB2E78">
      <w:r>
        <w:t xml:space="preserve">ESC noted the DCAR had included an examination of the comparative effectiveness of </w:t>
      </w:r>
      <w:r w:rsidRPr="001A772E">
        <w:t>rapid NAATs v</w:t>
      </w:r>
      <w:r>
        <w:t>ersu</w:t>
      </w:r>
      <w:r w:rsidRPr="001A772E">
        <w:t>s standard NAATs</w:t>
      </w:r>
      <w:r>
        <w:t xml:space="preserve">, rather than of the intervention versus the comparator. ESC considered this to be largely irrelevant to informing MSAC’s consideration of either intervention option, given rapid NAATs are estimated to make up &lt;0.01% of MBS-funded services, and a separate MBS item was not proposed for rapid NAATs. </w:t>
      </w:r>
    </w:p>
    <w:p w14:paraId="22147D11" w14:textId="77777777" w:rsidR="00CB2E78" w:rsidRDefault="00CB2E78" w:rsidP="00CB2E78">
      <w:r>
        <w:t xml:space="preserve">ESC noted that the evaluation of commercial rapid NAATs was limited by the unavailability of instructions for use (IFU) from the manufacturers, due </w:t>
      </w:r>
      <w:r w:rsidRPr="00026E69">
        <w:t>to confidentiality issues</w:t>
      </w:r>
      <w:r>
        <w:t xml:space="preserve"> as IFUs are not required to be published for these assays. Therefore, the evidence for the a</w:t>
      </w:r>
      <w:r w:rsidRPr="00026E69">
        <w:t>ssays in current use</w:t>
      </w:r>
      <w:r>
        <w:t>,</w:t>
      </w:r>
      <w:r w:rsidRPr="00026E69">
        <w:t xml:space="preserve"> and the number of analysers and laboratories</w:t>
      </w:r>
      <w:r>
        <w:t>,</w:t>
      </w:r>
      <w:r w:rsidRPr="00026E69">
        <w:t xml:space="preserve"> </w:t>
      </w:r>
      <w:r>
        <w:t>was</w:t>
      </w:r>
      <w:r w:rsidRPr="00026E69">
        <w:t xml:space="preserve"> </w:t>
      </w:r>
      <w:r>
        <w:t>based on</w:t>
      </w:r>
      <w:r w:rsidRPr="00026E69">
        <w:t xml:space="preserve"> Royal College of Pathologists of Australasia Quality Assurance Program </w:t>
      </w:r>
      <w:r>
        <w:t>(RCPA QAP) data</w:t>
      </w:r>
      <w:r w:rsidRPr="00026E69">
        <w:t xml:space="preserve">. </w:t>
      </w:r>
      <w:r>
        <w:t>The DCAR included a</w:t>
      </w:r>
      <w:r w:rsidRPr="00026E69">
        <w:t xml:space="preserve"> targeted literature search to identify diagnostic accuracy studies for the 13</w:t>
      </w:r>
      <w:r>
        <w:t> </w:t>
      </w:r>
      <w:r w:rsidRPr="00026E69">
        <w:t>TGA</w:t>
      </w:r>
      <w:r>
        <w:t>-</w:t>
      </w:r>
      <w:r w:rsidRPr="00026E69">
        <w:t xml:space="preserve">approved rapid NAATs in </w:t>
      </w:r>
      <w:r>
        <w:t xml:space="preserve">current </w:t>
      </w:r>
      <w:r w:rsidRPr="00026E69">
        <w:t>use in Australia</w:t>
      </w:r>
      <w:r>
        <w:t xml:space="preserve"> </w:t>
      </w:r>
      <w:r w:rsidRPr="00026E69">
        <w:t xml:space="preserve">against a standard NAAT as the reference standard. </w:t>
      </w:r>
      <w:r>
        <w:t>ESC noted that t</w:t>
      </w:r>
      <w:r w:rsidRPr="00026E69">
        <w:t xml:space="preserve">he quality of evidence was generally low, with high risk of bias due to retrospective design, use of convenience samples, and </w:t>
      </w:r>
      <w:r>
        <w:t xml:space="preserve">use of </w:t>
      </w:r>
      <w:r w:rsidRPr="00026E69">
        <w:t xml:space="preserve">samples often enriched with known positive or negative samples. </w:t>
      </w:r>
    </w:p>
    <w:p w14:paraId="070EAA74" w14:textId="77777777" w:rsidR="00CB2E78" w:rsidRDefault="00CB2E78" w:rsidP="00CB2E78">
      <w:r>
        <w:t>ESC noted that of the rapid NAATs, six</w:t>
      </w:r>
      <w:r w:rsidRPr="003B12B2">
        <w:t xml:space="preserve"> assays were considered to have adequate evidence of non</w:t>
      </w:r>
      <w:r>
        <w:t>-</w:t>
      </w:r>
      <w:r w:rsidRPr="003B12B2">
        <w:t xml:space="preserve">inferior effectiveness and safety compared to standard NAATs. </w:t>
      </w:r>
      <w:r>
        <w:t xml:space="preserve">ESC noted that two assays had evidence suggesting inferior effectiveness compared to standard NAATs. ESC considered that this created </w:t>
      </w:r>
      <w:r w:rsidRPr="00DB08DE">
        <w:t xml:space="preserve">an increased risk of a false negative result for both assays, especially at lower viral loads. Given </w:t>
      </w:r>
      <w:r>
        <w:t xml:space="preserve">that </w:t>
      </w:r>
      <w:r w:rsidRPr="00DB08DE">
        <w:t>the population at high</w:t>
      </w:r>
      <w:r>
        <w:t xml:space="preserve"> </w:t>
      </w:r>
      <w:r w:rsidRPr="00DB08DE">
        <w:t>risk is encouraged to present early</w:t>
      </w:r>
      <w:r w:rsidRPr="0066512C">
        <w:t xml:space="preserve"> </w:t>
      </w:r>
      <w:r w:rsidRPr="00DB08DE">
        <w:t xml:space="preserve">for early intervention, including after exposure and </w:t>
      </w:r>
      <w:r>
        <w:t>before</w:t>
      </w:r>
      <w:r w:rsidRPr="00DB08DE">
        <w:t xml:space="preserve"> the onset of symptoms,</w:t>
      </w:r>
      <w:r>
        <w:t xml:space="preserve"> ESC considered</w:t>
      </w:r>
      <w:r w:rsidRPr="00DB08DE">
        <w:t xml:space="preserve"> there </w:t>
      </w:r>
      <w:r>
        <w:t>wa</w:t>
      </w:r>
      <w:r w:rsidRPr="00DB08DE">
        <w:t>s a clinical risk with</w:t>
      </w:r>
      <w:r>
        <w:t xml:space="preserve"> using</w:t>
      </w:r>
      <w:r w:rsidRPr="00DB08DE">
        <w:t xml:space="preserve"> any assay that has inferior sensitivity.</w:t>
      </w:r>
      <w:r>
        <w:t xml:space="preserve"> ESC noted that </w:t>
      </w:r>
      <w:r w:rsidRPr="00026E69">
        <w:t xml:space="preserve">for </w:t>
      </w:r>
      <w:r>
        <w:t>five</w:t>
      </w:r>
      <w:r w:rsidRPr="00026E69">
        <w:t xml:space="preserve"> </w:t>
      </w:r>
      <w:r>
        <w:t xml:space="preserve">rapid </w:t>
      </w:r>
      <w:r w:rsidRPr="00026E69">
        <w:t>assays</w:t>
      </w:r>
      <w:r>
        <w:t xml:space="preserve"> n</w:t>
      </w:r>
      <w:r w:rsidRPr="00026E69">
        <w:t xml:space="preserve">o evidence could be found </w:t>
      </w:r>
      <w:r>
        <w:t>to draw any conclusions about effectiveness.</w:t>
      </w:r>
    </w:p>
    <w:p w14:paraId="58ADDD3C" w14:textId="77777777" w:rsidR="00CB2E78" w:rsidRDefault="00CB2E78" w:rsidP="00CB2E78">
      <w:r>
        <w:lastRenderedPageBreak/>
        <w:t xml:space="preserve">Overall, </w:t>
      </w:r>
      <w:r w:rsidRPr="001A772E">
        <w:t>ESC</w:t>
      </w:r>
      <w:r>
        <w:t xml:space="preserve"> noted the limitations in the available evidence for effectiveness, but considered that multi-pathogen testing (option 1) may be preferred as it may incentivise best clinical practice, assuming the fees are set at levels that cover the costs of delivering the tests. ESC considered that it is reasonable to assume that multi-pathogen testing may have</w:t>
      </w:r>
      <w:r w:rsidRPr="001A772E">
        <w:t xml:space="preserve"> incremental effectiveness </w:t>
      </w:r>
      <w:proofErr w:type="gramStart"/>
      <w:r>
        <w:t>as a result of</w:t>
      </w:r>
      <w:proofErr w:type="gramEnd"/>
      <w:r>
        <w:t xml:space="preserve"> earlier commencement of pathogen-specific antiviral treatment and improved clinical management in terms of</w:t>
      </w:r>
      <w:r w:rsidRPr="001A772E">
        <w:t xml:space="preserve"> patient </w:t>
      </w:r>
      <w:proofErr w:type="spellStart"/>
      <w:r w:rsidRPr="001A772E">
        <w:t>cohorting</w:t>
      </w:r>
      <w:proofErr w:type="spellEnd"/>
      <w:r w:rsidRPr="001A772E">
        <w:t xml:space="preserve"> and/or quarantining based on SARS-CoV-2 test results</w:t>
      </w:r>
      <w:r>
        <w:t>, though evidence for this was not presented.</w:t>
      </w:r>
    </w:p>
    <w:p w14:paraId="210D3060" w14:textId="77777777" w:rsidR="00CB2E78" w:rsidRDefault="00CB2E78" w:rsidP="00CB2E78">
      <w:pPr>
        <w:pStyle w:val="NormalBeforeBullet0"/>
      </w:pPr>
      <w:r>
        <w:t>ESC noted that the MSAC Executive had advised the appropriate economic evaluation was a cost consequence analysis, but because the DCAR had assumed equal outcomes for the intervention and comparator, in practice the economic analysis had been reduced to a cost comparison. As above, ESC</w:t>
      </w:r>
      <w:r w:rsidRPr="00191435">
        <w:t xml:space="preserve"> </w:t>
      </w:r>
      <w:r>
        <w:t>questioned this and considered that the intervention may in fact offer improved effectiveness compared to comparator testing</w:t>
      </w:r>
      <w:r w:rsidDel="0045522F">
        <w:t>.</w:t>
      </w:r>
    </w:p>
    <w:p w14:paraId="120583BB" w14:textId="77777777" w:rsidR="00CB2E78" w:rsidRDefault="00CB2E78" w:rsidP="00CB2E78">
      <w:r>
        <w:t xml:space="preserve">ESC noted the fees proposed for XXXX and YYYY were partly based on the utilisation patterns of current temporary items, and considered that this was influenced by the current 44% of SARS-CoV-2 testing using the single tests (69506, 69511). ESC considered the method to derive the fee for the 4-pathogen panel NAAT (item XXXX) based on average laboratory costings was more robust than the method used for the ≥5-pathogen panel NAAT (item YYYY), based on a weighted approach of current utilisation of the three largest panels from 1 October 2022 – 31 January 2023. ESC also noted </w:t>
      </w:r>
      <w:r w:rsidRPr="008F150A">
        <w:t xml:space="preserve">discrepancies in </w:t>
      </w:r>
      <w:r>
        <w:t xml:space="preserve">the stated </w:t>
      </w:r>
      <w:r w:rsidRPr="008F150A">
        <w:t>proposed fees for XXXX and YYYY</w:t>
      </w:r>
      <w:r>
        <w:t>, and following the ESC meeting the HTA group clarified that the figures used in the financial analysis and in the proposed item descriptors at $78.25 (85% benefit $66.51) and $85.56 (85% benefit $72.73) were the DCAR’s intended proposed fees.</w:t>
      </w:r>
    </w:p>
    <w:p w14:paraId="789B60E4" w14:textId="77777777" w:rsidR="00CB2E78" w:rsidRDefault="00CB2E78" w:rsidP="00CB2E78">
      <w:r>
        <w:t xml:space="preserve">ESC noted the DCAR based the cost of testing on standard NAATs only, and did not include a weighting for the proportion of rapid NAATs because they comprise &lt;0.01% of MBS-funded SARS-CoV-2 testing. </w:t>
      </w:r>
      <w:r w:rsidRPr="00CF1FC6">
        <w:t xml:space="preserve">ESC </w:t>
      </w:r>
      <w:r>
        <w:t>noted that MSAC may want to consider whether</w:t>
      </w:r>
      <w:r w:rsidRPr="00CF1FC6">
        <w:t xml:space="preserve"> a </w:t>
      </w:r>
      <w:r>
        <w:t xml:space="preserve">separate MBS item </w:t>
      </w:r>
      <w:r w:rsidRPr="00CF1FC6">
        <w:t xml:space="preserve">for rapid NAATs </w:t>
      </w:r>
      <w:r>
        <w:t xml:space="preserve">with a </w:t>
      </w:r>
      <w:r w:rsidRPr="00CF1FC6">
        <w:t>higher fee is appropriate</w:t>
      </w:r>
      <w:r>
        <w:t xml:space="preserve"> in settings where turnaround time is likely to be longer than 24 hours (</w:t>
      </w:r>
      <w:proofErr w:type="gramStart"/>
      <w:r>
        <w:t>e.g.</w:t>
      </w:r>
      <w:proofErr w:type="gramEnd"/>
      <w:r>
        <w:t xml:space="preserve"> remote and regional areas)</w:t>
      </w:r>
      <w:r w:rsidRPr="00CF1FC6">
        <w:t>.</w:t>
      </w:r>
      <w:r>
        <w:t xml:space="preserve"> ESC noted the DCAR estimated the cost of providing a rapid NAAT to be $79.15</w:t>
      </w:r>
      <w:r w:rsidRPr="000C2249">
        <w:t xml:space="preserve"> </w:t>
      </w:r>
      <w:r>
        <w:t>for 4 pathogens and $145.04</w:t>
      </w:r>
      <w:r w:rsidRPr="000C2249">
        <w:t xml:space="preserve"> </w:t>
      </w:r>
      <w:r>
        <w:t>for ≥5 pathogens, and that calculations using those costs as the 85% benefit result in MBS fees of $93.12 and $170.64 respectively.</w:t>
      </w:r>
    </w:p>
    <w:p w14:paraId="7BE1015D" w14:textId="77777777" w:rsidR="00CB2E78" w:rsidRPr="008F150A" w:rsidRDefault="00CB2E78" w:rsidP="00CB2E78">
      <w:r>
        <w:t>ESC noted that the DCAR also found that there was no difference in cost between standard and rapid NAATs, but ESC considered this to be a circular argument because the</w:t>
      </w:r>
      <w:r w:rsidRPr="008F150A">
        <w:t xml:space="preserve"> fees</w:t>
      </w:r>
      <w:r>
        <w:t xml:space="preserve"> proposed by the DCAR</w:t>
      </w:r>
      <w:r w:rsidRPr="008F150A">
        <w:t xml:space="preserve"> (</w:t>
      </w:r>
      <w:r>
        <w:t>based on the</w:t>
      </w:r>
      <w:r w:rsidRPr="008F150A">
        <w:t xml:space="preserve"> number of pathogens) </w:t>
      </w:r>
      <w:r>
        <w:t>were</w:t>
      </w:r>
      <w:r w:rsidRPr="008F150A">
        <w:t xml:space="preserve"> set to be the same regardless of </w:t>
      </w:r>
      <w:r>
        <w:t xml:space="preserve">the testing </w:t>
      </w:r>
      <w:r w:rsidRPr="008F150A">
        <w:t>method</w:t>
      </w:r>
      <w:r>
        <w:t>.</w:t>
      </w:r>
    </w:p>
    <w:p w14:paraId="01FE346A" w14:textId="77777777" w:rsidR="00CB2E78" w:rsidRDefault="00CB2E78" w:rsidP="00CB2E78">
      <w:r>
        <w:t>ESC noted that the DCAR used a market share approach to estimate utilisation, and considered this to be reasonable. ESC noted that the current temporary items were only implemented in October 2022 making only 3 months of data available for the DCAR, which covered testing over the summer months. ESC noted that utilisation data would also reflect policy changes since January 2022 regarding PCR testing requirements for COVID-19. Overall, ESC considered that the utilisation data available were very limited.</w:t>
      </w:r>
    </w:p>
    <w:p w14:paraId="102D8214" w14:textId="77777777" w:rsidR="00CB2E78" w:rsidRDefault="00CB2E78" w:rsidP="00CB2E78">
      <w:r>
        <w:t xml:space="preserve">ESC noted that utilisation and financial estimates were provided for sub-scenario options 1a and 1b, which differed in that option 1b would retain testing for only SARS-CoV-2 under MBS item 69494, where option 1a replaced single testing with multi-pathogen testing using XXXX and YYYY. ESC considered it appropriate to assume that </w:t>
      </w:r>
      <w:r w:rsidRPr="004E1FBA">
        <w:t>in the future</w:t>
      </w:r>
      <w:r>
        <w:t xml:space="preserve"> SARS-CoV-2 testing</w:t>
      </w:r>
      <w:r w:rsidRPr="004E1FBA">
        <w:t xml:space="preserve"> </w:t>
      </w:r>
      <w:r>
        <w:t>will likely</w:t>
      </w:r>
      <w:r w:rsidRPr="004E1FBA">
        <w:t xml:space="preserve"> become part of multiplex testing</w:t>
      </w:r>
      <w:r>
        <w:t>, as covered in option 1. However, ESC also considered that there may be clinical scenarios where single testing (</w:t>
      </w:r>
      <w:proofErr w:type="gramStart"/>
      <w:r>
        <w:t>i.e.</w:t>
      </w:r>
      <w:proofErr w:type="gramEnd"/>
      <w:r>
        <w:t xml:space="preserve"> for only SARS-CoV-2) is appropriate, such as for contact testing and for differential diagnosis and treatment where previous respiratory viruses </w:t>
      </w:r>
      <w:r>
        <w:lastRenderedPageBreak/>
        <w:t>have already been excluded. MSAC may wish to consider whether it is more appropriate to retain a single testing item.</w:t>
      </w:r>
    </w:p>
    <w:p w14:paraId="3CE3FC41" w14:textId="77777777" w:rsidR="00CB2E78" w:rsidRDefault="00CB2E78" w:rsidP="00CB2E78">
      <w:r>
        <w:t xml:space="preserve">ESC considered that both sub-scenarios reflect best clinical practice, and noted that retaining SARS-CoV-2-only testing under MBS item 69494 (option 1b) resulted in a lower cost of XXXX and YYYY services to the MBS than option 1a. ESC noted that the cost-offset from services not provided under generic items 69494-6 if other items are available (but that would otherwise be provided under comparator option 3) was $140.1-149.6 million per year in options 1a and 2 where SARS-CoV-2-only testing under 69494-6 was replaced, and this reduced to $92.1-98.3 million per year in option 1b where 69494 was retained. ESC noted the net financial cost to the MBS was therefore $172.8-184.5 million per year for option 1a, $89.9-96.0 million per year for option 1b, and $152.2-162.5 million per year for option 2. ESC considered that option 1b had a lower net financial impact than 1a because it retained services under the cheaper generic item 69494, and considered option 1b may be preferred out of the proposed options for its lower financial impact as well as it </w:t>
      </w:r>
      <w:proofErr w:type="gramStart"/>
      <w:r>
        <w:t>aligning</w:t>
      </w:r>
      <w:proofErr w:type="gramEnd"/>
      <w:r>
        <w:t xml:space="preserve"> with single testing being clinically appropriate in some cases. However, ESC considered that if option 1b were supported then the fee for SARS-CoV-2-only testing would need to be raised to better align with the cost of providing the service. ESC noted that SARS-CoV-2-only testing could be done without making MBS item 69511 permanent (AAAA) by billing it under generic item 69494, but that the fee for generic testing is too low and may result in out-of-pocket fees. ESC noted that the generic MBS items (69494-6) are also used for other indications, so de-listing the generic items from the MBS entirely was not proposed under any option.</w:t>
      </w:r>
    </w:p>
    <w:p w14:paraId="115122EE" w14:textId="77777777" w:rsidR="00CB2E78" w:rsidRDefault="00CB2E78" w:rsidP="00CB2E78">
      <w:r>
        <w:t>ESC considered that option 3 (</w:t>
      </w:r>
      <w:proofErr w:type="gramStart"/>
      <w:r>
        <w:t>reverting back</w:t>
      </w:r>
      <w:proofErr w:type="gramEnd"/>
      <w:r>
        <w:t xml:space="preserve"> to the generic items) would likely result in out-of-pocket costs if the bulk-billing requirement for SARS-CoV-2 testing was removed, as patient co-payments were excluded from the financial analysis. ESC suggested that the government may want to consider its policy on bulk-billing testing for infectious diseases </w:t>
      </w:r>
      <w:proofErr w:type="gramStart"/>
      <w:r>
        <w:t>in light of</w:t>
      </w:r>
      <w:proofErr w:type="gramEnd"/>
      <w:r>
        <w:t xml:space="preserve"> this testing also having broader benefits for public health.</w:t>
      </w:r>
    </w:p>
    <w:p w14:paraId="70B5CBB7" w14:textId="25FC7D8F" w:rsidR="00CB2E78" w:rsidRDefault="00CB2E78" w:rsidP="00CB2E78">
      <w:r>
        <w:t xml:space="preserve">ESC noted the DCAR had proposed that MSAC consider whether fees should include a margin on the costs, as many kits and reagents are sourced from overseas and are therefore subject to fluctuating costs due to inflation and exchange rates. ESC also noted policy advice that MBS fees are intended to cover the cost to provide the professional service, and not to cover future price fluctuations, or to </w:t>
      </w:r>
      <w:r w:rsidR="009343D8" w:rsidRPr="00655E1C">
        <w:rPr>
          <w:i/>
          <w:iCs/>
        </w:rPr>
        <w:t>Redacted</w:t>
      </w:r>
      <w:r>
        <w:t xml:space="preserve">. </w:t>
      </w:r>
      <w:r w:rsidRPr="00954F74">
        <w:t xml:space="preserve">ESC </w:t>
      </w:r>
      <w:r w:rsidRPr="00D93DCA">
        <w:t>considered the detail of the DCAR’s costing calculations</w:t>
      </w:r>
      <w:r w:rsidRPr="00954F74">
        <w:t xml:space="preserve"> (</w:t>
      </w:r>
      <w:r w:rsidRPr="00954F74">
        <w:fldChar w:fldCharType="begin"/>
      </w:r>
      <w:r w:rsidRPr="00954F74">
        <w:instrText xml:space="preserve"> REF _Ref139292320 </w:instrText>
      </w:r>
      <w:r>
        <w:instrText xml:space="preserve"> \* MERGEFORMAT </w:instrText>
      </w:r>
      <w:r w:rsidRPr="00954F74">
        <w:fldChar w:fldCharType="separate"/>
      </w:r>
      <w:r w:rsidR="00525416">
        <w:t xml:space="preserve">Table </w:t>
      </w:r>
      <w:r w:rsidR="00525416">
        <w:rPr>
          <w:noProof/>
        </w:rPr>
        <w:t>4</w:t>
      </w:r>
      <w:r w:rsidRPr="00954F74">
        <w:fldChar w:fldCharType="end"/>
      </w:r>
      <w:r w:rsidRPr="00954F74">
        <w:t>)</w:t>
      </w:r>
      <w:r>
        <w:t xml:space="preserve"> </w:t>
      </w:r>
      <w:r w:rsidRPr="00D93DCA">
        <w:t>may inform MSAC’s consideration of the proposed fees</w:t>
      </w:r>
      <w:r w:rsidRPr="00954F74">
        <w:t>.</w:t>
      </w:r>
    </w:p>
    <w:p w14:paraId="095521B9" w14:textId="77777777" w:rsidR="00CB2E78" w:rsidRDefault="00CB2E78" w:rsidP="00CB2E78">
      <w:pPr>
        <w:spacing w:before="0"/>
        <w:rPr>
          <w:rFonts w:ascii="Franklin Gothic Medium" w:eastAsiaTheme="majorEastAsia" w:hAnsi="Franklin Gothic Medium" w:cstheme="majorBidi"/>
          <w:color w:val="000000" w:themeColor="text1"/>
          <w:sz w:val="32"/>
          <w:szCs w:val="26"/>
        </w:rPr>
      </w:pPr>
      <w:r>
        <w:t xml:space="preserve">ESC considered the possible need for co-claiming restrictions among the new MBS items and the MBS generic items, and noted the generic item descriptors currently provide for testing “not elsewhere specified”, which may mitigate this risk. </w:t>
      </w:r>
    </w:p>
    <w:p w14:paraId="11196B8B" w14:textId="0711C5B5" w:rsidR="00CB2E78" w:rsidRDefault="00CB2E78" w:rsidP="00CB2E78">
      <w:pPr>
        <w:pStyle w:val="Heading2"/>
        <w:numPr>
          <w:ilvl w:val="0"/>
          <w:numId w:val="0"/>
        </w:numPr>
      </w:pPr>
      <w:r>
        <w:t>1</w:t>
      </w:r>
      <w:r w:rsidR="004E62D8">
        <w:t>7</w:t>
      </w:r>
      <w:r>
        <w:t>.</w:t>
      </w:r>
      <w:r>
        <w:tab/>
        <w:t>Further information on MSAC</w:t>
      </w:r>
    </w:p>
    <w:p w14:paraId="28CDA77B" w14:textId="77FD4CF7" w:rsidR="00CB2E78" w:rsidRPr="00CB2E78" w:rsidRDefault="00CB2E78" w:rsidP="00CB2E78">
      <w:pPr>
        <w:pStyle w:val="BodyText"/>
        <w:rPr>
          <w:rFonts w:ascii="Franklin Gothic Book" w:hAnsi="Franklin Gothic Book" w:cstheme="minorBidi"/>
          <w:b/>
          <w:bCs/>
          <w:i/>
          <w:iCs/>
          <w:sz w:val="22"/>
        </w:rPr>
      </w:pPr>
      <w:r w:rsidRPr="00F309FA">
        <w:rPr>
          <w:rFonts w:ascii="Franklin Gothic Book" w:hAnsi="Franklin Gothic Book"/>
          <w:bCs/>
          <w:iCs/>
          <w:sz w:val="22"/>
        </w:rPr>
        <w:t xml:space="preserve">MSAC Terms of Reference and other information are available on the MSAC Website: </w:t>
      </w:r>
      <w:hyperlink r:id="rId15" w:tooltip="Link to the MSAC website" w:history="1">
        <w:r w:rsidRPr="00F309FA">
          <w:rPr>
            <w:rStyle w:val="Hyperlink"/>
            <w:rFonts w:ascii="Franklin Gothic Book" w:hAnsi="Franklin Gothic Book"/>
            <w:bCs/>
            <w:iCs/>
            <w:sz w:val="22"/>
          </w:rPr>
          <w:t>visit the MSAC website</w:t>
        </w:r>
      </w:hyperlink>
    </w:p>
    <w:sectPr w:rsidR="00CB2E78" w:rsidRPr="00CB2E78" w:rsidSect="00A86BC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64D586" w14:textId="77777777" w:rsidR="00726A32" w:rsidRDefault="00726A32" w:rsidP="00B62DF2">
      <w:pPr>
        <w:spacing w:after="0" w:line="240" w:lineRule="auto"/>
      </w:pPr>
      <w:r>
        <w:separator/>
      </w:r>
    </w:p>
  </w:endnote>
  <w:endnote w:type="continuationSeparator" w:id="0">
    <w:p w14:paraId="45A8C704" w14:textId="77777777" w:rsidR="00726A32" w:rsidRDefault="00726A32" w:rsidP="00B62DF2">
      <w:pPr>
        <w:spacing w:after="0" w:line="240" w:lineRule="auto"/>
      </w:pPr>
      <w:r>
        <w:continuationSeparator/>
      </w:r>
    </w:p>
  </w:endnote>
  <w:endnote w:type="continuationNotice" w:id="1">
    <w:p w14:paraId="36283624" w14:textId="77777777" w:rsidR="00726A32" w:rsidRDefault="00726A32">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Sylfaen"/>
    <w:charset w:val="00"/>
    <w:family w:val="auto"/>
    <w:pitch w:val="variable"/>
    <w:sig w:usb0="E50002FF" w:usb1="500079DB" w:usb2="00000010" w:usb3="00000000" w:csb0="00000001" w:csb1="00000000"/>
  </w:font>
  <w:font w:name="Tms Rmn">
    <w:altName w:val="Times New Roman"/>
    <w:panose1 w:val="02020603040505020304"/>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6D499" w14:textId="2B1807AF" w:rsidR="00AC1891" w:rsidRDefault="00E90889">
    <w:pPr>
      <w:pStyle w:val="Footer"/>
    </w:pPr>
    <w:r>
      <w:fldChar w:fldCharType="begin"/>
    </w:r>
    <w:r>
      <w:instrText xml:space="preserve"> PAGE   \* MERGEFORMAT </w:instrText>
    </w:r>
    <w:r>
      <w:fldChar w:fldCharType="separate"/>
    </w:r>
    <w:r>
      <w:t>15</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44847"/>
      <w:docPartObj>
        <w:docPartGallery w:val="Page Numbers (Bottom of Page)"/>
        <w:docPartUnique/>
      </w:docPartObj>
    </w:sdtPr>
    <w:sdtEndPr>
      <w:rPr>
        <w:noProof/>
      </w:rPr>
    </w:sdtEndPr>
    <w:sdtContent>
      <w:p w14:paraId="6BE9385A" w14:textId="7131365A" w:rsidR="00AC1891" w:rsidRDefault="00AC1891" w:rsidP="00CB2E78">
        <w:pPr>
          <w:pStyle w:val="Footer"/>
          <w:jc w:val="right"/>
        </w:pPr>
        <w:r>
          <w:fldChar w:fldCharType="begin"/>
        </w:r>
        <w:r>
          <w:instrText xml:space="preserve"> PAGE   \* MERGEFORMAT </w:instrText>
        </w:r>
        <w:r>
          <w:fldChar w:fldCharType="separate"/>
        </w:r>
        <w:r w:rsidR="00967549">
          <w:rPr>
            <w:noProof/>
          </w:rPr>
          <w:t>73</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43026" w14:textId="77777777" w:rsidR="00E61459" w:rsidRDefault="00E614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AB6939" w14:textId="77777777" w:rsidR="00726A32" w:rsidRDefault="00726A32" w:rsidP="00B62DF2">
      <w:pPr>
        <w:spacing w:after="0" w:line="240" w:lineRule="auto"/>
      </w:pPr>
      <w:r>
        <w:separator/>
      </w:r>
    </w:p>
  </w:footnote>
  <w:footnote w:type="continuationSeparator" w:id="0">
    <w:p w14:paraId="3571EAAE" w14:textId="77777777" w:rsidR="00726A32" w:rsidRDefault="00726A32" w:rsidP="00B62DF2">
      <w:pPr>
        <w:spacing w:after="0" w:line="240" w:lineRule="auto"/>
      </w:pPr>
      <w:r>
        <w:continuationSeparator/>
      </w:r>
    </w:p>
  </w:footnote>
  <w:footnote w:type="continuationNotice" w:id="1">
    <w:p w14:paraId="6185E614" w14:textId="77777777" w:rsidR="00726A32" w:rsidRDefault="00726A32">
      <w:pPr>
        <w:spacing w:before="0" w:after="0" w:line="240" w:lineRule="auto"/>
      </w:pPr>
    </w:p>
  </w:footnote>
  <w:footnote w:id="2">
    <w:p w14:paraId="45BC7DB3" w14:textId="12F48410" w:rsidR="0014379F" w:rsidRDefault="0014379F" w:rsidP="001D278E">
      <w:pPr>
        <w:pStyle w:val="FootnoteText"/>
        <w:spacing w:before="0"/>
      </w:pPr>
      <w:r>
        <w:rPr>
          <w:rStyle w:val="FootnoteReference"/>
        </w:rPr>
        <w:footnoteRef/>
      </w:r>
      <w:r>
        <w:t xml:space="preserve"> </w:t>
      </w:r>
      <w:hyperlink r:id="rId1" w:history="1">
        <w:r w:rsidR="002062AE" w:rsidRPr="00535D99">
          <w:rPr>
            <w:rStyle w:val="Hyperlink"/>
          </w:rPr>
          <w:t>http://www.mbsonline.gov.au/internet/mbsonline/publishing.nsf/Content/Factsheet-Cov.LTI</w:t>
        </w:r>
      </w:hyperlink>
      <w:r w:rsidR="002062AE">
        <w:t xml:space="preserve"> accessed 21 February 2023</w:t>
      </w:r>
    </w:p>
  </w:footnote>
  <w:footnote w:id="3">
    <w:p w14:paraId="6B2F1736" w14:textId="17725A76" w:rsidR="0014379F" w:rsidRDefault="00F20683" w:rsidP="001D278E">
      <w:pPr>
        <w:pStyle w:val="FootnoteText"/>
        <w:spacing w:before="0"/>
      </w:pPr>
      <w:r>
        <w:rPr>
          <w:rStyle w:val="FootnoteReference"/>
        </w:rPr>
        <w:footnoteRef/>
      </w:r>
      <w:r w:rsidR="0014379F">
        <w:t xml:space="preserve"> </w:t>
      </w:r>
      <w:hyperlink r:id="rId2" w:history="1">
        <w:r w:rsidR="005A0F77" w:rsidRPr="00535D99">
          <w:rPr>
            <w:rStyle w:val="Hyperlink"/>
          </w:rPr>
          <w:t>http://www.mbsonline.gov.au/internet/mbsonline/publishing.nsf/Content/Pathology-SARS-CoV-2-items</w:t>
        </w:r>
      </w:hyperlink>
      <w:r w:rsidR="005A0F77">
        <w:t xml:space="preserve"> </w:t>
      </w:r>
      <w:r w:rsidR="000C37D7">
        <w:t>accessed 20 February 2023</w:t>
      </w:r>
    </w:p>
  </w:footnote>
  <w:footnote w:id="4">
    <w:p w14:paraId="4E7A51D8" w14:textId="376749BB" w:rsidR="00254065" w:rsidRDefault="00254065" w:rsidP="001D278E">
      <w:pPr>
        <w:pStyle w:val="FootnoteText"/>
        <w:spacing w:before="0"/>
      </w:pPr>
      <w:r>
        <w:rPr>
          <w:rStyle w:val="FootnoteReference"/>
        </w:rPr>
        <w:footnoteRef/>
      </w:r>
      <w:r>
        <w:t xml:space="preserve"> </w:t>
      </w:r>
      <w:hyperlink r:id="rId3" w:history="1">
        <w:r w:rsidRPr="00B317DE">
          <w:rPr>
            <w:rStyle w:val="Hyperlink"/>
          </w:rPr>
          <w:t>http://www.mbsonline.gov.au/internet/mbsonline/publishing.nsf/Content/Factsheet-Extension%20of%20temporary%20pathology%20items%20for%20SARS-CoV-2</w:t>
        </w:r>
      </w:hyperlink>
      <w:r>
        <w:t xml:space="preserve"> accessed 22 February 2023</w:t>
      </w:r>
    </w:p>
  </w:footnote>
  <w:footnote w:id="5">
    <w:p w14:paraId="089A74FF" w14:textId="77777777" w:rsidR="0014379F" w:rsidRDefault="0014379F" w:rsidP="001D278E">
      <w:pPr>
        <w:pStyle w:val="FootnoteText"/>
        <w:spacing w:before="0"/>
      </w:pPr>
      <w:r>
        <w:rPr>
          <w:rStyle w:val="FootnoteReference"/>
        </w:rPr>
        <w:footnoteRef/>
      </w:r>
      <w:r>
        <w:t xml:space="preserve"> Professor Mark Shephard, personal communication in meeting with HTA group, Department, February 17, 2023</w:t>
      </w:r>
    </w:p>
  </w:footnote>
  <w:footnote w:id="6">
    <w:p w14:paraId="28871036" w14:textId="3F3061CB" w:rsidR="0014379F" w:rsidRDefault="0014379F" w:rsidP="001D278E">
      <w:pPr>
        <w:pStyle w:val="FootnoteText"/>
        <w:spacing w:before="0"/>
      </w:pPr>
      <w:r>
        <w:rPr>
          <w:rStyle w:val="FootnoteReference"/>
        </w:rPr>
        <w:footnoteRef/>
      </w:r>
      <w:r>
        <w:t xml:space="preserve"> Australian Pathology, email to Department, 19 February 2023 in response to turnaround times</w:t>
      </w:r>
    </w:p>
  </w:footnote>
  <w:footnote w:id="7">
    <w:p w14:paraId="2C33F811" w14:textId="3CD9436C" w:rsidR="0037110D" w:rsidRDefault="0037110D" w:rsidP="001D278E">
      <w:pPr>
        <w:pStyle w:val="FootnoteText"/>
        <w:spacing w:before="0"/>
      </w:pPr>
      <w:r>
        <w:rPr>
          <w:rStyle w:val="FootnoteReference"/>
        </w:rPr>
        <w:footnoteRef/>
      </w:r>
      <w:r>
        <w:t xml:space="preserve"> Personal communication, Professor Dominic Dwyer, 28 February 2023</w:t>
      </w:r>
    </w:p>
  </w:footnote>
  <w:footnote w:id="8">
    <w:p w14:paraId="6085BC96" w14:textId="77777777" w:rsidR="0014379F" w:rsidRDefault="0014379F" w:rsidP="001D278E">
      <w:pPr>
        <w:pStyle w:val="FootnoteText"/>
        <w:spacing w:before="0"/>
      </w:pPr>
      <w:r>
        <w:rPr>
          <w:rStyle w:val="FootnoteReference"/>
        </w:rPr>
        <w:footnoteRef/>
      </w:r>
      <w:r>
        <w:t xml:space="preserve"> Personal communication, Professor Rhonda Stuart, 9 March 2023.</w:t>
      </w:r>
    </w:p>
  </w:footnote>
  <w:footnote w:id="9">
    <w:p w14:paraId="3D1FF870" w14:textId="209F1425" w:rsidR="00207E7E" w:rsidRDefault="00207E7E" w:rsidP="001D278E">
      <w:pPr>
        <w:pStyle w:val="FootnoteText"/>
        <w:spacing w:before="0"/>
      </w:pPr>
      <w:r>
        <w:rPr>
          <w:rStyle w:val="FootnoteReference"/>
        </w:rPr>
        <w:footnoteRef/>
      </w:r>
      <w:r>
        <w:t xml:space="preserve"> </w:t>
      </w:r>
      <w:hyperlink r:id="rId4" w:history="1">
        <w:r w:rsidRPr="00535D99">
          <w:rPr>
            <w:rStyle w:val="Hyperlink"/>
          </w:rPr>
          <w:t>https://www.tga.gov.au/sites/default/files/regulatory-requirements-in-house-ivds.pdf</w:t>
        </w:r>
      </w:hyperlink>
      <w:r>
        <w:t xml:space="preserve"> accessed 13 April 2023</w:t>
      </w:r>
    </w:p>
  </w:footnote>
  <w:footnote w:id="10">
    <w:p w14:paraId="0549236A" w14:textId="07D534F2" w:rsidR="005A0F77" w:rsidRDefault="005A0F77" w:rsidP="001D278E">
      <w:pPr>
        <w:pStyle w:val="FootnoteText"/>
        <w:spacing w:before="0"/>
      </w:pPr>
      <w:r>
        <w:rPr>
          <w:rStyle w:val="FootnoteReference"/>
        </w:rPr>
        <w:footnoteRef/>
      </w:r>
      <w:r>
        <w:t xml:space="preserve"> </w:t>
      </w:r>
      <w:hyperlink r:id="rId5" w:history="1">
        <w:r w:rsidRPr="00535D99">
          <w:rPr>
            <w:rStyle w:val="Hyperlink"/>
          </w:rPr>
          <w:t>https://www.health.gov.au/resources/publications/coronavirus-covid-19-testing-framework-for-covid-19-in-australia</w:t>
        </w:r>
      </w:hyperlink>
      <w:r>
        <w:t xml:space="preserve"> accessed 22 February 2023</w:t>
      </w:r>
    </w:p>
  </w:footnote>
  <w:footnote w:id="11">
    <w:p w14:paraId="76E3C46D" w14:textId="61D4520C" w:rsidR="00584DD4" w:rsidRDefault="00584DD4" w:rsidP="001D278E">
      <w:pPr>
        <w:pStyle w:val="FootnoteText"/>
        <w:spacing w:before="0"/>
      </w:pPr>
      <w:r>
        <w:rPr>
          <w:rStyle w:val="FootnoteReference"/>
        </w:rPr>
        <w:footnoteRef/>
      </w:r>
      <w:r>
        <w:t xml:space="preserve"> RCPA QAP email to </w:t>
      </w:r>
      <w:r w:rsidR="003D1F88">
        <w:t>Department</w:t>
      </w:r>
      <w:r>
        <w:t>, 8 February 2023</w:t>
      </w:r>
    </w:p>
  </w:footnote>
  <w:footnote w:id="12">
    <w:p w14:paraId="48CD2D15" w14:textId="77777777" w:rsidR="00C16E81" w:rsidRDefault="00C16E81" w:rsidP="00C16E81">
      <w:pPr>
        <w:pStyle w:val="FootnoteText"/>
        <w:spacing w:before="0"/>
      </w:pPr>
      <w:r>
        <w:rPr>
          <w:rStyle w:val="FootnoteReference"/>
        </w:rPr>
        <w:footnoteRef/>
      </w:r>
      <w:r>
        <w:t xml:space="preserve"> </w:t>
      </w:r>
      <w:hyperlink r:id="rId6" w:history="1">
        <w:r w:rsidRPr="00632E78">
          <w:rPr>
            <w:rStyle w:val="Hyperlink"/>
          </w:rPr>
          <w:t>http://www.mbsonline.gov.au/internet/mbsonline/publishing.nsf/Content/Factsheet-Cov.LTI</w:t>
        </w:r>
      </w:hyperlink>
      <w:r>
        <w:t xml:space="preserve"> accessed 20 February 2023</w:t>
      </w:r>
    </w:p>
  </w:footnote>
  <w:footnote w:id="13">
    <w:p w14:paraId="3A584E19" w14:textId="6705089A" w:rsidR="00C35EF4" w:rsidRDefault="00C35EF4" w:rsidP="001D278E">
      <w:pPr>
        <w:pStyle w:val="FootnoteText"/>
        <w:spacing w:before="0"/>
      </w:pPr>
      <w:r>
        <w:rPr>
          <w:rStyle w:val="FootnoteReference"/>
        </w:rPr>
        <w:footnoteRef/>
      </w:r>
      <w:r>
        <w:t xml:space="preserve"> Australian Pathology letter </w:t>
      </w:r>
      <w:r w:rsidR="00070601">
        <w:t xml:space="preserve">to Department, </w:t>
      </w:r>
      <w:r>
        <w:t>28 November 2022</w:t>
      </w:r>
      <w:r w:rsidR="00070601">
        <w:t xml:space="preserve"> and to Hon Ms Emma McBride MP, 19 August 2022</w:t>
      </w:r>
    </w:p>
  </w:footnote>
  <w:footnote w:id="14">
    <w:p w14:paraId="35DA20DA" w14:textId="77777777" w:rsidR="00B01475" w:rsidRDefault="00B01475" w:rsidP="00B01475">
      <w:pPr>
        <w:pStyle w:val="FootnoteText"/>
        <w:spacing w:before="0"/>
      </w:pPr>
      <w:r>
        <w:rPr>
          <w:rStyle w:val="FootnoteReference"/>
        </w:rPr>
        <w:footnoteRef/>
      </w:r>
      <w:r>
        <w:t xml:space="preserve"> </w:t>
      </w:r>
      <w:hyperlink r:id="rId7" w:history="1">
        <w:r w:rsidRPr="00800452">
          <w:rPr>
            <w:rStyle w:val="Hyperlink"/>
          </w:rPr>
          <w:t>https://www.health.tas.gov.au/publications/testing-covid-19-fact-sheet</w:t>
        </w:r>
      </w:hyperlink>
      <w:r>
        <w:t xml:space="preserve"> accessed 26 February 2023</w:t>
      </w:r>
    </w:p>
  </w:footnote>
  <w:footnote w:id="15">
    <w:p w14:paraId="0C2B1FDE" w14:textId="77777777" w:rsidR="00B01475" w:rsidRDefault="00B01475" w:rsidP="00B01475">
      <w:pPr>
        <w:pStyle w:val="FootnoteText"/>
        <w:spacing w:before="0"/>
      </w:pPr>
      <w:r>
        <w:rPr>
          <w:rStyle w:val="FootnoteReference"/>
        </w:rPr>
        <w:footnoteRef/>
      </w:r>
      <w:r>
        <w:t xml:space="preserve"> Australian Pathology letter to Department, 28 November 2022</w:t>
      </w:r>
    </w:p>
  </w:footnote>
  <w:footnote w:id="16">
    <w:p w14:paraId="22989B9D" w14:textId="77777777" w:rsidR="00AA2695" w:rsidRDefault="00AA2695" w:rsidP="001D278E">
      <w:pPr>
        <w:pStyle w:val="FootnoteText"/>
        <w:spacing w:before="0"/>
      </w:pPr>
      <w:r>
        <w:rPr>
          <w:rStyle w:val="FootnoteReference"/>
        </w:rPr>
        <w:footnoteRef/>
      </w:r>
      <w:r>
        <w:t xml:space="preserve"> Australian Influenza Surveillance Report (AISR) 2022 National  Influenza Season Summary, </w:t>
      </w:r>
      <w:hyperlink r:id="rId8" w:history="1">
        <w:r w:rsidRPr="00FF662A">
          <w:rPr>
            <w:rStyle w:val="Hyperlink"/>
          </w:rPr>
          <w:t>https://www.health.gov.au/resources/publications/aisr-2022-national-influenza-season-summary?language=en</w:t>
        </w:r>
      </w:hyperlink>
      <w:r>
        <w:t xml:space="preserve"> accessed 14 March 2023</w:t>
      </w:r>
    </w:p>
  </w:footnote>
  <w:footnote w:id="17">
    <w:p w14:paraId="6FACB4BA" w14:textId="77777777" w:rsidR="007435EB" w:rsidRDefault="007435EB" w:rsidP="001D278E">
      <w:pPr>
        <w:pStyle w:val="FootnoteText"/>
        <w:spacing w:before="0"/>
      </w:pPr>
      <w:r>
        <w:rPr>
          <w:rStyle w:val="FootnoteReference"/>
        </w:rPr>
        <w:footnoteRef/>
      </w:r>
      <w:r>
        <w:t xml:space="preserve"> </w:t>
      </w:r>
      <w:r w:rsidRPr="00E6048A">
        <w:rPr>
          <w:noProof/>
        </w:rPr>
        <w:t>Graham M, Ballard SA, Pasricha S, Lin B, Hoang T, Stinear T, et al. Use of emerging testing technologies and approaches for SARS-CoV-2: review of literature and global experience in an Australian context. Pathology. 2021;53(6):689-99.</w:t>
      </w:r>
      <w:r>
        <w:rPr>
          <w:noProof/>
        </w:rPr>
        <w:t xml:space="preserve"> </w:t>
      </w:r>
    </w:p>
  </w:footnote>
  <w:footnote w:id="18">
    <w:p w14:paraId="52C3980B" w14:textId="724800A6" w:rsidR="00E92297" w:rsidRDefault="00E92297" w:rsidP="001D278E">
      <w:pPr>
        <w:pStyle w:val="FootnoteText"/>
        <w:spacing w:before="0"/>
      </w:pPr>
      <w:r>
        <w:rPr>
          <w:rStyle w:val="FootnoteReference"/>
        </w:rPr>
        <w:footnoteRef/>
      </w:r>
      <w:r>
        <w:t xml:space="preserve"> </w:t>
      </w:r>
      <w:r w:rsidRPr="00E6048A">
        <w:rPr>
          <w:noProof/>
        </w:rPr>
        <w:t>Graham M, Ballard SA, Pasricha S, Lin B, Hoang T, Stinear T, et al. Use of emerging testing technologies and approaches for SARS-CoV-2: review of literature and global experience in an Australian context. Pathology. 2021;53(6):689-99.</w:t>
      </w:r>
    </w:p>
  </w:footnote>
  <w:footnote w:id="19">
    <w:p w14:paraId="261E5222" w14:textId="75BD75EC" w:rsidR="004548F4" w:rsidRDefault="004548F4" w:rsidP="001D278E">
      <w:pPr>
        <w:pStyle w:val="FootnoteText"/>
        <w:spacing w:before="0"/>
      </w:pPr>
      <w:r>
        <w:rPr>
          <w:rStyle w:val="FootnoteReference"/>
        </w:rPr>
        <w:footnoteRef/>
      </w:r>
      <w:r>
        <w:t xml:space="preserve"> </w:t>
      </w:r>
      <w:r w:rsidRPr="00E6048A">
        <w:rPr>
          <w:noProof/>
        </w:rPr>
        <w:t>Lebourgeois S, Storto A, Gout B, Le Hingrat Q, Ardila Tjader G, Cerdan MDC, et al. Performance evaluation of the QIAstat-Dx® Respiratory SARS-CoV-2 Panel. Int J Infect Dis. 2021;107:179-81.</w:t>
      </w:r>
    </w:p>
  </w:footnote>
  <w:footnote w:id="20">
    <w:p w14:paraId="57F20004" w14:textId="74369974" w:rsidR="00485912" w:rsidRDefault="00485912" w:rsidP="001D278E">
      <w:pPr>
        <w:pStyle w:val="FootnoteText"/>
        <w:spacing w:before="0"/>
      </w:pPr>
      <w:r>
        <w:rPr>
          <w:rStyle w:val="FootnoteReference"/>
        </w:rPr>
        <w:footnoteRef/>
      </w:r>
      <w:r>
        <w:t xml:space="preserve"> </w:t>
      </w:r>
      <w:r w:rsidRPr="00E6048A">
        <w:rPr>
          <w:noProof/>
        </w:rPr>
        <w:t xml:space="preserve">Cassidy H, van Genne M, Lizarazo-Forero E, Niesters HGM, Gard L. Evaluation of the QIAstat-Dx RP2.0 and the </w:t>
      </w:r>
      <w:r>
        <w:rPr>
          <w:noProof/>
        </w:rPr>
        <w:t>BioFire</w:t>
      </w:r>
      <w:r w:rsidRPr="00E6048A">
        <w:rPr>
          <w:noProof/>
        </w:rPr>
        <w:t xml:space="preserve"> FilmArray RP2.1 for the Rapid Detection of Respiratory Pathogens Including SARS-CoV-2. Frontiers in Microbiology. 2022;13.</w:t>
      </w:r>
    </w:p>
  </w:footnote>
  <w:footnote w:id="21">
    <w:p w14:paraId="27A0D4FF" w14:textId="3715C69A" w:rsidR="001C0F76" w:rsidRDefault="001C0F76" w:rsidP="001D278E">
      <w:pPr>
        <w:pStyle w:val="FootnoteText"/>
        <w:spacing w:before="0"/>
      </w:pPr>
      <w:r>
        <w:rPr>
          <w:rStyle w:val="FootnoteReference"/>
        </w:rPr>
        <w:footnoteRef/>
      </w:r>
      <w:r>
        <w:t xml:space="preserve"> </w:t>
      </w:r>
      <w:hyperlink r:id="rId9" w:history="1">
        <w:r w:rsidRPr="00B317DE">
          <w:rPr>
            <w:rStyle w:val="Hyperlink"/>
          </w:rPr>
          <w:t>https://extranet.who.int/pqweb/sites/default/files/documents/230419_List_IVDs_NotAccepted_EUL_SARS-CoV-2.pdf</w:t>
        </w:r>
      </w:hyperlink>
      <w:r>
        <w:t xml:space="preserve"> accessed 21 April 2023</w:t>
      </w:r>
    </w:p>
  </w:footnote>
  <w:footnote w:id="22">
    <w:p w14:paraId="6D0DFE81" w14:textId="71B24E72" w:rsidR="00A554CC" w:rsidRDefault="00A554CC" w:rsidP="001D278E">
      <w:pPr>
        <w:pStyle w:val="FootnoteText"/>
        <w:spacing w:before="0"/>
      </w:pPr>
      <w:r>
        <w:rPr>
          <w:rStyle w:val="FootnoteReference"/>
        </w:rPr>
        <w:footnoteRef/>
      </w:r>
      <w:r>
        <w:t xml:space="preserve"> </w:t>
      </w:r>
      <w:r w:rsidRPr="00E6048A">
        <w:rPr>
          <w:noProof/>
        </w:rPr>
        <w:t>Tu Y-P, Iqbal J, O'Leary T. Sensitivity of ID NOW and RT–PCR for detection of SARS-CoV-2 in an ambulatory population. eLife. 2021;10:e65726.</w:t>
      </w:r>
    </w:p>
  </w:footnote>
  <w:footnote w:id="23">
    <w:p w14:paraId="3867D027" w14:textId="1D7A270F" w:rsidR="00834D0A" w:rsidRPr="00834D0A" w:rsidRDefault="00834D0A" w:rsidP="001D278E">
      <w:pPr>
        <w:pStyle w:val="FootnoteText"/>
        <w:spacing w:before="0"/>
        <w:rPr>
          <w:lang w:val="en-US"/>
        </w:rPr>
      </w:pPr>
      <w:r>
        <w:rPr>
          <w:rStyle w:val="FootnoteReference"/>
        </w:rPr>
        <w:footnoteRef/>
      </w:r>
      <w:r>
        <w:t xml:space="preserve"> </w:t>
      </w:r>
      <w:r w:rsidRPr="00834D0A">
        <w:rPr>
          <w:lang w:val="en-US"/>
        </w:rPr>
        <w:t xml:space="preserve">Lee J, Song J-U. Diagnostic accuracy of the Cepheid </w:t>
      </w:r>
      <w:proofErr w:type="spellStart"/>
      <w:r w:rsidRPr="00834D0A">
        <w:rPr>
          <w:lang w:val="en-US"/>
        </w:rPr>
        <w:t>Xpert</w:t>
      </w:r>
      <w:proofErr w:type="spellEnd"/>
      <w:r w:rsidRPr="00834D0A">
        <w:rPr>
          <w:lang w:val="en-US"/>
        </w:rPr>
        <w:t xml:space="preserve"> Xpress and the Abbott ID NOW assay for rapid detection of SARS-CoV-2: A systematic review and meta-analysis. Journal of Medical Virology. 2021;93(7):4523-31.</w:t>
      </w:r>
    </w:p>
  </w:footnote>
  <w:footnote w:id="24">
    <w:p w14:paraId="2DB64985" w14:textId="2A286E6E" w:rsidR="00A554CC" w:rsidRDefault="00A554CC" w:rsidP="001D278E">
      <w:pPr>
        <w:pStyle w:val="FootnoteText"/>
        <w:spacing w:before="0"/>
      </w:pPr>
      <w:r>
        <w:rPr>
          <w:rStyle w:val="FootnoteReference"/>
        </w:rPr>
        <w:footnoteRef/>
      </w:r>
      <w:r>
        <w:t xml:space="preserve"> </w:t>
      </w:r>
      <w:r w:rsidRPr="00E6048A">
        <w:rPr>
          <w:noProof/>
        </w:rPr>
        <w:t>Dinnes J, Deeks JJ, Berhane S, Taylor M, Adriano A, Davenport C, et al. Rapid, point</w:t>
      </w:r>
      <w:r w:rsidRPr="00E6048A">
        <w:rPr>
          <w:rFonts w:ascii="Cambria Math" w:hAnsi="Cambria Math" w:cs="Cambria Math"/>
          <w:noProof/>
        </w:rPr>
        <w:t>‐</w:t>
      </w:r>
      <w:r w:rsidRPr="00E6048A">
        <w:rPr>
          <w:noProof/>
        </w:rPr>
        <w:t>of</w:t>
      </w:r>
      <w:r w:rsidRPr="00E6048A">
        <w:rPr>
          <w:rFonts w:ascii="Cambria Math" w:hAnsi="Cambria Math" w:cs="Cambria Math"/>
          <w:noProof/>
        </w:rPr>
        <w:t>‐</w:t>
      </w:r>
      <w:r w:rsidRPr="00E6048A">
        <w:rPr>
          <w:noProof/>
        </w:rPr>
        <w:t>care antigen tests for diagnosis of SARS</w:t>
      </w:r>
      <w:r w:rsidRPr="00E6048A">
        <w:rPr>
          <w:rFonts w:ascii="Cambria Math" w:hAnsi="Cambria Math" w:cs="Cambria Math"/>
          <w:noProof/>
        </w:rPr>
        <w:t>‐</w:t>
      </w:r>
      <w:r w:rsidRPr="00E6048A">
        <w:rPr>
          <w:noProof/>
        </w:rPr>
        <w:t>CoV</w:t>
      </w:r>
      <w:r w:rsidRPr="00E6048A">
        <w:rPr>
          <w:rFonts w:ascii="Cambria Math" w:hAnsi="Cambria Math" w:cs="Cambria Math"/>
          <w:noProof/>
        </w:rPr>
        <w:t>‐</w:t>
      </w:r>
      <w:r w:rsidRPr="00E6048A">
        <w:rPr>
          <w:noProof/>
        </w:rPr>
        <w:t>2 infection. Cochrane Database of Systematic Reviews. 2021(3).</w:t>
      </w:r>
    </w:p>
  </w:footnote>
  <w:footnote w:id="25">
    <w:p w14:paraId="34377B55" w14:textId="77777777" w:rsidR="0024530D" w:rsidRDefault="0024530D" w:rsidP="001D278E">
      <w:pPr>
        <w:pStyle w:val="FootnoteText"/>
        <w:spacing w:before="0"/>
      </w:pPr>
      <w:r>
        <w:rPr>
          <w:rStyle w:val="FootnoteReference"/>
        </w:rPr>
        <w:footnoteRef/>
      </w:r>
      <w:r>
        <w:t xml:space="preserve"> </w:t>
      </w:r>
      <w:r w:rsidRPr="00E6048A">
        <w:rPr>
          <w:noProof/>
        </w:rPr>
        <w:t>Graham M, Muhi S, Hoang T, Ballard SA, McAuley J, Kwong JC, et al. Multi-site point of care assessment of Abbott ID NOW rapid molecular test for SARS-CoV-2 in a low-prevalence setting. Pathology. 2021;53(7):912-4.</w:t>
      </w:r>
    </w:p>
  </w:footnote>
  <w:footnote w:id="26">
    <w:p w14:paraId="76224E83" w14:textId="77777777" w:rsidR="00B51507" w:rsidRDefault="00B51507" w:rsidP="001D278E">
      <w:pPr>
        <w:pStyle w:val="FootnoteText"/>
        <w:spacing w:before="0"/>
      </w:pPr>
      <w:r>
        <w:rPr>
          <w:rStyle w:val="FootnoteReference"/>
        </w:rPr>
        <w:footnoteRef/>
      </w:r>
      <w:r>
        <w:t xml:space="preserve"> </w:t>
      </w:r>
      <w:r w:rsidRPr="00E6048A">
        <w:rPr>
          <w:noProof/>
        </w:rPr>
        <w:t>Procop GW, Brock JE, Reineks EZ, Shrestha NK, Demkowicz R, Cook E, et al. A Comparison of Five SARS-CoV-2 Molecular Assays With Clinical Correlations. Am J Clin Pathol. 2021;155(1):69-78.</w:t>
      </w:r>
    </w:p>
  </w:footnote>
  <w:footnote w:id="27">
    <w:p w14:paraId="24F7BC5F" w14:textId="75549CE5" w:rsidR="00A554CC" w:rsidRDefault="00A554CC" w:rsidP="001D278E">
      <w:pPr>
        <w:pStyle w:val="FootnoteText"/>
        <w:spacing w:before="0"/>
      </w:pPr>
      <w:r>
        <w:rPr>
          <w:rStyle w:val="FootnoteReference"/>
        </w:rPr>
        <w:footnoteRef/>
      </w:r>
      <w:r>
        <w:t xml:space="preserve"> </w:t>
      </w:r>
      <w:r w:rsidRPr="00E6048A">
        <w:rPr>
          <w:noProof/>
        </w:rPr>
        <w:t>Barker KR, Small LN, Thai DV, Sohn KY, Rosella LC. Evaluating the Ability to ID (COVID-19) NOW: a Large Real-World Prospective Evaluation of the Abbott ID NOW COVID-19 Assay. Microbiol Spectr. 2022;10(3):e0051322.</w:t>
      </w:r>
    </w:p>
  </w:footnote>
  <w:footnote w:id="28">
    <w:p w14:paraId="45AB1E81" w14:textId="6533D720" w:rsidR="006F267D" w:rsidRDefault="006F267D" w:rsidP="001D278E">
      <w:pPr>
        <w:pStyle w:val="FootnoteText"/>
        <w:spacing w:before="0"/>
      </w:pPr>
      <w:r>
        <w:rPr>
          <w:rStyle w:val="FootnoteReference"/>
        </w:rPr>
        <w:footnoteRef/>
      </w:r>
      <w:r>
        <w:t xml:space="preserve"> </w:t>
      </w:r>
      <w:r w:rsidRPr="00E6048A">
        <w:rPr>
          <w:noProof/>
        </w:rPr>
        <w:t>Rhoads DD, Cherian SS, Roman K, Stempak LM, Schmotzer CL, Sadri N. Comparison of Abbott ID Now, DiaSorin Simplexa, and CDC FDA Emergency Use Authorization Methods for the Detection of SARS-CoV-2 from Nasopharyngeal and Nasal Swabs from Individuals Diagnosed with COVID-19. J Clin Microbiol. 2020;58(8)</w:t>
      </w:r>
    </w:p>
  </w:footnote>
  <w:footnote w:id="29">
    <w:p w14:paraId="5BB2C5A9" w14:textId="77777777" w:rsidR="006A64FD" w:rsidRDefault="006A64FD" w:rsidP="001D278E">
      <w:pPr>
        <w:pStyle w:val="FootnoteText"/>
        <w:spacing w:before="0"/>
      </w:pPr>
      <w:r>
        <w:rPr>
          <w:rStyle w:val="FootnoteReference"/>
        </w:rPr>
        <w:footnoteRef/>
      </w:r>
      <w:r>
        <w:t xml:space="preserve"> </w:t>
      </w:r>
      <w:r w:rsidRPr="00E6048A">
        <w:rPr>
          <w:noProof/>
        </w:rPr>
        <w:t>Jerbi L, Azrad M, Peretz A. Evaluation of Factors that Affect the Performance of COVID-19 Molecular Assays Including Presence of Symptoms, Number of Detected Genes and RNA Extraction Type. Mol Diagn Ther. 2022;26(2):229-38.</w:t>
      </w:r>
    </w:p>
  </w:footnote>
  <w:footnote w:id="30">
    <w:p w14:paraId="121B22B8" w14:textId="3C0AEC3A" w:rsidR="006F267D" w:rsidRDefault="006F267D" w:rsidP="001D278E">
      <w:pPr>
        <w:pStyle w:val="FootnoteText"/>
        <w:spacing w:before="0"/>
      </w:pPr>
      <w:r>
        <w:rPr>
          <w:rStyle w:val="FootnoteReference"/>
        </w:rPr>
        <w:footnoteRef/>
      </w:r>
      <w:r>
        <w:t xml:space="preserve"> </w:t>
      </w:r>
      <w:r w:rsidRPr="00E6048A">
        <w:rPr>
          <w:noProof/>
        </w:rPr>
        <w:t>Antonara S, Ozbolt P, Landon L, Fatica L, Pleasant T, Swickard J, et al. Detection of SARS-CoV-2 infection in asymptomatic populations using the DiaSorin molecular Simplexa and Roche Cobas EUA assays. Diagn Microbiol Infect Dis. 2022;102(1):115513.</w:t>
      </w:r>
    </w:p>
  </w:footnote>
  <w:footnote w:id="31">
    <w:p w14:paraId="03A3F841" w14:textId="09E5DF0E" w:rsidR="005602D2" w:rsidRDefault="005602D2" w:rsidP="001D278E">
      <w:pPr>
        <w:pStyle w:val="FootnoteText"/>
        <w:spacing w:before="0"/>
      </w:pPr>
      <w:r>
        <w:rPr>
          <w:rStyle w:val="FootnoteReference"/>
        </w:rPr>
        <w:footnoteRef/>
      </w:r>
      <w:r>
        <w:t xml:space="preserve"> </w:t>
      </w:r>
      <w:r w:rsidRPr="00835537">
        <w:rPr>
          <w:noProof/>
        </w:rPr>
        <w:t>Procop GW, Brock JE, Reineks EZ, Shrestha NK, Demkowicz R, Cook E, et al. A Comparison of Five SARS-CoV-2 Molecular Assays With Clinical Correlations. Am J Clin Pathol. 2021;155(1):69-78.</w:t>
      </w:r>
    </w:p>
  </w:footnote>
  <w:footnote w:id="32">
    <w:p w14:paraId="19042A43" w14:textId="542D383F" w:rsidR="00357E4D" w:rsidRDefault="00357E4D" w:rsidP="001D278E">
      <w:pPr>
        <w:pStyle w:val="FootnoteText"/>
        <w:spacing w:before="0"/>
      </w:pPr>
      <w:r>
        <w:rPr>
          <w:rStyle w:val="FootnoteReference"/>
        </w:rPr>
        <w:footnoteRef/>
      </w:r>
      <w:r>
        <w:t xml:space="preserve"> </w:t>
      </w:r>
      <w:hyperlink r:id="rId10" w:history="1">
        <w:r w:rsidRPr="00B317DE">
          <w:rPr>
            <w:rStyle w:val="Hyperlink"/>
          </w:rPr>
          <w:t>https://extranet.who.int/pqweb/sites/default/files/documents/230419_List_IVDs_NotAccepted_EUL_SARS-CoV-2.pdf</w:t>
        </w:r>
      </w:hyperlink>
      <w:r>
        <w:t xml:space="preserve"> accessed 21 April 2022</w:t>
      </w:r>
    </w:p>
  </w:footnote>
  <w:footnote w:id="33">
    <w:p w14:paraId="4D2F48AA" w14:textId="654F6CD4" w:rsidR="00012A61" w:rsidRDefault="00012A61" w:rsidP="001D278E">
      <w:pPr>
        <w:pStyle w:val="FootnoteText"/>
        <w:spacing w:before="0"/>
      </w:pPr>
      <w:r>
        <w:rPr>
          <w:rStyle w:val="FootnoteReference"/>
        </w:rPr>
        <w:footnoteRef/>
      </w:r>
      <w:r>
        <w:t xml:space="preserve"> </w:t>
      </w:r>
      <w:hyperlink r:id="rId11" w:history="1">
        <w:r w:rsidRPr="00B317DE">
          <w:rPr>
            <w:rStyle w:val="Hyperlink"/>
          </w:rPr>
          <w:t>https://clinical.goldstandarddiagnostics.com/home/products/covid-19-pcr-assay/sars-cov-2-real-time-rt-pcr/gsd-novaprime-tsp-sars-cov-2-rt-pcr</w:t>
        </w:r>
      </w:hyperlink>
      <w:r>
        <w:t xml:space="preserve"> accessed 23 February 2023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332E6" w14:textId="77777777" w:rsidR="00E61459" w:rsidRDefault="00E614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08B92" w14:textId="77777777" w:rsidR="00797461" w:rsidRDefault="0079746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609E8" w14:textId="77777777" w:rsidR="00E61459" w:rsidRDefault="00E614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E6068"/>
    <w:multiLevelType w:val="hybridMultilevel"/>
    <w:tmpl w:val="BDD05188"/>
    <w:lvl w:ilvl="0" w:tplc="FFFFFFFF">
      <w:start w:val="1"/>
      <w:numFmt w:val="decimal"/>
      <w:lvlText w:val="%1."/>
      <w:lvlJc w:val="left"/>
      <w:pPr>
        <w:ind w:left="720" w:hanging="360"/>
      </w:pPr>
    </w:lvl>
    <w:lvl w:ilvl="1" w:tplc="FFFFFFFF">
      <w:start w:val="1"/>
      <w:numFmt w:val="lowerLetter"/>
      <w:lvlText w:val="%2."/>
      <w:lvlJc w:val="left"/>
      <w:pPr>
        <w:ind w:left="1440" w:hanging="360"/>
      </w:pPr>
      <w:rPr>
        <w:rFont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1E71EB0"/>
    <w:multiLevelType w:val="hybridMultilevel"/>
    <w:tmpl w:val="D92876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FFF556F"/>
    <w:multiLevelType w:val="hybridMultilevel"/>
    <w:tmpl w:val="6BC035C4"/>
    <w:lvl w:ilvl="0" w:tplc="FB942214">
      <w:start w:val="1"/>
      <w:numFmt w:val="bullet"/>
      <w:pStyle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6BB4224"/>
    <w:multiLevelType w:val="hybridMultilevel"/>
    <w:tmpl w:val="9A809E82"/>
    <w:lvl w:ilvl="0" w:tplc="288E36DA">
      <w:start w:val="1"/>
      <w:numFmt w:val="bullet"/>
      <w:pStyle w:val="BoxBullet"/>
      <w:lvlText w:val=""/>
      <w:lvlJc w:val="left"/>
      <w:pPr>
        <w:tabs>
          <w:tab w:val="num" w:pos="357"/>
        </w:tabs>
        <w:ind w:left="357" w:hanging="35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5C0A3A"/>
    <w:multiLevelType w:val="hybridMultilevel"/>
    <w:tmpl w:val="21C4E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7C0EE4"/>
    <w:multiLevelType w:val="multilevel"/>
    <w:tmpl w:val="FEE071C8"/>
    <w:styleLink w:val="ESSectionheading-numbered"/>
    <w:lvl w:ilvl="0">
      <w:start w:val="1"/>
      <w:numFmt w:val="none"/>
      <w:lvlText w:val="A.1"/>
      <w:lvlJc w:val="left"/>
      <w:pPr>
        <w:ind w:left="1134" w:hanging="1134"/>
      </w:pPr>
      <w:rPr>
        <w:rFonts w:ascii="Calibri" w:hAnsi="Calibri" w:hint="default"/>
        <w:b/>
        <w:i w:val="0"/>
        <w:color w:val="auto"/>
        <w:sz w:val="24"/>
      </w:rPr>
    </w:lvl>
    <w:lvl w:ilvl="1">
      <w:start w:val="1"/>
      <w:numFmt w:val="decimal"/>
      <w:lvlText w:val="B.%2."/>
      <w:lvlJc w:val="left"/>
      <w:pPr>
        <w:ind w:left="1134" w:hanging="1134"/>
      </w:pPr>
      <w:rPr>
        <w:rFonts w:ascii="Calibri" w:hAnsi="Calibri" w:hint="default"/>
        <w:b/>
        <w:i w:val="0"/>
        <w:sz w:val="24"/>
      </w:rPr>
    </w:lvl>
    <w:lvl w:ilvl="2">
      <w:start w:val="1"/>
      <w:numFmt w:val="decimal"/>
      <w:lvlText w:val="C.%3."/>
      <w:lvlJc w:val="left"/>
      <w:pPr>
        <w:ind w:left="1134" w:hanging="1134"/>
      </w:pPr>
      <w:rPr>
        <w:rFonts w:ascii="Calibri" w:hAnsi="Calibri" w:hint="default"/>
        <w:b/>
        <w:i w:val="0"/>
        <w:sz w:val="24"/>
      </w:rPr>
    </w:lvl>
    <w:lvl w:ilvl="3">
      <w:start w:val="1"/>
      <w:numFmt w:val="decimal"/>
      <w:lvlText w:val="D.%4."/>
      <w:lvlJc w:val="left"/>
      <w:pPr>
        <w:ind w:left="1134" w:hanging="1134"/>
      </w:pPr>
      <w:rPr>
        <w:rFonts w:ascii="Calibri" w:hAnsi="Calibri" w:hint="default"/>
        <w:b/>
        <w:i w:val="0"/>
        <w:sz w:val="24"/>
      </w:rPr>
    </w:lvl>
    <w:lvl w:ilvl="4">
      <w:start w:val="1"/>
      <w:numFmt w:val="decimal"/>
      <w:lvlText w:val="E.%5."/>
      <w:lvlJc w:val="left"/>
      <w:pPr>
        <w:ind w:left="1134" w:hanging="1134"/>
      </w:pPr>
      <w:rPr>
        <w:rFonts w:ascii="Calibri" w:hAnsi="Calibri" w:hint="default"/>
        <w:b/>
        <w:i w:val="0"/>
        <w:sz w:val="24"/>
      </w:rPr>
    </w:lvl>
    <w:lvl w:ilvl="5">
      <w:start w:val="1"/>
      <w:numFmt w:val="decimal"/>
      <w:lvlText w:val="A.%6"/>
      <w:lvlJc w:val="left"/>
      <w:pPr>
        <w:ind w:left="1134" w:hanging="1134"/>
      </w:pPr>
      <w:rPr>
        <w:rFonts w:ascii="Calibri" w:hAnsi="Calibri" w:hint="default"/>
        <w:b/>
        <w:i w:val="0"/>
        <w:color w:val="auto"/>
        <w:sz w:val="24"/>
      </w:rPr>
    </w:lvl>
    <w:lvl w:ilvl="6">
      <w:start w:val="1"/>
      <w:numFmt w:val="none"/>
      <w:lvlText w:val=""/>
      <w:lvlJc w:val="left"/>
      <w:pPr>
        <w:ind w:left="1134" w:hanging="1134"/>
      </w:pPr>
      <w:rPr>
        <w:rFonts w:ascii="Calibri" w:hAnsi="Calibri" w:hint="default"/>
        <w:b/>
        <w:i w:val="0"/>
        <w:sz w:val="24"/>
      </w:rPr>
    </w:lvl>
    <w:lvl w:ilvl="7">
      <w:start w:val="1"/>
      <w:numFmt w:val="none"/>
      <w:lvlText w:val="%8"/>
      <w:lvlJc w:val="left"/>
      <w:pPr>
        <w:ind w:left="1134" w:hanging="1134"/>
      </w:pPr>
      <w:rPr>
        <w:rFonts w:hint="default"/>
      </w:rPr>
    </w:lvl>
    <w:lvl w:ilvl="8">
      <w:start w:val="1"/>
      <w:numFmt w:val="none"/>
      <w:lvlText w:val="%9"/>
      <w:lvlJc w:val="right"/>
      <w:pPr>
        <w:ind w:left="1134" w:hanging="1134"/>
      </w:pPr>
      <w:rPr>
        <w:rFonts w:hint="default"/>
      </w:rPr>
    </w:lvl>
  </w:abstractNum>
  <w:abstractNum w:abstractNumId="6" w15:restartNumberingAfterBreak="0">
    <w:nsid w:val="25487511"/>
    <w:multiLevelType w:val="hybridMultilevel"/>
    <w:tmpl w:val="6D1C43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575C58"/>
    <w:multiLevelType w:val="multilevel"/>
    <w:tmpl w:val="BE44A646"/>
    <w:lvl w:ilvl="0">
      <w:start w:val="1"/>
      <w:numFmt w:val="bullet"/>
      <w:pStyle w:val="InstructionBulletpoint"/>
      <w:lvlText w:val=""/>
      <w:lvlJc w:val="left"/>
      <w:pPr>
        <w:ind w:left="720" w:hanging="360"/>
      </w:pPr>
      <w:rPr>
        <w:rFonts w:ascii="Symbol" w:hAnsi="Symbol" w:hint="default"/>
      </w:rPr>
    </w:lvl>
    <w:lvl w:ilvl="1">
      <w:start w:val="1"/>
      <w:numFmt w:val="bullet"/>
      <w:lvlText w:val=""/>
      <w:lvlJc w:val="left"/>
      <w:pPr>
        <w:ind w:left="1440" w:hanging="476"/>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A5E246B"/>
    <w:multiLevelType w:val="hybridMultilevel"/>
    <w:tmpl w:val="C4F2253C"/>
    <w:lvl w:ilvl="0" w:tplc="B0E28340">
      <w:start w:val="1"/>
      <w:numFmt w:val="decimal"/>
      <w:pStyle w:val="ESHeading1"/>
      <w:lvlText w:val="%1."/>
      <w:lvlJc w:val="left"/>
      <w:pPr>
        <w:ind w:left="2160" w:hanging="360"/>
      </w:p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9" w15:restartNumberingAfterBreak="0">
    <w:nsid w:val="312D5244"/>
    <w:multiLevelType w:val="hybridMultilevel"/>
    <w:tmpl w:val="00E250B2"/>
    <w:lvl w:ilvl="0" w:tplc="32AE89D0">
      <w:start w:val="1"/>
      <w:numFmt w:val="bullet"/>
      <w:pStyle w:val="Das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24371DC"/>
    <w:multiLevelType w:val="multilevel"/>
    <w:tmpl w:val="4A02812C"/>
    <w:lvl w:ilvl="0">
      <w:start w:val="1"/>
      <w:numFmt w:val="decimal"/>
      <w:pStyle w:val="Heading1"/>
      <w:lvlText w:val="Section %1"/>
      <w:lvlJc w:val="left"/>
      <w:pPr>
        <w:ind w:left="786" w:hanging="360"/>
      </w:pPr>
      <w:rPr>
        <w:rFonts w:hint="default"/>
      </w:rPr>
    </w:lvl>
    <w:lvl w:ilvl="1">
      <w:start w:val="1"/>
      <w:numFmt w:val="decimal"/>
      <w:pStyle w:val="Heading2"/>
      <w:lvlText w:val="%1.%2"/>
      <w:lvlJc w:val="left"/>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4E78C97"/>
    <w:multiLevelType w:val="hybridMultilevel"/>
    <w:tmpl w:val="2BB8866C"/>
    <w:lvl w:ilvl="0" w:tplc="7F1E0E20">
      <w:start w:val="1"/>
      <w:numFmt w:val="bullet"/>
      <w:lvlText w:val="·"/>
      <w:lvlJc w:val="left"/>
      <w:pPr>
        <w:ind w:left="720" w:hanging="360"/>
      </w:pPr>
      <w:rPr>
        <w:rFonts w:ascii="Symbol" w:hAnsi="Symbol" w:hint="default"/>
      </w:rPr>
    </w:lvl>
    <w:lvl w:ilvl="1" w:tplc="2FCE6184">
      <w:start w:val="1"/>
      <w:numFmt w:val="bullet"/>
      <w:lvlText w:val="o"/>
      <w:lvlJc w:val="left"/>
      <w:pPr>
        <w:ind w:left="1440" w:hanging="360"/>
      </w:pPr>
      <w:rPr>
        <w:rFonts w:ascii="Courier New" w:hAnsi="Courier New" w:hint="default"/>
      </w:rPr>
    </w:lvl>
    <w:lvl w:ilvl="2" w:tplc="9EC8DA7C">
      <w:start w:val="1"/>
      <w:numFmt w:val="bullet"/>
      <w:lvlText w:val=""/>
      <w:lvlJc w:val="left"/>
      <w:pPr>
        <w:ind w:left="2160" w:hanging="360"/>
      </w:pPr>
      <w:rPr>
        <w:rFonts w:ascii="Wingdings" w:hAnsi="Wingdings" w:hint="default"/>
      </w:rPr>
    </w:lvl>
    <w:lvl w:ilvl="3" w:tplc="471C4B80">
      <w:start w:val="1"/>
      <w:numFmt w:val="bullet"/>
      <w:lvlText w:val=""/>
      <w:lvlJc w:val="left"/>
      <w:pPr>
        <w:ind w:left="2880" w:hanging="360"/>
      </w:pPr>
      <w:rPr>
        <w:rFonts w:ascii="Symbol" w:hAnsi="Symbol" w:hint="default"/>
      </w:rPr>
    </w:lvl>
    <w:lvl w:ilvl="4" w:tplc="F5B61324">
      <w:start w:val="1"/>
      <w:numFmt w:val="bullet"/>
      <w:lvlText w:val="o"/>
      <w:lvlJc w:val="left"/>
      <w:pPr>
        <w:ind w:left="3600" w:hanging="360"/>
      </w:pPr>
      <w:rPr>
        <w:rFonts w:ascii="Courier New" w:hAnsi="Courier New" w:hint="default"/>
      </w:rPr>
    </w:lvl>
    <w:lvl w:ilvl="5" w:tplc="8E083844">
      <w:start w:val="1"/>
      <w:numFmt w:val="bullet"/>
      <w:lvlText w:val=""/>
      <w:lvlJc w:val="left"/>
      <w:pPr>
        <w:ind w:left="4320" w:hanging="360"/>
      </w:pPr>
      <w:rPr>
        <w:rFonts w:ascii="Wingdings" w:hAnsi="Wingdings" w:hint="default"/>
      </w:rPr>
    </w:lvl>
    <w:lvl w:ilvl="6" w:tplc="F78EC9CA">
      <w:start w:val="1"/>
      <w:numFmt w:val="bullet"/>
      <w:lvlText w:val=""/>
      <w:lvlJc w:val="left"/>
      <w:pPr>
        <w:ind w:left="5040" w:hanging="360"/>
      </w:pPr>
      <w:rPr>
        <w:rFonts w:ascii="Symbol" w:hAnsi="Symbol" w:hint="default"/>
      </w:rPr>
    </w:lvl>
    <w:lvl w:ilvl="7" w:tplc="DDF82D7C">
      <w:start w:val="1"/>
      <w:numFmt w:val="bullet"/>
      <w:lvlText w:val="o"/>
      <w:lvlJc w:val="left"/>
      <w:pPr>
        <w:ind w:left="5760" w:hanging="360"/>
      </w:pPr>
      <w:rPr>
        <w:rFonts w:ascii="Courier New" w:hAnsi="Courier New" w:hint="default"/>
      </w:rPr>
    </w:lvl>
    <w:lvl w:ilvl="8" w:tplc="41129D5A">
      <w:start w:val="1"/>
      <w:numFmt w:val="bullet"/>
      <w:lvlText w:val=""/>
      <w:lvlJc w:val="left"/>
      <w:pPr>
        <w:ind w:left="6480" w:hanging="360"/>
      </w:pPr>
      <w:rPr>
        <w:rFonts w:ascii="Wingdings" w:hAnsi="Wingdings" w:hint="default"/>
      </w:rPr>
    </w:lvl>
  </w:abstractNum>
  <w:abstractNum w:abstractNumId="12" w15:restartNumberingAfterBreak="0">
    <w:nsid w:val="47095746"/>
    <w:multiLevelType w:val="hybridMultilevel"/>
    <w:tmpl w:val="28BC0FCE"/>
    <w:lvl w:ilvl="0" w:tplc="A26EFB64">
      <w:start w:val="1"/>
      <w:numFmt w:val="bullet"/>
      <w:pStyle w:val="Instructionaltext-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47F11F90"/>
    <w:multiLevelType w:val="hybridMultilevel"/>
    <w:tmpl w:val="18A03858"/>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A2819D0"/>
    <w:multiLevelType w:val="hybridMultilevel"/>
    <w:tmpl w:val="DD0CAD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C6264B4"/>
    <w:multiLevelType w:val="hybridMultilevel"/>
    <w:tmpl w:val="04C2F852"/>
    <w:lvl w:ilvl="0" w:tplc="2E5E2236">
      <w:start w:val="1"/>
      <w:numFmt w:val="bullet"/>
      <w:pStyle w:val="TableDash"/>
      <w:lvlText w:val="–"/>
      <w:lvlJc w:val="left"/>
      <w:pPr>
        <w:tabs>
          <w:tab w:val="num" w:pos="216"/>
        </w:tabs>
        <w:ind w:left="432" w:hanging="216"/>
      </w:pPr>
      <w:rPr>
        <w:rFonts w:ascii="Times New Roman" w:hAnsi="Times New Roman" w:cs="Times New Roman" w:hint="default"/>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D166930"/>
    <w:multiLevelType w:val="hybridMultilevel"/>
    <w:tmpl w:val="BDD05188"/>
    <w:lvl w:ilvl="0" w:tplc="0C09000F">
      <w:start w:val="1"/>
      <w:numFmt w:val="decimal"/>
      <w:lvlText w:val="%1."/>
      <w:lvlJc w:val="left"/>
      <w:pPr>
        <w:ind w:left="720" w:hanging="360"/>
      </w:pPr>
    </w:lvl>
    <w:lvl w:ilvl="1" w:tplc="389C2200">
      <w:start w:val="1"/>
      <w:numFmt w:val="lowerLetter"/>
      <w:lvlText w:val="%2."/>
      <w:lvlJc w:val="left"/>
      <w:pPr>
        <w:ind w:left="1440" w:hanging="360"/>
      </w:pPr>
      <w:rPr>
        <w:rFonts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CFE26E5"/>
    <w:multiLevelType w:val="hybridMultilevel"/>
    <w:tmpl w:val="AEDA905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5BB2976"/>
    <w:multiLevelType w:val="hybridMultilevel"/>
    <w:tmpl w:val="16B454F8"/>
    <w:lvl w:ilvl="0" w:tplc="267CD95E">
      <w:start w:val="1"/>
      <w:numFmt w:val="bullet"/>
      <w:lvlText w:val="·"/>
      <w:lvlJc w:val="left"/>
      <w:pPr>
        <w:ind w:left="720" w:hanging="360"/>
      </w:pPr>
      <w:rPr>
        <w:rFonts w:ascii="Symbol" w:hAnsi="Symbol" w:hint="default"/>
      </w:rPr>
    </w:lvl>
    <w:lvl w:ilvl="1" w:tplc="A0A09D34">
      <w:start w:val="1"/>
      <w:numFmt w:val="bullet"/>
      <w:lvlText w:val="o"/>
      <w:lvlJc w:val="left"/>
      <w:pPr>
        <w:ind w:left="1440" w:hanging="360"/>
      </w:pPr>
      <w:rPr>
        <w:rFonts w:ascii="Courier New" w:hAnsi="Courier New" w:hint="default"/>
      </w:rPr>
    </w:lvl>
    <w:lvl w:ilvl="2" w:tplc="5BCE73C2">
      <w:start w:val="1"/>
      <w:numFmt w:val="bullet"/>
      <w:lvlText w:val=""/>
      <w:lvlJc w:val="left"/>
      <w:pPr>
        <w:ind w:left="2160" w:hanging="360"/>
      </w:pPr>
      <w:rPr>
        <w:rFonts w:ascii="Wingdings" w:hAnsi="Wingdings" w:hint="default"/>
      </w:rPr>
    </w:lvl>
    <w:lvl w:ilvl="3" w:tplc="74C8A688">
      <w:start w:val="1"/>
      <w:numFmt w:val="bullet"/>
      <w:lvlText w:val=""/>
      <w:lvlJc w:val="left"/>
      <w:pPr>
        <w:ind w:left="2880" w:hanging="360"/>
      </w:pPr>
      <w:rPr>
        <w:rFonts w:ascii="Symbol" w:hAnsi="Symbol" w:hint="default"/>
      </w:rPr>
    </w:lvl>
    <w:lvl w:ilvl="4" w:tplc="36D2942E">
      <w:start w:val="1"/>
      <w:numFmt w:val="bullet"/>
      <w:lvlText w:val="o"/>
      <w:lvlJc w:val="left"/>
      <w:pPr>
        <w:ind w:left="3600" w:hanging="360"/>
      </w:pPr>
      <w:rPr>
        <w:rFonts w:ascii="Courier New" w:hAnsi="Courier New" w:hint="default"/>
      </w:rPr>
    </w:lvl>
    <w:lvl w:ilvl="5" w:tplc="4F18B4EA">
      <w:start w:val="1"/>
      <w:numFmt w:val="bullet"/>
      <w:lvlText w:val=""/>
      <w:lvlJc w:val="left"/>
      <w:pPr>
        <w:ind w:left="4320" w:hanging="360"/>
      </w:pPr>
      <w:rPr>
        <w:rFonts w:ascii="Wingdings" w:hAnsi="Wingdings" w:hint="default"/>
      </w:rPr>
    </w:lvl>
    <w:lvl w:ilvl="6" w:tplc="EB107AA0">
      <w:start w:val="1"/>
      <w:numFmt w:val="bullet"/>
      <w:lvlText w:val=""/>
      <w:lvlJc w:val="left"/>
      <w:pPr>
        <w:ind w:left="5040" w:hanging="360"/>
      </w:pPr>
      <w:rPr>
        <w:rFonts w:ascii="Symbol" w:hAnsi="Symbol" w:hint="default"/>
      </w:rPr>
    </w:lvl>
    <w:lvl w:ilvl="7" w:tplc="C4C0A48C">
      <w:start w:val="1"/>
      <w:numFmt w:val="bullet"/>
      <w:lvlText w:val="o"/>
      <w:lvlJc w:val="left"/>
      <w:pPr>
        <w:ind w:left="5760" w:hanging="360"/>
      </w:pPr>
      <w:rPr>
        <w:rFonts w:ascii="Courier New" w:hAnsi="Courier New" w:hint="default"/>
      </w:rPr>
    </w:lvl>
    <w:lvl w:ilvl="8" w:tplc="090EA870">
      <w:start w:val="1"/>
      <w:numFmt w:val="bullet"/>
      <w:lvlText w:val=""/>
      <w:lvlJc w:val="left"/>
      <w:pPr>
        <w:ind w:left="6480" w:hanging="360"/>
      </w:pPr>
      <w:rPr>
        <w:rFonts w:ascii="Wingdings" w:hAnsi="Wingdings" w:hint="default"/>
      </w:rPr>
    </w:lvl>
  </w:abstractNum>
  <w:abstractNum w:abstractNumId="19" w15:restartNumberingAfterBreak="0">
    <w:nsid w:val="784D033C"/>
    <w:multiLevelType w:val="multilevel"/>
    <w:tmpl w:val="45FC285E"/>
    <w:lvl w:ilvl="0">
      <w:start w:val="1"/>
      <w:numFmt w:val="decimal"/>
      <w:pStyle w:val="2-SectionHeading"/>
      <w:lvlText w:val="%1"/>
      <w:lvlJc w:val="left"/>
      <w:pPr>
        <w:ind w:left="720" w:hanging="720"/>
      </w:pPr>
      <w:rPr>
        <w:rFonts w:hint="default"/>
        <w:b/>
      </w:rPr>
    </w:lvl>
    <w:lvl w:ilvl="1">
      <w:start w:val="1"/>
      <w:numFmt w:val="decimal"/>
      <w:pStyle w:val="3-BodyText"/>
      <w:lvlText w:val="%1.%2"/>
      <w:lvlJc w:val="left"/>
      <w:rPr>
        <w:rFonts w:asciiTheme="minorHAnsi" w:hAnsiTheme="minorHAnsi" w:cstheme="minorHAnsi" w:hint="default"/>
        <w:b w:val="0"/>
        <w:bCs w:val="0"/>
        <w:i w:val="0"/>
        <w:iCs w:val="0"/>
        <w:caps w:val="0"/>
        <w:smallCaps w:val="0"/>
        <w:strike w:val="0"/>
        <w:dstrike w:val="0"/>
        <w:noProof w:val="0"/>
        <w:vanish w:val="0"/>
        <w:color w:val="auto"/>
        <w:spacing w:val="0"/>
        <w:kern w:val="0"/>
        <w:position w:val="0"/>
        <w:sz w:val="24"/>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8E81FDC"/>
    <w:multiLevelType w:val="hybridMultilevel"/>
    <w:tmpl w:val="D5C698E8"/>
    <w:lvl w:ilvl="0" w:tplc="A79EC4F8">
      <w:start w:val="1"/>
      <w:numFmt w:val="bullet"/>
      <w:pStyle w:val="BulletBeforeDash"/>
      <w:lvlText w:val="•"/>
      <w:lvlJc w:val="left"/>
      <w:pPr>
        <w:tabs>
          <w:tab w:val="num" w:pos="360"/>
        </w:tabs>
        <w:ind w:left="360" w:hanging="360"/>
      </w:pPr>
      <w:rPr>
        <w:rFont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F181516"/>
    <w:multiLevelType w:val="hybridMultilevel"/>
    <w:tmpl w:val="FF9EE7EA"/>
    <w:lvl w:ilvl="0" w:tplc="99525AAE">
      <w:start w:val="1"/>
      <w:numFmt w:val="decimal"/>
      <w:pStyle w:val="Nnumberedlist"/>
      <w:lvlText w:val="%1."/>
      <w:lvlJc w:val="left"/>
      <w:pPr>
        <w:tabs>
          <w:tab w:val="num" w:pos="720"/>
        </w:tabs>
        <w:ind w:left="720" w:hanging="360"/>
      </w:pPr>
    </w:lvl>
    <w:lvl w:ilvl="1" w:tplc="389C2200">
      <w:start w:val="1"/>
      <w:numFmt w:val="lowerLetter"/>
      <w:lvlText w:val="%2."/>
      <w:lvlJc w:val="left"/>
      <w:pPr>
        <w:tabs>
          <w:tab w:val="num" w:pos="1440"/>
        </w:tabs>
        <w:ind w:left="1440" w:hanging="360"/>
      </w:pPr>
    </w:lvl>
    <w:lvl w:ilvl="2" w:tplc="C3F8B188" w:tentative="1">
      <w:start w:val="1"/>
      <w:numFmt w:val="lowerRoman"/>
      <w:lvlText w:val="%3."/>
      <w:lvlJc w:val="right"/>
      <w:pPr>
        <w:tabs>
          <w:tab w:val="num" w:pos="2160"/>
        </w:tabs>
        <w:ind w:left="2160" w:hanging="180"/>
      </w:pPr>
    </w:lvl>
    <w:lvl w:ilvl="3" w:tplc="391E97F0" w:tentative="1">
      <w:start w:val="1"/>
      <w:numFmt w:val="decimal"/>
      <w:lvlText w:val="%4."/>
      <w:lvlJc w:val="left"/>
      <w:pPr>
        <w:tabs>
          <w:tab w:val="num" w:pos="2880"/>
        </w:tabs>
        <w:ind w:left="2880" w:hanging="360"/>
      </w:pPr>
    </w:lvl>
    <w:lvl w:ilvl="4" w:tplc="4F42265E" w:tentative="1">
      <w:start w:val="1"/>
      <w:numFmt w:val="lowerLetter"/>
      <w:lvlText w:val="%5."/>
      <w:lvlJc w:val="left"/>
      <w:pPr>
        <w:tabs>
          <w:tab w:val="num" w:pos="3600"/>
        </w:tabs>
        <w:ind w:left="3600" w:hanging="360"/>
      </w:pPr>
    </w:lvl>
    <w:lvl w:ilvl="5" w:tplc="30546058" w:tentative="1">
      <w:start w:val="1"/>
      <w:numFmt w:val="lowerRoman"/>
      <w:lvlText w:val="%6."/>
      <w:lvlJc w:val="right"/>
      <w:pPr>
        <w:tabs>
          <w:tab w:val="num" w:pos="4320"/>
        </w:tabs>
        <w:ind w:left="4320" w:hanging="180"/>
      </w:pPr>
    </w:lvl>
    <w:lvl w:ilvl="6" w:tplc="6E10F0C6">
      <w:start w:val="1"/>
      <w:numFmt w:val="decimal"/>
      <w:lvlText w:val="%7."/>
      <w:lvlJc w:val="left"/>
      <w:pPr>
        <w:tabs>
          <w:tab w:val="num" w:pos="5040"/>
        </w:tabs>
        <w:ind w:left="5040" w:hanging="360"/>
      </w:pPr>
    </w:lvl>
    <w:lvl w:ilvl="7" w:tplc="70B07B9C" w:tentative="1">
      <w:start w:val="1"/>
      <w:numFmt w:val="lowerLetter"/>
      <w:lvlText w:val="%8."/>
      <w:lvlJc w:val="left"/>
      <w:pPr>
        <w:tabs>
          <w:tab w:val="num" w:pos="5760"/>
        </w:tabs>
        <w:ind w:left="5760" w:hanging="360"/>
      </w:pPr>
    </w:lvl>
    <w:lvl w:ilvl="8" w:tplc="9BF48AAC" w:tentative="1">
      <w:start w:val="1"/>
      <w:numFmt w:val="lowerRoman"/>
      <w:lvlText w:val="%9."/>
      <w:lvlJc w:val="right"/>
      <w:pPr>
        <w:tabs>
          <w:tab w:val="num" w:pos="6480"/>
        </w:tabs>
        <w:ind w:left="6480" w:hanging="180"/>
      </w:pPr>
    </w:lvl>
  </w:abstractNum>
  <w:num w:numId="1" w16cid:durableId="2074154072">
    <w:abstractNumId w:val="18"/>
  </w:num>
  <w:num w:numId="2" w16cid:durableId="1920938221">
    <w:abstractNumId w:val="11"/>
  </w:num>
  <w:num w:numId="3" w16cid:durableId="710691863">
    <w:abstractNumId w:val="10"/>
  </w:num>
  <w:num w:numId="4" w16cid:durableId="133842280">
    <w:abstractNumId w:val="21"/>
  </w:num>
  <w:num w:numId="5" w16cid:durableId="1565332255">
    <w:abstractNumId w:val="2"/>
  </w:num>
  <w:num w:numId="6" w16cid:durableId="1549142811">
    <w:abstractNumId w:val="5"/>
  </w:num>
  <w:num w:numId="7" w16cid:durableId="1997344070">
    <w:abstractNumId w:val="19"/>
  </w:num>
  <w:num w:numId="8" w16cid:durableId="1367415397">
    <w:abstractNumId w:val="7"/>
  </w:num>
  <w:num w:numId="9" w16cid:durableId="85809991">
    <w:abstractNumId w:val="8"/>
  </w:num>
  <w:num w:numId="10" w16cid:durableId="223033592">
    <w:abstractNumId w:val="9"/>
  </w:num>
  <w:num w:numId="11" w16cid:durableId="135608175">
    <w:abstractNumId w:val="12"/>
  </w:num>
  <w:num w:numId="12" w16cid:durableId="1127355872">
    <w:abstractNumId w:val="14"/>
  </w:num>
  <w:num w:numId="13" w16cid:durableId="879708215">
    <w:abstractNumId w:val="6"/>
  </w:num>
  <w:num w:numId="14" w16cid:durableId="746656876">
    <w:abstractNumId w:val="4"/>
  </w:num>
  <w:num w:numId="15" w16cid:durableId="1881358384">
    <w:abstractNumId w:val="21"/>
    <w:lvlOverride w:ilvl="0">
      <w:startOverride w:val="1"/>
    </w:lvlOverride>
  </w:num>
  <w:num w:numId="16" w16cid:durableId="1363555431">
    <w:abstractNumId w:val="15"/>
  </w:num>
  <w:num w:numId="17" w16cid:durableId="1843085113">
    <w:abstractNumId w:val="20"/>
  </w:num>
  <w:num w:numId="18" w16cid:durableId="1438528104">
    <w:abstractNumId w:val="3"/>
  </w:num>
  <w:num w:numId="19" w16cid:durableId="1105659021">
    <w:abstractNumId w:val="16"/>
  </w:num>
  <w:num w:numId="20" w16cid:durableId="345985423">
    <w:abstractNumId w:val="13"/>
  </w:num>
  <w:num w:numId="21" w16cid:durableId="1519929505">
    <w:abstractNumId w:val="17"/>
  </w:num>
  <w:num w:numId="22" w16cid:durableId="1261373697">
    <w:abstractNumId w:val="0"/>
  </w:num>
  <w:num w:numId="23" w16cid:durableId="1151870317">
    <w:abstractNumId w:val="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Layout" w:val="&lt;ENLayout&gt;&lt;Style&gt;Vancouver&lt;/Style&gt;&lt;LeftDelim&gt;{&lt;/LeftDelim&gt;&lt;RightDelim&gt;}&lt;/RightDelim&gt;&lt;FontName&gt;Franklin Gothic Book&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5s25etve1d25t8ed0abvtsw4evfr00szvtzs&quot;&gt;1747 library&lt;record-ids&gt;&lt;item&gt;1&lt;/item&gt;&lt;item&gt;14&lt;/item&gt;&lt;item&gt;16&lt;/item&gt;&lt;item&gt;22&lt;/item&gt;&lt;item&gt;23&lt;/item&gt;&lt;item&gt;24&lt;/item&gt;&lt;item&gt;30&lt;/item&gt;&lt;item&gt;32&lt;/item&gt;&lt;item&gt;34&lt;/item&gt;&lt;item&gt;36&lt;/item&gt;&lt;item&gt;39&lt;/item&gt;&lt;item&gt;42&lt;/item&gt;&lt;item&gt;44&lt;/item&gt;&lt;item&gt;46&lt;/item&gt;&lt;item&gt;47&lt;/item&gt;&lt;item&gt;48&lt;/item&gt;&lt;item&gt;49&lt;/item&gt;&lt;item&gt;50&lt;/item&gt;&lt;item&gt;52&lt;/item&gt;&lt;item&gt;53&lt;/item&gt;&lt;item&gt;54&lt;/item&gt;&lt;item&gt;55&lt;/item&gt;&lt;item&gt;56&lt;/item&gt;&lt;item&gt;57&lt;/item&gt;&lt;item&gt;58&lt;/item&gt;&lt;item&gt;59&lt;/item&gt;&lt;item&gt;60&lt;/item&gt;&lt;item&gt;62&lt;/item&gt;&lt;item&gt;63&lt;/item&gt;&lt;item&gt;64&lt;/item&gt;&lt;item&gt;65&lt;/item&gt;&lt;item&gt;66&lt;/item&gt;&lt;item&gt;67&lt;/item&gt;&lt;item&gt;68&lt;/item&gt;&lt;item&gt;69&lt;/item&gt;&lt;item&gt;70&lt;/item&gt;&lt;item&gt;71&lt;/item&gt;&lt;item&gt;106&lt;/item&gt;&lt;item&gt;109&lt;/item&gt;&lt;item&gt;110&lt;/item&gt;&lt;item&gt;111&lt;/item&gt;&lt;item&gt;113&lt;/item&gt;&lt;item&gt;114&lt;/item&gt;&lt;item&gt;116&lt;/item&gt;&lt;item&gt;117&lt;/item&gt;&lt;item&gt;118&lt;/item&gt;&lt;item&gt;119&lt;/item&gt;&lt;item&gt;121&lt;/item&gt;&lt;item&gt;122&lt;/item&gt;&lt;item&gt;124&lt;/item&gt;&lt;item&gt;125&lt;/item&gt;&lt;/record-ids&gt;&lt;/item&gt;&lt;/Libraries&gt;"/>
  </w:docVars>
  <w:rsids>
    <w:rsidRoot w:val="008157F1"/>
    <w:rsid w:val="000000D4"/>
    <w:rsid w:val="00000368"/>
    <w:rsid w:val="00000D59"/>
    <w:rsid w:val="00000EE0"/>
    <w:rsid w:val="0000109A"/>
    <w:rsid w:val="00001534"/>
    <w:rsid w:val="00001AE6"/>
    <w:rsid w:val="0000235C"/>
    <w:rsid w:val="000027F2"/>
    <w:rsid w:val="00002D2D"/>
    <w:rsid w:val="0000335F"/>
    <w:rsid w:val="00003401"/>
    <w:rsid w:val="00003651"/>
    <w:rsid w:val="00003A67"/>
    <w:rsid w:val="00003F69"/>
    <w:rsid w:val="00003FE8"/>
    <w:rsid w:val="00004BD1"/>
    <w:rsid w:val="00004D69"/>
    <w:rsid w:val="00004D8C"/>
    <w:rsid w:val="00004F7F"/>
    <w:rsid w:val="000051BA"/>
    <w:rsid w:val="000054C9"/>
    <w:rsid w:val="00005B6B"/>
    <w:rsid w:val="00006070"/>
    <w:rsid w:val="00006373"/>
    <w:rsid w:val="00006564"/>
    <w:rsid w:val="00006BA2"/>
    <w:rsid w:val="00006F6E"/>
    <w:rsid w:val="00006FA2"/>
    <w:rsid w:val="000077BD"/>
    <w:rsid w:val="000077C1"/>
    <w:rsid w:val="00007E84"/>
    <w:rsid w:val="000100B2"/>
    <w:rsid w:val="000100C5"/>
    <w:rsid w:val="00010291"/>
    <w:rsid w:val="0001032B"/>
    <w:rsid w:val="00010DD3"/>
    <w:rsid w:val="00011568"/>
    <w:rsid w:val="00011986"/>
    <w:rsid w:val="00011A60"/>
    <w:rsid w:val="00011BEC"/>
    <w:rsid w:val="000123D9"/>
    <w:rsid w:val="00012A61"/>
    <w:rsid w:val="00012AD5"/>
    <w:rsid w:val="00012B18"/>
    <w:rsid w:val="00013081"/>
    <w:rsid w:val="00013966"/>
    <w:rsid w:val="00014063"/>
    <w:rsid w:val="00014256"/>
    <w:rsid w:val="00014340"/>
    <w:rsid w:val="000146E0"/>
    <w:rsid w:val="00014974"/>
    <w:rsid w:val="00015113"/>
    <w:rsid w:val="000156B5"/>
    <w:rsid w:val="00015977"/>
    <w:rsid w:val="00015A4D"/>
    <w:rsid w:val="00015C55"/>
    <w:rsid w:val="0001622D"/>
    <w:rsid w:val="0001632E"/>
    <w:rsid w:val="000163B5"/>
    <w:rsid w:val="000167F3"/>
    <w:rsid w:val="00016C45"/>
    <w:rsid w:val="0001755A"/>
    <w:rsid w:val="00017D08"/>
    <w:rsid w:val="000200A5"/>
    <w:rsid w:val="00020ABD"/>
    <w:rsid w:val="00021224"/>
    <w:rsid w:val="00021B9A"/>
    <w:rsid w:val="000228B8"/>
    <w:rsid w:val="00022B23"/>
    <w:rsid w:val="00022C9D"/>
    <w:rsid w:val="00023452"/>
    <w:rsid w:val="0002381B"/>
    <w:rsid w:val="0002388C"/>
    <w:rsid w:val="00024435"/>
    <w:rsid w:val="0002445F"/>
    <w:rsid w:val="000248FB"/>
    <w:rsid w:val="00024A67"/>
    <w:rsid w:val="00024A8F"/>
    <w:rsid w:val="00024D25"/>
    <w:rsid w:val="00024EA5"/>
    <w:rsid w:val="00024FF8"/>
    <w:rsid w:val="0002546A"/>
    <w:rsid w:val="0002558E"/>
    <w:rsid w:val="00025B27"/>
    <w:rsid w:val="00025B4C"/>
    <w:rsid w:val="00025F15"/>
    <w:rsid w:val="00026A3A"/>
    <w:rsid w:val="00026A78"/>
    <w:rsid w:val="00027142"/>
    <w:rsid w:val="000274FD"/>
    <w:rsid w:val="0002755F"/>
    <w:rsid w:val="0002777E"/>
    <w:rsid w:val="00027C93"/>
    <w:rsid w:val="00030E65"/>
    <w:rsid w:val="00031456"/>
    <w:rsid w:val="00031CBC"/>
    <w:rsid w:val="00033E99"/>
    <w:rsid w:val="0003423A"/>
    <w:rsid w:val="00034385"/>
    <w:rsid w:val="0003477F"/>
    <w:rsid w:val="00034C0D"/>
    <w:rsid w:val="00035877"/>
    <w:rsid w:val="00035C4C"/>
    <w:rsid w:val="00035FE4"/>
    <w:rsid w:val="0003614B"/>
    <w:rsid w:val="000364BF"/>
    <w:rsid w:val="00036868"/>
    <w:rsid w:val="000369C3"/>
    <w:rsid w:val="00036AD8"/>
    <w:rsid w:val="00037037"/>
    <w:rsid w:val="00037302"/>
    <w:rsid w:val="0003753E"/>
    <w:rsid w:val="00037C26"/>
    <w:rsid w:val="00040044"/>
    <w:rsid w:val="0004005D"/>
    <w:rsid w:val="000404AE"/>
    <w:rsid w:val="00040ADF"/>
    <w:rsid w:val="00040FB4"/>
    <w:rsid w:val="0004135E"/>
    <w:rsid w:val="0004178C"/>
    <w:rsid w:val="00041792"/>
    <w:rsid w:val="00041F5D"/>
    <w:rsid w:val="00041FF5"/>
    <w:rsid w:val="00042351"/>
    <w:rsid w:val="00042772"/>
    <w:rsid w:val="00042BB7"/>
    <w:rsid w:val="00042D3F"/>
    <w:rsid w:val="0004324B"/>
    <w:rsid w:val="0004387F"/>
    <w:rsid w:val="00043BC5"/>
    <w:rsid w:val="00044232"/>
    <w:rsid w:val="000443A6"/>
    <w:rsid w:val="00044475"/>
    <w:rsid w:val="00044522"/>
    <w:rsid w:val="000445CD"/>
    <w:rsid w:val="0004467C"/>
    <w:rsid w:val="000449D1"/>
    <w:rsid w:val="00044A40"/>
    <w:rsid w:val="00044BF6"/>
    <w:rsid w:val="00044DEB"/>
    <w:rsid w:val="000456CE"/>
    <w:rsid w:val="00045941"/>
    <w:rsid w:val="00045B8D"/>
    <w:rsid w:val="00045CC5"/>
    <w:rsid w:val="00045D71"/>
    <w:rsid w:val="00045D96"/>
    <w:rsid w:val="00046669"/>
    <w:rsid w:val="00046B6A"/>
    <w:rsid w:val="00046B8E"/>
    <w:rsid w:val="00046C57"/>
    <w:rsid w:val="000472A4"/>
    <w:rsid w:val="000472D4"/>
    <w:rsid w:val="000515F2"/>
    <w:rsid w:val="00051FA7"/>
    <w:rsid w:val="000520CA"/>
    <w:rsid w:val="00052471"/>
    <w:rsid w:val="000525B7"/>
    <w:rsid w:val="0005282E"/>
    <w:rsid w:val="00052DD3"/>
    <w:rsid w:val="00052FA8"/>
    <w:rsid w:val="0005326D"/>
    <w:rsid w:val="000539DB"/>
    <w:rsid w:val="00053AD1"/>
    <w:rsid w:val="00053CBB"/>
    <w:rsid w:val="00053F2F"/>
    <w:rsid w:val="00053F6C"/>
    <w:rsid w:val="00054FBC"/>
    <w:rsid w:val="000550CB"/>
    <w:rsid w:val="00055203"/>
    <w:rsid w:val="00056034"/>
    <w:rsid w:val="00056212"/>
    <w:rsid w:val="0005699B"/>
    <w:rsid w:val="00056F20"/>
    <w:rsid w:val="00056FA1"/>
    <w:rsid w:val="00057334"/>
    <w:rsid w:val="000600D9"/>
    <w:rsid w:val="000600DD"/>
    <w:rsid w:val="00060AA3"/>
    <w:rsid w:val="00060D8D"/>
    <w:rsid w:val="00060F4C"/>
    <w:rsid w:val="00061CA4"/>
    <w:rsid w:val="00062CA1"/>
    <w:rsid w:val="000631DC"/>
    <w:rsid w:val="0006339C"/>
    <w:rsid w:val="00063532"/>
    <w:rsid w:val="00063D4E"/>
    <w:rsid w:val="00064042"/>
    <w:rsid w:val="00064102"/>
    <w:rsid w:val="00064783"/>
    <w:rsid w:val="000647C2"/>
    <w:rsid w:val="000647E2"/>
    <w:rsid w:val="000652FB"/>
    <w:rsid w:val="0006538F"/>
    <w:rsid w:val="00065564"/>
    <w:rsid w:val="000668D6"/>
    <w:rsid w:val="00066A81"/>
    <w:rsid w:val="00066DE8"/>
    <w:rsid w:val="000672DA"/>
    <w:rsid w:val="00067D02"/>
    <w:rsid w:val="000700EE"/>
    <w:rsid w:val="00070193"/>
    <w:rsid w:val="0007021F"/>
    <w:rsid w:val="000703CA"/>
    <w:rsid w:val="00070601"/>
    <w:rsid w:val="00070838"/>
    <w:rsid w:val="000709A0"/>
    <w:rsid w:val="00071316"/>
    <w:rsid w:val="000715DF"/>
    <w:rsid w:val="0007189B"/>
    <w:rsid w:val="000718AD"/>
    <w:rsid w:val="00072335"/>
    <w:rsid w:val="0007240C"/>
    <w:rsid w:val="00072591"/>
    <w:rsid w:val="00072B67"/>
    <w:rsid w:val="00072D50"/>
    <w:rsid w:val="00072DA4"/>
    <w:rsid w:val="00072F88"/>
    <w:rsid w:val="000730A4"/>
    <w:rsid w:val="0007360F"/>
    <w:rsid w:val="00074199"/>
    <w:rsid w:val="0007431E"/>
    <w:rsid w:val="00074379"/>
    <w:rsid w:val="0007489C"/>
    <w:rsid w:val="000749BF"/>
    <w:rsid w:val="00074B56"/>
    <w:rsid w:val="0007563B"/>
    <w:rsid w:val="000767A7"/>
    <w:rsid w:val="00076D2F"/>
    <w:rsid w:val="00076D68"/>
    <w:rsid w:val="000770FE"/>
    <w:rsid w:val="00077487"/>
    <w:rsid w:val="0007777F"/>
    <w:rsid w:val="00077DB5"/>
    <w:rsid w:val="00077F31"/>
    <w:rsid w:val="00080241"/>
    <w:rsid w:val="000803A3"/>
    <w:rsid w:val="00080DF3"/>
    <w:rsid w:val="00080EDA"/>
    <w:rsid w:val="00081180"/>
    <w:rsid w:val="00081192"/>
    <w:rsid w:val="000816AF"/>
    <w:rsid w:val="00081778"/>
    <w:rsid w:val="00081B2C"/>
    <w:rsid w:val="00082A84"/>
    <w:rsid w:val="00082BE6"/>
    <w:rsid w:val="00082DD2"/>
    <w:rsid w:val="0008322B"/>
    <w:rsid w:val="000833BC"/>
    <w:rsid w:val="000833DE"/>
    <w:rsid w:val="00083846"/>
    <w:rsid w:val="000839BA"/>
    <w:rsid w:val="00083A2F"/>
    <w:rsid w:val="000844B7"/>
    <w:rsid w:val="00084682"/>
    <w:rsid w:val="00084726"/>
    <w:rsid w:val="00084966"/>
    <w:rsid w:val="000849C8"/>
    <w:rsid w:val="00085580"/>
    <w:rsid w:val="00085A51"/>
    <w:rsid w:val="000866ED"/>
    <w:rsid w:val="00086951"/>
    <w:rsid w:val="00086956"/>
    <w:rsid w:val="000870B6"/>
    <w:rsid w:val="00087178"/>
    <w:rsid w:val="00087EA4"/>
    <w:rsid w:val="000900AD"/>
    <w:rsid w:val="00090273"/>
    <w:rsid w:val="00090613"/>
    <w:rsid w:val="00090BD1"/>
    <w:rsid w:val="0009169E"/>
    <w:rsid w:val="00091857"/>
    <w:rsid w:val="0009187F"/>
    <w:rsid w:val="00091C38"/>
    <w:rsid w:val="00091C59"/>
    <w:rsid w:val="00092A21"/>
    <w:rsid w:val="000935A7"/>
    <w:rsid w:val="00093716"/>
    <w:rsid w:val="00093CEE"/>
    <w:rsid w:val="00093D9A"/>
    <w:rsid w:val="00094656"/>
    <w:rsid w:val="00094AAE"/>
    <w:rsid w:val="00094B73"/>
    <w:rsid w:val="00094F63"/>
    <w:rsid w:val="00095742"/>
    <w:rsid w:val="000958ED"/>
    <w:rsid w:val="00095B3A"/>
    <w:rsid w:val="00095B90"/>
    <w:rsid w:val="00095E48"/>
    <w:rsid w:val="000962D2"/>
    <w:rsid w:val="000963E3"/>
    <w:rsid w:val="000967CD"/>
    <w:rsid w:val="00096B52"/>
    <w:rsid w:val="00097568"/>
    <w:rsid w:val="00097B16"/>
    <w:rsid w:val="000A0AC7"/>
    <w:rsid w:val="000A10BF"/>
    <w:rsid w:val="000A137F"/>
    <w:rsid w:val="000A13B6"/>
    <w:rsid w:val="000A1523"/>
    <w:rsid w:val="000A1730"/>
    <w:rsid w:val="000A1BF6"/>
    <w:rsid w:val="000A20AE"/>
    <w:rsid w:val="000A21A5"/>
    <w:rsid w:val="000A2325"/>
    <w:rsid w:val="000A2ACD"/>
    <w:rsid w:val="000A2B65"/>
    <w:rsid w:val="000A2C60"/>
    <w:rsid w:val="000A2DA8"/>
    <w:rsid w:val="000A38A7"/>
    <w:rsid w:val="000A42C8"/>
    <w:rsid w:val="000A45DF"/>
    <w:rsid w:val="000A46D9"/>
    <w:rsid w:val="000A4C8E"/>
    <w:rsid w:val="000A4EEB"/>
    <w:rsid w:val="000A50EA"/>
    <w:rsid w:val="000A51B3"/>
    <w:rsid w:val="000A5C47"/>
    <w:rsid w:val="000A6233"/>
    <w:rsid w:val="000A629E"/>
    <w:rsid w:val="000A642F"/>
    <w:rsid w:val="000A6451"/>
    <w:rsid w:val="000A67BF"/>
    <w:rsid w:val="000A69D6"/>
    <w:rsid w:val="000A6B30"/>
    <w:rsid w:val="000A6F9E"/>
    <w:rsid w:val="000A7616"/>
    <w:rsid w:val="000B00F3"/>
    <w:rsid w:val="000B03E2"/>
    <w:rsid w:val="000B08C4"/>
    <w:rsid w:val="000B0A7E"/>
    <w:rsid w:val="000B0D29"/>
    <w:rsid w:val="000B0DBC"/>
    <w:rsid w:val="000B0E6F"/>
    <w:rsid w:val="000B1A90"/>
    <w:rsid w:val="000B2061"/>
    <w:rsid w:val="000B2365"/>
    <w:rsid w:val="000B2967"/>
    <w:rsid w:val="000B2D15"/>
    <w:rsid w:val="000B3330"/>
    <w:rsid w:val="000B3594"/>
    <w:rsid w:val="000B3DDB"/>
    <w:rsid w:val="000B44DA"/>
    <w:rsid w:val="000B4889"/>
    <w:rsid w:val="000B57C2"/>
    <w:rsid w:val="000B580E"/>
    <w:rsid w:val="000B6138"/>
    <w:rsid w:val="000B6BFB"/>
    <w:rsid w:val="000B6CF0"/>
    <w:rsid w:val="000B720C"/>
    <w:rsid w:val="000B7665"/>
    <w:rsid w:val="000B7B58"/>
    <w:rsid w:val="000B7CF8"/>
    <w:rsid w:val="000B7F9B"/>
    <w:rsid w:val="000C013E"/>
    <w:rsid w:val="000C2249"/>
    <w:rsid w:val="000C262A"/>
    <w:rsid w:val="000C311C"/>
    <w:rsid w:val="000C37D7"/>
    <w:rsid w:val="000C3A96"/>
    <w:rsid w:val="000C3F1C"/>
    <w:rsid w:val="000C406A"/>
    <w:rsid w:val="000C4252"/>
    <w:rsid w:val="000C483F"/>
    <w:rsid w:val="000C4983"/>
    <w:rsid w:val="000C5140"/>
    <w:rsid w:val="000C5592"/>
    <w:rsid w:val="000C57BB"/>
    <w:rsid w:val="000C5AA9"/>
    <w:rsid w:val="000C5C6F"/>
    <w:rsid w:val="000C60F3"/>
    <w:rsid w:val="000C698E"/>
    <w:rsid w:val="000C69A8"/>
    <w:rsid w:val="000C788A"/>
    <w:rsid w:val="000C796D"/>
    <w:rsid w:val="000C79C0"/>
    <w:rsid w:val="000C7A18"/>
    <w:rsid w:val="000C7ADA"/>
    <w:rsid w:val="000C7C46"/>
    <w:rsid w:val="000D010D"/>
    <w:rsid w:val="000D051E"/>
    <w:rsid w:val="000D0D5F"/>
    <w:rsid w:val="000D0FC6"/>
    <w:rsid w:val="000D14A4"/>
    <w:rsid w:val="000D1926"/>
    <w:rsid w:val="000D1B52"/>
    <w:rsid w:val="000D1EC5"/>
    <w:rsid w:val="000D201E"/>
    <w:rsid w:val="000D2282"/>
    <w:rsid w:val="000D246A"/>
    <w:rsid w:val="000D32B3"/>
    <w:rsid w:val="000D3391"/>
    <w:rsid w:val="000D375D"/>
    <w:rsid w:val="000D4033"/>
    <w:rsid w:val="000D4C1B"/>
    <w:rsid w:val="000D4C58"/>
    <w:rsid w:val="000D4CFE"/>
    <w:rsid w:val="000D5171"/>
    <w:rsid w:val="000D52CF"/>
    <w:rsid w:val="000D5433"/>
    <w:rsid w:val="000D5523"/>
    <w:rsid w:val="000D5EDE"/>
    <w:rsid w:val="000D6130"/>
    <w:rsid w:val="000D61C0"/>
    <w:rsid w:val="000D6540"/>
    <w:rsid w:val="000D6FEB"/>
    <w:rsid w:val="000D70EB"/>
    <w:rsid w:val="000D712B"/>
    <w:rsid w:val="000D7D81"/>
    <w:rsid w:val="000E03DC"/>
    <w:rsid w:val="000E0B17"/>
    <w:rsid w:val="000E1124"/>
    <w:rsid w:val="000E15F8"/>
    <w:rsid w:val="000E1FD0"/>
    <w:rsid w:val="000E215D"/>
    <w:rsid w:val="000E2293"/>
    <w:rsid w:val="000E327B"/>
    <w:rsid w:val="000E33DC"/>
    <w:rsid w:val="000E3850"/>
    <w:rsid w:val="000E38DB"/>
    <w:rsid w:val="000E47B9"/>
    <w:rsid w:val="000E4A0A"/>
    <w:rsid w:val="000E4BBA"/>
    <w:rsid w:val="000E4E10"/>
    <w:rsid w:val="000E535D"/>
    <w:rsid w:val="000E5392"/>
    <w:rsid w:val="000E5430"/>
    <w:rsid w:val="000E5531"/>
    <w:rsid w:val="000E5AAC"/>
    <w:rsid w:val="000E6410"/>
    <w:rsid w:val="000E66D3"/>
    <w:rsid w:val="000E678B"/>
    <w:rsid w:val="000E6B08"/>
    <w:rsid w:val="000E708B"/>
    <w:rsid w:val="000E70B6"/>
    <w:rsid w:val="000F022C"/>
    <w:rsid w:val="000F041E"/>
    <w:rsid w:val="000F07B6"/>
    <w:rsid w:val="000F096D"/>
    <w:rsid w:val="000F098E"/>
    <w:rsid w:val="000F0A83"/>
    <w:rsid w:val="000F1180"/>
    <w:rsid w:val="000F168F"/>
    <w:rsid w:val="000F191D"/>
    <w:rsid w:val="000F1C55"/>
    <w:rsid w:val="000F243C"/>
    <w:rsid w:val="000F2E01"/>
    <w:rsid w:val="000F2F06"/>
    <w:rsid w:val="000F330F"/>
    <w:rsid w:val="000F358F"/>
    <w:rsid w:val="000F3AF6"/>
    <w:rsid w:val="000F3C08"/>
    <w:rsid w:val="000F4085"/>
    <w:rsid w:val="000F47ED"/>
    <w:rsid w:val="000F4813"/>
    <w:rsid w:val="000F5A54"/>
    <w:rsid w:val="000F607A"/>
    <w:rsid w:val="000F715B"/>
    <w:rsid w:val="000F7617"/>
    <w:rsid w:val="000F7761"/>
    <w:rsid w:val="000F7987"/>
    <w:rsid w:val="0010051C"/>
    <w:rsid w:val="00101010"/>
    <w:rsid w:val="001014A7"/>
    <w:rsid w:val="001020FE"/>
    <w:rsid w:val="001021D4"/>
    <w:rsid w:val="00102858"/>
    <w:rsid w:val="00102C23"/>
    <w:rsid w:val="00102C2F"/>
    <w:rsid w:val="0010330B"/>
    <w:rsid w:val="00103639"/>
    <w:rsid w:val="00103AA7"/>
    <w:rsid w:val="00103ABE"/>
    <w:rsid w:val="00103CE6"/>
    <w:rsid w:val="00104021"/>
    <w:rsid w:val="0010425F"/>
    <w:rsid w:val="0010448B"/>
    <w:rsid w:val="001049BA"/>
    <w:rsid w:val="001049D0"/>
    <w:rsid w:val="00104C08"/>
    <w:rsid w:val="00104E6C"/>
    <w:rsid w:val="0010521F"/>
    <w:rsid w:val="00105A27"/>
    <w:rsid w:val="00105B11"/>
    <w:rsid w:val="00105E0C"/>
    <w:rsid w:val="0010625A"/>
    <w:rsid w:val="0010676F"/>
    <w:rsid w:val="00106EFF"/>
    <w:rsid w:val="00107156"/>
    <w:rsid w:val="001072DF"/>
    <w:rsid w:val="00107524"/>
    <w:rsid w:val="001078E2"/>
    <w:rsid w:val="00107C9C"/>
    <w:rsid w:val="00107DCD"/>
    <w:rsid w:val="00107EF0"/>
    <w:rsid w:val="00110B33"/>
    <w:rsid w:val="00111417"/>
    <w:rsid w:val="00111EE0"/>
    <w:rsid w:val="00112FDB"/>
    <w:rsid w:val="00113092"/>
    <w:rsid w:val="001132BC"/>
    <w:rsid w:val="00113888"/>
    <w:rsid w:val="00113C60"/>
    <w:rsid w:val="0011446E"/>
    <w:rsid w:val="00114C3B"/>
    <w:rsid w:val="00115691"/>
    <w:rsid w:val="001161F8"/>
    <w:rsid w:val="00116611"/>
    <w:rsid w:val="00116679"/>
    <w:rsid w:val="00116698"/>
    <w:rsid w:val="00116A14"/>
    <w:rsid w:val="00117039"/>
    <w:rsid w:val="00117F04"/>
    <w:rsid w:val="00120182"/>
    <w:rsid w:val="00120983"/>
    <w:rsid w:val="00121045"/>
    <w:rsid w:val="001215CA"/>
    <w:rsid w:val="001217E4"/>
    <w:rsid w:val="00122AE3"/>
    <w:rsid w:val="00122EE1"/>
    <w:rsid w:val="001232B1"/>
    <w:rsid w:val="001233D3"/>
    <w:rsid w:val="00123658"/>
    <w:rsid w:val="001237AA"/>
    <w:rsid w:val="001237AF"/>
    <w:rsid w:val="00123B95"/>
    <w:rsid w:val="00123E1F"/>
    <w:rsid w:val="001247EB"/>
    <w:rsid w:val="00124F3C"/>
    <w:rsid w:val="0012537C"/>
    <w:rsid w:val="00125665"/>
    <w:rsid w:val="00125B45"/>
    <w:rsid w:val="00125B61"/>
    <w:rsid w:val="00126122"/>
    <w:rsid w:val="001267BD"/>
    <w:rsid w:val="001268A4"/>
    <w:rsid w:val="00126BB8"/>
    <w:rsid w:val="00127237"/>
    <w:rsid w:val="00127790"/>
    <w:rsid w:val="00127B56"/>
    <w:rsid w:val="001305B3"/>
    <w:rsid w:val="00130821"/>
    <w:rsid w:val="00130C62"/>
    <w:rsid w:val="00131674"/>
    <w:rsid w:val="00131ACE"/>
    <w:rsid w:val="00131D45"/>
    <w:rsid w:val="001320F0"/>
    <w:rsid w:val="00132308"/>
    <w:rsid w:val="00132990"/>
    <w:rsid w:val="00132D18"/>
    <w:rsid w:val="001336E0"/>
    <w:rsid w:val="00133D83"/>
    <w:rsid w:val="00133F34"/>
    <w:rsid w:val="0013419E"/>
    <w:rsid w:val="00134788"/>
    <w:rsid w:val="00134D07"/>
    <w:rsid w:val="0013501E"/>
    <w:rsid w:val="00135273"/>
    <w:rsid w:val="00135564"/>
    <w:rsid w:val="00135DB3"/>
    <w:rsid w:val="00135E66"/>
    <w:rsid w:val="00135F08"/>
    <w:rsid w:val="00135FC9"/>
    <w:rsid w:val="00136A8D"/>
    <w:rsid w:val="00136D9E"/>
    <w:rsid w:val="00136EAD"/>
    <w:rsid w:val="00137BE8"/>
    <w:rsid w:val="00137D7E"/>
    <w:rsid w:val="00137EF5"/>
    <w:rsid w:val="00137F02"/>
    <w:rsid w:val="0014033A"/>
    <w:rsid w:val="00140584"/>
    <w:rsid w:val="0014121A"/>
    <w:rsid w:val="00141368"/>
    <w:rsid w:val="00141488"/>
    <w:rsid w:val="0014163B"/>
    <w:rsid w:val="0014201D"/>
    <w:rsid w:val="0014232D"/>
    <w:rsid w:val="0014255D"/>
    <w:rsid w:val="00143443"/>
    <w:rsid w:val="00143478"/>
    <w:rsid w:val="0014379F"/>
    <w:rsid w:val="00143F2F"/>
    <w:rsid w:val="00144005"/>
    <w:rsid w:val="00144F7B"/>
    <w:rsid w:val="0014534A"/>
    <w:rsid w:val="001457C1"/>
    <w:rsid w:val="001464F1"/>
    <w:rsid w:val="00146624"/>
    <w:rsid w:val="00146648"/>
    <w:rsid w:val="00146B0A"/>
    <w:rsid w:val="001472C4"/>
    <w:rsid w:val="00150067"/>
    <w:rsid w:val="00150376"/>
    <w:rsid w:val="00150768"/>
    <w:rsid w:val="00150E94"/>
    <w:rsid w:val="0015123A"/>
    <w:rsid w:val="001517E6"/>
    <w:rsid w:val="00151D51"/>
    <w:rsid w:val="00151D85"/>
    <w:rsid w:val="00151DBD"/>
    <w:rsid w:val="00151E38"/>
    <w:rsid w:val="001529F1"/>
    <w:rsid w:val="00152C8F"/>
    <w:rsid w:val="001531D6"/>
    <w:rsid w:val="001531F4"/>
    <w:rsid w:val="0015369F"/>
    <w:rsid w:val="0015373F"/>
    <w:rsid w:val="0015383E"/>
    <w:rsid w:val="00153F7C"/>
    <w:rsid w:val="00155434"/>
    <w:rsid w:val="001557C0"/>
    <w:rsid w:val="0015595F"/>
    <w:rsid w:val="00155BDA"/>
    <w:rsid w:val="00155FAE"/>
    <w:rsid w:val="001560C3"/>
    <w:rsid w:val="001568B2"/>
    <w:rsid w:val="00156FA7"/>
    <w:rsid w:val="00157044"/>
    <w:rsid w:val="0015756C"/>
    <w:rsid w:val="00157A0C"/>
    <w:rsid w:val="00157D01"/>
    <w:rsid w:val="0016023A"/>
    <w:rsid w:val="0016042F"/>
    <w:rsid w:val="00160E19"/>
    <w:rsid w:val="00161F92"/>
    <w:rsid w:val="00162269"/>
    <w:rsid w:val="00162773"/>
    <w:rsid w:val="00162A45"/>
    <w:rsid w:val="00162DBF"/>
    <w:rsid w:val="001635C0"/>
    <w:rsid w:val="001639DC"/>
    <w:rsid w:val="00164CF8"/>
    <w:rsid w:val="001653AE"/>
    <w:rsid w:val="00165520"/>
    <w:rsid w:val="001657DB"/>
    <w:rsid w:val="00165ABE"/>
    <w:rsid w:val="00165BED"/>
    <w:rsid w:val="00165D62"/>
    <w:rsid w:val="00165D6C"/>
    <w:rsid w:val="00165E01"/>
    <w:rsid w:val="00166882"/>
    <w:rsid w:val="001668B3"/>
    <w:rsid w:val="001669CA"/>
    <w:rsid w:val="00167270"/>
    <w:rsid w:val="00167671"/>
    <w:rsid w:val="001677C4"/>
    <w:rsid w:val="001679CB"/>
    <w:rsid w:val="001679EA"/>
    <w:rsid w:val="00167E05"/>
    <w:rsid w:val="00170367"/>
    <w:rsid w:val="001703D7"/>
    <w:rsid w:val="00170A0A"/>
    <w:rsid w:val="00170D5B"/>
    <w:rsid w:val="00171933"/>
    <w:rsid w:val="00171D79"/>
    <w:rsid w:val="00172364"/>
    <w:rsid w:val="00172A0E"/>
    <w:rsid w:val="00172B8F"/>
    <w:rsid w:val="00172D2F"/>
    <w:rsid w:val="0017356C"/>
    <w:rsid w:val="001736F8"/>
    <w:rsid w:val="00173D85"/>
    <w:rsid w:val="00173E2B"/>
    <w:rsid w:val="00173E67"/>
    <w:rsid w:val="00174FD4"/>
    <w:rsid w:val="001752C2"/>
    <w:rsid w:val="001760E6"/>
    <w:rsid w:val="001766F0"/>
    <w:rsid w:val="00176A09"/>
    <w:rsid w:val="001778DE"/>
    <w:rsid w:val="0017795F"/>
    <w:rsid w:val="00177A79"/>
    <w:rsid w:val="001804FB"/>
    <w:rsid w:val="001810F3"/>
    <w:rsid w:val="001813E6"/>
    <w:rsid w:val="00181716"/>
    <w:rsid w:val="00181B1F"/>
    <w:rsid w:val="00181DC4"/>
    <w:rsid w:val="00182338"/>
    <w:rsid w:val="00182BDD"/>
    <w:rsid w:val="001832EC"/>
    <w:rsid w:val="00183FBA"/>
    <w:rsid w:val="00184462"/>
    <w:rsid w:val="00184AAA"/>
    <w:rsid w:val="00184BAE"/>
    <w:rsid w:val="0018523C"/>
    <w:rsid w:val="0018525F"/>
    <w:rsid w:val="001854E3"/>
    <w:rsid w:val="00185C71"/>
    <w:rsid w:val="001861D7"/>
    <w:rsid w:val="00186307"/>
    <w:rsid w:val="0018688D"/>
    <w:rsid w:val="00187199"/>
    <w:rsid w:val="00187267"/>
    <w:rsid w:val="001874E6"/>
    <w:rsid w:val="00190405"/>
    <w:rsid w:val="00190C21"/>
    <w:rsid w:val="00190DA9"/>
    <w:rsid w:val="00190E12"/>
    <w:rsid w:val="0019128E"/>
    <w:rsid w:val="00191435"/>
    <w:rsid w:val="0019177B"/>
    <w:rsid w:val="00191FE9"/>
    <w:rsid w:val="0019236C"/>
    <w:rsid w:val="00192B69"/>
    <w:rsid w:val="00192D6D"/>
    <w:rsid w:val="00192EF3"/>
    <w:rsid w:val="001931D9"/>
    <w:rsid w:val="0019362A"/>
    <w:rsid w:val="00193C37"/>
    <w:rsid w:val="00193D76"/>
    <w:rsid w:val="0019474E"/>
    <w:rsid w:val="00194F2E"/>
    <w:rsid w:val="00195728"/>
    <w:rsid w:val="001957C9"/>
    <w:rsid w:val="001963BF"/>
    <w:rsid w:val="00196A6F"/>
    <w:rsid w:val="001970C0"/>
    <w:rsid w:val="00197200"/>
    <w:rsid w:val="001A02F6"/>
    <w:rsid w:val="001A05CE"/>
    <w:rsid w:val="001A1247"/>
    <w:rsid w:val="001A14F6"/>
    <w:rsid w:val="001A1813"/>
    <w:rsid w:val="001A1CB7"/>
    <w:rsid w:val="001A2056"/>
    <w:rsid w:val="001A210D"/>
    <w:rsid w:val="001A21EC"/>
    <w:rsid w:val="001A24F3"/>
    <w:rsid w:val="001A3AF4"/>
    <w:rsid w:val="001A420B"/>
    <w:rsid w:val="001A4B97"/>
    <w:rsid w:val="001A4C88"/>
    <w:rsid w:val="001A4D5B"/>
    <w:rsid w:val="001A4ECE"/>
    <w:rsid w:val="001A4F7D"/>
    <w:rsid w:val="001A5425"/>
    <w:rsid w:val="001A560E"/>
    <w:rsid w:val="001A59A6"/>
    <w:rsid w:val="001A772E"/>
    <w:rsid w:val="001A7B42"/>
    <w:rsid w:val="001A7D8F"/>
    <w:rsid w:val="001B0675"/>
    <w:rsid w:val="001B129F"/>
    <w:rsid w:val="001B169D"/>
    <w:rsid w:val="001B20F8"/>
    <w:rsid w:val="001B21AF"/>
    <w:rsid w:val="001B2A88"/>
    <w:rsid w:val="001B2A97"/>
    <w:rsid w:val="001B2CD4"/>
    <w:rsid w:val="001B30FB"/>
    <w:rsid w:val="001B3B5C"/>
    <w:rsid w:val="001B3BE3"/>
    <w:rsid w:val="001B3F32"/>
    <w:rsid w:val="001B3F9D"/>
    <w:rsid w:val="001B43DF"/>
    <w:rsid w:val="001B49DE"/>
    <w:rsid w:val="001B4C36"/>
    <w:rsid w:val="001B564F"/>
    <w:rsid w:val="001B6271"/>
    <w:rsid w:val="001B6664"/>
    <w:rsid w:val="001B6ADF"/>
    <w:rsid w:val="001B6B09"/>
    <w:rsid w:val="001B7329"/>
    <w:rsid w:val="001B73DF"/>
    <w:rsid w:val="001B746D"/>
    <w:rsid w:val="001B747E"/>
    <w:rsid w:val="001B78AA"/>
    <w:rsid w:val="001B7AA2"/>
    <w:rsid w:val="001B7C59"/>
    <w:rsid w:val="001C0858"/>
    <w:rsid w:val="001C0D1F"/>
    <w:rsid w:val="001C0F76"/>
    <w:rsid w:val="001C1093"/>
    <w:rsid w:val="001C14CA"/>
    <w:rsid w:val="001C174A"/>
    <w:rsid w:val="001C1D05"/>
    <w:rsid w:val="001C252E"/>
    <w:rsid w:val="001C270A"/>
    <w:rsid w:val="001C285E"/>
    <w:rsid w:val="001C2971"/>
    <w:rsid w:val="001C2A48"/>
    <w:rsid w:val="001C31CF"/>
    <w:rsid w:val="001C397D"/>
    <w:rsid w:val="001C42F5"/>
    <w:rsid w:val="001C46C1"/>
    <w:rsid w:val="001C46E6"/>
    <w:rsid w:val="001C509C"/>
    <w:rsid w:val="001C5B6D"/>
    <w:rsid w:val="001C6059"/>
    <w:rsid w:val="001C621F"/>
    <w:rsid w:val="001C63ED"/>
    <w:rsid w:val="001C6432"/>
    <w:rsid w:val="001C67EE"/>
    <w:rsid w:val="001C696C"/>
    <w:rsid w:val="001C69E3"/>
    <w:rsid w:val="001C6A1F"/>
    <w:rsid w:val="001C6C51"/>
    <w:rsid w:val="001C6DFD"/>
    <w:rsid w:val="001C7051"/>
    <w:rsid w:val="001C7924"/>
    <w:rsid w:val="001D002A"/>
    <w:rsid w:val="001D0D3E"/>
    <w:rsid w:val="001D0FBF"/>
    <w:rsid w:val="001D0FF6"/>
    <w:rsid w:val="001D1411"/>
    <w:rsid w:val="001D1414"/>
    <w:rsid w:val="001D1A9C"/>
    <w:rsid w:val="001D1B25"/>
    <w:rsid w:val="001D1FB2"/>
    <w:rsid w:val="001D21DE"/>
    <w:rsid w:val="001D239D"/>
    <w:rsid w:val="001D2554"/>
    <w:rsid w:val="001D255E"/>
    <w:rsid w:val="001D25ED"/>
    <w:rsid w:val="001D271A"/>
    <w:rsid w:val="001D278E"/>
    <w:rsid w:val="001D2791"/>
    <w:rsid w:val="001D2E34"/>
    <w:rsid w:val="001D32C0"/>
    <w:rsid w:val="001D3460"/>
    <w:rsid w:val="001D397B"/>
    <w:rsid w:val="001D39C0"/>
    <w:rsid w:val="001D3A64"/>
    <w:rsid w:val="001D4112"/>
    <w:rsid w:val="001D4634"/>
    <w:rsid w:val="001D54E5"/>
    <w:rsid w:val="001D5793"/>
    <w:rsid w:val="001D59FA"/>
    <w:rsid w:val="001D6452"/>
    <w:rsid w:val="001D6CD5"/>
    <w:rsid w:val="001D7159"/>
    <w:rsid w:val="001D71CB"/>
    <w:rsid w:val="001D72A1"/>
    <w:rsid w:val="001D7415"/>
    <w:rsid w:val="001D7416"/>
    <w:rsid w:val="001D74A7"/>
    <w:rsid w:val="001D776A"/>
    <w:rsid w:val="001D7D26"/>
    <w:rsid w:val="001D7D2E"/>
    <w:rsid w:val="001E0DE3"/>
    <w:rsid w:val="001E0E8B"/>
    <w:rsid w:val="001E0F72"/>
    <w:rsid w:val="001E13F0"/>
    <w:rsid w:val="001E14ED"/>
    <w:rsid w:val="001E15F2"/>
    <w:rsid w:val="001E2148"/>
    <w:rsid w:val="001E22F7"/>
    <w:rsid w:val="001E23CB"/>
    <w:rsid w:val="001E2B21"/>
    <w:rsid w:val="001E2F7B"/>
    <w:rsid w:val="001E30E7"/>
    <w:rsid w:val="001E31CC"/>
    <w:rsid w:val="001E3254"/>
    <w:rsid w:val="001E37CA"/>
    <w:rsid w:val="001E383F"/>
    <w:rsid w:val="001E465F"/>
    <w:rsid w:val="001E4ABD"/>
    <w:rsid w:val="001E53BA"/>
    <w:rsid w:val="001E57E9"/>
    <w:rsid w:val="001E5CC2"/>
    <w:rsid w:val="001E6730"/>
    <w:rsid w:val="001E7295"/>
    <w:rsid w:val="001E72E7"/>
    <w:rsid w:val="001F101E"/>
    <w:rsid w:val="001F1349"/>
    <w:rsid w:val="001F1379"/>
    <w:rsid w:val="001F156F"/>
    <w:rsid w:val="001F176F"/>
    <w:rsid w:val="001F1B4E"/>
    <w:rsid w:val="001F1FD9"/>
    <w:rsid w:val="001F217C"/>
    <w:rsid w:val="001F2186"/>
    <w:rsid w:val="001F2701"/>
    <w:rsid w:val="001F2902"/>
    <w:rsid w:val="001F3141"/>
    <w:rsid w:val="001F3EF9"/>
    <w:rsid w:val="001F3F36"/>
    <w:rsid w:val="001F4297"/>
    <w:rsid w:val="001F4594"/>
    <w:rsid w:val="001F4B41"/>
    <w:rsid w:val="001F4E11"/>
    <w:rsid w:val="001F5293"/>
    <w:rsid w:val="001F5426"/>
    <w:rsid w:val="001F6018"/>
    <w:rsid w:val="001F601E"/>
    <w:rsid w:val="001F6195"/>
    <w:rsid w:val="001F6408"/>
    <w:rsid w:val="001F658C"/>
    <w:rsid w:val="001F675C"/>
    <w:rsid w:val="001F69B7"/>
    <w:rsid w:val="001F6D72"/>
    <w:rsid w:val="001F6E9B"/>
    <w:rsid w:val="001F6F44"/>
    <w:rsid w:val="001F72CE"/>
    <w:rsid w:val="001F7563"/>
    <w:rsid w:val="001F7E2F"/>
    <w:rsid w:val="001F7FA5"/>
    <w:rsid w:val="0020046F"/>
    <w:rsid w:val="00200B53"/>
    <w:rsid w:val="00201130"/>
    <w:rsid w:val="00201431"/>
    <w:rsid w:val="002014F0"/>
    <w:rsid w:val="00201871"/>
    <w:rsid w:val="00201928"/>
    <w:rsid w:val="00201F50"/>
    <w:rsid w:val="00202199"/>
    <w:rsid w:val="002028A1"/>
    <w:rsid w:val="002030D7"/>
    <w:rsid w:val="002031ED"/>
    <w:rsid w:val="00203254"/>
    <w:rsid w:val="0020381A"/>
    <w:rsid w:val="00203F99"/>
    <w:rsid w:val="00204D01"/>
    <w:rsid w:val="0020541E"/>
    <w:rsid w:val="002054FF"/>
    <w:rsid w:val="002062AE"/>
    <w:rsid w:val="0020681C"/>
    <w:rsid w:val="00206CEB"/>
    <w:rsid w:val="00206E61"/>
    <w:rsid w:val="00207074"/>
    <w:rsid w:val="0020723B"/>
    <w:rsid w:val="00207E7E"/>
    <w:rsid w:val="00207F59"/>
    <w:rsid w:val="00210C40"/>
    <w:rsid w:val="00211491"/>
    <w:rsid w:val="00211DC3"/>
    <w:rsid w:val="002121CA"/>
    <w:rsid w:val="00212453"/>
    <w:rsid w:val="002126E5"/>
    <w:rsid w:val="00212F6B"/>
    <w:rsid w:val="0021397F"/>
    <w:rsid w:val="00213A76"/>
    <w:rsid w:val="00214192"/>
    <w:rsid w:val="002144B7"/>
    <w:rsid w:val="00214882"/>
    <w:rsid w:val="00214BC9"/>
    <w:rsid w:val="00214D36"/>
    <w:rsid w:val="00214DA5"/>
    <w:rsid w:val="00215522"/>
    <w:rsid w:val="002155B6"/>
    <w:rsid w:val="002157E4"/>
    <w:rsid w:val="00215848"/>
    <w:rsid w:val="002159C9"/>
    <w:rsid w:val="00215AFB"/>
    <w:rsid w:val="00215DEA"/>
    <w:rsid w:val="00215E34"/>
    <w:rsid w:val="002168AB"/>
    <w:rsid w:val="00216CAF"/>
    <w:rsid w:val="00216D31"/>
    <w:rsid w:val="002171DC"/>
    <w:rsid w:val="00217E0A"/>
    <w:rsid w:val="002200D8"/>
    <w:rsid w:val="0022048B"/>
    <w:rsid w:val="00220D10"/>
    <w:rsid w:val="00220F82"/>
    <w:rsid w:val="00221637"/>
    <w:rsid w:val="002217DF"/>
    <w:rsid w:val="002217E9"/>
    <w:rsid w:val="002218F4"/>
    <w:rsid w:val="00221F27"/>
    <w:rsid w:val="0022231C"/>
    <w:rsid w:val="0022267A"/>
    <w:rsid w:val="00223664"/>
    <w:rsid w:val="00223A56"/>
    <w:rsid w:val="00223C8B"/>
    <w:rsid w:val="0022450E"/>
    <w:rsid w:val="00224BC3"/>
    <w:rsid w:val="00224E2E"/>
    <w:rsid w:val="00225135"/>
    <w:rsid w:val="002256CC"/>
    <w:rsid w:val="00225833"/>
    <w:rsid w:val="002258BF"/>
    <w:rsid w:val="00226095"/>
    <w:rsid w:val="00226AA0"/>
    <w:rsid w:val="0022704B"/>
    <w:rsid w:val="00227121"/>
    <w:rsid w:val="00227385"/>
    <w:rsid w:val="00227A9B"/>
    <w:rsid w:val="00227AF9"/>
    <w:rsid w:val="00227B89"/>
    <w:rsid w:val="00227F43"/>
    <w:rsid w:val="00230439"/>
    <w:rsid w:val="00231207"/>
    <w:rsid w:val="0023129D"/>
    <w:rsid w:val="002312FF"/>
    <w:rsid w:val="002315DA"/>
    <w:rsid w:val="0023164E"/>
    <w:rsid w:val="002317CB"/>
    <w:rsid w:val="00231CB8"/>
    <w:rsid w:val="00231DFB"/>
    <w:rsid w:val="00232348"/>
    <w:rsid w:val="00232401"/>
    <w:rsid w:val="002326B6"/>
    <w:rsid w:val="00232800"/>
    <w:rsid w:val="00232C50"/>
    <w:rsid w:val="00232E73"/>
    <w:rsid w:val="00232F9E"/>
    <w:rsid w:val="00233135"/>
    <w:rsid w:val="0023330C"/>
    <w:rsid w:val="002336EA"/>
    <w:rsid w:val="0023456C"/>
    <w:rsid w:val="00234640"/>
    <w:rsid w:val="00234CF4"/>
    <w:rsid w:val="00234D6D"/>
    <w:rsid w:val="00234E9C"/>
    <w:rsid w:val="00235AA0"/>
    <w:rsid w:val="00235C9F"/>
    <w:rsid w:val="0023654B"/>
    <w:rsid w:val="00236E5C"/>
    <w:rsid w:val="002370E2"/>
    <w:rsid w:val="00237BAB"/>
    <w:rsid w:val="00237E23"/>
    <w:rsid w:val="00240106"/>
    <w:rsid w:val="00240176"/>
    <w:rsid w:val="002401DA"/>
    <w:rsid w:val="00240E7C"/>
    <w:rsid w:val="00240E9C"/>
    <w:rsid w:val="002411C7"/>
    <w:rsid w:val="002418CA"/>
    <w:rsid w:val="00241F5C"/>
    <w:rsid w:val="00242F4E"/>
    <w:rsid w:val="00243111"/>
    <w:rsid w:val="00243784"/>
    <w:rsid w:val="00244553"/>
    <w:rsid w:val="002452A0"/>
    <w:rsid w:val="0024530D"/>
    <w:rsid w:val="00245D74"/>
    <w:rsid w:val="00246114"/>
    <w:rsid w:val="002463A6"/>
    <w:rsid w:val="002468D5"/>
    <w:rsid w:val="00246ADB"/>
    <w:rsid w:val="00246C60"/>
    <w:rsid w:val="002470AE"/>
    <w:rsid w:val="002471EC"/>
    <w:rsid w:val="00247761"/>
    <w:rsid w:val="00250580"/>
    <w:rsid w:val="002505DF"/>
    <w:rsid w:val="00250D79"/>
    <w:rsid w:val="0025126B"/>
    <w:rsid w:val="00251569"/>
    <w:rsid w:val="002517A5"/>
    <w:rsid w:val="00251F6C"/>
    <w:rsid w:val="0025212F"/>
    <w:rsid w:val="0025220A"/>
    <w:rsid w:val="0025249C"/>
    <w:rsid w:val="002524EF"/>
    <w:rsid w:val="00252715"/>
    <w:rsid w:val="00252996"/>
    <w:rsid w:val="00252CE7"/>
    <w:rsid w:val="002536BC"/>
    <w:rsid w:val="00253770"/>
    <w:rsid w:val="002539ED"/>
    <w:rsid w:val="00253C7E"/>
    <w:rsid w:val="00253F47"/>
    <w:rsid w:val="00254065"/>
    <w:rsid w:val="0025427B"/>
    <w:rsid w:val="0025440D"/>
    <w:rsid w:val="00254412"/>
    <w:rsid w:val="0025450E"/>
    <w:rsid w:val="0025485E"/>
    <w:rsid w:val="00254CD4"/>
    <w:rsid w:val="00254F4D"/>
    <w:rsid w:val="00255152"/>
    <w:rsid w:val="0025554E"/>
    <w:rsid w:val="0025585E"/>
    <w:rsid w:val="00255B86"/>
    <w:rsid w:val="00256A2A"/>
    <w:rsid w:val="00256C08"/>
    <w:rsid w:val="00256CF7"/>
    <w:rsid w:val="00256EC2"/>
    <w:rsid w:val="0025744B"/>
    <w:rsid w:val="002574AC"/>
    <w:rsid w:val="002601AE"/>
    <w:rsid w:val="0026083B"/>
    <w:rsid w:val="00261230"/>
    <w:rsid w:val="0026252C"/>
    <w:rsid w:val="002626BE"/>
    <w:rsid w:val="00263403"/>
    <w:rsid w:val="0026351B"/>
    <w:rsid w:val="00263858"/>
    <w:rsid w:val="002638F4"/>
    <w:rsid w:val="00264360"/>
    <w:rsid w:val="00264972"/>
    <w:rsid w:val="00264B5C"/>
    <w:rsid w:val="002651B4"/>
    <w:rsid w:val="0026539A"/>
    <w:rsid w:val="00265EDB"/>
    <w:rsid w:val="002665A4"/>
    <w:rsid w:val="00266AAD"/>
    <w:rsid w:val="00266DEC"/>
    <w:rsid w:val="002671C2"/>
    <w:rsid w:val="00267307"/>
    <w:rsid w:val="00267402"/>
    <w:rsid w:val="002702C7"/>
    <w:rsid w:val="00270352"/>
    <w:rsid w:val="00270F7B"/>
    <w:rsid w:val="0027160C"/>
    <w:rsid w:val="00271BD6"/>
    <w:rsid w:val="00272827"/>
    <w:rsid w:val="002729B6"/>
    <w:rsid w:val="00272ACA"/>
    <w:rsid w:val="00272C47"/>
    <w:rsid w:val="0027430F"/>
    <w:rsid w:val="00274670"/>
    <w:rsid w:val="00274717"/>
    <w:rsid w:val="00274AD3"/>
    <w:rsid w:val="00274F2B"/>
    <w:rsid w:val="0027518A"/>
    <w:rsid w:val="002751B8"/>
    <w:rsid w:val="002751D1"/>
    <w:rsid w:val="00275209"/>
    <w:rsid w:val="0027526D"/>
    <w:rsid w:val="00275992"/>
    <w:rsid w:val="002769DE"/>
    <w:rsid w:val="00276F37"/>
    <w:rsid w:val="0027707C"/>
    <w:rsid w:val="00277F1C"/>
    <w:rsid w:val="0028007C"/>
    <w:rsid w:val="002808EF"/>
    <w:rsid w:val="00280CCE"/>
    <w:rsid w:val="00281219"/>
    <w:rsid w:val="002812C3"/>
    <w:rsid w:val="0028175A"/>
    <w:rsid w:val="002817DD"/>
    <w:rsid w:val="00281BA8"/>
    <w:rsid w:val="00281C1A"/>
    <w:rsid w:val="00282CB2"/>
    <w:rsid w:val="00283A02"/>
    <w:rsid w:val="00284340"/>
    <w:rsid w:val="00284490"/>
    <w:rsid w:val="002844A2"/>
    <w:rsid w:val="00284549"/>
    <w:rsid w:val="002846CD"/>
    <w:rsid w:val="00284EFD"/>
    <w:rsid w:val="00285085"/>
    <w:rsid w:val="00285A5E"/>
    <w:rsid w:val="00285B72"/>
    <w:rsid w:val="00285E56"/>
    <w:rsid w:val="00285FDC"/>
    <w:rsid w:val="002862FF"/>
    <w:rsid w:val="00286A5A"/>
    <w:rsid w:val="00286D12"/>
    <w:rsid w:val="00287D25"/>
    <w:rsid w:val="00287E78"/>
    <w:rsid w:val="00287F96"/>
    <w:rsid w:val="00287FED"/>
    <w:rsid w:val="00290176"/>
    <w:rsid w:val="00290676"/>
    <w:rsid w:val="00290C7F"/>
    <w:rsid w:val="00290D2B"/>
    <w:rsid w:val="00291462"/>
    <w:rsid w:val="00291572"/>
    <w:rsid w:val="0029181F"/>
    <w:rsid w:val="00291D7D"/>
    <w:rsid w:val="00292136"/>
    <w:rsid w:val="00292809"/>
    <w:rsid w:val="00292BFF"/>
    <w:rsid w:val="00292D83"/>
    <w:rsid w:val="00292FE6"/>
    <w:rsid w:val="0029324C"/>
    <w:rsid w:val="002934F8"/>
    <w:rsid w:val="0029356C"/>
    <w:rsid w:val="00294425"/>
    <w:rsid w:val="00294680"/>
    <w:rsid w:val="00294AE4"/>
    <w:rsid w:val="00294D48"/>
    <w:rsid w:val="00295600"/>
    <w:rsid w:val="00295714"/>
    <w:rsid w:val="00295BB6"/>
    <w:rsid w:val="00296098"/>
    <w:rsid w:val="0029632C"/>
    <w:rsid w:val="0029653B"/>
    <w:rsid w:val="002979E8"/>
    <w:rsid w:val="00297BD5"/>
    <w:rsid w:val="002A0117"/>
    <w:rsid w:val="002A028E"/>
    <w:rsid w:val="002A04B4"/>
    <w:rsid w:val="002A145B"/>
    <w:rsid w:val="002A18BE"/>
    <w:rsid w:val="002A1AC4"/>
    <w:rsid w:val="002A264E"/>
    <w:rsid w:val="002A2744"/>
    <w:rsid w:val="002A277A"/>
    <w:rsid w:val="002A2823"/>
    <w:rsid w:val="002A2FFB"/>
    <w:rsid w:val="002A348D"/>
    <w:rsid w:val="002A3582"/>
    <w:rsid w:val="002A36F6"/>
    <w:rsid w:val="002A3D6A"/>
    <w:rsid w:val="002A3EA4"/>
    <w:rsid w:val="002A4084"/>
    <w:rsid w:val="002A443A"/>
    <w:rsid w:val="002A4AD6"/>
    <w:rsid w:val="002A4C70"/>
    <w:rsid w:val="002A4EFC"/>
    <w:rsid w:val="002A52C4"/>
    <w:rsid w:val="002A57DB"/>
    <w:rsid w:val="002A6A1C"/>
    <w:rsid w:val="002A6DFF"/>
    <w:rsid w:val="002A6F6D"/>
    <w:rsid w:val="002A7196"/>
    <w:rsid w:val="002A738F"/>
    <w:rsid w:val="002A76AE"/>
    <w:rsid w:val="002B020D"/>
    <w:rsid w:val="002B04D9"/>
    <w:rsid w:val="002B0D97"/>
    <w:rsid w:val="002B1384"/>
    <w:rsid w:val="002B157A"/>
    <w:rsid w:val="002B19CC"/>
    <w:rsid w:val="002B2A11"/>
    <w:rsid w:val="002B2BC7"/>
    <w:rsid w:val="002B2BD6"/>
    <w:rsid w:val="002B2FCD"/>
    <w:rsid w:val="002B3681"/>
    <w:rsid w:val="002B3C4D"/>
    <w:rsid w:val="002B3E0A"/>
    <w:rsid w:val="002B3FD0"/>
    <w:rsid w:val="002B4A7F"/>
    <w:rsid w:val="002B4D14"/>
    <w:rsid w:val="002B50E6"/>
    <w:rsid w:val="002B558F"/>
    <w:rsid w:val="002B5DA2"/>
    <w:rsid w:val="002B667C"/>
    <w:rsid w:val="002B66AD"/>
    <w:rsid w:val="002B6876"/>
    <w:rsid w:val="002B6E37"/>
    <w:rsid w:val="002B793C"/>
    <w:rsid w:val="002B7A87"/>
    <w:rsid w:val="002B7BF4"/>
    <w:rsid w:val="002B7FDB"/>
    <w:rsid w:val="002C032E"/>
    <w:rsid w:val="002C0C16"/>
    <w:rsid w:val="002C0DC4"/>
    <w:rsid w:val="002C0EC0"/>
    <w:rsid w:val="002C11CA"/>
    <w:rsid w:val="002C1674"/>
    <w:rsid w:val="002C1EF7"/>
    <w:rsid w:val="002C20A7"/>
    <w:rsid w:val="002C21A7"/>
    <w:rsid w:val="002C22DD"/>
    <w:rsid w:val="002C257F"/>
    <w:rsid w:val="002C26A5"/>
    <w:rsid w:val="002C27B4"/>
    <w:rsid w:val="002C3B5E"/>
    <w:rsid w:val="002C42FD"/>
    <w:rsid w:val="002C44BB"/>
    <w:rsid w:val="002C45E3"/>
    <w:rsid w:val="002C45E8"/>
    <w:rsid w:val="002C48BC"/>
    <w:rsid w:val="002C4D5A"/>
    <w:rsid w:val="002C4D61"/>
    <w:rsid w:val="002C5BC6"/>
    <w:rsid w:val="002C6D15"/>
    <w:rsid w:val="002C70CE"/>
    <w:rsid w:val="002C77E9"/>
    <w:rsid w:val="002D0203"/>
    <w:rsid w:val="002D0516"/>
    <w:rsid w:val="002D0A23"/>
    <w:rsid w:val="002D0CB2"/>
    <w:rsid w:val="002D19F7"/>
    <w:rsid w:val="002D33D4"/>
    <w:rsid w:val="002D4F6B"/>
    <w:rsid w:val="002D4FA0"/>
    <w:rsid w:val="002D4FFA"/>
    <w:rsid w:val="002D5097"/>
    <w:rsid w:val="002D5187"/>
    <w:rsid w:val="002D55A4"/>
    <w:rsid w:val="002D55E4"/>
    <w:rsid w:val="002D5607"/>
    <w:rsid w:val="002D5B6E"/>
    <w:rsid w:val="002D5EDC"/>
    <w:rsid w:val="002D60D0"/>
    <w:rsid w:val="002D63CE"/>
    <w:rsid w:val="002D690D"/>
    <w:rsid w:val="002D69F3"/>
    <w:rsid w:val="002D6DCE"/>
    <w:rsid w:val="002D6FAF"/>
    <w:rsid w:val="002D72E5"/>
    <w:rsid w:val="002D7380"/>
    <w:rsid w:val="002D73CB"/>
    <w:rsid w:val="002D7B9C"/>
    <w:rsid w:val="002E01DC"/>
    <w:rsid w:val="002E137D"/>
    <w:rsid w:val="002E155F"/>
    <w:rsid w:val="002E166B"/>
    <w:rsid w:val="002E1969"/>
    <w:rsid w:val="002E22D2"/>
    <w:rsid w:val="002E24EA"/>
    <w:rsid w:val="002E2647"/>
    <w:rsid w:val="002E28E2"/>
    <w:rsid w:val="002E2CD0"/>
    <w:rsid w:val="002E3920"/>
    <w:rsid w:val="002E3B39"/>
    <w:rsid w:val="002E3D7D"/>
    <w:rsid w:val="002E4196"/>
    <w:rsid w:val="002E45F8"/>
    <w:rsid w:val="002E4C3E"/>
    <w:rsid w:val="002E4D81"/>
    <w:rsid w:val="002E4F24"/>
    <w:rsid w:val="002E5374"/>
    <w:rsid w:val="002E734F"/>
    <w:rsid w:val="002E7775"/>
    <w:rsid w:val="002E7AD2"/>
    <w:rsid w:val="002E7AFC"/>
    <w:rsid w:val="002E7F1B"/>
    <w:rsid w:val="002F05F9"/>
    <w:rsid w:val="002F095C"/>
    <w:rsid w:val="002F0E5F"/>
    <w:rsid w:val="002F1399"/>
    <w:rsid w:val="002F165F"/>
    <w:rsid w:val="002F1851"/>
    <w:rsid w:val="002F1905"/>
    <w:rsid w:val="002F1937"/>
    <w:rsid w:val="002F1CD4"/>
    <w:rsid w:val="002F1D8C"/>
    <w:rsid w:val="002F3186"/>
    <w:rsid w:val="002F32FB"/>
    <w:rsid w:val="002F35CC"/>
    <w:rsid w:val="002F3F93"/>
    <w:rsid w:val="002F419D"/>
    <w:rsid w:val="002F4CC6"/>
    <w:rsid w:val="002F5287"/>
    <w:rsid w:val="002F5337"/>
    <w:rsid w:val="002F5611"/>
    <w:rsid w:val="002F5A9E"/>
    <w:rsid w:val="002F5F5E"/>
    <w:rsid w:val="002F5F85"/>
    <w:rsid w:val="002F601F"/>
    <w:rsid w:val="002F64D2"/>
    <w:rsid w:val="002F66C7"/>
    <w:rsid w:val="002F6884"/>
    <w:rsid w:val="002F693A"/>
    <w:rsid w:val="002F693F"/>
    <w:rsid w:val="002F74CB"/>
    <w:rsid w:val="002F7937"/>
    <w:rsid w:val="002F7AB4"/>
    <w:rsid w:val="003006D8"/>
    <w:rsid w:val="003008CC"/>
    <w:rsid w:val="00300D8C"/>
    <w:rsid w:val="00301763"/>
    <w:rsid w:val="00301E4F"/>
    <w:rsid w:val="00301FCC"/>
    <w:rsid w:val="003021D7"/>
    <w:rsid w:val="00302252"/>
    <w:rsid w:val="0030256B"/>
    <w:rsid w:val="003025FB"/>
    <w:rsid w:val="0030262D"/>
    <w:rsid w:val="003031F7"/>
    <w:rsid w:val="00303C60"/>
    <w:rsid w:val="003042FC"/>
    <w:rsid w:val="0030443C"/>
    <w:rsid w:val="00304FB8"/>
    <w:rsid w:val="00305244"/>
    <w:rsid w:val="0030526F"/>
    <w:rsid w:val="003053CE"/>
    <w:rsid w:val="00305BBD"/>
    <w:rsid w:val="00305BDC"/>
    <w:rsid w:val="00305DE2"/>
    <w:rsid w:val="00306132"/>
    <w:rsid w:val="00306763"/>
    <w:rsid w:val="00306EE1"/>
    <w:rsid w:val="00307299"/>
    <w:rsid w:val="0030769C"/>
    <w:rsid w:val="003078F6"/>
    <w:rsid w:val="003078F7"/>
    <w:rsid w:val="00310B9B"/>
    <w:rsid w:val="00310C3F"/>
    <w:rsid w:val="00310E5D"/>
    <w:rsid w:val="0031258A"/>
    <w:rsid w:val="00313061"/>
    <w:rsid w:val="003133E0"/>
    <w:rsid w:val="003133FE"/>
    <w:rsid w:val="0031360C"/>
    <w:rsid w:val="003136F4"/>
    <w:rsid w:val="003140D2"/>
    <w:rsid w:val="00314554"/>
    <w:rsid w:val="00314846"/>
    <w:rsid w:val="003150C6"/>
    <w:rsid w:val="0031535E"/>
    <w:rsid w:val="00315A04"/>
    <w:rsid w:val="00315EB0"/>
    <w:rsid w:val="0031679B"/>
    <w:rsid w:val="00316D6A"/>
    <w:rsid w:val="00316E3B"/>
    <w:rsid w:val="00316EFC"/>
    <w:rsid w:val="0031737A"/>
    <w:rsid w:val="003176D5"/>
    <w:rsid w:val="00317714"/>
    <w:rsid w:val="00320A17"/>
    <w:rsid w:val="00320C93"/>
    <w:rsid w:val="00320C99"/>
    <w:rsid w:val="00320F9F"/>
    <w:rsid w:val="00321390"/>
    <w:rsid w:val="00321A96"/>
    <w:rsid w:val="00321F99"/>
    <w:rsid w:val="00322818"/>
    <w:rsid w:val="00322DA9"/>
    <w:rsid w:val="003237A2"/>
    <w:rsid w:val="00323AF6"/>
    <w:rsid w:val="003245BE"/>
    <w:rsid w:val="003246F5"/>
    <w:rsid w:val="003251C2"/>
    <w:rsid w:val="00325AC5"/>
    <w:rsid w:val="00325E0F"/>
    <w:rsid w:val="00325FA0"/>
    <w:rsid w:val="003260FC"/>
    <w:rsid w:val="0032610D"/>
    <w:rsid w:val="00326A6A"/>
    <w:rsid w:val="00326F1C"/>
    <w:rsid w:val="0032705C"/>
    <w:rsid w:val="00327162"/>
    <w:rsid w:val="003273EC"/>
    <w:rsid w:val="00327446"/>
    <w:rsid w:val="00327486"/>
    <w:rsid w:val="003303BF"/>
    <w:rsid w:val="003305A0"/>
    <w:rsid w:val="00330911"/>
    <w:rsid w:val="00330A0A"/>
    <w:rsid w:val="00331A39"/>
    <w:rsid w:val="00331AB7"/>
    <w:rsid w:val="00331E9E"/>
    <w:rsid w:val="003328A9"/>
    <w:rsid w:val="00332999"/>
    <w:rsid w:val="003332B2"/>
    <w:rsid w:val="003338EE"/>
    <w:rsid w:val="003339DA"/>
    <w:rsid w:val="0033460F"/>
    <w:rsid w:val="00334DFF"/>
    <w:rsid w:val="00335172"/>
    <w:rsid w:val="0033517D"/>
    <w:rsid w:val="003354EE"/>
    <w:rsid w:val="00336A5D"/>
    <w:rsid w:val="00336ADE"/>
    <w:rsid w:val="00336F01"/>
    <w:rsid w:val="003371B5"/>
    <w:rsid w:val="0033799D"/>
    <w:rsid w:val="00337BAF"/>
    <w:rsid w:val="00337CDA"/>
    <w:rsid w:val="00337F47"/>
    <w:rsid w:val="003402F2"/>
    <w:rsid w:val="00340341"/>
    <w:rsid w:val="0034057D"/>
    <w:rsid w:val="0034079A"/>
    <w:rsid w:val="00340D5A"/>
    <w:rsid w:val="003415D8"/>
    <w:rsid w:val="003417CB"/>
    <w:rsid w:val="003417D6"/>
    <w:rsid w:val="00341D13"/>
    <w:rsid w:val="00341FB3"/>
    <w:rsid w:val="0034236B"/>
    <w:rsid w:val="0034286F"/>
    <w:rsid w:val="003428DE"/>
    <w:rsid w:val="00342976"/>
    <w:rsid w:val="00342C82"/>
    <w:rsid w:val="00342CD1"/>
    <w:rsid w:val="00343078"/>
    <w:rsid w:val="003435A9"/>
    <w:rsid w:val="00343853"/>
    <w:rsid w:val="00343EB3"/>
    <w:rsid w:val="00343F17"/>
    <w:rsid w:val="00344526"/>
    <w:rsid w:val="0034455C"/>
    <w:rsid w:val="00344649"/>
    <w:rsid w:val="00345052"/>
    <w:rsid w:val="00345496"/>
    <w:rsid w:val="00345812"/>
    <w:rsid w:val="00345BCF"/>
    <w:rsid w:val="00345F51"/>
    <w:rsid w:val="00345FD2"/>
    <w:rsid w:val="00346261"/>
    <w:rsid w:val="003463B2"/>
    <w:rsid w:val="003464B5"/>
    <w:rsid w:val="003466F9"/>
    <w:rsid w:val="00346A6F"/>
    <w:rsid w:val="00346B37"/>
    <w:rsid w:val="003473DF"/>
    <w:rsid w:val="00347411"/>
    <w:rsid w:val="00347F98"/>
    <w:rsid w:val="00350092"/>
    <w:rsid w:val="0035009A"/>
    <w:rsid w:val="003500D0"/>
    <w:rsid w:val="003501AD"/>
    <w:rsid w:val="00350AD0"/>
    <w:rsid w:val="00350F0F"/>
    <w:rsid w:val="003516EA"/>
    <w:rsid w:val="00351795"/>
    <w:rsid w:val="003519AD"/>
    <w:rsid w:val="003519D3"/>
    <w:rsid w:val="00351D06"/>
    <w:rsid w:val="00351E0E"/>
    <w:rsid w:val="00351E13"/>
    <w:rsid w:val="00352654"/>
    <w:rsid w:val="00352998"/>
    <w:rsid w:val="00352BC1"/>
    <w:rsid w:val="00352C3A"/>
    <w:rsid w:val="0035318A"/>
    <w:rsid w:val="00353A5A"/>
    <w:rsid w:val="00353B27"/>
    <w:rsid w:val="00353E16"/>
    <w:rsid w:val="00353E34"/>
    <w:rsid w:val="00353E9B"/>
    <w:rsid w:val="00353ED9"/>
    <w:rsid w:val="00353FFE"/>
    <w:rsid w:val="00354212"/>
    <w:rsid w:val="003545A5"/>
    <w:rsid w:val="00354791"/>
    <w:rsid w:val="00354EB4"/>
    <w:rsid w:val="003555E8"/>
    <w:rsid w:val="00356273"/>
    <w:rsid w:val="00356773"/>
    <w:rsid w:val="00356D29"/>
    <w:rsid w:val="003570E7"/>
    <w:rsid w:val="003571C2"/>
    <w:rsid w:val="00357897"/>
    <w:rsid w:val="00357E4D"/>
    <w:rsid w:val="00360061"/>
    <w:rsid w:val="003605FC"/>
    <w:rsid w:val="00360640"/>
    <w:rsid w:val="0036097E"/>
    <w:rsid w:val="00360FEC"/>
    <w:rsid w:val="00361003"/>
    <w:rsid w:val="003616CB"/>
    <w:rsid w:val="003616D0"/>
    <w:rsid w:val="003617D2"/>
    <w:rsid w:val="00361C7C"/>
    <w:rsid w:val="0036228E"/>
    <w:rsid w:val="003623C3"/>
    <w:rsid w:val="00362408"/>
    <w:rsid w:val="00362DF5"/>
    <w:rsid w:val="00363174"/>
    <w:rsid w:val="003640A7"/>
    <w:rsid w:val="0036483C"/>
    <w:rsid w:val="00364BD9"/>
    <w:rsid w:val="00365447"/>
    <w:rsid w:val="0036575D"/>
    <w:rsid w:val="00365CCB"/>
    <w:rsid w:val="0036641E"/>
    <w:rsid w:val="00366BB9"/>
    <w:rsid w:val="0036794E"/>
    <w:rsid w:val="00367D77"/>
    <w:rsid w:val="003702EF"/>
    <w:rsid w:val="003703E2"/>
    <w:rsid w:val="00370D0B"/>
    <w:rsid w:val="00370EEA"/>
    <w:rsid w:val="0037110D"/>
    <w:rsid w:val="00371D00"/>
    <w:rsid w:val="00372252"/>
    <w:rsid w:val="003729A2"/>
    <w:rsid w:val="0037455E"/>
    <w:rsid w:val="003748AA"/>
    <w:rsid w:val="00374BA6"/>
    <w:rsid w:val="00374BF6"/>
    <w:rsid w:val="00374E46"/>
    <w:rsid w:val="0037500E"/>
    <w:rsid w:val="00375579"/>
    <w:rsid w:val="00375ABA"/>
    <w:rsid w:val="003765E7"/>
    <w:rsid w:val="003773E1"/>
    <w:rsid w:val="003779CE"/>
    <w:rsid w:val="00380C19"/>
    <w:rsid w:val="0038146C"/>
    <w:rsid w:val="0038150A"/>
    <w:rsid w:val="00381892"/>
    <w:rsid w:val="0038223E"/>
    <w:rsid w:val="00382609"/>
    <w:rsid w:val="0038274A"/>
    <w:rsid w:val="00382778"/>
    <w:rsid w:val="00383321"/>
    <w:rsid w:val="003836DF"/>
    <w:rsid w:val="00383C5D"/>
    <w:rsid w:val="00384240"/>
    <w:rsid w:val="0038468C"/>
    <w:rsid w:val="00384751"/>
    <w:rsid w:val="00384842"/>
    <w:rsid w:val="00384AB9"/>
    <w:rsid w:val="00384BF2"/>
    <w:rsid w:val="00385075"/>
    <w:rsid w:val="00385297"/>
    <w:rsid w:val="003857ED"/>
    <w:rsid w:val="00386016"/>
    <w:rsid w:val="00386124"/>
    <w:rsid w:val="003864D5"/>
    <w:rsid w:val="00386B20"/>
    <w:rsid w:val="00387286"/>
    <w:rsid w:val="00387673"/>
    <w:rsid w:val="00387D3A"/>
    <w:rsid w:val="0039027B"/>
    <w:rsid w:val="00390567"/>
    <w:rsid w:val="00390892"/>
    <w:rsid w:val="00390BE7"/>
    <w:rsid w:val="00390C56"/>
    <w:rsid w:val="00390DA3"/>
    <w:rsid w:val="003912A7"/>
    <w:rsid w:val="003917E1"/>
    <w:rsid w:val="003917EB"/>
    <w:rsid w:val="00392B9A"/>
    <w:rsid w:val="00392BAB"/>
    <w:rsid w:val="00392D37"/>
    <w:rsid w:val="00393428"/>
    <w:rsid w:val="0039368B"/>
    <w:rsid w:val="003942A8"/>
    <w:rsid w:val="00394D47"/>
    <w:rsid w:val="00395448"/>
    <w:rsid w:val="003954F2"/>
    <w:rsid w:val="00395529"/>
    <w:rsid w:val="003961F0"/>
    <w:rsid w:val="003966F6"/>
    <w:rsid w:val="0039677D"/>
    <w:rsid w:val="003978D7"/>
    <w:rsid w:val="00397F26"/>
    <w:rsid w:val="00397FF4"/>
    <w:rsid w:val="003A05B0"/>
    <w:rsid w:val="003A05E1"/>
    <w:rsid w:val="003A0660"/>
    <w:rsid w:val="003A086E"/>
    <w:rsid w:val="003A0D52"/>
    <w:rsid w:val="003A0E6C"/>
    <w:rsid w:val="003A197D"/>
    <w:rsid w:val="003A1F3D"/>
    <w:rsid w:val="003A2037"/>
    <w:rsid w:val="003A2430"/>
    <w:rsid w:val="003A266A"/>
    <w:rsid w:val="003A273E"/>
    <w:rsid w:val="003A2ED1"/>
    <w:rsid w:val="003A3480"/>
    <w:rsid w:val="003A34AD"/>
    <w:rsid w:val="003A3740"/>
    <w:rsid w:val="003A3883"/>
    <w:rsid w:val="003A38AD"/>
    <w:rsid w:val="003A3D71"/>
    <w:rsid w:val="003A465A"/>
    <w:rsid w:val="003A4C47"/>
    <w:rsid w:val="003A5217"/>
    <w:rsid w:val="003A5297"/>
    <w:rsid w:val="003A52DC"/>
    <w:rsid w:val="003A540A"/>
    <w:rsid w:val="003A5446"/>
    <w:rsid w:val="003A54AD"/>
    <w:rsid w:val="003A5CAD"/>
    <w:rsid w:val="003A6332"/>
    <w:rsid w:val="003A6724"/>
    <w:rsid w:val="003A6B2B"/>
    <w:rsid w:val="003A6E1A"/>
    <w:rsid w:val="003A7018"/>
    <w:rsid w:val="003A7D3F"/>
    <w:rsid w:val="003B05D3"/>
    <w:rsid w:val="003B0BA1"/>
    <w:rsid w:val="003B0CBC"/>
    <w:rsid w:val="003B0CDF"/>
    <w:rsid w:val="003B10BE"/>
    <w:rsid w:val="003B189C"/>
    <w:rsid w:val="003B1B9C"/>
    <w:rsid w:val="003B26AA"/>
    <w:rsid w:val="003B348C"/>
    <w:rsid w:val="003B3554"/>
    <w:rsid w:val="003B35C6"/>
    <w:rsid w:val="003B3D08"/>
    <w:rsid w:val="003B4599"/>
    <w:rsid w:val="003B56EE"/>
    <w:rsid w:val="003B602D"/>
    <w:rsid w:val="003B61B7"/>
    <w:rsid w:val="003B61C3"/>
    <w:rsid w:val="003B62DE"/>
    <w:rsid w:val="003B7AD0"/>
    <w:rsid w:val="003C0823"/>
    <w:rsid w:val="003C0C7A"/>
    <w:rsid w:val="003C189E"/>
    <w:rsid w:val="003C18BB"/>
    <w:rsid w:val="003C1AE2"/>
    <w:rsid w:val="003C209E"/>
    <w:rsid w:val="003C2409"/>
    <w:rsid w:val="003C24CE"/>
    <w:rsid w:val="003C24E8"/>
    <w:rsid w:val="003C2918"/>
    <w:rsid w:val="003C299A"/>
    <w:rsid w:val="003C2AE7"/>
    <w:rsid w:val="003C2B44"/>
    <w:rsid w:val="003C2B9B"/>
    <w:rsid w:val="003C2CA8"/>
    <w:rsid w:val="003C30A2"/>
    <w:rsid w:val="003C39B7"/>
    <w:rsid w:val="003C3B8E"/>
    <w:rsid w:val="003C3D7E"/>
    <w:rsid w:val="003C3F89"/>
    <w:rsid w:val="003C48C6"/>
    <w:rsid w:val="003C495C"/>
    <w:rsid w:val="003C4F8F"/>
    <w:rsid w:val="003C5757"/>
    <w:rsid w:val="003C64CC"/>
    <w:rsid w:val="003C6B59"/>
    <w:rsid w:val="003C6C42"/>
    <w:rsid w:val="003C6EDC"/>
    <w:rsid w:val="003C72AE"/>
    <w:rsid w:val="003C7C75"/>
    <w:rsid w:val="003C7F0B"/>
    <w:rsid w:val="003C7FBD"/>
    <w:rsid w:val="003D0424"/>
    <w:rsid w:val="003D0E9E"/>
    <w:rsid w:val="003D14D5"/>
    <w:rsid w:val="003D1B0A"/>
    <w:rsid w:val="003D1BBC"/>
    <w:rsid w:val="003D1F5A"/>
    <w:rsid w:val="003D1F88"/>
    <w:rsid w:val="003D2530"/>
    <w:rsid w:val="003D299E"/>
    <w:rsid w:val="003D2D1A"/>
    <w:rsid w:val="003D2DC5"/>
    <w:rsid w:val="003D378C"/>
    <w:rsid w:val="003D3CEA"/>
    <w:rsid w:val="003D3EDF"/>
    <w:rsid w:val="003D48F6"/>
    <w:rsid w:val="003D5184"/>
    <w:rsid w:val="003D54EF"/>
    <w:rsid w:val="003D55E1"/>
    <w:rsid w:val="003D5881"/>
    <w:rsid w:val="003D5AAA"/>
    <w:rsid w:val="003D637C"/>
    <w:rsid w:val="003D641A"/>
    <w:rsid w:val="003D6804"/>
    <w:rsid w:val="003D690F"/>
    <w:rsid w:val="003D6A82"/>
    <w:rsid w:val="003D6F08"/>
    <w:rsid w:val="003D71EB"/>
    <w:rsid w:val="003D7490"/>
    <w:rsid w:val="003D75A1"/>
    <w:rsid w:val="003D78D4"/>
    <w:rsid w:val="003D7901"/>
    <w:rsid w:val="003D7A18"/>
    <w:rsid w:val="003D7C47"/>
    <w:rsid w:val="003E0386"/>
    <w:rsid w:val="003E0DF4"/>
    <w:rsid w:val="003E2179"/>
    <w:rsid w:val="003E2247"/>
    <w:rsid w:val="003E22CB"/>
    <w:rsid w:val="003E2343"/>
    <w:rsid w:val="003E2508"/>
    <w:rsid w:val="003E2D08"/>
    <w:rsid w:val="003E34E0"/>
    <w:rsid w:val="003E34FD"/>
    <w:rsid w:val="003E3FF7"/>
    <w:rsid w:val="003E406B"/>
    <w:rsid w:val="003E4246"/>
    <w:rsid w:val="003E45AE"/>
    <w:rsid w:val="003E4AAD"/>
    <w:rsid w:val="003E4E99"/>
    <w:rsid w:val="003E4F19"/>
    <w:rsid w:val="003E4F96"/>
    <w:rsid w:val="003E5235"/>
    <w:rsid w:val="003E56AE"/>
    <w:rsid w:val="003E5CCA"/>
    <w:rsid w:val="003E61FD"/>
    <w:rsid w:val="003E62B4"/>
    <w:rsid w:val="003E6AC9"/>
    <w:rsid w:val="003E6F97"/>
    <w:rsid w:val="003E71D5"/>
    <w:rsid w:val="003E7773"/>
    <w:rsid w:val="003E7C28"/>
    <w:rsid w:val="003E7F69"/>
    <w:rsid w:val="003E7FA4"/>
    <w:rsid w:val="003F0E00"/>
    <w:rsid w:val="003F115E"/>
    <w:rsid w:val="003F14C2"/>
    <w:rsid w:val="003F1D9E"/>
    <w:rsid w:val="003F21EC"/>
    <w:rsid w:val="003F2210"/>
    <w:rsid w:val="003F371D"/>
    <w:rsid w:val="003F3C85"/>
    <w:rsid w:val="003F3E46"/>
    <w:rsid w:val="003F4026"/>
    <w:rsid w:val="003F430D"/>
    <w:rsid w:val="003F47D7"/>
    <w:rsid w:val="003F496C"/>
    <w:rsid w:val="003F4B22"/>
    <w:rsid w:val="003F535C"/>
    <w:rsid w:val="003F5708"/>
    <w:rsid w:val="003F5A87"/>
    <w:rsid w:val="003F5D36"/>
    <w:rsid w:val="003F6D09"/>
    <w:rsid w:val="003F7196"/>
    <w:rsid w:val="003F79DE"/>
    <w:rsid w:val="003F7A97"/>
    <w:rsid w:val="003F7B63"/>
    <w:rsid w:val="003F7C11"/>
    <w:rsid w:val="003F7D6E"/>
    <w:rsid w:val="00400275"/>
    <w:rsid w:val="004005B8"/>
    <w:rsid w:val="004008AF"/>
    <w:rsid w:val="00400B5F"/>
    <w:rsid w:val="004010D3"/>
    <w:rsid w:val="004016E0"/>
    <w:rsid w:val="00401951"/>
    <w:rsid w:val="00401A9E"/>
    <w:rsid w:val="00401CC0"/>
    <w:rsid w:val="00401DBF"/>
    <w:rsid w:val="00401DCC"/>
    <w:rsid w:val="00401E7C"/>
    <w:rsid w:val="00401EE2"/>
    <w:rsid w:val="00401F8D"/>
    <w:rsid w:val="004022A4"/>
    <w:rsid w:val="004025A6"/>
    <w:rsid w:val="004028B4"/>
    <w:rsid w:val="00402E4B"/>
    <w:rsid w:val="00403142"/>
    <w:rsid w:val="004033D9"/>
    <w:rsid w:val="00403567"/>
    <w:rsid w:val="004037EF"/>
    <w:rsid w:val="0040393D"/>
    <w:rsid w:val="00403E3C"/>
    <w:rsid w:val="004045CF"/>
    <w:rsid w:val="00404A09"/>
    <w:rsid w:val="00404A94"/>
    <w:rsid w:val="00404C79"/>
    <w:rsid w:val="004051D3"/>
    <w:rsid w:val="0040551F"/>
    <w:rsid w:val="0040584B"/>
    <w:rsid w:val="0040596C"/>
    <w:rsid w:val="004063BA"/>
    <w:rsid w:val="00407175"/>
    <w:rsid w:val="00407557"/>
    <w:rsid w:val="0040771F"/>
    <w:rsid w:val="0040784B"/>
    <w:rsid w:val="00407DEE"/>
    <w:rsid w:val="004103FB"/>
    <w:rsid w:val="004107D0"/>
    <w:rsid w:val="004111F7"/>
    <w:rsid w:val="0041125C"/>
    <w:rsid w:val="004116B4"/>
    <w:rsid w:val="00411804"/>
    <w:rsid w:val="00411B35"/>
    <w:rsid w:val="00411D50"/>
    <w:rsid w:val="0041217D"/>
    <w:rsid w:val="004122C5"/>
    <w:rsid w:val="004125C6"/>
    <w:rsid w:val="0041275F"/>
    <w:rsid w:val="004127D1"/>
    <w:rsid w:val="00412944"/>
    <w:rsid w:val="00412F0B"/>
    <w:rsid w:val="0041333E"/>
    <w:rsid w:val="0041356F"/>
    <w:rsid w:val="00413DB3"/>
    <w:rsid w:val="00414011"/>
    <w:rsid w:val="00414027"/>
    <w:rsid w:val="0041440E"/>
    <w:rsid w:val="004148C0"/>
    <w:rsid w:val="004156A7"/>
    <w:rsid w:val="00416BE3"/>
    <w:rsid w:val="00416C63"/>
    <w:rsid w:val="00416D39"/>
    <w:rsid w:val="004170CA"/>
    <w:rsid w:val="004205C3"/>
    <w:rsid w:val="004206B5"/>
    <w:rsid w:val="00420D81"/>
    <w:rsid w:val="0042105C"/>
    <w:rsid w:val="0042151B"/>
    <w:rsid w:val="00421637"/>
    <w:rsid w:val="00421A89"/>
    <w:rsid w:val="00421C81"/>
    <w:rsid w:val="00421C9B"/>
    <w:rsid w:val="00421E1A"/>
    <w:rsid w:val="00421EBC"/>
    <w:rsid w:val="004224DC"/>
    <w:rsid w:val="0042281F"/>
    <w:rsid w:val="004229D6"/>
    <w:rsid w:val="0042304B"/>
    <w:rsid w:val="004235B5"/>
    <w:rsid w:val="004239CD"/>
    <w:rsid w:val="00423BB3"/>
    <w:rsid w:val="00424084"/>
    <w:rsid w:val="004240A1"/>
    <w:rsid w:val="004247B7"/>
    <w:rsid w:val="00424CBE"/>
    <w:rsid w:val="00424D98"/>
    <w:rsid w:val="004257CB"/>
    <w:rsid w:val="00425885"/>
    <w:rsid w:val="00425DB3"/>
    <w:rsid w:val="00425F57"/>
    <w:rsid w:val="0042614F"/>
    <w:rsid w:val="00426747"/>
    <w:rsid w:val="00426ADB"/>
    <w:rsid w:val="00427046"/>
    <w:rsid w:val="004273AD"/>
    <w:rsid w:val="0042746D"/>
    <w:rsid w:val="00427729"/>
    <w:rsid w:val="004305AE"/>
    <w:rsid w:val="00430AF4"/>
    <w:rsid w:val="004310BB"/>
    <w:rsid w:val="00431800"/>
    <w:rsid w:val="004320E1"/>
    <w:rsid w:val="004321CF"/>
    <w:rsid w:val="004324F4"/>
    <w:rsid w:val="004325F4"/>
    <w:rsid w:val="00432EAB"/>
    <w:rsid w:val="00432F77"/>
    <w:rsid w:val="00433541"/>
    <w:rsid w:val="0043393D"/>
    <w:rsid w:val="00433B5B"/>
    <w:rsid w:val="0043490D"/>
    <w:rsid w:val="00434D12"/>
    <w:rsid w:val="0043507A"/>
    <w:rsid w:val="0043565B"/>
    <w:rsid w:val="00436022"/>
    <w:rsid w:val="00436514"/>
    <w:rsid w:val="0043703C"/>
    <w:rsid w:val="004375DF"/>
    <w:rsid w:val="004378F9"/>
    <w:rsid w:val="00441145"/>
    <w:rsid w:val="00441491"/>
    <w:rsid w:val="0044156C"/>
    <w:rsid w:val="00441601"/>
    <w:rsid w:val="00441826"/>
    <w:rsid w:val="00441C8E"/>
    <w:rsid w:val="0044218B"/>
    <w:rsid w:val="004423F7"/>
    <w:rsid w:val="00442619"/>
    <w:rsid w:val="00442A49"/>
    <w:rsid w:val="00442BE9"/>
    <w:rsid w:val="00442E0C"/>
    <w:rsid w:val="0044328B"/>
    <w:rsid w:val="0044381C"/>
    <w:rsid w:val="0044382A"/>
    <w:rsid w:val="00443997"/>
    <w:rsid w:val="00443BB4"/>
    <w:rsid w:val="00443F17"/>
    <w:rsid w:val="0044472A"/>
    <w:rsid w:val="0044514D"/>
    <w:rsid w:val="0044561D"/>
    <w:rsid w:val="0044589D"/>
    <w:rsid w:val="00446363"/>
    <w:rsid w:val="004467FB"/>
    <w:rsid w:val="0044690B"/>
    <w:rsid w:val="00446BBE"/>
    <w:rsid w:val="0044782C"/>
    <w:rsid w:val="00447FD0"/>
    <w:rsid w:val="00447FD3"/>
    <w:rsid w:val="00450163"/>
    <w:rsid w:val="00450193"/>
    <w:rsid w:val="00450736"/>
    <w:rsid w:val="0045093D"/>
    <w:rsid w:val="00450BDE"/>
    <w:rsid w:val="00450F27"/>
    <w:rsid w:val="00451430"/>
    <w:rsid w:val="00451645"/>
    <w:rsid w:val="00451A30"/>
    <w:rsid w:val="00451BC0"/>
    <w:rsid w:val="0045205D"/>
    <w:rsid w:val="004526AF"/>
    <w:rsid w:val="0045425D"/>
    <w:rsid w:val="00454812"/>
    <w:rsid w:val="004548F4"/>
    <w:rsid w:val="00454959"/>
    <w:rsid w:val="00454B66"/>
    <w:rsid w:val="00454F8E"/>
    <w:rsid w:val="0045522F"/>
    <w:rsid w:val="004555B3"/>
    <w:rsid w:val="004558FB"/>
    <w:rsid w:val="00455FCD"/>
    <w:rsid w:val="004564EB"/>
    <w:rsid w:val="0045658B"/>
    <w:rsid w:val="00456914"/>
    <w:rsid w:val="00456D67"/>
    <w:rsid w:val="00457136"/>
    <w:rsid w:val="0045721E"/>
    <w:rsid w:val="00457F84"/>
    <w:rsid w:val="0046032C"/>
    <w:rsid w:val="00460EC0"/>
    <w:rsid w:val="00461311"/>
    <w:rsid w:val="00461432"/>
    <w:rsid w:val="0046181C"/>
    <w:rsid w:val="00461C0A"/>
    <w:rsid w:val="00462383"/>
    <w:rsid w:val="00462778"/>
    <w:rsid w:val="0046285E"/>
    <w:rsid w:val="00462B67"/>
    <w:rsid w:val="00463272"/>
    <w:rsid w:val="00463413"/>
    <w:rsid w:val="00463BB2"/>
    <w:rsid w:val="004643E8"/>
    <w:rsid w:val="00464F6C"/>
    <w:rsid w:val="00465646"/>
    <w:rsid w:val="004657AC"/>
    <w:rsid w:val="0046671B"/>
    <w:rsid w:val="0046677F"/>
    <w:rsid w:val="00466AA4"/>
    <w:rsid w:val="00466C1A"/>
    <w:rsid w:val="00466C74"/>
    <w:rsid w:val="004671D6"/>
    <w:rsid w:val="0046742D"/>
    <w:rsid w:val="0046764E"/>
    <w:rsid w:val="00467652"/>
    <w:rsid w:val="00467887"/>
    <w:rsid w:val="00467A1E"/>
    <w:rsid w:val="00467FE7"/>
    <w:rsid w:val="00471175"/>
    <w:rsid w:val="004714BE"/>
    <w:rsid w:val="00471648"/>
    <w:rsid w:val="00471D0D"/>
    <w:rsid w:val="0047218A"/>
    <w:rsid w:val="00472474"/>
    <w:rsid w:val="00472905"/>
    <w:rsid w:val="00472998"/>
    <w:rsid w:val="004729C4"/>
    <w:rsid w:val="00472D09"/>
    <w:rsid w:val="00473467"/>
    <w:rsid w:val="004734F8"/>
    <w:rsid w:val="00473877"/>
    <w:rsid w:val="004738F3"/>
    <w:rsid w:val="00473DFB"/>
    <w:rsid w:val="00473E57"/>
    <w:rsid w:val="00473FD9"/>
    <w:rsid w:val="00474917"/>
    <w:rsid w:val="0047495B"/>
    <w:rsid w:val="00474BC5"/>
    <w:rsid w:val="00474E01"/>
    <w:rsid w:val="0047521D"/>
    <w:rsid w:val="00476199"/>
    <w:rsid w:val="00476431"/>
    <w:rsid w:val="00476550"/>
    <w:rsid w:val="0047678F"/>
    <w:rsid w:val="00476A0D"/>
    <w:rsid w:val="00476A69"/>
    <w:rsid w:val="00477298"/>
    <w:rsid w:val="004774A6"/>
    <w:rsid w:val="00477C4F"/>
    <w:rsid w:val="004800F2"/>
    <w:rsid w:val="00480ABF"/>
    <w:rsid w:val="0048107E"/>
    <w:rsid w:val="004812EB"/>
    <w:rsid w:val="004817D2"/>
    <w:rsid w:val="00481991"/>
    <w:rsid w:val="00482804"/>
    <w:rsid w:val="00482B47"/>
    <w:rsid w:val="0048323E"/>
    <w:rsid w:val="00483795"/>
    <w:rsid w:val="00483ACF"/>
    <w:rsid w:val="00483BA4"/>
    <w:rsid w:val="00483CC0"/>
    <w:rsid w:val="0048479B"/>
    <w:rsid w:val="00484831"/>
    <w:rsid w:val="004849FE"/>
    <w:rsid w:val="00484DC5"/>
    <w:rsid w:val="00484ED7"/>
    <w:rsid w:val="00485675"/>
    <w:rsid w:val="00485912"/>
    <w:rsid w:val="00485E1C"/>
    <w:rsid w:val="004865D1"/>
    <w:rsid w:val="00486880"/>
    <w:rsid w:val="00486B2D"/>
    <w:rsid w:val="00486BED"/>
    <w:rsid w:val="00486EEF"/>
    <w:rsid w:val="00487110"/>
    <w:rsid w:val="004875EB"/>
    <w:rsid w:val="0048798F"/>
    <w:rsid w:val="00487AE1"/>
    <w:rsid w:val="00487C85"/>
    <w:rsid w:val="00487FEF"/>
    <w:rsid w:val="004909A0"/>
    <w:rsid w:val="00490DC4"/>
    <w:rsid w:val="00491CBF"/>
    <w:rsid w:val="00491D3D"/>
    <w:rsid w:val="004923AA"/>
    <w:rsid w:val="00492483"/>
    <w:rsid w:val="004924D6"/>
    <w:rsid w:val="00492984"/>
    <w:rsid w:val="0049299B"/>
    <w:rsid w:val="00492B4C"/>
    <w:rsid w:val="0049348C"/>
    <w:rsid w:val="004934BE"/>
    <w:rsid w:val="00493B92"/>
    <w:rsid w:val="00493D6C"/>
    <w:rsid w:val="00493EB9"/>
    <w:rsid w:val="0049427E"/>
    <w:rsid w:val="0049443B"/>
    <w:rsid w:val="00494513"/>
    <w:rsid w:val="004946C7"/>
    <w:rsid w:val="00494F64"/>
    <w:rsid w:val="0049513C"/>
    <w:rsid w:val="004951E0"/>
    <w:rsid w:val="00495448"/>
    <w:rsid w:val="00495660"/>
    <w:rsid w:val="00495BEB"/>
    <w:rsid w:val="00495D73"/>
    <w:rsid w:val="00495F3A"/>
    <w:rsid w:val="00495F57"/>
    <w:rsid w:val="004963F1"/>
    <w:rsid w:val="0049668C"/>
    <w:rsid w:val="00496CAF"/>
    <w:rsid w:val="00497845"/>
    <w:rsid w:val="00497B9F"/>
    <w:rsid w:val="004A06A7"/>
    <w:rsid w:val="004A0D8A"/>
    <w:rsid w:val="004A0FB5"/>
    <w:rsid w:val="004A1734"/>
    <w:rsid w:val="004A17B5"/>
    <w:rsid w:val="004A1BE3"/>
    <w:rsid w:val="004A207A"/>
    <w:rsid w:val="004A2084"/>
    <w:rsid w:val="004A2C9B"/>
    <w:rsid w:val="004A3166"/>
    <w:rsid w:val="004A316E"/>
    <w:rsid w:val="004A3584"/>
    <w:rsid w:val="004A3608"/>
    <w:rsid w:val="004A37D2"/>
    <w:rsid w:val="004A3F13"/>
    <w:rsid w:val="004A426C"/>
    <w:rsid w:val="004A4430"/>
    <w:rsid w:val="004A4850"/>
    <w:rsid w:val="004A4FDF"/>
    <w:rsid w:val="004A53F0"/>
    <w:rsid w:val="004A53F2"/>
    <w:rsid w:val="004A542D"/>
    <w:rsid w:val="004A545B"/>
    <w:rsid w:val="004A5489"/>
    <w:rsid w:val="004A55F3"/>
    <w:rsid w:val="004A58DA"/>
    <w:rsid w:val="004A5E73"/>
    <w:rsid w:val="004A61F7"/>
    <w:rsid w:val="004A69AC"/>
    <w:rsid w:val="004A6BE6"/>
    <w:rsid w:val="004A7837"/>
    <w:rsid w:val="004A7A52"/>
    <w:rsid w:val="004A7EFC"/>
    <w:rsid w:val="004B0A20"/>
    <w:rsid w:val="004B0B4C"/>
    <w:rsid w:val="004B1231"/>
    <w:rsid w:val="004B19FE"/>
    <w:rsid w:val="004B28E9"/>
    <w:rsid w:val="004B2A4D"/>
    <w:rsid w:val="004B2A9E"/>
    <w:rsid w:val="004B2C92"/>
    <w:rsid w:val="004B2F26"/>
    <w:rsid w:val="004B2F45"/>
    <w:rsid w:val="004B2F51"/>
    <w:rsid w:val="004B323D"/>
    <w:rsid w:val="004B33C2"/>
    <w:rsid w:val="004B35A2"/>
    <w:rsid w:val="004B397E"/>
    <w:rsid w:val="004B3D4E"/>
    <w:rsid w:val="004B3F48"/>
    <w:rsid w:val="004B402C"/>
    <w:rsid w:val="004B4214"/>
    <w:rsid w:val="004B459D"/>
    <w:rsid w:val="004B45CB"/>
    <w:rsid w:val="004B473E"/>
    <w:rsid w:val="004B4D31"/>
    <w:rsid w:val="004B534F"/>
    <w:rsid w:val="004B548D"/>
    <w:rsid w:val="004B58E2"/>
    <w:rsid w:val="004B5986"/>
    <w:rsid w:val="004B5A8A"/>
    <w:rsid w:val="004B65DA"/>
    <w:rsid w:val="004B689D"/>
    <w:rsid w:val="004B68F3"/>
    <w:rsid w:val="004B69A7"/>
    <w:rsid w:val="004B701A"/>
    <w:rsid w:val="004B74CA"/>
    <w:rsid w:val="004B77E8"/>
    <w:rsid w:val="004B79B5"/>
    <w:rsid w:val="004C084A"/>
    <w:rsid w:val="004C0D28"/>
    <w:rsid w:val="004C0D3B"/>
    <w:rsid w:val="004C0E97"/>
    <w:rsid w:val="004C1B12"/>
    <w:rsid w:val="004C2824"/>
    <w:rsid w:val="004C2DF7"/>
    <w:rsid w:val="004C3C7C"/>
    <w:rsid w:val="004C3DB6"/>
    <w:rsid w:val="004C3F51"/>
    <w:rsid w:val="004C3F7C"/>
    <w:rsid w:val="004C48C8"/>
    <w:rsid w:val="004C498D"/>
    <w:rsid w:val="004C4DA1"/>
    <w:rsid w:val="004C523B"/>
    <w:rsid w:val="004C5582"/>
    <w:rsid w:val="004C5752"/>
    <w:rsid w:val="004C598D"/>
    <w:rsid w:val="004C6880"/>
    <w:rsid w:val="004C7460"/>
    <w:rsid w:val="004C74DC"/>
    <w:rsid w:val="004C7587"/>
    <w:rsid w:val="004C75DE"/>
    <w:rsid w:val="004C7A9F"/>
    <w:rsid w:val="004C7B3F"/>
    <w:rsid w:val="004C7DE7"/>
    <w:rsid w:val="004D0260"/>
    <w:rsid w:val="004D0581"/>
    <w:rsid w:val="004D0E5B"/>
    <w:rsid w:val="004D0F9A"/>
    <w:rsid w:val="004D13D3"/>
    <w:rsid w:val="004D1BC4"/>
    <w:rsid w:val="004D208D"/>
    <w:rsid w:val="004D2540"/>
    <w:rsid w:val="004D310C"/>
    <w:rsid w:val="004D3393"/>
    <w:rsid w:val="004D3524"/>
    <w:rsid w:val="004D3897"/>
    <w:rsid w:val="004D3E8A"/>
    <w:rsid w:val="004D411A"/>
    <w:rsid w:val="004D4425"/>
    <w:rsid w:val="004D4BCE"/>
    <w:rsid w:val="004D5487"/>
    <w:rsid w:val="004D5C97"/>
    <w:rsid w:val="004D615B"/>
    <w:rsid w:val="004D69A7"/>
    <w:rsid w:val="004D7DEA"/>
    <w:rsid w:val="004E000D"/>
    <w:rsid w:val="004E0470"/>
    <w:rsid w:val="004E07EA"/>
    <w:rsid w:val="004E0A33"/>
    <w:rsid w:val="004E129D"/>
    <w:rsid w:val="004E135D"/>
    <w:rsid w:val="004E160C"/>
    <w:rsid w:val="004E17E9"/>
    <w:rsid w:val="004E1822"/>
    <w:rsid w:val="004E2BD6"/>
    <w:rsid w:val="004E3055"/>
    <w:rsid w:val="004E3499"/>
    <w:rsid w:val="004E3DCD"/>
    <w:rsid w:val="004E4412"/>
    <w:rsid w:val="004E4773"/>
    <w:rsid w:val="004E4B54"/>
    <w:rsid w:val="004E4D60"/>
    <w:rsid w:val="004E4FA9"/>
    <w:rsid w:val="004E557C"/>
    <w:rsid w:val="004E5BAE"/>
    <w:rsid w:val="004E6044"/>
    <w:rsid w:val="004E60AE"/>
    <w:rsid w:val="004E62D8"/>
    <w:rsid w:val="004E683A"/>
    <w:rsid w:val="004E6B82"/>
    <w:rsid w:val="004E7061"/>
    <w:rsid w:val="004E73E2"/>
    <w:rsid w:val="004E7BA3"/>
    <w:rsid w:val="004F01E8"/>
    <w:rsid w:val="004F0589"/>
    <w:rsid w:val="004F162B"/>
    <w:rsid w:val="004F169E"/>
    <w:rsid w:val="004F182E"/>
    <w:rsid w:val="004F1E8E"/>
    <w:rsid w:val="004F1EFF"/>
    <w:rsid w:val="004F229A"/>
    <w:rsid w:val="004F22F6"/>
    <w:rsid w:val="004F256B"/>
    <w:rsid w:val="004F30B4"/>
    <w:rsid w:val="004F334A"/>
    <w:rsid w:val="004F39F2"/>
    <w:rsid w:val="004F3D90"/>
    <w:rsid w:val="004F3ED9"/>
    <w:rsid w:val="004F4DC9"/>
    <w:rsid w:val="004F5209"/>
    <w:rsid w:val="004F5231"/>
    <w:rsid w:val="004F588A"/>
    <w:rsid w:val="004F653B"/>
    <w:rsid w:val="004F6771"/>
    <w:rsid w:val="004F69CF"/>
    <w:rsid w:val="004F6AD1"/>
    <w:rsid w:val="004F6AD3"/>
    <w:rsid w:val="004F6B06"/>
    <w:rsid w:val="004F6BFB"/>
    <w:rsid w:val="004F7104"/>
    <w:rsid w:val="004F77E4"/>
    <w:rsid w:val="005003B9"/>
    <w:rsid w:val="005003BD"/>
    <w:rsid w:val="00500478"/>
    <w:rsid w:val="00500DDE"/>
    <w:rsid w:val="00501126"/>
    <w:rsid w:val="00501386"/>
    <w:rsid w:val="005013E6"/>
    <w:rsid w:val="005018AF"/>
    <w:rsid w:val="00501BD9"/>
    <w:rsid w:val="00501C25"/>
    <w:rsid w:val="00501CB2"/>
    <w:rsid w:val="0050200C"/>
    <w:rsid w:val="005024C7"/>
    <w:rsid w:val="005026AF"/>
    <w:rsid w:val="005027A6"/>
    <w:rsid w:val="005028A4"/>
    <w:rsid w:val="00502DAE"/>
    <w:rsid w:val="00502E58"/>
    <w:rsid w:val="00502FFB"/>
    <w:rsid w:val="005038A0"/>
    <w:rsid w:val="00503B2A"/>
    <w:rsid w:val="00503C34"/>
    <w:rsid w:val="00504091"/>
    <w:rsid w:val="00504A82"/>
    <w:rsid w:val="00504E0A"/>
    <w:rsid w:val="00505580"/>
    <w:rsid w:val="005059CC"/>
    <w:rsid w:val="00505AE0"/>
    <w:rsid w:val="00505D34"/>
    <w:rsid w:val="00505E19"/>
    <w:rsid w:val="00505EE4"/>
    <w:rsid w:val="005066DF"/>
    <w:rsid w:val="00506AD9"/>
    <w:rsid w:val="00507A72"/>
    <w:rsid w:val="00507B1F"/>
    <w:rsid w:val="00507CA5"/>
    <w:rsid w:val="00507E21"/>
    <w:rsid w:val="00507E49"/>
    <w:rsid w:val="00507FC3"/>
    <w:rsid w:val="005102B8"/>
    <w:rsid w:val="005103C5"/>
    <w:rsid w:val="0051130B"/>
    <w:rsid w:val="00511737"/>
    <w:rsid w:val="005118F6"/>
    <w:rsid w:val="00511BF1"/>
    <w:rsid w:val="00511D47"/>
    <w:rsid w:val="00511ED8"/>
    <w:rsid w:val="00512355"/>
    <w:rsid w:val="00512392"/>
    <w:rsid w:val="005129D3"/>
    <w:rsid w:val="00512BCC"/>
    <w:rsid w:val="00513045"/>
    <w:rsid w:val="0051316D"/>
    <w:rsid w:val="005131D3"/>
    <w:rsid w:val="0051352C"/>
    <w:rsid w:val="005135E4"/>
    <w:rsid w:val="00513B01"/>
    <w:rsid w:val="00513D55"/>
    <w:rsid w:val="00513D60"/>
    <w:rsid w:val="0051457B"/>
    <w:rsid w:val="0051480C"/>
    <w:rsid w:val="00514E62"/>
    <w:rsid w:val="00514FC2"/>
    <w:rsid w:val="00515123"/>
    <w:rsid w:val="00515795"/>
    <w:rsid w:val="00515BFA"/>
    <w:rsid w:val="00515E9B"/>
    <w:rsid w:val="00516B4B"/>
    <w:rsid w:val="00516FF3"/>
    <w:rsid w:val="00517333"/>
    <w:rsid w:val="00517473"/>
    <w:rsid w:val="005175D2"/>
    <w:rsid w:val="005178C3"/>
    <w:rsid w:val="00517A86"/>
    <w:rsid w:val="00520083"/>
    <w:rsid w:val="00520487"/>
    <w:rsid w:val="00520667"/>
    <w:rsid w:val="0052213F"/>
    <w:rsid w:val="005228AA"/>
    <w:rsid w:val="005229EC"/>
    <w:rsid w:val="0052312D"/>
    <w:rsid w:val="0052318C"/>
    <w:rsid w:val="00523252"/>
    <w:rsid w:val="0052349D"/>
    <w:rsid w:val="00523603"/>
    <w:rsid w:val="00523994"/>
    <w:rsid w:val="00523C94"/>
    <w:rsid w:val="00524314"/>
    <w:rsid w:val="005246DE"/>
    <w:rsid w:val="00524A19"/>
    <w:rsid w:val="00524A89"/>
    <w:rsid w:val="00524BE8"/>
    <w:rsid w:val="00524E02"/>
    <w:rsid w:val="00525416"/>
    <w:rsid w:val="0052575D"/>
    <w:rsid w:val="00525AB1"/>
    <w:rsid w:val="00525C3D"/>
    <w:rsid w:val="005263C0"/>
    <w:rsid w:val="00526456"/>
    <w:rsid w:val="00526C92"/>
    <w:rsid w:val="0052750A"/>
    <w:rsid w:val="005275FC"/>
    <w:rsid w:val="0052768C"/>
    <w:rsid w:val="0052771B"/>
    <w:rsid w:val="00527740"/>
    <w:rsid w:val="00527F8D"/>
    <w:rsid w:val="0053009B"/>
    <w:rsid w:val="005302CB"/>
    <w:rsid w:val="00530896"/>
    <w:rsid w:val="00530F34"/>
    <w:rsid w:val="005310AF"/>
    <w:rsid w:val="00531136"/>
    <w:rsid w:val="00531280"/>
    <w:rsid w:val="0053222F"/>
    <w:rsid w:val="00532516"/>
    <w:rsid w:val="0053259D"/>
    <w:rsid w:val="005325D8"/>
    <w:rsid w:val="005325E6"/>
    <w:rsid w:val="00532703"/>
    <w:rsid w:val="00532892"/>
    <w:rsid w:val="005328E3"/>
    <w:rsid w:val="00532919"/>
    <w:rsid w:val="00532BFB"/>
    <w:rsid w:val="005333EB"/>
    <w:rsid w:val="00533DB2"/>
    <w:rsid w:val="005342C3"/>
    <w:rsid w:val="005343B5"/>
    <w:rsid w:val="00534447"/>
    <w:rsid w:val="0053468F"/>
    <w:rsid w:val="00534E24"/>
    <w:rsid w:val="00535813"/>
    <w:rsid w:val="00535D25"/>
    <w:rsid w:val="005362F5"/>
    <w:rsid w:val="005367ED"/>
    <w:rsid w:val="00536C01"/>
    <w:rsid w:val="00536E2B"/>
    <w:rsid w:val="005370E8"/>
    <w:rsid w:val="00537157"/>
    <w:rsid w:val="0053725B"/>
    <w:rsid w:val="005376D7"/>
    <w:rsid w:val="00540C57"/>
    <w:rsid w:val="00540E21"/>
    <w:rsid w:val="00540E44"/>
    <w:rsid w:val="00541D41"/>
    <w:rsid w:val="00541EBA"/>
    <w:rsid w:val="005428E3"/>
    <w:rsid w:val="00542A4B"/>
    <w:rsid w:val="00542FE2"/>
    <w:rsid w:val="0054311E"/>
    <w:rsid w:val="0054343B"/>
    <w:rsid w:val="00543729"/>
    <w:rsid w:val="005439BF"/>
    <w:rsid w:val="00543E3A"/>
    <w:rsid w:val="00544061"/>
    <w:rsid w:val="005445AF"/>
    <w:rsid w:val="00545168"/>
    <w:rsid w:val="005454FF"/>
    <w:rsid w:val="00545827"/>
    <w:rsid w:val="00545D85"/>
    <w:rsid w:val="005479EA"/>
    <w:rsid w:val="00547B84"/>
    <w:rsid w:val="00547FBD"/>
    <w:rsid w:val="00551377"/>
    <w:rsid w:val="00552072"/>
    <w:rsid w:val="0055214B"/>
    <w:rsid w:val="005526CD"/>
    <w:rsid w:val="00552E14"/>
    <w:rsid w:val="005531BD"/>
    <w:rsid w:val="00553751"/>
    <w:rsid w:val="005540DD"/>
    <w:rsid w:val="00554240"/>
    <w:rsid w:val="00554898"/>
    <w:rsid w:val="00554B21"/>
    <w:rsid w:val="00555BA6"/>
    <w:rsid w:val="00555EA2"/>
    <w:rsid w:val="00556707"/>
    <w:rsid w:val="0055671B"/>
    <w:rsid w:val="005567B2"/>
    <w:rsid w:val="0055691D"/>
    <w:rsid w:val="00556A0A"/>
    <w:rsid w:val="00556B1B"/>
    <w:rsid w:val="00556CE6"/>
    <w:rsid w:val="005575A9"/>
    <w:rsid w:val="0055768D"/>
    <w:rsid w:val="005576ED"/>
    <w:rsid w:val="00557870"/>
    <w:rsid w:val="00560277"/>
    <w:rsid w:val="005602D2"/>
    <w:rsid w:val="00560938"/>
    <w:rsid w:val="00560AF1"/>
    <w:rsid w:val="00561422"/>
    <w:rsid w:val="00561562"/>
    <w:rsid w:val="0056170D"/>
    <w:rsid w:val="005619FC"/>
    <w:rsid w:val="005627D0"/>
    <w:rsid w:val="005630CB"/>
    <w:rsid w:val="00563273"/>
    <w:rsid w:val="00563649"/>
    <w:rsid w:val="00563DE6"/>
    <w:rsid w:val="0056451F"/>
    <w:rsid w:val="0056489C"/>
    <w:rsid w:val="00564E94"/>
    <w:rsid w:val="0056528D"/>
    <w:rsid w:val="005659B1"/>
    <w:rsid w:val="00565A21"/>
    <w:rsid w:val="00565D3E"/>
    <w:rsid w:val="0056605F"/>
    <w:rsid w:val="0056628B"/>
    <w:rsid w:val="00566298"/>
    <w:rsid w:val="00566669"/>
    <w:rsid w:val="00566987"/>
    <w:rsid w:val="00567650"/>
    <w:rsid w:val="00567D63"/>
    <w:rsid w:val="00570843"/>
    <w:rsid w:val="005708C5"/>
    <w:rsid w:val="0057091E"/>
    <w:rsid w:val="00570AA9"/>
    <w:rsid w:val="00570B20"/>
    <w:rsid w:val="00571136"/>
    <w:rsid w:val="0057123E"/>
    <w:rsid w:val="00571841"/>
    <w:rsid w:val="005723D6"/>
    <w:rsid w:val="00572CF8"/>
    <w:rsid w:val="0057353A"/>
    <w:rsid w:val="005741AC"/>
    <w:rsid w:val="00574A6E"/>
    <w:rsid w:val="005751DB"/>
    <w:rsid w:val="005753AD"/>
    <w:rsid w:val="005754F8"/>
    <w:rsid w:val="00575B43"/>
    <w:rsid w:val="00575B9E"/>
    <w:rsid w:val="00575E3D"/>
    <w:rsid w:val="00575F7F"/>
    <w:rsid w:val="005765BA"/>
    <w:rsid w:val="00576978"/>
    <w:rsid w:val="005769B1"/>
    <w:rsid w:val="005769B4"/>
    <w:rsid w:val="00577145"/>
    <w:rsid w:val="005773BE"/>
    <w:rsid w:val="00577457"/>
    <w:rsid w:val="005779D6"/>
    <w:rsid w:val="00577B14"/>
    <w:rsid w:val="00577C60"/>
    <w:rsid w:val="005808FA"/>
    <w:rsid w:val="00580ABB"/>
    <w:rsid w:val="00580C92"/>
    <w:rsid w:val="0058101E"/>
    <w:rsid w:val="005812C2"/>
    <w:rsid w:val="00581754"/>
    <w:rsid w:val="00581946"/>
    <w:rsid w:val="00582365"/>
    <w:rsid w:val="00582444"/>
    <w:rsid w:val="0058351B"/>
    <w:rsid w:val="0058382F"/>
    <w:rsid w:val="00583DF2"/>
    <w:rsid w:val="00584DD4"/>
    <w:rsid w:val="00584F20"/>
    <w:rsid w:val="00585227"/>
    <w:rsid w:val="005859AA"/>
    <w:rsid w:val="00585C1B"/>
    <w:rsid w:val="00585DEF"/>
    <w:rsid w:val="00585E06"/>
    <w:rsid w:val="00586252"/>
    <w:rsid w:val="00586647"/>
    <w:rsid w:val="005875B1"/>
    <w:rsid w:val="00587639"/>
    <w:rsid w:val="00587713"/>
    <w:rsid w:val="00587C12"/>
    <w:rsid w:val="00587D1B"/>
    <w:rsid w:val="00587E41"/>
    <w:rsid w:val="00587FE7"/>
    <w:rsid w:val="0059029F"/>
    <w:rsid w:val="005907BD"/>
    <w:rsid w:val="00591469"/>
    <w:rsid w:val="005914DB"/>
    <w:rsid w:val="005915FD"/>
    <w:rsid w:val="005921EA"/>
    <w:rsid w:val="005922DE"/>
    <w:rsid w:val="00592638"/>
    <w:rsid w:val="005929E7"/>
    <w:rsid w:val="00592E19"/>
    <w:rsid w:val="00593138"/>
    <w:rsid w:val="00593264"/>
    <w:rsid w:val="00593686"/>
    <w:rsid w:val="005936E6"/>
    <w:rsid w:val="00593A33"/>
    <w:rsid w:val="00593B8A"/>
    <w:rsid w:val="00593B99"/>
    <w:rsid w:val="00594165"/>
    <w:rsid w:val="00594232"/>
    <w:rsid w:val="005947B5"/>
    <w:rsid w:val="00594A0F"/>
    <w:rsid w:val="00595727"/>
    <w:rsid w:val="00595D56"/>
    <w:rsid w:val="005960BB"/>
    <w:rsid w:val="00596BEC"/>
    <w:rsid w:val="00596E16"/>
    <w:rsid w:val="00597018"/>
    <w:rsid w:val="005971D5"/>
    <w:rsid w:val="005972BD"/>
    <w:rsid w:val="00597407"/>
    <w:rsid w:val="00597495"/>
    <w:rsid w:val="0059755D"/>
    <w:rsid w:val="0059772D"/>
    <w:rsid w:val="00597ED3"/>
    <w:rsid w:val="005A0496"/>
    <w:rsid w:val="005A05E5"/>
    <w:rsid w:val="005A06E0"/>
    <w:rsid w:val="005A09D8"/>
    <w:rsid w:val="005A0AD9"/>
    <w:rsid w:val="005A0C12"/>
    <w:rsid w:val="005A0F77"/>
    <w:rsid w:val="005A11A7"/>
    <w:rsid w:val="005A148F"/>
    <w:rsid w:val="005A1652"/>
    <w:rsid w:val="005A1DD4"/>
    <w:rsid w:val="005A26FA"/>
    <w:rsid w:val="005A27A7"/>
    <w:rsid w:val="005A32FE"/>
    <w:rsid w:val="005A3839"/>
    <w:rsid w:val="005A3C73"/>
    <w:rsid w:val="005A3D7E"/>
    <w:rsid w:val="005A4047"/>
    <w:rsid w:val="005A407E"/>
    <w:rsid w:val="005A4150"/>
    <w:rsid w:val="005A432B"/>
    <w:rsid w:val="005A4384"/>
    <w:rsid w:val="005A43F7"/>
    <w:rsid w:val="005A462F"/>
    <w:rsid w:val="005A4D76"/>
    <w:rsid w:val="005A5A26"/>
    <w:rsid w:val="005A5DEC"/>
    <w:rsid w:val="005A5FEE"/>
    <w:rsid w:val="005A60D0"/>
    <w:rsid w:val="005A6567"/>
    <w:rsid w:val="005A7012"/>
    <w:rsid w:val="005A749C"/>
    <w:rsid w:val="005A7968"/>
    <w:rsid w:val="005A7A5E"/>
    <w:rsid w:val="005B0ED6"/>
    <w:rsid w:val="005B1044"/>
    <w:rsid w:val="005B1C07"/>
    <w:rsid w:val="005B1DCF"/>
    <w:rsid w:val="005B2899"/>
    <w:rsid w:val="005B29D1"/>
    <w:rsid w:val="005B2AA7"/>
    <w:rsid w:val="005B3432"/>
    <w:rsid w:val="005B3638"/>
    <w:rsid w:val="005B3AF8"/>
    <w:rsid w:val="005B3B39"/>
    <w:rsid w:val="005B3BD6"/>
    <w:rsid w:val="005B44ED"/>
    <w:rsid w:val="005B45B0"/>
    <w:rsid w:val="005B4716"/>
    <w:rsid w:val="005B4ADB"/>
    <w:rsid w:val="005B4C4E"/>
    <w:rsid w:val="005B500F"/>
    <w:rsid w:val="005B51A4"/>
    <w:rsid w:val="005B5464"/>
    <w:rsid w:val="005B57C1"/>
    <w:rsid w:val="005B6D72"/>
    <w:rsid w:val="005B7BC2"/>
    <w:rsid w:val="005B7D6C"/>
    <w:rsid w:val="005C076E"/>
    <w:rsid w:val="005C078C"/>
    <w:rsid w:val="005C0E1A"/>
    <w:rsid w:val="005C1C4B"/>
    <w:rsid w:val="005C20B6"/>
    <w:rsid w:val="005C20D5"/>
    <w:rsid w:val="005C23B1"/>
    <w:rsid w:val="005C3E20"/>
    <w:rsid w:val="005C3F75"/>
    <w:rsid w:val="005C402B"/>
    <w:rsid w:val="005C420C"/>
    <w:rsid w:val="005C4737"/>
    <w:rsid w:val="005C5303"/>
    <w:rsid w:val="005C601D"/>
    <w:rsid w:val="005C64C9"/>
    <w:rsid w:val="005C69F4"/>
    <w:rsid w:val="005C7215"/>
    <w:rsid w:val="005C729F"/>
    <w:rsid w:val="005C73C4"/>
    <w:rsid w:val="005C77E4"/>
    <w:rsid w:val="005C7B9E"/>
    <w:rsid w:val="005C7F1A"/>
    <w:rsid w:val="005C7FFD"/>
    <w:rsid w:val="005D00EA"/>
    <w:rsid w:val="005D023B"/>
    <w:rsid w:val="005D037A"/>
    <w:rsid w:val="005D08D6"/>
    <w:rsid w:val="005D10E6"/>
    <w:rsid w:val="005D1374"/>
    <w:rsid w:val="005D14EA"/>
    <w:rsid w:val="005D17A7"/>
    <w:rsid w:val="005D19E1"/>
    <w:rsid w:val="005D1B80"/>
    <w:rsid w:val="005D2304"/>
    <w:rsid w:val="005D359E"/>
    <w:rsid w:val="005D38D6"/>
    <w:rsid w:val="005D3A04"/>
    <w:rsid w:val="005D3BAA"/>
    <w:rsid w:val="005D3D3E"/>
    <w:rsid w:val="005D4564"/>
    <w:rsid w:val="005D4590"/>
    <w:rsid w:val="005D48FE"/>
    <w:rsid w:val="005D4ADE"/>
    <w:rsid w:val="005D4BCA"/>
    <w:rsid w:val="005D52C9"/>
    <w:rsid w:val="005D53A7"/>
    <w:rsid w:val="005D62B4"/>
    <w:rsid w:val="005D65E4"/>
    <w:rsid w:val="005D6642"/>
    <w:rsid w:val="005D6CC3"/>
    <w:rsid w:val="005D6CC8"/>
    <w:rsid w:val="005D7471"/>
    <w:rsid w:val="005D749D"/>
    <w:rsid w:val="005E0069"/>
    <w:rsid w:val="005E0805"/>
    <w:rsid w:val="005E0BFB"/>
    <w:rsid w:val="005E0DCF"/>
    <w:rsid w:val="005E0EAA"/>
    <w:rsid w:val="005E0F78"/>
    <w:rsid w:val="005E12B3"/>
    <w:rsid w:val="005E21B1"/>
    <w:rsid w:val="005E2702"/>
    <w:rsid w:val="005E2A1C"/>
    <w:rsid w:val="005E2C5D"/>
    <w:rsid w:val="005E4118"/>
    <w:rsid w:val="005E5308"/>
    <w:rsid w:val="005E5325"/>
    <w:rsid w:val="005E5470"/>
    <w:rsid w:val="005E55C8"/>
    <w:rsid w:val="005E5874"/>
    <w:rsid w:val="005E5B85"/>
    <w:rsid w:val="005E63EE"/>
    <w:rsid w:val="005E6AB3"/>
    <w:rsid w:val="005E6BF0"/>
    <w:rsid w:val="005E75D5"/>
    <w:rsid w:val="005E75ED"/>
    <w:rsid w:val="005E788A"/>
    <w:rsid w:val="005F0A4D"/>
    <w:rsid w:val="005F0C91"/>
    <w:rsid w:val="005F0FC8"/>
    <w:rsid w:val="005F107E"/>
    <w:rsid w:val="005F1184"/>
    <w:rsid w:val="005F1555"/>
    <w:rsid w:val="005F1DE5"/>
    <w:rsid w:val="005F1E88"/>
    <w:rsid w:val="005F1F43"/>
    <w:rsid w:val="005F21B8"/>
    <w:rsid w:val="005F23D9"/>
    <w:rsid w:val="005F2978"/>
    <w:rsid w:val="005F2E5B"/>
    <w:rsid w:val="005F32AC"/>
    <w:rsid w:val="005F38AC"/>
    <w:rsid w:val="005F3A24"/>
    <w:rsid w:val="005F3AC9"/>
    <w:rsid w:val="005F3E6F"/>
    <w:rsid w:val="005F3FA1"/>
    <w:rsid w:val="005F4721"/>
    <w:rsid w:val="005F487B"/>
    <w:rsid w:val="005F4D86"/>
    <w:rsid w:val="005F56DE"/>
    <w:rsid w:val="005F5BD0"/>
    <w:rsid w:val="005F5EE7"/>
    <w:rsid w:val="005F62D5"/>
    <w:rsid w:val="005F68CA"/>
    <w:rsid w:val="005F6991"/>
    <w:rsid w:val="005F6DC3"/>
    <w:rsid w:val="005F720A"/>
    <w:rsid w:val="005F75A9"/>
    <w:rsid w:val="005F78B0"/>
    <w:rsid w:val="005F7ECF"/>
    <w:rsid w:val="00600463"/>
    <w:rsid w:val="00600E72"/>
    <w:rsid w:val="00601152"/>
    <w:rsid w:val="006011E1"/>
    <w:rsid w:val="00602360"/>
    <w:rsid w:val="00602368"/>
    <w:rsid w:val="006024CB"/>
    <w:rsid w:val="006028E6"/>
    <w:rsid w:val="00602F43"/>
    <w:rsid w:val="006032FD"/>
    <w:rsid w:val="00603B08"/>
    <w:rsid w:val="00603E07"/>
    <w:rsid w:val="00603E7A"/>
    <w:rsid w:val="00604B7E"/>
    <w:rsid w:val="00604E5F"/>
    <w:rsid w:val="006051F8"/>
    <w:rsid w:val="006052B1"/>
    <w:rsid w:val="006055DB"/>
    <w:rsid w:val="00605776"/>
    <w:rsid w:val="00605E0C"/>
    <w:rsid w:val="006069A2"/>
    <w:rsid w:val="00606FDA"/>
    <w:rsid w:val="006075A6"/>
    <w:rsid w:val="006077D3"/>
    <w:rsid w:val="00607B7A"/>
    <w:rsid w:val="00610162"/>
    <w:rsid w:val="00610357"/>
    <w:rsid w:val="00610ABA"/>
    <w:rsid w:val="00611184"/>
    <w:rsid w:val="0061130E"/>
    <w:rsid w:val="00611C48"/>
    <w:rsid w:val="00612AD8"/>
    <w:rsid w:val="00613037"/>
    <w:rsid w:val="006135AB"/>
    <w:rsid w:val="006138E4"/>
    <w:rsid w:val="00613AC1"/>
    <w:rsid w:val="00613B21"/>
    <w:rsid w:val="00613CF2"/>
    <w:rsid w:val="00613CFC"/>
    <w:rsid w:val="00613F6A"/>
    <w:rsid w:val="0061421B"/>
    <w:rsid w:val="006144F6"/>
    <w:rsid w:val="00614AE7"/>
    <w:rsid w:val="006154A8"/>
    <w:rsid w:val="00615E14"/>
    <w:rsid w:val="00616014"/>
    <w:rsid w:val="006163B4"/>
    <w:rsid w:val="00616407"/>
    <w:rsid w:val="00616578"/>
    <w:rsid w:val="00616DAA"/>
    <w:rsid w:val="00617018"/>
    <w:rsid w:val="00617419"/>
    <w:rsid w:val="00620041"/>
    <w:rsid w:val="00620382"/>
    <w:rsid w:val="006209B9"/>
    <w:rsid w:val="00620E5A"/>
    <w:rsid w:val="00620FBC"/>
    <w:rsid w:val="00620FD9"/>
    <w:rsid w:val="0062111A"/>
    <w:rsid w:val="006222EE"/>
    <w:rsid w:val="0062301D"/>
    <w:rsid w:val="00623207"/>
    <w:rsid w:val="006233EA"/>
    <w:rsid w:val="006242A0"/>
    <w:rsid w:val="00624762"/>
    <w:rsid w:val="006250E9"/>
    <w:rsid w:val="006254DC"/>
    <w:rsid w:val="00625AE2"/>
    <w:rsid w:val="00625B1E"/>
    <w:rsid w:val="00625B50"/>
    <w:rsid w:val="00625BDF"/>
    <w:rsid w:val="00625D52"/>
    <w:rsid w:val="006262E6"/>
    <w:rsid w:val="0062680D"/>
    <w:rsid w:val="00627021"/>
    <w:rsid w:val="006270D5"/>
    <w:rsid w:val="0062740E"/>
    <w:rsid w:val="00627543"/>
    <w:rsid w:val="006279C6"/>
    <w:rsid w:val="00627A9B"/>
    <w:rsid w:val="00627ED3"/>
    <w:rsid w:val="00630219"/>
    <w:rsid w:val="00630C04"/>
    <w:rsid w:val="00630D39"/>
    <w:rsid w:val="0063176D"/>
    <w:rsid w:val="0063260D"/>
    <w:rsid w:val="006326F6"/>
    <w:rsid w:val="00632DEF"/>
    <w:rsid w:val="00632E1E"/>
    <w:rsid w:val="006331D6"/>
    <w:rsid w:val="00633B2F"/>
    <w:rsid w:val="00634901"/>
    <w:rsid w:val="006350A5"/>
    <w:rsid w:val="0063520D"/>
    <w:rsid w:val="00635938"/>
    <w:rsid w:val="00635B3F"/>
    <w:rsid w:val="0063612A"/>
    <w:rsid w:val="00636487"/>
    <w:rsid w:val="00636825"/>
    <w:rsid w:val="00636E91"/>
    <w:rsid w:val="00636FB0"/>
    <w:rsid w:val="00637297"/>
    <w:rsid w:val="00637CB5"/>
    <w:rsid w:val="00637DD4"/>
    <w:rsid w:val="00640005"/>
    <w:rsid w:val="006400FD"/>
    <w:rsid w:val="006407F7"/>
    <w:rsid w:val="006409E7"/>
    <w:rsid w:val="00640C31"/>
    <w:rsid w:val="00641964"/>
    <w:rsid w:val="00642D74"/>
    <w:rsid w:val="00643132"/>
    <w:rsid w:val="00643226"/>
    <w:rsid w:val="00644284"/>
    <w:rsid w:val="006455D8"/>
    <w:rsid w:val="006459EF"/>
    <w:rsid w:val="006465F3"/>
    <w:rsid w:val="00646B46"/>
    <w:rsid w:val="0064794B"/>
    <w:rsid w:val="00647FCD"/>
    <w:rsid w:val="00650138"/>
    <w:rsid w:val="00650385"/>
    <w:rsid w:val="00650512"/>
    <w:rsid w:val="0065076A"/>
    <w:rsid w:val="0065097C"/>
    <w:rsid w:val="006511BA"/>
    <w:rsid w:val="00651202"/>
    <w:rsid w:val="00651610"/>
    <w:rsid w:val="0065176F"/>
    <w:rsid w:val="00652906"/>
    <w:rsid w:val="00652AE0"/>
    <w:rsid w:val="006534BF"/>
    <w:rsid w:val="0065371E"/>
    <w:rsid w:val="006537D7"/>
    <w:rsid w:val="006542FF"/>
    <w:rsid w:val="006543E3"/>
    <w:rsid w:val="0065444A"/>
    <w:rsid w:val="00654545"/>
    <w:rsid w:val="00654706"/>
    <w:rsid w:val="00654AA8"/>
    <w:rsid w:val="00654B66"/>
    <w:rsid w:val="00654C88"/>
    <w:rsid w:val="00654F68"/>
    <w:rsid w:val="00655CF9"/>
    <w:rsid w:val="00655CFA"/>
    <w:rsid w:val="00655D45"/>
    <w:rsid w:val="00655E1C"/>
    <w:rsid w:val="006562B8"/>
    <w:rsid w:val="006565D8"/>
    <w:rsid w:val="006565E3"/>
    <w:rsid w:val="00657067"/>
    <w:rsid w:val="0065714C"/>
    <w:rsid w:val="0065728E"/>
    <w:rsid w:val="006572A0"/>
    <w:rsid w:val="0065773D"/>
    <w:rsid w:val="00657B5B"/>
    <w:rsid w:val="00657C14"/>
    <w:rsid w:val="00657C62"/>
    <w:rsid w:val="006600DF"/>
    <w:rsid w:val="00660A74"/>
    <w:rsid w:val="00660AD0"/>
    <w:rsid w:val="006612B1"/>
    <w:rsid w:val="00661B29"/>
    <w:rsid w:val="00662657"/>
    <w:rsid w:val="006628E4"/>
    <w:rsid w:val="00662B0B"/>
    <w:rsid w:val="00662E5F"/>
    <w:rsid w:val="00662F3E"/>
    <w:rsid w:val="00663025"/>
    <w:rsid w:val="00663243"/>
    <w:rsid w:val="006634CC"/>
    <w:rsid w:val="00664434"/>
    <w:rsid w:val="00664B50"/>
    <w:rsid w:val="00665033"/>
    <w:rsid w:val="00665443"/>
    <w:rsid w:val="0066561F"/>
    <w:rsid w:val="00665BEC"/>
    <w:rsid w:val="00665C82"/>
    <w:rsid w:val="00665FE5"/>
    <w:rsid w:val="0066604D"/>
    <w:rsid w:val="00666073"/>
    <w:rsid w:val="00666A0A"/>
    <w:rsid w:val="00666A58"/>
    <w:rsid w:val="00666B0A"/>
    <w:rsid w:val="00666B7C"/>
    <w:rsid w:val="00666BDF"/>
    <w:rsid w:val="00666C17"/>
    <w:rsid w:val="00666E07"/>
    <w:rsid w:val="00667DE9"/>
    <w:rsid w:val="00670196"/>
    <w:rsid w:val="006702C3"/>
    <w:rsid w:val="00670650"/>
    <w:rsid w:val="00670FF7"/>
    <w:rsid w:val="00671063"/>
    <w:rsid w:val="006711F7"/>
    <w:rsid w:val="006712C0"/>
    <w:rsid w:val="00671358"/>
    <w:rsid w:val="00671A02"/>
    <w:rsid w:val="00671FA0"/>
    <w:rsid w:val="0067202D"/>
    <w:rsid w:val="006723CA"/>
    <w:rsid w:val="0067278C"/>
    <w:rsid w:val="00673672"/>
    <w:rsid w:val="0067375D"/>
    <w:rsid w:val="00674336"/>
    <w:rsid w:val="00674460"/>
    <w:rsid w:val="006744AC"/>
    <w:rsid w:val="006745A7"/>
    <w:rsid w:val="00674C7D"/>
    <w:rsid w:val="00674D7B"/>
    <w:rsid w:val="0067549C"/>
    <w:rsid w:val="00675E71"/>
    <w:rsid w:val="00676348"/>
    <w:rsid w:val="006764F9"/>
    <w:rsid w:val="00676DB1"/>
    <w:rsid w:val="00676E2B"/>
    <w:rsid w:val="00677717"/>
    <w:rsid w:val="006777DD"/>
    <w:rsid w:val="006801D1"/>
    <w:rsid w:val="0068043F"/>
    <w:rsid w:val="006805D0"/>
    <w:rsid w:val="00680784"/>
    <w:rsid w:val="006808C4"/>
    <w:rsid w:val="006809CC"/>
    <w:rsid w:val="00680B03"/>
    <w:rsid w:val="00680B40"/>
    <w:rsid w:val="006814ED"/>
    <w:rsid w:val="00681AA7"/>
    <w:rsid w:val="00681EC9"/>
    <w:rsid w:val="00682042"/>
    <w:rsid w:val="0068209C"/>
    <w:rsid w:val="006822FA"/>
    <w:rsid w:val="00682664"/>
    <w:rsid w:val="006826B9"/>
    <w:rsid w:val="0068288C"/>
    <w:rsid w:val="00682C84"/>
    <w:rsid w:val="00683901"/>
    <w:rsid w:val="00683971"/>
    <w:rsid w:val="00683F36"/>
    <w:rsid w:val="00683FE1"/>
    <w:rsid w:val="00685589"/>
    <w:rsid w:val="00685933"/>
    <w:rsid w:val="006859F7"/>
    <w:rsid w:val="00685F3F"/>
    <w:rsid w:val="00686544"/>
    <w:rsid w:val="0068682C"/>
    <w:rsid w:val="00686CDA"/>
    <w:rsid w:val="00687081"/>
    <w:rsid w:val="00690071"/>
    <w:rsid w:val="00690CC7"/>
    <w:rsid w:val="00690D72"/>
    <w:rsid w:val="00691093"/>
    <w:rsid w:val="00691922"/>
    <w:rsid w:val="00691C12"/>
    <w:rsid w:val="00692265"/>
    <w:rsid w:val="0069289C"/>
    <w:rsid w:val="00692D4B"/>
    <w:rsid w:val="006938AA"/>
    <w:rsid w:val="0069394E"/>
    <w:rsid w:val="00693F89"/>
    <w:rsid w:val="0069474B"/>
    <w:rsid w:val="0069475D"/>
    <w:rsid w:val="00694B20"/>
    <w:rsid w:val="00695087"/>
    <w:rsid w:val="006952EC"/>
    <w:rsid w:val="00695B92"/>
    <w:rsid w:val="006961C5"/>
    <w:rsid w:val="00696C0A"/>
    <w:rsid w:val="006978F5"/>
    <w:rsid w:val="00697966"/>
    <w:rsid w:val="00697FF0"/>
    <w:rsid w:val="006A04CA"/>
    <w:rsid w:val="006A0B0F"/>
    <w:rsid w:val="006A1D94"/>
    <w:rsid w:val="006A249D"/>
    <w:rsid w:val="006A3A2B"/>
    <w:rsid w:val="006A4176"/>
    <w:rsid w:val="006A444C"/>
    <w:rsid w:val="006A46F8"/>
    <w:rsid w:val="006A4BB9"/>
    <w:rsid w:val="006A4BD2"/>
    <w:rsid w:val="006A4C1E"/>
    <w:rsid w:val="006A50F7"/>
    <w:rsid w:val="006A54AE"/>
    <w:rsid w:val="006A5B27"/>
    <w:rsid w:val="006A5B2B"/>
    <w:rsid w:val="006A61DA"/>
    <w:rsid w:val="006A64FD"/>
    <w:rsid w:val="006A6BF1"/>
    <w:rsid w:val="006A7863"/>
    <w:rsid w:val="006A7B4B"/>
    <w:rsid w:val="006A7EBA"/>
    <w:rsid w:val="006B0140"/>
    <w:rsid w:val="006B01C3"/>
    <w:rsid w:val="006B0888"/>
    <w:rsid w:val="006B08E6"/>
    <w:rsid w:val="006B0DE3"/>
    <w:rsid w:val="006B15E9"/>
    <w:rsid w:val="006B196C"/>
    <w:rsid w:val="006B2895"/>
    <w:rsid w:val="006B28CB"/>
    <w:rsid w:val="006B2911"/>
    <w:rsid w:val="006B2B0C"/>
    <w:rsid w:val="006B3032"/>
    <w:rsid w:val="006B375E"/>
    <w:rsid w:val="006B3BD5"/>
    <w:rsid w:val="006B3BF3"/>
    <w:rsid w:val="006B3EFB"/>
    <w:rsid w:val="006B4B4A"/>
    <w:rsid w:val="006B5050"/>
    <w:rsid w:val="006B5285"/>
    <w:rsid w:val="006B55E4"/>
    <w:rsid w:val="006B57EA"/>
    <w:rsid w:val="006B5BE1"/>
    <w:rsid w:val="006B5F20"/>
    <w:rsid w:val="006B6059"/>
    <w:rsid w:val="006B6091"/>
    <w:rsid w:val="006B6348"/>
    <w:rsid w:val="006B683E"/>
    <w:rsid w:val="006B6D6F"/>
    <w:rsid w:val="006B702E"/>
    <w:rsid w:val="006B75C2"/>
    <w:rsid w:val="006B75C6"/>
    <w:rsid w:val="006B7F5E"/>
    <w:rsid w:val="006C0105"/>
    <w:rsid w:val="006C020C"/>
    <w:rsid w:val="006C05E7"/>
    <w:rsid w:val="006C0803"/>
    <w:rsid w:val="006C1218"/>
    <w:rsid w:val="006C1691"/>
    <w:rsid w:val="006C188C"/>
    <w:rsid w:val="006C1B52"/>
    <w:rsid w:val="006C1C3C"/>
    <w:rsid w:val="006C20A2"/>
    <w:rsid w:val="006C2B79"/>
    <w:rsid w:val="006C3318"/>
    <w:rsid w:val="006C354C"/>
    <w:rsid w:val="006C382A"/>
    <w:rsid w:val="006C3A24"/>
    <w:rsid w:val="006C3B76"/>
    <w:rsid w:val="006C4572"/>
    <w:rsid w:val="006C468E"/>
    <w:rsid w:val="006C4C8E"/>
    <w:rsid w:val="006C4D95"/>
    <w:rsid w:val="006C4DED"/>
    <w:rsid w:val="006C5B4C"/>
    <w:rsid w:val="006C5BCB"/>
    <w:rsid w:val="006C5C0E"/>
    <w:rsid w:val="006C6578"/>
    <w:rsid w:val="006C7189"/>
    <w:rsid w:val="006C72AD"/>
    <w:rsid w:val="006C7449"/>
    <w:rsid w:val="006C766A"/>
    <w:rsid w:val="006C7B03"/>
    <w:rsid w:val="006D01B0"/>
    <w:rsid w:val="006D01C9"/>
    <w:rsid w:val="006D0234"/>
    <w:rsid w:val="006D0EC2"/>
    <w:rsid w:val="006D1A3A"/>
    <w:rsid w:val="006D2A29"/>
    <w:rsid w:val="006D2C2D"/>
    <w:rsid w:val="006D2D10"/>
    <w:rsid w:val="006D2EC3"/>
    <w:rsid w:val="006D301B"/>
    <w:rsid w:val="006D3047"/>
    <w:rsid w:val="006D3C9B"/>
    <w:rsid w:val="006D3F76"/>
    <w:rsid w:val="006D4BC1"/>
    <w:rsid w:val="006D4C72"/>
    <w:rsid w:val="006D4E4C"/>
    <w:rsid w:val="006D5585"/>
    <w:rsid w:val="006D5A72"/>
    <w:rsid w:val="006D5F76"/>
    <w:rsid w:val="006D652B"/>
    <w:rsid w:val="006D6561"/>
    <w:rsid w:val="006D6D96"/>
    <w:rsid w:val="006D7023"/>
    <w:rsid w:val="006D7134"/>
    <w:rsid w:val="006D7186"/>
    <w:rsid w:val="006D7211"/>
    <w:rsid w:val="006D72B0"/>
    <w:rsid w:val="006D75C8"/>
    <w:rsid w:val="006D7955"/>
    <w:rsid w:val="006D7EF5"/>
    <w:rsid w:val="006E025D"/>
    <w:rsid w:val="006E06DC"/>
    <w:rsid w:val="006E0929"/>
    <w:rsid w:val="006E0BD7"/>
    <w:rsid w:val="006E1E65"/>
    <w:rsid w:val="006E271F"/>
    <w:rsid w:val="006E272F"/>
    <w:rsid w:val="006E2A47"/>
    <w:rsid w:val="006E4172"/>
    <w:rsid w:val="006E4175"/>
    <w:rsid w:val="006E46E5"/>
    <w:rsid w:val="006E56A9"/>
    <w:rsid w:val="006E57AD"/>
    <w:rsid w:val="006E5832"/>
    <w:rsid w:val="006E5849"/>
    <w:rsid w:val="006E679E"/>
    <w:rsid w:val="006E7BDB"/>
    <w:rsid w:val="006E7FDA"/>
    <w:rsid w:val="006F0150"/>
    <w:rsid w:val="006F03CC"/>
    <w:rsid w:val="006F0D46"/>
    <w:rsid w:val="006F0FFC"/>
    <w:rsid w:val="006F124C"/>
    <w:rsid w:val="006F1897"/>
    <w:rsid w:val="006F1E2D"/>
    <w:rsid w:val="006F23DD"/>
    <w:rsid w:val="006F2594"/>
    <w:rsid w:val="006F267D"/>
    <w:rsid w:val="006F2816"/>
    <w:rsid w:val="006F2B17"/>
    <w:rsid w:val="006F32F7"/>
    <w:rsid w:val="006F3908"/>
    <w:rsid w:val="006F3A4A"/>
    <w:rsid w:val="006F3AEF"/>
    <w:rsid w:val="006F4183"/>
    <w:rsid w:val="006F42EB"/>
    <w:rsid w:val="006F4347"/>
    <w:rsid w:val="006F4BDA"/>
    <w:rsid w:val="006F4D5B"/>
    <w:rsid w:val="006F4E09"/>
    <w:rsid w:val="006F5158"/>
    <w:rsid w:val="006F581C"/>
    <w:rsid w:val="006F5A1F"/>
    <w:rsid w:val="006F65F5"/>
    <w:rsid w:val="006F68C2"/>
    <w:rsid w:val="006F7029"/>
    <w:rsid w:val="006F7D5B"/>
    <w:rsid w:val="006F7F80"/>
    <w:rsid w:val="0070001A"/>
    <w:rsid w:val="0070008E"/>
    <w:rsid w:val="007007C7"/>
    <w:rsid w:val="00700950"/>
    <w:rsid w:val="00701136"/>
    <w:rsid w:val="00701154"/>
    <w:rsid w:val="00701CD6"/>
    <w:rsid w:val="0070268F"/>
    <w:rsid w:val="00702DFF"/>
    <w:rsid w:val="0070312C"/>
    <w:rsid w:val="0070319A"/>
    <w:rsid w:val="00703479"/>
    <w:rsid w:val="0070351A"/>
    <w:rsid w:val="00703AA7"/>
    <w:rsid w:val="00703CB4"/>
    <w:rsid w:val="00703CE7"/>
    <w:rsid w:val="00703DBB"/>
    <w:rsid w:val="00703DCC"/>
    <w:rsid w:val="00703E17"/>
    <w:rsid w:val="00704674"/>
    <w:rsid w:val="00704B04"/>
    <w:rsid w:val="00704C61"/>
    <w:rsid w:val="00705160"/>
    <w:rsid w:val="007052D0"/>
    <w:rsid w:val="00705537"/>
    <w:rsid w:val="00705695"/>
    <w:rsid w:val="00705B02"/>
    <w:rsid w:val="00705E70"/>
    <w:rsid w:val="00705F1C"/>
    <w:rsid w:val="00706235"/>
    <w:rsid w:val="0070665F"/>
    <w:rsid w:val="00706AEF"/>
    <w:rsid w:val="00706BB2"/>
    <w:rsid w:val="00706DAF"/>
    <w:rsid w:val="00707AF7"/>
    <w:rsid w:val="00707C18"/>
    <w:rsid w:val="00707C7B"/>
    <w:rsid w:val="00707CBD"/>
    <w:rsid w:val="00707F6E"/>
    <w:rsid w:val="007103A9"/>
    <w:rsid w:val="0071047D"/>
    <w:rsid w:val="007105A0"/>
    <w:rsid w:val="00710C60"/>
    <w:rsid w:val="00710E41"/>
    <w:rsid w:val="00710F01"/>
    <w:rsid w:val="007111B9"/>
    <w:rsid w:val="00711461"/>
    <w:rsid w:val="007114B2"/>
    <w:rsid w:val="0071189F"/>
    <w:rsid w:val="0071276F"/>
    <w:rsid w:val="00712D9E"/>
    <w:rsid w:val="00713651"/>
    <w:rsid w:val="00713A68"/>
    <w:rsid w:val="00713BC6"/>
    <w:rsid w:val="00713C9D"/>
    <w:rsid w:val="007142B5"/>
    <w:rsid w:val="00714D94"/>
    <w:rsid w:val="00715281"/>
    <w:rsid w:val="007154CF"/>
    <w:rsid w:val="00715655"/>
    <w:rsid w:val="00715D4D"/>
    <w:rsid w:val="00716347"/>
    <w:rsid w:val="00716AD2"/>
    <w:rsid w:val="00717034"/>
    <w:rsid w:val="007177E1"/>
    <w:rsid w:val="007179C0"/>
    <w:rsid w:val="007203CA"/>
    <w:rsid w:val="0072080F"/>
    <w:rsid w:val="007209D7"/>
    <w:rsid w:val="00720A0C"/>
    <w:rsid w:val="00720C59"/>
    <w:rsid w:val="0072143C"/>
    <w:rsid w:val="00721AE9"/>
    <w:rsid w:val="00721CE2"/>
    <w:rsid w:val="00721D1E"/>
    <w:rsid w:val="0072227C"/>
    <w:rsid w:val="007226F5"/>
    <w:rsid w:val="007227EA"/>
    <w:rsid w:val="00722912"/>
    <w:rsid w:val="00722D24"/>
    <w:rsid w:val="0072359D"/>
    <w:rsid w:val="007239C1"/>
    <w:rsid w:val="00723B2C"/>
    <w:rsid w:val="00724B16"/>
    <w:rsid w:val="00724ED0"/>
    <w:rsid w:val="00724F92"/>
    <w:rsid w:val="007253D6"/>
    <w:rsid w:val="00725675"/>
    <w:rsid w:val="00725716"/>
    <w:rsid w:val="0072578A"/>
    <w:rsid w:val="0072597A"/>
    <w:rsid w:val="00725997"/>
    <w:rsid w:val="00725CE5"/>
    <w:rsid w:val="00725D31"/>
    <w:rsid w:val="007263F2"/>
    <w:rsid w:val="0072640D"/>
    <w:rsid w:val="007265FE"/>
    <w:rsid w:val="0072685D"/>
    <w:rsid w:val="00726A32"/>
    <w:rsid w:val="0072753E"/>
    <w:rsid w:val="007276AD"/>
    <w:rsid w:val="0073018D"/>
    <w:rsid w:val="00730521"/>
    <w:rsid w:val="00730C7F"/>
    <w:rsid w:val="00730FB9"/>
    <w:rsid w:val="0073112E"/>
    <w:rsid w:val="007315BF"/>
    <w:rsid w:val="00731AE4"/>
    <w:rsid w:val="007325ED"/>
    <w:rsid w:val="00732905"/>
    <w:rsid w:val="007331DE"/>
    <w:rsid w:val="007333C2"/>
    <w:rsid w:val="0073383E"/>
    <w:rsid w:val="00733A2E"/>
    <w:rsid w:val="00733F1A"/>
    <w:rsid w:val="0073448B"/>
    <w:rsid w:val="007344B1"/>
    <w:rsid w:val="0073480F"/>
    <w:rsid w:val="00734F46"/>
    <w:rsid w:val="007354AD"/>
    <w:rsid w:val="00735F5C"/>
    <w:rsid w:val="0073613A"/>
    <w:rsid w:val="00736295"/>
    <w:rsid w:val="00736FB1"/>
    <w:rsid w:val="007371D8"/>
    <w:rsid w:val="00737221"/>
    <w:rsid w:val="00737426"/>
    <w:rsid w:val="007375A4"/>
    <w:rsid w:val="0073792C"/>
    <w:rsid w:val="00737C26"/>
    <w:rsid w:val="00737D9F"/>
    <w:rsid w:val="00740B37"/>
    <w:rsid w:val="0074175D"/>
    <w:rsid w:val="00741ABF"/>
    <w:rsid w:val="00741DC2"/>
    <w:rsid w:val="00741DFA"/>
    <w:rsid w:val="00742081"/>
    <w:rsid w:val="0074245B"/>
    <w:rsid w:val="0074257A"/>
    <w:rsid w:val="00742C4C"/>
    <w:rsid w:val="007435EB"/>
    <w:rsid w:val="00743C74"/>
    <w:rsid w:val="00743F6F"/>
    <w:rsid w:val="0074404A"/>
    <w:rsid w:val="007443FF"/>
    <w:rsid w:val="007445CE"/>
    <w:rsid w:val="00744924"/>
    <w:rsid w:val="00744AF6"/>
    <w:rsid w:val="007459FD"/>
    <w:rsid w:val="00745CF5"/>
    <w:rsid w:val="007464EC"/>
    <w:rsid w:val="0074686B"/>
    <w:rsid w:val="00746907"/>
    <w:rsid w:val="00746B58"/>
    <w:rsid w:val="00746E81"/>
    <w:rsid w:val="007472DE"/>
    <w:rsid w:val="007473AE"/>
    <w:rsid w:val="00747434"/>
    <w:rsid w:val="00747545"/>
    <w:rsid w:val="0074788B"/>
    <w:rsid w:val="007478E0"/>
    <w:rsid w:val="00750029"/>
    <w:rsid w:val="00750A57"/>
    <w:rsid w:val="00751110"/>
    <w:rsid w:val="0075137C"/>
    <w:rsid w:val="00751619"/>
    <w:rsid w:val="00751727"/>
    <w:rsid w:val="00751BE3"/>
    <w:rsid w:val="00751D37"/>
    <w:rsid w:val="007523E5"/>
    <w:rsid w:val="00752473"/>
    <w:rsid w:val="0075289B"/>
    <w:rsid w:val="00752B51"/>
    <w:rsid w:val="0075329C"/>
    <w:rsid w:val="0075366E"/>
    <w:rsid w:val="00753BE2"/>
    <w:rsid w:val="00753E8B"/>
    <w:rsid w:val="0075418A"/>
    <w:rsid w:val="007544F6"/>
    <w:rsid w:val="007545B5"/>
    <w:rsid w:val="00755374"/>
    <w:rsid w:val="00755606"/>
    <w:rsid w:val="00755E20"/>
    <w:rsid w:val="007560FF"/>
    <w:rsid w:val="00756E31"/>
    <w:rsid w:val="00757003"/>
    <w:rsid w:val="00757A71"/>
    <w:rsid w:val="00757B46"/>
    <w:rsid w:val="00757DC2"/>
    <w:rsid w:val="00757E31"/>
    <w:rsid w:val="0076008F"/>
    <w:rsid w:val="00760615"/>
    <w:rsid w:val="0076144D"/>
    <w:rsid w:val="00761AFF"/>
    <w:rsid w:val="00761BF3"/>
    <w:rsid w:val="00761DF2"/>
    <w:rsid w:val="00762565"/>
    <w:rsid w:val="0076260D"/>
    <w:rsid w:val="00763185"/>
    <w:rsid w:val="007631DD"/>
    <w:rsid w:val="0076335E"/>
    <w:rsid w:val="00763B77"/>
    <w:rsid w:val="00763D8D"/>
    <w:rsid w:val="00763EB3"/>
    <w:rsid w:val="007642E8"/>
    <w:rsid w:val="0076458E"/>
    <w:rsid w:val="00764DEA"/>
    <w:rsid w:val="00764F17"/>
    <w:rsid w:val="00765105"/>
    <w:rsid w:val="00765461"/>
    <w:rsid w:val="00765B86"/>
    <w:rsid w:val="00766242"/>
    <w:rsid w:val="00766929"/>
    <w:rsid w:val="007669FF"/>
    <w:rsid w:val="00766DF9"/>
    <w:rsid w:val="0076702C"/>
    <w:rsid w:val="00767253"/>
    <w:rsid w:val="00767F6C"/>
    <w:rsid w:val="0077033D"/>
    <w:rsid w:val="00770B5D"/>
    <w:rsid w:val="00770D58"/>
    <w:rsid w:val="007722FB"/>
    <w:rsid w:val="00772829"/>
    <w:rsid w:val="007729A7"/>
    <w:rsid w:val="00773058"/>
    <w:rsid w:val="0077386D"/>
    <w:rsid w:val="00773C3F"/>
    <w:rsid w:val="00773F26"/>
    <w:rsid w:val="00773F73"/>
    <w:rsid w:val="00774700"/>
    <w:rsid w:val="00774C88"/>
    <w:rsid w:val="00775256"/>
    <w:rsid w:val="007754C2"/>
    <w:rsid w:val="007754D4"/>
    <w:rsid w:val="00775A9D"/>
    <w:rsid w:val="00775AA7"/>
    <w:rsid w:val="00775EBF"/>
    <w:rsid w:val="0077647C"/>
    <w:rsid w:val="007767F8"/>
    <w:rsid w:val="007771D8"/>
    <w:rsid w:val="00777848"/>
    <w:rsid w:val="00777893"/>
    <w:rsid w:val="007778BA"/>
    <w:rsid w:val="007805A9"/>
    <w:rsid w:val="00780763"/>
    <w:rsid w:val="00780A4A"/>
    <w:rsid w:val="0078130E"/>
    <w:rsid w:val="007813C4"/>
    <w:rsid w:val="00781614"/>
    <w:rsid w:val="00781778"/>
    <w:rsid w:val="00781AD0"/>
    <w:rsid w:val="007829EC"/>
    <w:rsid w:val="00782D3A"/>
    <w:rsid w:val="0078317F"/>
    <w:rsid w:val="00783206"/>
    <w:rsid w:val="007832F0"/>
    <w:rsid w:val="007836F4"/>
    <w:rsid w:val="00784515"/>
    <w:rsid w:val="007849CB"/>
    <w:rsid w:val="00784B91"/>
    <w:rsid w:val="007852E9"/>
    <w:rsid w:val="007853BA"/>
    <w:rsid w:val="007858C7"/>
    <w:rsid w:val="007860C2"/>
    <w:rsid w:val="007867DB"/>
    <w:rsid w:val="00786819"/>
    <w:rsid w:val="00787737"/>
    <w:rsid w:val="007878D7"/>
    <w:rsid w:val="00787C48"/>
    <w:rsid w:val="00790573"/>
    <w:rsid w:val="00790702"/>
    <w:rsid w:val="007907E2"/>
    <w:rsid w:val="00790B15"/>
    <w:rsid w:val="00790E4C"/>
    <w:rsid w:val="00790F49"/>
    <w:rsid w:val="00791A07"/>
    <w:rsid w:val="00791FF3"/>
    <w:rsid w:val="007920D2"/>
    <w:rsid w:val="007925F1"/>
    <w:rsid w:val="00792CB6"/>
    <w:rsid w:val="007930CD"/>
    <w:rsid w:val="007930F5"/>
    <w:rsid w:val="007931CB"/>
    <w:rsid w:val="007934B7"/>
    <w:rsid w:val="007935C3"/>
    <w:rsid w:val="00793CE0"/>
    <w:rsid w:val="007943EA"/>
    <w:rsid w:val="007949CF"/>
    <w:rsid w:val="00794C20"/>
    <w:rsid w:val="00794E79"/>
    <w:rsid w:val="007951D4"/>
    <w:rsid w:val="00795370"/>
    <w:rsid w:val="007955AE"/>
    <w:rsid w:val="00795953"/>
    <w:rsid w:val="00795C15"/>
    <w:rsid w:val="00795C67"/>
    <w:rsid w:val="0079648E"/>
    <w:rsid w:val="007964FB"/>
    <w:rsid w:val="007972F4"/>
    <w:rsid w:val="00797461"/>
    <w:rsid w:val="007975B0"/>
    <w:rsid w:val="00797C46"/>
    <w:rsid w:val="007A0020"/>
    <w:rsid w:val="007A0193"/>
    <w:rsid w:val="007A020C"/>
    <w:rsid w:val="007A056B"/>
    <w:rsid w:val="007A10A0"/>
    <w:rsid w:val="007A17AA"/>
    <w:rsid w:val="007A19F6"/>
    <w:rsid w:val="007A2B65"/>
    <w:rsid w:val="007A2E40"/>
    <w:rsid w:val="007A3A60"/>
    <w:rsid w:val="007A408B"/>
    <w:rsid w:val="007A40D5"/>
    <w:rsid w:val="007A43DA"/>
    <w:rsid w:val="007A480A"/>
    <w:rsid w:val="007A4937"/>
    <w:rsid w:val="007A5097"/>
    <w:rsid w:val="007A5617"/>
    <w:rsid w:val="007A5A97"/>
    <w:rsid w:val="007A6400"/>
    <w:rsid w:val="007A66F0"/>
    <w:rsid w:val="007A678D"/>
    <w:rsid w:val="007A690B"/>
    <w:rsid w:val="007A698B"/>
    <w:rsid w:val="007A6F9F"/>
    <w:rsid w:val="007A7096"/>
    <w:rsid w:val="007A78B3"/>
    <w:rsid w:val="007A7D14"/>
    <w:rsid w:val="007B0245"/>
    <w:rsid w:val="007B031E"/>
    <w:rsid w:val="007B083F"/>
    <w:rsid w:val="007B0880"/>
    <w:rsid w:val="007B0956"/>
    <w:rsid w:val="007B0D01"/>
    <w:rsid w:val="007B0F55"/>
    <w:rsid w:val="007B19B1"/>
    <w:rsid w:val="007B1E43"/>
    <w:rsid w:val="007B1F52"/>
    <w:rsid w:val="007B2002"/>
    <w:rsid w:val="007B2085"/>
    <w:rsid w:val="007B24A3"/>
    <w:rsid w:val="007B2ED0"/>
    <w:rsid w:val="007B2F9A"/>
    <w:rsid w:val="007B2FDC"/>
    <w:rsid w:val="007B38A0"/>
    <w:rsid w:val="007B38B7"/>
    <w:rsid w:val="007B3932"/>
    <w:rsid w:val="007B4F7B"/>
    <w:rsid w:val="007B53B7"/>
    <w:rsid w:val="007B583D"/>
    <w:rsid w:val="007B5863"/>
    <w:rsid w:val="007B5C9B"/>
    <w:rsid w:val="007B6684"/>
    <w:rsid w:val="007B6B21"/>
    <w:rsid w:val="007B7024"/>
    <w:rsid w:val="007B74B9"/>
    <w:rsid w:val="007B74F7"/>
    <w:rsid w:val="007C0390"/>
    <w:rsid w:val="007C0783"/>
    <w:rsid w:val="007C085E"/>
    <w:rsid w:val="007C0988"/>
    <w:rsid w:val="007C1180"/>
    <w:rsid w:val="007C14A2"/>
    <w:rsid w:val="007C1A85"/>
    <w:rsid w:val="007C1FB4"/>
    <w:rsid w:val="007C2086"/>
    <w:rsid w:val="007C23CD"/>
    <w:rsid w:val="007C2729"/>
    <w:rsid w:val="007C27F9"/>
    <w:rsid w:val="007C29C0"/>
    <w:rsid w:val="007C300E"/>
    <w:rsid w:val="007C328D"/>
    <w:rsid w:val="007C336F"/>
    <w:rsid w:val="007C380E"/>
    <w:rsid w:val="007C3C06"/>
    <w:rsid w:val="007C3F5D"/>
    <w:rsid w:val="007C41B1"/>
    <w:rsid w:val="007C46BA"/>
    <w:rsid w:val="007C4B57"/>
    <w:rsid w:val="007C4E36"/>
    <w:rsid w:val="007C5717"/>
    <w:rsid w:val="007C5727"/>
    <w:rsid w:val="007C5B38"/>
    <w:rsid w:val="007C603C"/>
    <w:rsid w:val="007C6184"/>
    <w:rsid w:val="007C6195"/>
    <w:rsid w:val="007C61BB"/>
    <w:rsid w:val="007C6322"/>
    <w:rsid w:val="007C6901"/>
    <w:rsid w:val="007C69B4"/>
    <w:rsid w:val="007C6DED"/>
    <w:rsid w:val="007C7039"/>
    <w:rsid w:val="007C7154"/>
    <w:rsid w:val="007C76F1"/>
    <w:rsid w:val="007C7931"/>
    <w:rsid w:val="007C7F31"/>
    <w:rsid w:val="007D01A9"/>
    <w:rsid w:val="007D073B"/>
    <w:rsid w:val="007D0820"/>
    <w:rsid w:val="007D0DBA"/>
    <w:rsid w:val="007D15F8"/>
    <w:rsid w:val="007D1E20"/>
    <w:rsid w:val="007D30B7"/>
    <w:rsid w:val="007D328A"/>
    <w:rsid w:val="007D32B4"/>
    <w:rsid w:val="007D364C"/>
    <w:rsid w:val="007D481A"/>
    <w:rsid w:val="007D571E"/>
    <w:rsid w:val="007D67A3"/>
    <w:rsid w:val="007D68DE"/>
    <w:rsid w:val="007D6A22"/>
    <w:rsid w:val="007D6DE4"/>
    <w:rsid w:val="007D6E4C"/>
    <w:rsid w:val="007E02A5"/>
    <w:rsid w:val="007E100B"/>
    <w:rsid w:val="007E1181"/>
    <w:rsid w:val="007E15AD"/>
    <w:rsid w:val="007E189D"/>
    <w:rsid w:val="007E200B"/>
    <w:rsid w:val="007E25ED"/>
    <w:rsid w:val="007E2BC0"/>
    <w:rsid w:val="007E2BDC"/>
    <w:rsid w:val="007E2E75"/>
    <w:rsid w:val="007E365B"/>
    <w:rsid w:val="007E37DE"/>
    <w:rsid w:val="007E4243"/>
    <w:rsid w:val="007E4CF7"/>
    <w:rsid w:val="007E5829"/>
    <w:rsid w:val="007E60F2"/>
    <w:rsid w:val="007E6156"/>
    <w:rsid w:val="007E628C"/>
    <w:rsid w:val="007E7064"/>
    <w:rsid w:val="007E75B1"/>
    <w:rsid w:val="007F04F2"/>
    <w:rsid w:val="007F04FD"/>
    <w:rsid w:val="007F0C9F"/>
    <w:rsid w:val="007F0F25"/>
    <w:rsid w:val="007F0FEA"/>
    <w:rsid w:val="007F216E"/>
    <w:rsid w:val="007F2197"/>
    <w:rsid w:val="007F2506"/>
    <w:rsid w:val="007F274E"/>
    <w:rsid w:val="007F2912"/>
    <w:rsid w:val="007F2DD9"/>
    <w:rsid w:val="007F36C0"/>
    <w:rsid w:val="007F4DFA"/>
    <w:rsid w:val="007F4E48"/>
    <w:rsid w:val="007F542E"/>
    <w:rsid w:val="007F6239"/>
    <w:rsid w:val="007F67E9"/>
    <w:rsid w:val="007F6887"/>
    <w:rsid w:val="007F68B0"/>
    <w:rsid w:val="007F73E7"/>
    <w:rsid w:val="007F7891"/>
    <w:rsid w:val="007F7924"/>
    <w:rsid w:val="007F7C7B"/>
    <w:rsid w:val="007F7EF7"/>
    <w:rsid w:val="008000E1"/>
    <w:rsid w:val="008003A2"/>
    <w:rsid w:val="008003CB"/>
    <w:rsid w:val="008004F2"/>
    <w:rsid w:val="008007DA"/>
    <w:rsid w:val="00800C67"/>
    <w:rsid w:val="00801E13"/>
    <w:rsid w:val="00801E1D"/>
    <w:rsid w:val="00801FA5"/>
    <w:rsid w:val="008031CC"/>
    <w:rsid w:val="008031E0"/>
    <w:rsid w:val="0080326E"/>
    <w:rsid w:val="00803439"/>
    <w:rsid w:val="008040A2"/>
    <w:rsid w:val="00804454"/>
    <w:rsid w:val="00804632"/>
    <w:rsid w:val="008050C3"/>
    <w:rsid w:val="008054D9"/>
    <w:rsid w:val="008056C5"/>
    <w:rsid w:val="00805902"/>
    <w:rsid w:val="00805EB4"/>
    <w:rsid w:val="008060CF"/>
    <w:rsid w:val="00806211"/>
    <w:rsid w:val="00806688"/>
    <w:rsid w:val="00806D55"/>
    <w:rsid w:val="008072B2"/>
    <w:rsid w:val="00807486"/>
    <w:rsid w:val="00807A3E"/>
    <w:rsid w:val="00810338"/>
    <w:rsid w:val="00810E14"/>
    <w:rsid w:val="00810F91"/>
    <w:rsid w:val="0081187F"/>
    <w:rsid w:val="00812282"/>
    <w:rsid w:val="008122F8"/>
    <w:rsid w:val="008129CB"/>
    <w:rsid w:val="00813118"/>
    <w:rsid w:val="008136DC"/>
    <w:rsid w:val="00813F58"/>
    <w:rsid w:val="00814375"/>
    <w:rsid w:val="00814836"/>
    <w:rsid w:val="008148A9"/>
    <w:rsid w:val="008148E4"/>
    <w:rsid w:val="00814EEA"/>
    <w:rsid w:val="008157F1"/>
    <w:rsid w:val="00815A60"/>
    <w:rsid w:val="00815D43"/>
    <w:rsid w:val="00816B9A"/>
    <w:rsid w:val="00816D1D"/>
    <w:rsid w:val="00816EC2"/>
    <w:rsid w:val="00817101"/>
    <w:rsid w:val="00817484"/>
    <w:rsid w:val="008174C9"/>
    <w:rsid w:val="008201C0"/>
    <w:rsid w:val="00820974"/>
    <w:rsid w:val="00820AFE"/>
    <w:rsid w:val="00821316"/>
    <w:rsid w:val="00821B35"/>
    <w:rsid w:val="00821DC7"/>
    <w:rsid w:val="0082206B"/>
    <w:rsid w:val="0082207F"/>
    <w:rsid w:val="008224CB"/>
    <w:rsid w:val="008226A5"/>
    <w:rsid w:val="008229D3"/>
    <w:rsid w:val="00822BBD"/>
    <w:rsid w:val="00822EAC"/>
    <w:rsid w:val="008236E1"/>
    <w:rsid w:val="00823731"/>
    <w:rsid w:val="00823923"/>
    <w:rsid w:val="00823D90"/>
    <w:rsid w:val="00824450"/>
    <w:rsid w:val="00824458"/>
    <w:rsid w:val="008246F1"/>
    <w:rsid w:val="008249F7"/>
    <w:rsid w:val="00824B74"/>
    <w:rsid w:val="00824C0E"/>
    <w:rsid w:val="00824D07"/>
    <w:rsid w:val="008251E7"/>
    <w:rsid w:val="008252E5"/>
    <w:rsid w:val="0082541D"/>
    <w:rsid w:val="0082599E"/>
    <w:rsid w:val="00825E5D"/>
    <w:rsid w:val="00826108"/>
    <w:rsid w:val="00826877"/>
    <w:rsid w:val="00826947"/>
    <w:rsid w:val="00826994"/>
    <w:rsid w:val="00827027"/>
    <w:rsid w:val="00827DB5"/>
    <w:rsid w:val="00827F15"/>
    <w:rsid w:val="00830776"/>
    <w:rsid w:val="00830FD6"/>
    <w:rsid w:val="00831AD5"/>
    <w:rsid w:val="00831F8B"/>
    <w:rsid w:val="008325C1"/>
    <w:rsid w:val="00832789"/>
    <w:rsid w:val="00833390"/>
    <w:rsid w:val="00834CDC"/>
    <w:rsid w:val="00834D0A"/>
    <w:rsid w:val="00835537"/>
    <w:rsid w:val="00835699"/>
    <w:rsid w:val="00835808"/>
    <w:rsid w:val="00835EC9"/>
    <w:rsid w:val="00836DE5"/>
    <w:rsid w:val="00836E55"/>
    <w:rsid w:val="00836FA5"/>
    <w:rsid w:val="00837680"/>
    <w:rsid w:val="008376C3"/>
    <w:rsid w:val="00837A86"/>
    <w:rsid w:val="00837DA2"/>
    <w:rsid w:val="0084039D"/>
    <w:rsid w:val="008405D0"/>
    <w:rsid w:val="00840E1E"/>
    <w:rsid w:val="00841140"/>
    <w:rsid w:val="00841388"/>
    <w:rsid w:val="00841456"/>
    <w:rsid w:val="008417B8"/>
    <w:rsid w:val="008419FB"/>
    <w:rsid w:val="00841C1A"/>
    <w:rsid w:val="00841EFB"/>
    <w:rsid w:val="00841F44"/>
    <w:rsid w:val="0084205E"/>
    <w:rsid w:val="00842C82"/>
    <w:rsid w:val="00842DD1"/>
    <w:rsid w:val="00842F84"/>
    <w:rsid w:val="00843087"/>
    <w:rsid w:val="00843095"/>
    <w:rsid w:val="00843232"/>
    <w:rsid w:val="008436D7"/>
    <w:rsid w:val="008440FE"/>
    <w:rsid w:val="008450AD"/>
    <w:rsid w:val="008452EF"/>
    <w:rsid w:val="00845D66"/>
    <w:rsid w:val="00846119"/>
    <w:rsid w:val="008466DE"/>
    <w:rsid w:val="008467E7"/>
    <w:rsid w:val="00846FA7"/>
    <w:rsid w:val="008474E3"/>
    <w:rsid w:val="00847F51"/>
    <w:rsid w:val="0085042C"/>
    <w:rsid w:val="00851429"/>
    <w:rsid w:val="0085191E"/>
    <w:rsid w:val="00851C4E"/>
    <w:rsid w:val="0085225D"/>
    <w:rsid w:val="008522EB"/>
    <w:rsid w:val="008527ED"/>
    <w:rsid w:val="00852A94"/>
    <w:rsid w:val="008537F7"/>
    <w:rsid w:val="008546BE"/>
    <w:rsid w:val="00854DD8"/>
    <w:rsid w:val="008556AA"/>
    <w:rsid w:val="00855A3A"/>
    <w:rsid w:val="00855DDF"/>
    <w:rsid w:val="00856074"/>
    <w:rsid w:val="0085648E"/>
    <w:rsid w:val="008564F9"/>
    <w:rsid w:val="008569CF"/>
    <w:rsid w:val="00856F5E"/>
    <w:rsid w:val="00857949"/>
    <w:rsid w:val="00857A8D"/>
    <w:rsid w:val="00857E7D"/>
    <w:rsid w:val="008603B8"/>
    <w:rsid w:val="008603C2"/>
    <w:rsid w:val="00860562"/>
    <w:rsid w:val="00860880"/>
    <w:rsid w:val="00860AED"/>
    <w:rsid w:val="00861702"/>
    <w:rsid w:val="00861CB7"/>
    <w:rsid w:val="00861CFA"/>
    <w:rsid w:val="008624CD"/>
    <w:rsid w:val="008624F5"/>
    <w:rsid w:val="00862540"/>
    <w:rsid w:val="00862E99"/>
    <w:rsid w:val="0086328D"/>
    <w:rsid w:val="00863721"/>
    <w:rsid w:val="00863D32"/>
    <w:rsid w:val="00864490"/>
    <w:rsid w:val="00864878"/>
    <w:rsid w:val="00864B26"/>
    <w:rsid w:val="00864C37"/>
    <w:rsid w:val="00864E6D"/>
    <w:rsid w:val="0086502A"/>
    <w:rsid w:val="00865031"/>
    <w:rsid w:val="008650B9"/>
    <w:rsid w:val="00865406"/>
    <w:rsid w:val="0086579B"/>
    <w:rsid w:val="008661B5"/>
    <w:rsid w:val="00866C24"/>
    <w:rsid w:val="008674CA"/>
    <w:rsid w:val="008674E4"/>
    <w:rsid w:val="00867752"/>
    <w:rsid w:val="0087009E"/>
    <w:rsid w:val="00870A03"/>
    <w:rsid w:val="00870B35"/>
    <w:rsid w:val="00870E3A"/>
    <w:rsid w:val="00870F86"/>
    <w:rsid w:val="008715B2"/>
    <w:rsid w:val="00871ECA"/>
    <w:rsid w:val="0087201E"/>
    <w:rsid w:val="0087277A"/>
    <w:rsid w:val="0087295A"/>
    <w:rsid w:val="00872A47"/>
    <w:rsid w:val="00872C5F"/>
    <w:rsid w:val="00872DFB"/>
    <w:rsid w:val="008736E2"/>
    <w:rsid w:val="00874565"/>
    <w:rsid w:val="00874B4E"/>
    <w:rsid w:val="00874BE3"/>
    <w:rsid w:val="008751BA"/>
    <w:rsid w:val="008757A7"/>
    <w:rsid w:val="00876D0B"/>
    <w:rsid w:val="00877117"/>
    <w:rsid w:val="00877247"/>
    <w:rsid w:val="0087732E"/>
    <w:rsid w:val="008773AE"/>
    <w:rsid w:val="00877CCE"/>
    <w:rsid w:val="00877D6F"/>
    <w:rsid w:val="008801AE"/>
    <w:rsid w:val="008801D2"/>
    <w:rsid w:val="008805C8"/>
    <w:rsid w:val="008807B6"/>
    <w:rsid w:val="00880A62"/>
    <w:rsid w:val="00880AA3"/>
    <w:rsid w:val="00880D0F"/>
    <w:rsid w:val="00880E11"/>
    <w:rsid w:val="0088189C"/>
    <w:rsid w:val="0088194D"/>
    <w:rsid w:val="00881BC2"/>
    <w:rsid w:val="00881BF8"/>
    <w:rsid w:val="00882C7A"/>
    <w:rsid w:val="00882D27"/>
    <w:rsid w:val="00882F40"/>
    <w:rsid w:val="008838AA"/>
    <w:rsid w:val="0088421C"/>
    <w:rsid w:val="0088445B"/>
    <w:rsid w:val="00884AA3"/>
    <w:rsid w:val="00884B96"/>
    <w:rsid w:val="00884D6D"/>
    <w:rsid w:val="0088511A"/>
    <w:rsid w:val="00886190"/>
    <w:rsid w:val="00886232"/>
    <w:rsid w:val="0088635A"/>
    <w:rsid w:val="00886579"/>
    <w:rsid w:val="0088751F"/>
    <w:rsid w:val="0088785B"/>
    <w:rsid w:val="00887895"/>
    <w:rsid w:val="008878D1"/>
    <w:rsid w:val="008878FB"/>
    <w:rsid w:val="008900B1"/>
    <w:rsid w:val="00890375"/>
    <w:rsid w:val="00890C47"/>
    <w:rsid w:val="00891256"/>
    <w:rsid w:val="00891547"/>
    <w:rsid w:val="00891A01"/>
    <w:rsid w:val="00891AF6"/>
    <w:rsid w:val="00891BC3"/>
    <w:rsid w:val="00892391"/>
    <w:rsid w:val="0089282C"/>
    <w:rsid w:val="00892C59"/>
    <w:rsid w:val="00892E22"/>
    <w:rsid w:val="00892F0C"/>
    <w:rsid w:val="00893381"/>
    <w:rsid w:val="00893658"/>
    <w:rsid w:val="008936F5"/>
    <w:rsid w:val="008937C8"/>
    <w:rsid w:val="0089401B"/>
    <w:rsid w:val="0089470A"/>
    <w:rsid w:val="008949F2"/>
    <w:rsid w:val="00895843"/>
    <w:rsid w:val="00895AA9"/>
    <w:rsid w:val="00896173"/>
    <w:rsid w:val="0089667F"/>
    <w:rsid w:val="008967C4"/>
    <w:rsid w:val="00896A4F"/>
    <w:rsid w:val="00896B73"/>
    <w:rsid w:val="00896E1A"/>
    <w:rsid w:val="00897AB0"/>
    <w:rsid w:val="008A03F6"/>
    <w:rsid w:val="008A07F0"/>
    <w:rsid w:val="008A0D2A"/>
    <w:rsid w:val="008A11AE"/>
    <w:rsid w:val="008A1693"/>
    <w:rsid w:val="008A1A94"/>
    <w:rsid w:val="008A21A6"/>
    <w:rsid w:val="008A254F"/>
    <w:rsid w:val="008A2630"/>
    <w:rsid w:val="008A2D9F"/>
    <w:rsid w:val="008A3E09"/>
    <w:rsid w:val="008A489C"/>
    <w:rsid w:val="008A4A39"/>
    <w:rsid w:val="008A536B"/>
    <w:rsid w:val="008A5833"/>
    <w:rsid w:val="008A5E8F"/>
    <w:rsid w:val="008A617F"/>
    <w:rsid w:val="008A692A"/>
    <w:rsid w:val="008A6C62"/>
    <w:rsid w:val="008A746A"/>
    <w:rsid w:val="008A79E6"/>
    <w:rsid w:val="008A7C88"/>
    <w:rsid w:val="008A7DCF"/>
    <w:rsid w:val="008B0090"/>
    <w:rsid w:val="008B02C7"/>
    <w:rsid w:val="008B06B8"/>
    <w:rsid w:val="008B095F"/>
    <w:rsid w:val="008B0A40"/>
    <w:rsid w:val="008B0B7D"/>
    <w:rsid w:val="008B1A45"/>
    <w:rsid w:val="008B1A85"/>
    <w:rsid w:val="008B1AFC"/>
    <w:rsid w:val="008B1B92"/>
    <w:rsid w:val="008B2189"/>
    <w:rsid w:val="008B23DA"/>
    <w:rsid w:val="008B2696"/>
    <w:rsid w:val="008B2BB1"/>
    <w:rsid w:val="008B2CC4"/>
    <w:rsid w:val="008B2E2D"/>
    <w:rsid w:val="008B3947"/>
    <w:rsid w:val="008B39DA"/>
    <w:rsid w:val="008B3A88"/>
    <w:rsid w:val="008B3AE3"/>
    <w:rsid w:val="008B44CF"/>
    <w:rsid w:val="008B4BFC"/>
    <w:rsid w:val="008B4C97"/>
    <w:rsid w:val="008B501C"/>
    <w:rsid w:val="008B51B4"/>
    <w:rsid w:val="008B5ABD"/>
    <w:rsid w:val="008B5B67"/>
    <w:rsid w:val="008B5D7A"/>
    <w:rsid w:val="008B6379"/>
    <w:rsid w:val="008B66E3"/>
    <w:rsid w:val="008B6755"/>
    <w:rsid w:val="008B68E5"/>
    <w:rsid w:val="008B7289"/>
    <w:rsid w:val="008B72DB"/>
    <w:rsid w:val="008B7848"/>
    <w:rsid w:val="008B789B"/>
    <w:rsid w:val="008B79E7"/>
    <w:rsid w:val="008B7F2D"/>
    <w:rsid w:val="008B7F63"/>
    <w:rsid w:val="008C00CB"/>
    <w:rsid w:val="008C00CC"/>
    <w:rsid w:val="008C049C"/>
    <w:rsid w:val="008C0765"/>
    <w:rsid w:val="008C0A80"/>
    <w:rsid w:val="008C0C2A"/>
    <w:rsid w:val="008C1055"/>
    <w:rsid w:val="008C1112"/>
    <w:rsid w:val="008C1870"/>
    <w:rsid w:val="008C1E05"/>
    <w:rsid w:val="008C2097"/>
    <w:rsid w:val="008C20BD"/>
    <w:rsid w:val="008C3421"/>
    <w:rsid w:val="008C34BB"/>
    <w:rsid w:val="008C3962"/>
    <w:rsid w:val="008C3CCD"/>
    <w:rsid w:val="008C45E2"/>
    <w:rsid w:val="008C46BD"/>
    <w:rsid w:val="008C47C7"/>
    <w:rsid w:val="008C4966"/>
    <w:rsid w:val="008C4B6E"/>
    <w:rsid w:val="008C4F25"/>
    <w:rsid w:val="008C5099"/>
    <w:rsid w:val="008C51B0"/>
    <w:rsid w:val="008C56C6"/>
    <w:rsid w:val="008C579A"/>
    <w:rsid w:val="008C591B"/>
    <w:rsid w:val="008C5D0B"/>
    <w:rsid w:val="008C6796"/>
    <w:rsid w:val="008C7651"/>
    <w:rsid w:val="008C7992"/>
    <w:rsid w:val="008C7E1A"/>
    <w:rsid w:val="008C7ED9"/>
    <w:rsid w:val="008D009B"/>
    <w:rsid w:val="008D01DC"/>
    <w:rsid w:val="008D0569"/>
    <w:rsid w:val="008D14D5"/>
    <w:rsid w:val="008D17A1"/>
    <w:rsid w:val="008D2117"/>
    <w:rsid w:val="008D2487"/>
    <w:rsid w:val="008D282C"/>
    <w:rsid w:val="008D2A5E"/>
    <w:rsid w:val="008D2D4F"/>
    <w:rsid w:val="008D3181"/>
    <w:rsid w:val="008D3726"/>
    <w:rsid w:val="008D3991"/>
    <w:rsid w:val="008D4317"/>
    <w:rsid w:val="008D43FE"/>
    <w:rsid w:val="008D4C80"/>
    <w:rsid w:val="008D4CB0"/>
    <w:rsid w:val="008D4D45"/>
    <w:rsid w:val="008D4DEF"/>
    <w:rsid w:val="008D5666"/>
    <w:rsid w:val="008D581E"/>
    <w:rsid w:val="008D5B7E"/>
    <w:rsid w:val="008D5D51"/>
    <w:rsid w:val="008D5F48"/>
    <w:rsid w:val="008D6397"/>
    <w:rsid w:val="008D66E4"/>
    <w:rsid w:val="008D6875"/>
    <w:rsid w:val="008D6B7A"/>
    <w:rsid w:val="008D72FC"/>
    <w:rsid w:val="008D73C9"/>
    <w:rsid w:val="008D7ADD"/>
    <w:rsid w:val="008D7EC4"/>
    <w:rsid w:val="008E039C"/>
    <w:rsid w:val="008E0BC8"/>
    <w:rsid w:val="008E12B8"/>
    <w:rsid w:val="008E16BF"/>
    <w:rsid w:val="008E210F"/>
    <w:rsid w:val="008E21FA"/>
    <w:rsid w:val="008E22A4"/>
    <w:rsid w:val="008E22DE"/>
    <w:rsid w:val="008E237C"/>
    <w:rsid w:val="008E2391"/>
    <w:rsid w:val="008E293C"/>
    <w:rsid w:val="008E2B5F"/>
    <w:rsid w:val="008E2CB8"/>
    <w:rsid w:val="008E2E7E"/>
    <w:rsid w:val="008E3049"/>
    <w:rsid w:val="008E35A3"/>
    <w:rsid w:val="008E3DB6"/>
    <w:rsid w:val="008E4169"/>
    <w:rsid w:val="008E44BB"/>
    <w:rsid w:val="008E4DD7"/>
    <w:rsid w:val="008E5466"/>
    <w:rsid w:val="008E6B39"/>
    <w:rsid w:val="008E7158"/>
    <w:rsid w:val="008E71AD"/>
    <w:rsid w:val="008E7274"/>
    <w:rsid w:val="008E7E05"/>
    <w:rsid w:val="008F0562"/>
    <w:rsid w:val="008F0A23"/>
    <w:rsid w:val="008F15F4"/>
    <w:rsid w:val="008F162B"/>
    <w:rsid w:val="008F2098"/>
    <w:rsid w:val="008F22CB"/>
    <w:rsid w:val="008F260B"/>
    <w:rsid w:val="008F2B9D"/>
    <w:rsid w:val="008F2C0D"/>
    <w:rsid w:val="008F2D6E"/>
    <w:rsid w:val="008F3075"/>
    <w:rsid w:val="008F3908"/>
    <w:rsid w:val="008F3FC6"/>
    <w:rsid w:val="008F4A10"/>
    <w:rsid w:val="008F4AEF"/>
    <w:rsid w:val="008F4CA1"/>
    <w:rsid w:val="008F50D8"/>
    <w:rsid w:val="008F60FC"/>
    <w:rsid w:val="008F6BC2"/>
    <w:rsid w:val="008F74E9"/>
    <w:rsid w:val="008F7724"/>
    <w:rsid w:val="008F7872"/>
    <w:rsid w:val="0090038C"/>
    <w:rsid w:val="00900535"/>
    <w:rsid w:val="00900691"/>
    <w:rsid w:val="00900D5B"/>
    <w:rsid w:val="009012A6"/>
    <w:rsid w:val="009012B4"/>
    <w:rsid w:val="00901547"/>
    <w:rsid w:val="00901644"/>
    <w:rsid w:val="009018B0"/>
    <w:rsid w:val="009022EE"/>
    <w:rsid w:val="00902385"/>
    <w:rsid w:val="009023AD"/>
    <w:rsid w:val="009023D2"/>
    <w:rsid w:val="00902457"/>
    <w:rsid w:val="0090295D"/>
    <w:rsid w:val="00902A80"/>
    <w:rsid w:val="00902AE9"/>
    <w:rsid w:val="0090368E"/>
    <w:rsid w:val="00903A02"/>
    <w:rsid w:val="0090477C"/>
    <w:rsid w:val="009049EF"/>
    <w:rsid w:val="00904C52"/>
    <w:rsid w:val="00905CE9"/>
    <w:rsid w:val="00905D27"/>
    <w:rsid w:val="009061EC"/>
    <w:rsid w:val="00906E65"/>
    <w:rsid w:val="00907BBC"/>
    <w:rsid w:val="0091025D"/>
    <w:rsid w:val="009102A9"/>
    <w:rsid w:val="009102FF"/>
    <w:rsid w:val="009110E2"/>
    <w:rsid w:val="0091127D"/>
    <w:rsid w:val="00911F05"/>
    <w:rsid w:val="009123A5"/>
    <w:rsid w:val="00912820"/>
    <w:rsid w:val="00912878"/>
    <w:rsid w:val="009130FC"/>
    <w:rsid w:val="00913608"/>
    <w:rsid w:val="00913698"/>
    <w:rsid w:val="0091399A"/>
    <w:rsid w:val="00913A23"/>
    <w:rsid w:val="00914021"/>
    <w:rsid w:val="009144D5"/>
    <w:rsid w:val="00914A17"/>
    <w:rsid w:val="00914DC6"/>
    <w:rsid w:val="00914DE0"/>
    <w:rsid w:val="00915437"/>
    <w:rsid w:val="00915830"/>
    <w:rsid w:val="00915F98"/>
    <w:rsid w:val="00915FA3"/>
    <w:rsid w:val="0091649C"/>
    <w:rsid w:val="00916C0D"/>
    <w:rsid w:val="0091703D"/>
    <w:rsid w:val="009174BA"/>
    <w:rsid w:val="00917528"/>
    <w:rsid w:val="00917666"/>
    <w:rsid w:val="0091786B"/>
    <w:rsid w:val="00917970"/>
    <w:rsid w:val="009201C9"/>
    <w:rsid w:val="00920517"/>
    <w:rsid w:val="0092098C"/>
    <w:rsid w:val="009217F8"/>
    <w:rsid w:val="00921E69"/>
    <w:rsid w:val="00921E95"/>
    <w:rsid w:val="00921EC9"/>
    <w:rsid w:val="009221E1"/>
    <w:rsid w:val="00922256"/>
    <w:rsid w:val="009224CF"/>
    <w:rsid w:val="0092251B"/>
    <w:rsid w:val="00922528"/>
    <w:rsid w:val="00923107"/>
    <w:rsid w:val="00923C32"/>
    <w:rsid w:val="00923F48"/>
    <w:rsid w:val="00924078"/>
    <w:rsid w:val="009240C9"/>
    <w:rsid w:val="0092465C"/>
    <w:rsid w:val="0092470E"/>
    <w:rsid w:val="00924A42"/>
    <w:rsid w:val="00924FC5"/>
    <w:rsid w:val="0092503F"/>
    <w:rsid w:val="009250E1"/>
    <w:rsid w:val="00925187"/>
    <w:rsid w:val="009253BD"/>
    <w:rsid w:val="00925840"/>
    <w:rsid w:val="00925DCC"/>
    <w:rsid w:val="009261C6"/>
    <w:rsid w:val="009262AB"/>
    <w:rsid w:val="00926795"/>
    <w:rsid w:val="00926B8F"/>
    <w:rsid w:val="0092709C"/>
    <w:rsid w:val="009270A3"/>
    <w:rsid w:val="0092717F"/>
    <w:rsid w:val="00927361"/>
    <w:rsid w:val="00927744"/>
    <w:rsid w:val="0092788F"/>
    <w:rsid w:val="00927B05"/>
    <w:rsid w:val="009305FA"/>
    <w:rsid w:val="00930B74"/>
    <w:rsid w:val="00930D62"/>
    <w:rsid w:val="00930E8D"/>
    <w:rsid w:val="00930F4E"/>
    <w:rsid w:val="009310B2"/>
    <w:rsid w:val="00931E3E"/>
    <w:rsid w:val="0093324D"/>
    <w:rsid w:val="00933822"/>
    <w:rsid w:val="0093397E"/>
    <w:rsid w:val="00933E50"/>
    <w:rsid w:val="0093416B"/>
    <w:rsid w:val="00934347"/>
    <w:rsid w:val="009343D8"/>
    <w:rsid w:val="0093464B"/>
    <w:rsid w:val="00934E07"/>
    <w:rsid w:val="00935B53"/>
    <w:rsid w:val="00936062"/>
    <w:rsid w:val="0093628C"/>
    <w:rsid w:val="00936F87"/>
    <w:rsid w:val="0093742F"/>
    <w:rsid w:val="00937C4C"/>
    <w:rsid w:val="00937CBE"/>
    <w:rsid w:val="009403EA"/>
    <w:rsid w:val="00940956"/>
    <w:rsid w:val="00940DE8"/>
    <w:rsid w:val="0094151C"/>
    <w:rsid w:val="0094192D"/>
    <w:rsid w:val="00941F70"/>
    <w:rsid w:val="009425C7"/>
    <w:rsid w:val="0094284D"/>
    <w:rsid w:val="00942BA4"/>
    <w:rsid w:val="00942E6D"/>
    <w:rsid w:val="00943199"/>
    <w:rsid w:val="00943A7B"/>
    <w:rsid w:val="00944087"/>
    <w:rsid w:val="00944E74"/>
    <w:rsid w:val="0094526A"/>
    <w:rsid w:val="0094592D"/>
    <w:rsid w:val="009460FD"/>
    <w:rsid w:val="009468EC"/>
    <w:rsid w:val="00946B42"/>
    <w:rsid w:val="00946D5C"/>
    <w:rsid w:val="00946F57"/>
    <w:rsid w:val="00947634"/>
    <w:rsid w:val="0095012E"/>
    <w:rsid w:val="009505C2"/>
    <w:rsid w:val="00950659"/>
    <w:rsid w:val="0095097E"/>
    <w:rsid w:val="00950B27"/>
    <w:rsid w:val="00951574"/>
    <w:rsid w:val="009517DF"/>
    <w:rsid w:val="00951934"/>
    <w:rsid w:val="0095207B"/>
    <w:rsid w:val="0095248D"/>
    <w:rsid w:val="00952A1C"/>
    <w:rsid w:val="00952A9C"/>
    <w:rsid w:val="00952FA3"/>
    <w:rsid w:val="0095357F"/>
    <w:rsid w:val="009547B5"/>
    <w:rsid w:val="00954C8C"/>
    <w:rsid w:val="00954F74"/>
    <w:rsid w:val="009551B3"/>
    <w:rsid w:val="009551E2"/>
    <w:rsid w:val="0095553E"/>
    <w:rsid w:val="00955F37"/>
    <w:rsid w:val="0095611A"/>
    <w:rsid w:val="009561DD"/>
    <w:rsid w:val="009562B9"/>
    <w:rsid w:val="0095668C"/>
    <w:rsid w:val="00956ACE"/>
    <w:rsid w:val="009572A0"/>
    <w:rsid w:val="00957C71"/>
    <w:rsid w:val="00957D24"/>
    <w:rsid w:val="009600C6"/>
    <w:rsid w:val="009608F5"/>
    <w:rsid w:val="00960A4F"/>
    <w:rsid w:val="00960DCF"/>
    <w:rsid w:val="00960DE7"/>
    <w:rsid w:val="00960F36"/>
    <w:rsid w:val="009615CB"/>
    <w:rsid w:val="00961B53"/>
    <w:rsid w:val="00961DDE"/>
    <w:rsid w:val="00961FA8"/>
    <w:rsid w:val="009620E3"/>
    <w:rsid w:val="00962533"/>
    <w:rsid w:val="00963264"/>
    <w:rsid w:val="0096389D"/>
    <w:rsid w:val="00963C6A"/>
    <w:rsid w:val="00963E20"/>
    <w:rsid w:val="009644F8"/>
    <w:rsid w:val="00965B44"/>
    <w:rsid w:val="00965E80"/>
    <w:rsid w:val="00965EBD"/>
    <w:rsid w:val="00965FC0"/>
    <w:rsid w:val="00966E8E"/>
    <w:rsid w:val="00967549"/>
    <w:rsid w:val="009676C0"/>
    <w:rsid w:val="00967808"/>
    <w:rsid w:val="00970804"/>
    <w:rsid w:val="00970A37"/>
    <w:rsid w:val="00970EF7"/>
    <w:rsid w:val="00971C6E"/>
    <w:rsid w:val="00972296"/>
    <w:rsid w:val="00972C42"/>
    <w:rsid w:val="009731D5"/>
    <w:rsid w:val="00973582"/>
    <w:rsid w:val="009735E4"/>
    <w:rsid w:val="0097368C"/>
    <w:rsid w:val="0097413E"/>
    <w:rsid w:val="00974401"/>
    <w:rsid w:val="00974558"/>
    <w:rsid w:val="009746CA"/>
    <w:rsid w:val="00974988"/>
    <w:rsid w:val="00974C99"/>
    <w:rsid w:val="00975080"/>
    <w:rsid w:val="0097545D"/>
    <w:rsid w:val="009759C9"/>
    <w:rsid w:val="00975C60"/>
    <w:rsid w:val="00975EEB"/>
    <w:rsid w:val="0097615A"/>
    <w:rsid w:val="009765F7"/>
    <w:rsid w:val="00976DD0"/>
    <w:rsid w:val="00977357"/>
    <w:rsid w:val="0097784A"/>
    <w:rsid w:val="00977BF7"/>
    <w:rsid w:val="009803A9"/>
    <w:rsid w:val="009803CB"/>
    <w:rsid w:val="009803D4"/>
    <w:rsid w:val="00980715"/>
    <w:rsid w:val="009807A2"/>
    <w:rsid w:val="00980810"/>
    <w:rsid w:val="00980E8F"/>
    <w:rsid w:val="00980F07"/>
    <w:rsid w:val="0098100B"/>
    <w:rsid w:val="009811A8"/>
    <w:rsid w:val="0098120B"/>
    <w:rsid w:val="0098199C"/>
    <w:rsid w:val="00981A03"/>
    <w:rsid w:val="00981CD2"/>
    <w:rsid w:val="00981F3C"/>
    <w:rsid w:val="0098268D"/>
    <w:rsid w:val="00982DDC"/>
    <w:rsid w:val="00982E0F"/>
    <w:rsid w:val="009832A5"/>
    <w:rsid w:val="00983854"/>
    <w:rsid w:val="00983B8D"/>
    <w:rsid w:val="0098482B"/>
    <w:rsid w:val="009853F6"/>
    <w:rsid w:val="00985B60"/>
    <w:rsid w:val="00985BC3"/>
    <w:rsid w:val="00986637"/>
    <w:rsid w:val="00986CBC"/>
    <w:rsid w:val="00986EAF"/>
    <w:rsid w:val="009873F3"/>
    <w:rsid w:val="009878CE"/>
    <w:rsid w:val="0098791F"/>
    <w:rsid w:val="00987C27"/>
    <w:rsid w:val="009902D8"/>
    <w:rsid w:val="00990596"/>
    <w:rsid w:val="00990813"/>
    <w:rsid w:val="009912E9"/>
    <w:rsid w:val="00991413"/>
    <w:rsid w:val="00991666"/>
    <w:rsid w:val="00991BD0"/>
    <w:rsid w:val="00992109"/>
    <w:rsid w:val="00992509"/>
    <w:rsid w:val="00992863"/>
    <w:rsid w:val="00992C57"/>
    <w:rsid w:val="00992E44"/>
    <w:rsid w:val="00992EB9"/>
    <w:rsid w:val="00992FC1"/>
    <w:rsid w:val="00993874"/>
    <w:rsid w:val="0099451F"/>
    <w:rsid w:val="009945CA"/>
    <w:rsid w:val="009945D7"/>
    <w:rsid w:val="009945E8"/>
    <w:rsid w:val="00994B01"/>
    <w:rsid w:val="00994B8A"/>
    <w:rsid w:val="00994C8B"/>
    <w:rsid w:val="00994DA1"/>
    <w:rsid w:val="00994EF0"/>
    <w:rsid w:val="0099517C"/>
    <w:rsid w:val="00995B70"/>
    <w:rsid w:val="00995E98"/>
    <w:rsid w:val="00996931"/>
    <w:rsid w:val="00996F15"/>
    <w:rsid w:val="00997889"/>
    <w:rsid w:val="00997906"/>
    <w:rsid w:val="0099798B"/>
    <w:rsid w:val="00997BA8"/>
    <w:rsid w:val="009A06F4"/>
    <w:rsid w:val="009A0D4A"/>
    <w:rsid w:val="009A13D0"/>
    <w:rsid w:val="009A160C"/>
    <w:rsid w:val="009A232D"/>
    <w:rsid w:val="009A2617"/>
    <w:rsid w:val="009A29A0"/>
    <w:rsid w:val="009A3778"/>
    <w:rsid w:val="009A3968"/>
    <w:rsid w:val="009A3CC5"/>
    <w:rsid w:val="009A3E2E"/>
    <w:rsid w:val="009A4239"/>
    <w:rsid w:val="009A4535"/>
    <w:rsid w:val="009A7511"/>
    <w:rsid w:val="009A7F34"/>
    <w:rsid w:val="009B1424"/>
    <w:rsid w:val="009B1A0C"/>
    <w:rsid w:val="009B2245"/>
    <w:rsid w:val="009B244F"/>
    <w:rsid w:val="009B258E"/>
    <w:rsid w:val="009B2914"/>
    <w:rsid w:val="009B2E69"/>
    <w:rsid w:val="009B3055"/>
    <w:rsid w:val="009B346F"/>
    <w:rsid w:val="009B34E1"/>
    <w:rsid w:val="009B3657"/>
    <w:rsid w:val="009B3D24"/>
    <w:rsid w:val="009B3EE1"/>
    <w:rsid w:val="009B4005"/>
    <w:rsid w:val="009B4424"/>
    <w:rsid w:val="009B46F0"/>
    <w:rsid w:val="009B4B16"/>
    <w:rsid w:val="009B57DE"/>
    <w:rsid w:val="009B5997"/>
    <w:rsid w:val="009B68F9"/>
    <w:rsid w:val="009B6B23"/>
    <w:rsid w:val="009B7ABD"/>
    <w:rsid w:val="009C02A3"/>
    <w:rsid w:val="009C03BD"/>
    <w:rsid w:val="009C14D8"/>
    <w:rsid w:val="009C15D3"/>
    <w:rsid w:val="009C1D27"/>
    <w:rsid w:val="009C21FF"/>
    <w:rsid w:val="009C2241"/>
    <w:rsid w:val="009C380E"/>
    <w:rsid w:val="009C3836"/>
    <w:rsid w:val="009C3BD9"/>
    <w:rsid w:val="009C40EF"/>
    <w:rsid w:val="009C4416"/>
    <w:rsid w:val="009C4B80"/>
    <w:rsid w:val="009C5189"/>
    <w:rsid w:val="009C525E"/>
    <w:rsid w:val="009C5A35"/>
    <w:rsid w:val="009C5A7E"/>
    <w:rsid w:val="009C5B82"/>
    <w:rsid w:val="009C604A"/>
    <w:rsid w:val="009C63CC"/>
    <w:rsid w:val="009C6564"/>
    <w:rsid w:val="009C6639"/>
    <w:rsid w:val="009C6A36"/>
    <w:rsid w:val="009C756E"/>
    <w:rsid w:val="009C7A79"/>
    <w:rsid w:val="009C7D91"/>
    <w:rsid w:val="009D0142"/>
    <w:rsid w:val="009D0860"/>
    <w:rsid w:val="009D093E"/>
    <w:rsid w:val="009D0A61"/>
    <w:rsid w:val="009D1007"/>
    <w:rsid w:val="009D13F7"/>
    <w:rsid w:val="009D1FA3"/>
    <w:rsid w:val="009D21BE"/>
    <w:rsid w:val="009D24EB"/>
    <w:rsid w:val="009D2500"/>
    <w:rsid w:val="009D3077"/>
    <w:rsid w:val="009D30A6"/>
    <w:rsid w:val="009D3C3D"/>
    <w:rsid w:val="009D3DB7"/>
    <w:rsid w:val="009D3E96"/>
    <w:rsid w:val="009D4A42"/>
    <w:rsid w:val="009D4BF0"/>
    <w:rsid w:val="009D4CDA"/>
    <w:rsid w:val="009D5288"/>
    <w:rsid w:val="009D538A"/>
    <w:rsid w:val="009D58F3"/>
    <w:rsid w:val="009D6105"/>
    <w:rsid w:val="009D62A7"/>
    <w:rsid w:val="009D62AD"/>
    <w:rsid w:val="009D645A"/>
    <w:rsid w:val="009D65A1"/>
    <w:rsid w:val="009D6B59"/>
    <w:rsid w:val="009D6D5C"/>
    <w:rsid w:val="009D6D7C"/>
    <w:rsid w:val="009D7584"/>
    <w:rsid w:val="009D7B1E"/>
    <w:rsid w:val="009E04BB"/>
    <w:rsid w:val="009E05B8"/>
    <w:rsid w:val="009E1817"/>
    <w:rsid w:val="009E184C"/>
    <w:rsid w:val="009E229F"/>
    <w:rsid w:val="009E24CB"/>
    <w:rsid w:val="009E2858"/>
    <w:rsid w:val="009E2876"/>
    <w:rsid w:val="009E2941"/>
    <w:rsid w:val="009E2944"/>
    <w:rsid w:val="009E2AD3"/>
    <w:rsid w:val="009E3492"/>
    <w:rsid w:val="009E35DE"/>
    <w:rsid w:val="009E3B53"/>
    <w:rsid w:val="009E3D92"/>
    <w:rsid w:val="009E3F61"/>
    <w:rsid w:val="009E4668"/>
    <w:rsid w:val="009E47E5"/>
    <w:rsid w:val="009E4A6A"/>
    <w:rsid w:val="009E5047"/>
    <w:rsid w:val="009E5ACA"/>
    <w:rsid w:val="009E5DB6"/>
    <w:rsid w:val="009E6324"/>
    <w:rsid w:val="009E632C"/>
    <w:rsid w:val="009E65E7"/>
    <w:rsid w:val="009E6EFD"/>
    <w:rsid w:val="009E739F"/>
    <w:rsid w:val="009E747E"/>
    <w:rsid w:val="009E7585"/>
    <w:rsid w:val="009E77A3"/>
    <w:rsid w:val="009E7A5F"/>
    <w:rsid w:val="009E7CE3"/>
    <w:rsid w:val="009F146F"/>
    <w:rsid w:val="009F1F5D"/>
    <w:rsid w:val="009F2117"/>
    <w:rsid w:val="009F216A"/>
    <w:rsid w:val="009F24B3"/>
    <w:rsid w:val="009F2F92"/>
    <w:rsid w:val="009F3BE5"/>
    <w:rsid w:val="009F3C75"/>
    <w:rsid w:val="009F3C85"/>
    <w:rsid w:val="009F426A"/>
    <w:rsid w:val="009F42E4"/>
    <w:rsid w:val="009F4AB6"/>
    <w:rsid w:val="009F4CBE"/>
    <w:rsid w:val="009F50A7"/>
    <w:rsid w:val="009F533B"/>
    <w:rsid w:val="009F577E"/>
    <w:rsid w:val="009F5C19"/>
    <w:rsid w:val="009F6717"/>
    <w:rsid w:val="009F6C37"/>
    <w:rsid w:val="009F7110"/>
    <w:rsid w:val="009F7B56"/>
    <w:rsid w:val="009F7BEE"/>
    <w:rsid w:val="00A0017E"/>
    <w:rsid w:val="00A0037E"/>
    <w:rsid w:val="00A0088C"/>
    <w:rsid w:val="00A00D78"/>
    <w:rsid w:val="00A01303"/>
    <w:rsid w:val="00A01749"/>
    <w:rsid w:val="00A01D52"/>
    <w:rsid w:val="00A0220E"/>
    <w:rsid w:val="00A02332"/>
    <w:rsid w:val="00A028E7"/>
    <w:rsid w:val="00A02C4F"/>
    <w:rsid w:val="00A02EC7"/>
    <w:rsid w:val="00A02F15"/>
    <w:rsid w:val="00A0401E"/>
    <w:rsid w:val="00A040AD"/>
    <w:rsid w:val="00A046AC"/>
    <w:rsid w:val="00A0471B"/>
    <w:rsid w:val="00A04A09"/>
    <w:rsid w:val="00A04EEB"/>
    <w:rsid w:val="00A05821"/>
    <w:rsid w:val="00A05D1D"/>
    <w:rsid w:val="00A05EA2"/>
    <w:rsid w:val="00A063C0"/>
    <w:rsid w:val="00A0669D"/>
    <w:rsid w:val="00A068DF"/>
    <w:rsid w:val="00A06E1F"/>
    <w:rsid w:val="00A06F3F"/>
    <w:rsid w:val="00A06F43"/>
    <w:rsid w:val="00A06F59"/>
    <w:rsid w:val="00A071A6"/>
    <w:rsid w:val="00A076CC"/>
    <w:rsid w:val="00A07ADF"/>
    <w:rsid w:val="00A07BB2"/>
    <w:rsid w:val="00A07D7A"/>
    <w:rsid w:val="00A104F3"/>
    <w:rsid w:val="00A10571"/>
    <w:rsid w:val="00A10C6A"/>
    <w:rsid w:val="00A10DB7"/>
    <w:rsid w:val="00A10F4F"/>
    <w:rsid w:val="00A110BD"/>
    <w:rsid w:val="00A11183"/>
    <w:rsid w:val="00A111B4"/>
    <w:rsid w:val="00A1165C"/>
    <w:rsid w:val="00A11BF8"/>
    <w:rsid w:val="00A125D6"/>
    <w:rsid w:val="00A12E28"/>
    <w:rsid w:val="00A1304C"/>
    <w:rsid w:val="00A13236"/>
    <w:rsid w:val="00A134CE"/>
    <w:rsid w:val="00A14042"/>
    <w:rsid w:val="00A14337"/>
    <w:rsid w:val="00A14BE5"/>
    <w:rsid w:val="00A14E53"/>
    <w:rsid w:val="00A1526C"/>
    <w:rsid w:val="00A15580"/>
    <w:rsid w:val="00A15C42"/>
    <w:rsid w:val="00A16223"/>
    <w:rsid w:val="00A16449"/>
    <w:rsid w:val="00A16939"/>
    <w:rsid w:val="00A16B10"/>
    <w:rsid w:val="00A17CC1"/>
    <w:rsid w:val="00A2001B"/>
    <w:rsid w:val="00A2144B"/>
    <w:rsid w:val="00A21560"/>
    <w:rsid w:val="00A218D2"/>
    <w:rsid w:val="00A21A36"/>
    <w:rsid w:val="00A21F82"/>
    <w:rsid w:val="00A22EFC"/>
    <w:rsid w:val="00A22FAF"/>
    <w:rsid w:val="00A2346D"/>
    <w:rsid w:val="00A2348E"/>
    <w:rsid w:val="00A23675"/>
    <w:rsid w:val="00A23785"/>
    <w:rsid w:val="00A243A5"/>
    <w:rsid w:val="00A245B2"/>
    <w:rsid w:val="00A250FA"/>
    <w:rsid w:val="00A2525B"/>
    <w:rsid w:val="00A25CD9"/>
    <w:rsid w:val="00A26389"/>
    <w:rsid w:val="00A26403"/>
    <w:rsid w:val="00A26892"/>
    <w:rsid w:val="00A26A0A"/>
    <w:rsid w:val="00A26A20"/>
    <w:rsid w:val="00A26AAD"/>
    <w:rsid w:val="00A272B7"/>
    <w:rsid w:val="00A27316"/>
    <w:rsid w:val="00A27A14"/>
    <w:rsid w:val="00A27DB3"/>
    <w:rsid w:val="00A30290"/>
    <w:rsid w:val="00A303B8"/>
    <w:rsid w:val="00A3062A"/>
    <w:rsid w:val="00A30988"/>
    <w:rsid w:val="00A30C0F"/>
    <w:rsid w:val="00A30DAF"/>
    <w:rsid w:val="00A3101F"/>
    <w:rsid w:val="00A312EF"/>
    <w:rsid w:val="00A3169F"/>
    <w:rsid w:val="00A31AD5"/>
    <w:rsid w:val="00A31D61"/>
    <w:rsid w:val="00A322E8"/>
    <w:rsid w:val="00A325F8"/>
    <w:rsid w:val="00A328D4"/>
    <w:rsid w:val="00A33255"/>
    <w:rsid w:val="00A3364F"/>
    <w:rsid w:val="00A33C02"/>
    <w:rsid w:val="00A346AA"/>
    <w:rsid w:val="00A34E12"/>
    <w:rsid w:val="00A35477"/>
    <w:rsid w:val="00A35B00"/>
    <w:rsid w:val="00A361C3"/>
    <w:rsid w:val="00A36605"/>
    <w:rsid w:val="00A3673F"/>
    <w:rsid w:val="00A36AFA"/>
    <w:rsid w:val="00A36D93"/>
    <w:rsid w:val="00A3708B"/>
    <w:rsid w:val="00A375A4"/>
    <w:rsid w:val="00A37864"/>
    <w:rsid w:val="00A37B02"/>
    <w:rsid w:val="00A37DD9"/>
    <w:rsid w:val="00A37FBA"/>
    <w:rsid w:val="00A40587"/>
    <w:rsid w:val="00A40905"/>
    <w:rsid w:val="00A40911"/>
    <w:rsid w:val="00A4094F"/>
    <w:rsid w:val="00A41150"/>
    <w:rsid w:val="00A411FA"/>
    <w:rsid w:val="00A413BF"/>
    <w:rsid w:val="00A42255"/>
    <w:rsid w:val="00A42B80"/>
    <w:rsid w:val="00A42BD9"/>
    <w:rsid w:val="00A42C26"/>
    <w:rsid w:val="00A43632"/>
    <w:rsid w:val="00A43FB7"/>
    <w:rsid w:val="00A4419A"/>
    <w:rsid w:val="00A449F2"/>
    <w:rsid w:val="00A44EC1"/>
    <w:rsid w:val="00A452B5"/>
    <w:rsid w:val="00A454B3"/>
    <w:rsid w:val="00A45E52"/>
    <w:rsid w:val="00A45FD0"/>
    <w:rsid w:val="00A46276"/>
    <w:rsid w:val="00A462E6"/>
    <w:rsid w:val="00A46652"/>
    <w:rsid w:val="00A466DE"/>
    <w:rsid w:val="00A46D15"/>
    <w:rsid w:val="00A4713D"/>
    <w:rsid w:val="00A507CD"/>
    <w:rsid w:val="00A508B2"/>
    <w:rsid w:val="00A50F63"/>
    <w:rsid w:val="00A510F6"/>
    <w:rsid w:val="00A51D71"/>
    <w:rsid w:val="00A52A17"/>
    <w:rsid w:val="00A52FB6"/>
    <w:rsid w:val="00A52FFD"/>
    <w:rsid w:val="00A5323B"/>
    <w:rsid w:val="00A53C42"/>
    <w:rsid w:val="00A54088"/>
    <w:rsid w:val="00A54489"/>
    <w:rsid w:val="00A549A5"/>
    <w:rsid w:val="00A54BA6"/>
    <w:rsid w:val="00A54FB4"/>
    <w:rsid w:val="00A5529B"/>
    <w:rsid w:val="00A554CC"/>
    <w:rsid w:val="00A55BA3"/>
    <w:rsid w:val="00A55BFF"/>
    <w:rsid w:val="00A56111"/>
    <w:rsid w:val="00A5634C"/>
    <w:rsid w:val="00A56D7B"/>
    <w:rsid w:val="00A56DE0"/>
    <w:rsid w:val="00A56F46"/>
    <w:rsid w:val="00A5758B"/>
    <w:rsid w:val="00A6001C"/>
    <w:rsid w:val="00A61101"/>
    <w:rsid w:val="00A61CD5"/>
    <w:rsid w:val="00A61CEE"/>
    <w:rsid w:val="00A61EBF"/>
    <w:rsid w:val="00A621EF"/>
    <w:rsid w:val="00A624ED"/>
    <w:rsid w:val="00A62B10"/>
    <w:rsid w:val="00A6367A"/>
    <w:rsid w:val="00A63770"/>
    <w:rsid w:val="00A63C18"/>
    <w:rsid w:val="00A63C77"/>
    <w:rsid w:val="00A64A1E"/>
    <w:rsid w:val="00A64B04"/>
    <w:rsid w:val="00A64E74"/>
    <w:rsid w:val="00A65032"/>
    <w:rsid w:val="00A652FF"/>
    <w:rsid w:val="00A65842"/>
    <w:rsid w:val="00A65A8E"/>
    <w:rsid w:val="00A65DEC"/>
    <w:rsid w:val="00A6618E"/>
    <w:rsid w:val="00A662DC"/>
    <w:rsid w:val="00A67284"/>
    <w:rsid w:val="00A6741B"/>
    <w:rsid w:val="00A67ABC"/>
    <w:rsid w:val="00A70581"/>
    <w:rsid w:val="00A70F04"/>
    <w:rsid w:val="00A70F62"/>
    <w:rsid w:val="00A7132D"/>
    <w:rsid w:val="00A72640"/>
    <w:rsid w:val="00A726F8"/>
    <w:rsid w:val="00A72ABF"/>
    <w:rsid w:val="00A72EFE"/>
    <w:rsid w:val="00A72FC2"/>
    <w:rsid w:val="00A7301E"/>
    <w:rsid w:val="00A73237"/>
    <w:rsid w:val="00A734CE"/>
    <w:rsid w:val="00A736D0"/>
    <w:rsid w:val="00A73B00"/>
    <w:rsid w:val="00A73C8B"/>
    <w:rsid w:val="00A74226"/>
    <w:rsid w:val="00A74350"/>
    <w:rsid w:val="00A743E0"/>
    <w:rsid w:val="00A743E2"/>
    <w:rsid w:val="00A74A10"/>
    <w:rsid w:val="00A757B0"/>
    <w:rsid w:val="00A75BEC"/>
    <w:rsid w:val="00A75EAA"/>
    <w:rsid w:val="00A7627E"/>
    <w:rsid w:val="00A7674F"/>
    <w:rsid w:val="00A776A4"/>
    <w:rsid w:val="00A77F7B"/>
    <w:rsid w:val="00A8049D"/>
    <w:rsid w:val="00A80CBC"/>
    <w:rsid w:val="00A822C2"/>
    <w:rsid w:val="00A8269D"/>
    <w:rsid w:val="00A82990"/>
    <w:rsid w:val="00A82B0A"/>
    <w:rsid w:val="00A82D21"/>
    <w:rsid w:val="00A82E36"/>
    <w:rsid w:val="00A84BF1"/>
    <w:rsid w:val="00A84FC2"/>
    <w:rsid w:val="00A85BED"/>
    <w:rsid w:val="00A8618E"/>
    <w:rsid w:val="00A86507"/>
    <w:rsid w:val="00A865D0"/>
    <w:rsid w:val="00A867E2"/>
    <w:rsid w:val="00A86BC6"/>
    <w:rsid w:val="00A86F0F"/>
    <w:rsid w:val="00A8752E"/>
    <w:rsid w:val="00A879F6"/>
    <w:rsid w:val="00A87B7A"/>
    <w:rsid w:val="00A87D1B"/>
    <w:rsid w:val="00A901D8"/>
    <w:rsid w:val="00A901E1"/>
    <w:rsid w:val="00A90291"/>
    <w:rsid w:val="00A90394"/>
    <w:rsid w:val="00A90401"/>
    <w:rsid w:val="00A9072D"/>
    <w:rsid w:val="00A92178"/>
    <w:rsid w:val="00A921E3"/>
    <w:rsid w:val="00A923DB"/>
    <w:rsid w:val="00A9278F"/>
    <w:rsid w:val="00A93599"/>
    <w:rsid w:val="00A935F7"/>
    <w:rsid w:val="00A936E9"/>
    <w:rsid w:val="00A93855"/>
    <w:rsid w:val="00A93974"/>
    <w:rsid w:val="00A9453F"/>
    <w:rsid w:val="00A94807"/>
    <w:rsid w:val="00A94A7F"/>
    <w:rsid w:val="00A94D20"/>
    <w:rsid w:val="00A9646F"/>
    <w:rsid w:val="00A96C4F"/>
    <w:rsid w:val="00A96D8D"/>
    <w:rsid w:val="00A9752B"/>
    <w:rsid w:val="00A97A43"/>
    <w:rsid w:val="00A97EF2"/>
    <w:rsid w:val="00AA0168"/>
    <w:rsid w:val="00AA02E7"/>
    <w:rsid w:val="00AA0812"/>
    <w:rsid w:val="00AA08AE"/>
    <w:rsid w:val="00AA1088"/>
    <w:rsid w:val="00AA18F9"/>
    <w:rsid w:val="00AA1E88"/>
    <w:rsid w:val="00AA2082"/>
    <w:rsid w:val="00AA22B3"/>
    <w:rsid w:val="00AA23EC"/>
    <w:rsid w:val="00AA2461"/>
    <w:rsid w:val="00AA2695"/>
    <w:rsid w:val="00AA2865"/>
    <w:rsid w:val="00AA28A7"/>
    <w:rsid w:val="00AA29D2"/>
    <w:rsid w:val="00AA31A9"/>
    <w:rsid w:val="00AA34A1"/>
    <w:rsid w:val="00AA3A9B"/>
    <w:rsid w:val="00AA3AB2"/>
    <w:rsid w:val="00AA3BF1"/>
    <w:rsid w:val="00AA3E8E"/>
    <w:rsid w:val="00AA4281"/>
    <w:rsid w:val="00AA53C6"/>
    <w:rsid w:val="00AA53FB"/>
    <w:rsid w:val="00AA5410"/>
    <w:rsid w:val="00AA5635"/>
    <w:rsid w:val="00AA5743"/>
    <w:rsid w:val="00AA58C7"/>
    <w:rsid w:val="00AA5928"/>
    <w:rsid w:val="00AA5C6C"/>
    <w:rsid w:val="00AA5CAF"/>
    <w:rsid w:val="00AA62B1"/>
    <w:rsid w:val="00AA6DB1"/>
    <w:rsid w:val="00AA6FB3"/>
    <w:rsid w:val="00AA7420"/>
    <w:rsid w:val="00AA7D95"/>
    <w:rsid w:val="00AB032B"/>
    <w:rsid w:val="00AB0727"/>
    <w:rsid w:val="00AB0CF6"/>
    <w:rsid w:val="00AB1402"/>
    <w:rsid w:val="00AB184D"/>
    <w:rsid w:val="00AB1C2C"/>
    <w:rsid w:val="00AB1F90"/>
    <w:rsid w:val="00AB21C6"/>
    <w:rsid w:val="00AB2598"/>
    <w:rsid w:val="00AB2841"/>
    <w:rsid w:val="00AB30C9"/>
    <w:rsid w:val="00AB31F0"/>
    <w:rsid w:val="00AB3612"/>
    <w:rsid w:val="00AB3661"/>
    <w:rsid w:val="00AB37CD"/>
    <w:rsid w:val="00AB3A7F"/>
    <w:rsid w:val="00AB4E74"/>
    <w:rsid w:val="00AB530D"/>
    <w:rsid w:val="00AB5374"/>
    <w:rsid w:val="00AB53ED"/>
    <w:rsid w:val="00AB5415"/>
    <w:rsid w:val="00AB5A40"/>
    <w:rsid w:val="00AB5D4A"/>
    <w:rsid w:val="00AB6B84"/>
    <w:rsid w:val="00AB6B8A"/>
    <w:rsid w:val="00AB733B"/>
    <w:rsid w:val="00AB7A80"/>
    <w:rsid w:val="00AC0A58"/>
    <w:rsid w:val="00AC0CB6"/>
    <w:rsid w:val="00AC1891"/>
    <w:rsid w:val="00AC1E8E"/>
    <w:rsid w:val="00AC1FCA"/>
    <w:rsid w:val="00AC28C6"/>
    <w:rsid w:val="00AC2C9A"/>
    <w:rsid w:val="00AC2EEE"/>
    <w:rsid w:val="00AC33E9"/>
    <w:rsid w:val="00AC34D6"/>
    <w:rsid w:val="00AC3556"/>
    <w:rsid w:val="00AC3668"/>
    <w:rsid w:val="00AC368C"/>
    <w:rsid w:val="00AC38C3"/>
    <w:rsid w:val="00AC481B"/>
    <w:rsid w:val="00AC4A28"/>
    <w:rsid w:val="00AC4BAF"/>
    <w:rsid w:val="00AC5924"/>
    <w:rsid w:val="00AC60BA"/>
    <w:rsid w:val="00AC6A64"/>
    <w:rsid w:val="00AC6F7D"/>
    <w:rsid w:val="00AC70A6"/>
    <w:rsid w:val="00AC7196"/>
    <w:rsid w:val="00AC720A"/>
    <w:rsid w:val="00AC79B9"/>
    <w:rsid w:val="00AC7D04"/>
    <w:rsid w:val="00AC7FE9"/>
    <w:rsid w:val="00AD029B"/>
    <w:rsid w:val="00AD054D"/>
    <w:rsid w:val="00AD0A58"/>
    <w:rsid w:val="00AD1B59"/>
    <w:rsid w:val="00AD21B8"/>
    <w:rsid w:val="00AD26A0"/>
    <w:rsid w:val="00AD275C"/>
    <w:rsid w:val="00AD27E0"/>
    <w:rsid w:val="00AD2925"/>
    <w:rsid w:val="00AD3106"/>
    <w:rsid w:val="00AD3C3C"/>
    <w:rsid w:val="00AD40D3"/>
    <w:rsid w:val="00AD442B"/>
    <w:rsid w:val="00AD49C0"/>
    <w:rsid w:val="00AD4F93"/>
    <w:rsid w:val="00AD5148"/>
    <w:rsid w:val="00AD54D9"/>
    <w:rsid w:val="00AD58D4"/>
    <w:rsid w:val="00AD5D78"/>
    <w:rsid w:val="00AD5FEA"/>
    <w:rsid w:val="00AD60EA"/>
    <w:rsid w:val="00AD67D4"/>
    <w:rsid w:val="00AD6BFC"/>
    <w:rsid w:val="00AD6EDC"/>
    <w:rsid w:val="00AD72A8"/>
    <w:rsid w:val="00AE0196"/>
    <w:rsid w:val="00AE0429"/>
    <w:rsid w:val="00AE1086"/>
    <w:rsid w:val="00AE193E"/>
    <w:rsid w:val="00AE1CA8"/>
    <w:rsid w:val="00AE2805"/>
    <w:rsid w:val="00AE2886"/>
    <w:rsid w:val="00AE2C84"/>
    <w:rsid w:val="00AE3762"/>
    <w:rsid w:val="00AE3992"/>
    <w:rsid w:val="00AE3B70"/>
    <w:rsid w:val="00AE40F5"/>
    <w:rsid w:val="00AE4331"/>
    <w:rsid w:val="00AE5470"/>
    <w:rsid w:val="00AE5E83"/>
    <w:rsid w:val="00AE614D"/>
    <w:rsid w:val="00AE66DA"/>
    <w:rsid w:val="00AE71AE"/>
    <w:rsid w:val="00AE7849"/>
    <w:rsid w:val="00AE7977"/>
    <w:rsid w:val="00AF069E"/>
    <w:rsid w:val="00AF157B"/>
    <w:rsid w:val="00AF1B63"/>
    <w:rsid w:val="00AF1F10"/>
    <w:rsid w:val="00AF226E"/>
    <w:rsid w:val="00AF2706"/>
    <w:rsid w:val="00AF27D5"/>
    <w:rsid w:val="00AF297E"/>
    <w:rsid w:val="00AF31A6"/>
    <w:rsid w:val="00AF38CE"/>
    <w:rsid w:val="00AF3AF9"/>
    <w:rsid w:val="00AF3D39"/>
    <w:rsid w:val="00AF40C6"/>
    <w:rsid w:val="00AF475A"/>
    <w:rsid w:val="00AF497B"/>
    <w:rsid w:val="00AF5431"/>
    <w:rsid w:val="00AF5640"/>
    <w:rsid w:val="00AF6A4C"/>
    <w:rsid w:val="00AF708D"/>
    <w:rsid w:val="00AF714F"/>
    <w:rsid w:val="00AF7384"/>
    <w:rsid w:val="00AF7409"/>
    <w:rsid w:val="00AF74A8"/>
    <w:rsid w:val="00AF76A3"/>
    <w:rsid w:val="00B0024D"/>
    <w:rsid w:val="00B00349"/>
    <w:rsid w:val="00B00605"/>
    <w:rsid w:val="00B0100F"/>
    <w:rsid w:val="00B01257"/>
    <w:rsid w:val="00B01475"/>
    <w:rsid w:val="00B019C0"/>
    <w:rsid w:val="00B01EFC"/>
    <w:rsid w:val="00B02183"/>
    <w:rsid w:val="00B0220F"/>
    <w:rsid w:val="00B02CCC"/>
    <w:rsid w:val="00B0338E"/>
    <w:rsid w:val="00B03726"/>
    <w:rsid w:val="00B03A19"/>
    <w:rsid w:val="00B04502"/>
    <w:rsid w:val="00B047C2"/>
    <w:rsid w:val="00B04CB1"/>
    <w:rsid w:val="00B04DD2"/>
    <w:rsid w:val="00B04E89"/>
    <w:rsid w:val="00B05635"/>
    <w:rsid w:val="00B05E47"/>
    <w:rsid w:val="00B06294"/>
    <w:rsid w:val="00B064B4"/>
    <w:rsid w:val="00B06AB7"/>
    <w:rsid w:val="00B06B7C"/>
    <w:rsid w:val="00B07325"/>
    <w:rsid w:val="00B07620"/>
    <w:rsid w:val="00B0771E"/>
    <w:rsid w:val="00B0783D"/>
    <w:rsid w:val="00B079BB"/>
    <w:rsid w:val="00B07CA6"/>
    <w:rsid w:val="00B100E4"/>
    <w:rsid w:val="00B100F1"/>
    <w:rsid w:val="00B104B1"/>
    <w:rsid w:val="00B10B3E"/>
    <w:rsid w:val="00B10E58"/>
    <w:rsid w:val="00B11E1E"/>
    <w:rsid w:val="00B1206C"/>
    <w:rsid w:val="00B12259"/>
    <w:rsid w:val="00B12F57"/>
    <w:rsid w:val="00B1300A"/>
    <w:rsid w:val="00B1314F"/>
    <w:rsid w:val="00B13A94"/>
    <w:rsid w:val="00B1473E"/>
    <w:rsid w:val="00B14FC2"/>
    <w:rsid w:val="00B151CF"/>
    <w:rsid w:val="00B154F5"/>
    <w:rsid w:val="00B15784"/>
    <w:rsid w:val="00B157E7"/>
    <w:rsid w:val="00B15E6D"/>
    <w:rsid w:val="00B15F14"/>
    <w:rsid w:val="00B163BE"/>
    <w:rsid w:val="00B168B2"/>
    <w:rsid w:val="00B168CB"/>
    <w:rsid w:val="00B1721E"/>
    <w:rsid w:val="00B17719"/>
    <w:rsid w:val="00B17782"/>
    <w:rsid w:val="00B206C2"/>
    <w:rsid w:val="00B20C5E"/>
    <w:rsid w:val="00B20EAA"/>
    <w:rsid w:val="00B21510"/>
    <w:rsid w:val="00B21856"/>
    <w:rsid w:val="00B21C2F"/>
    <w:rsid w:val="00B21D55"/>
    <w:rsid w:val="00B22189"/>
    <w:rsid w:val="00B2258A"/>
    <w:rsid w:val="00B2306A"/>
    <w:rsid w:val="00B23817"/>
    <w:rsid w:val="00B23B76"/>
    <w:rsid w:val="00B247AD"/>
    <w:rsid w:val="00B2496E"/>
    <w:rsid w:val="00B24AA7"/>
    <w:rsid w:val="00B259B8"/>
    <w:rsid w:val="00B25D05"/>
    <w:rsid w:val="00B26569"/>
    <w:rsid w:val="00B265C4"/>
    <w:rsid w:val="00B26622"/>
    <w:rsid w:val="00B26669"/>
    <w:rsid w:val="00B26A97"/>
    <w:rsid w:val="00B26F3A"/>
    <w:rsid w:val="00B276B4"/>
    <w:rsid w:val="00B27931"/>
    <w:rsid w:val="00B27B06"/>
    <w:rsid w:val="00B27BF4"/>
    <w:rsid w:val="00B303F6"/>
    <w:rsid w:val="00B307B7"/>
    <w:rsid w:val="00B3084F"/>
    <w:rsid w:val="00B30CBF"/>
    <w:rsid w:val="00B30F06"/>
    <w:rsid w:val="00B31012"/>
    <w:rsid w:val="00B31B4B"/>
    <w:rsid w:val="00B31CD5"/>
    <w:rsid w:val="00B32592"/>
    <w:rsid w:val="00B32648"/>
    <w:rsid w:val="00B328EC"/>
    <w:rsid w:val="00B32BB5"/>
    <w:rsid w:val="00B32D00"/>
    <w:rsid w:val="00B3348E"/>
    <w:rsid w:val="00B346EE"/>
    <w:rsid w:val="00B3494C"/>
    <w:rsid w:val="00B34DC1"/>
    <w:rsid w:val="00B35084"/>
    <w:rsid w:val="00B3522E"/>
    <w:rsid w:val="00B352E2"/>
    <w:rsid w:val="00B353AC"/>
    <w:rsid w:val="00B353ED"/>
    <w:rsid w:val="00B35764"/>
    <w:rsid w:val="00B357F4"/>
    <w:rsid w:val="00B36028"/>
    <w:rsid w:val="00B360A1"/>
    <w:rsid w:val="00B36139"/>
    <w:rsid w:val="00B3622E"/>
    <w:rsid w:val="00B36490"/>
    <w:rsid w:val="00B36D52"/>
    <w:rsid w:val="00B371B2"/>
    <w:rsid w:val="00B371F1"/>
    <w:rsid w:val="00B37295"/>
    <w:rsid w:val="00B379CD"/>
    <w:rsid w:val="00B40064"/>
    <w:rsid w:val="00B40477"/>
    <w:rsid w:val="00B40F0D"/>
    <w:rsid w:val="00B41129"/>
    <w:rsid w:val="00B41182"/>
    <w:rsid w:val="00B41919"/>
    <w:rsid w:val="00B4198E"/>
    <w:rsid w:val="00B41C89"/>
    <w:rsid w:val="00B423A0"/>
    <w:rsid w:val="00B43045"/>
    <w:rsid w:val="00B432A7"/>
    <w:rsid w:val="00B44B30"/>
    <w:rsid w:val="00B44B71"/>
    <w:rsid w:val="00B44D18"/>
    <w:rsid w:val="00B44E3E"/>
    <w:rsid w:val="00B44F37"/>
    <w:rsid w:val="00B45513"/>
    <w:rsid w:val="00B457AA"/>
    <w:rsid w:val="00B45CB5"/>
    <w:rsid w:val="00B462AF"/>
    <w:rsid w:val="00B462ED"/>
    <w:rsid w:val="00B46A7A"/>
    <w:rsid w:val="00B475F9"/>
    <w:rsid w:val="00B47911"/>
    <w:rsid w:val="00B50056"/>
    <w:rsid w:val="00B50600"/>
    <w:rsid w:val="00B50A44"/>
    <w:rsid w:val="00B50C62"/>
    <w:rsid w:val="00B513B4"/>
    <w:rsid w:val="00B51507"/>
    <w:rsid w:val="00B51A1E"/>
    <w:rsid w:val="00B520C8"/>
    <w:rsid w:val="00B52A37"/>
    <w:rsid w:val="00B530A6"/>
    <w:rsid w:val="00B53D2B"/>
    <w:rsid w:val="00B55448"/>
    <w:rsid w:val="00B55524"/>
    <w:rsid w:val="00B55EAD"/>
    <w:rsid w:val="00B560F9"/>
    <w:rsid w:val="00B56208"/>
    <w:rsid w:val="00B5651F"/>
    <w:rsid w:val="00B56C0B"/>
    <w:rsid w:val="00B56F3A"/>
    <w:rsid w:val="00B575BF"/>
    <w:rsid w:val="00B57709"/>
    <w:rsid w:val="00B57D6F"/>
    <w:rsid w:val="00B612EA"/>
    <w:rsid w:val="00B61315"/>
    <w:rsid w:val="00B61533"/>
    <w:rsid w:val="00B61C66"/>
    <w:rsid w:val="00B61D4B"/>
    <w:rsid w:val="00B62604"/>
    <w:rsid w:val="00B6293F"/>
    <w:rsid w:val="00B62DF2"/>
    <w:rsid w:val="00B630F9"/>
    <w:rsid w:val="00B6342F"/>
    <w:rsid w:val="00B63E24"/>
    <w:rsid w:val="00B64252"/>
    <w:rsid w:val="00B64E52"/>
    <w:rsid w:val="00B650B8"/>
    <w:rsid w:val="00B65184"/>
    <w:rsid w:val="00B65426"/>
    <w:rsid w:val="00B655E1"/>
    <w:rsid w:val="00B656DC"/>
    <w:rsid w:val="00B65825"/>
    <w:rsid w:val="00B660F1"/>
    <w:rsid w:val="00B66274"/>
    <w:rsid w:val="00B66287"/>
    <w:rsid w:val="00B66403"/>
    <w:rsid w:val="00B66A87"/>
    <w:rsid w:val="00B67287"/>
    <w:rsid w:val="00B67A0C"/>
    <w:rsid w:val="00B70111"/>
    <w:rsid w:val="00B706F0"/>
    <w:rsid w:val="00B710AA"/>
    <w:rsid w:val="00B710E8"/>
    <w:rsid w:val="00B71120"/>
    <w:rsid w:val="00B712D0"/>
    <w:rsid w:val="00B713F7"/>
    <w:rsid w:val="00B71A0C"/>
    <w:rsid w:val="00B71AD1"/>
    <w:rsid w:val="00B72C62"/>
    <w:rsid w:val="00B73230"/>
    <w:rsid w:val="00B733F2"/>
    <w:rsid w:val="00B7357F"/>
    <w:rsid w:val="00B73853"/>
    <w:rsid w:val="00B73A6A"/>
    <w:rsid w:val="00B73BDB"/>
    <w:rsid w:val="00B73DD5"/>
    <w:rsid w:val="00B73E15"/>
    <w:rsid w:val="00B73E31"/>
    <w:rsid w:val="00B73ED9"/>
    <w:rsid w:val="00B742BD"/>
    <w:rsid w:val="00B757E5"/>
    <w:rsid w:val="00B75BE6"/>
    <w:rsid w:val="00B75E1B"/>
    <w:rsid w:val="00B75F35"/>
    <w:rsid w:val="00B77038"/>
    <w:rsid w:val="00B7716E"/>
    <w:rsid w:val="00B776F3"/>
    <w:rsid w:val="00B77C77"/>
    <w:rsid w:val="00B8097D"/>
    <w:rsid w:val="00B809A5"/>
    <w:rsid w:val="00B809D5"/>
    <w:rsid w:val="00B8110A"/>
    <w:rsid w:val="00B812EA"/>
    <w:rsid w:val="00B8165C"/>
    <w:rsid w:val="00B81AE6"/>
    <w:rsid w:val="00B81F38"/>
    <w:rsid w:val="00B82B08"/>
    <w:rsid w:val="00B83B62"/>
    <w:rsid w:val="00B8406B"/>
    <w:rsid w:val="00B84119"/>
    <w:rsid w:val="00B8434E"/>
    <w:rsid w:val="00B84C38"/>
    <w:rsid w:val="00B84CBE"/>
    <w:rsid w:val="00B84D42"/>
    <w:rsid w:val="00B8535F"/>
    <w:rsid w:val="00B8545B"/>
    <w:rsid w:val="00B8554C"/>
    <w:rsid w:val="00B85833"/>
    <w:rsid w:val="00B85996"/>
    <w:rsid w:val="00B85FA4"/>
    <w:rsid w:val="00B86334"/>
    <w:rsid w:val="00B86362"/>
    <w:rsid w:val="00B8650C"/>
    <w:rsid w:val="00B86A18"/>
    <w:rsid w:val="00B86DBB"/>
    <w:rsid w:val="00B86F91"/>
    <w:rsid w:val="00B871DA"/>
    <w:rsid w:val="00B87387"/>
    <w:rsid w:val="00B878CD"/>
    <w:rsid w:val="00B87AD8"/>
    <w:rsid w:val="00B90E23"/>
    <w:rsid w:val="00B9139C"/>
    <w:rsid w:val="00B91421"/>
    <w:rsid w:val="00B91736"/>
    <w:rsid w:val="00B9195E"/>
    <w:rsid w:val="00B91CB1"/>
    <w:rsid w:val="00B91CE4"/>
    <w:rsid w:val="00B91E6F"/>
    <w:rsid w:val="00B91F7B"/>
    <w:rsid w:val="00B9230C"/>
    <w:rsid w:val="00B9249B"/>
    <w:rsid w:val="00B92716"/>
    <w:rsid w:val="00B92776"/>
    <w:rsid w:val="00B93F3D"/>
    <w:rsid w:val="00B94D6F"/>
    <w:rsid w:val="00B9536C"/>
    <w:rsid w:val="00B957DD"/>
    <w:rsid w:val="00B95FAF"/>
    <w:rsid w:val="00B9691E"/>
    <w:rsid w:val="00B96A1D"/>
    <w:rsid w:val="00B96E76"/>
    <w:rsid w:val="00B973B4"/>
    <w:rsid w:val="00B974C8"/>
    <w:rsid w:val="00B97751"/>
    <w:rsid w:val="00B97C3F"/>
    <w:rsid w:val="00BA02FF"/>
    <w:rsid w:val="00BA074A"/>
    <w:rsid w:val="00BA0C3D"/>
    <w:rsid w:val="00BA0E25"/>
    <w:rsid w:val="00BA0F09"/>
    <w:rsid w:val="00BA0FE5"/>
    <w:rsid w:val="00BA129B"/>
    <w:rsid w:val="00BA194C"/>
    <w:rsid w:val="00BA1F90"/>
    <w:rsid w:val="00BA1FFB"/>
    <w:rsid w:val="00BA2019"/>
    <w:rsid w:val="00BA26A4"/>
    <w:rsid w:val="00BA2B3F"/>
    <w:rsid w:val="00BA3A70"/>
    <w:rsid w:val="00BA3C67"/>
    <w:rsid w:val="00BA4008"/>
    <w:rsid w:val="00BA403B"/>
    <w:rsid w:val="00BA4CD6"/>
    <w:rsid w:val="00BA4E45"/>
    <w:rsid w:val="00BA5409"/>
    <w:rsid w:val="00BA5795"/>
    <w:rsid w:val="00BA59FB"/>
    <w:rsid w:val="00BA5DEF"/>
    <w:rsid w:val="00BA60F3"/>
    <w:rsid w:val="00BA64EF"/>
    <w:rsid w:val="00BA78D5"/>
    <w:rsid w:val="00BA7BC3"/>
    <w:rsid w:val="00BA7C4A"/>
    <w:rsid w:val="00BB048C"/>
    <w:rsid w:val="00BB09F0"/>
    <w:rsid w:val="00BB0EA1"/>
    <w:rsid w:val="00BB1145"/>
    <w:rsid w:val="00BB14A3"/>
    <w:rsid w:val="00BB15B8"/>
    <w:rsid w:val="00BB1689"/>
    <w:rsid w:val="00BB16D3"/>
    <w:rsid w:val="00BB22F7"/>
    <w:rsid w:val="00BB27E1"/>
    <w:rsid w:val="00BB3C41"/>
    <w:rsid w:val="00BB3E59"/>
    <w:rsid w:val="00BB4365"/>
    <w:rsid w:val="00BB43FB"/>
    <w:rsid w:val="00BB4706"/>
    <w:rsid w:val="00BB5655"/>
    <w:rsid w:val="00BB5C27"/>
    <w:rsid w:val="00BB6469"/>
    <w:rsid w:val="00BB6517"/>
    <w:rsid w:val="00BB6750"/>
    <w:rsid w:val="00BB7415"/>
    <w:rsid w:val="00BB78D3"/>
    <w:rsid w:val="00BB7FF9"/>
    <w:rsid w:val="00BC06FE"/>
    <w:rsid w:val="00BC0873"/>
    <w:rsid w:val="00BC15DE"/>
    <w:rsid w:val="00BC17C8"/>
    <w:rsid w:val="00BC1A20"/>
    <w:rsid w:val="00BC1DEE"/>
    <w:rsid w:val="00BC204B"/>
    <w:rsid w:val="00BC2ACB"/>
    <w:rsid w:val="00BC2CDD"/>
    <w:rsid w:val="00BC369C"/>
    <w:rsid w:val="00BC3EC2"/>
    <w:rsid w:val="00BC3FA2"/>
    <w:rsid w:val="00BC40AF"/>
    <w:rsid w:val="00BC422E"/>
    <w:rsid w:val="00BC43FC"/>
    <w:rsid w:val="00BC4875"/>
    <w:rsid w:val="00BC4972"/>
    <w:rsid w:val="00BC4BDF"/>
    <w:rsid w:val="00BC5708"/>
    <w:rsid w:val="00BC5B31"/>
    <w:rsid w:val="00BC623F"/>
    <w:rsid w:val="00BC6897"/>
    <w:rsid w:val="00BC6F44"/>
    <w:rsid w:val="00BC7934"/>
    <w:rsid w:val="00BD030D"/>
    <w:rsid w:val="00BD03F9"/>
    <w:rsid w:val="00BD0481"/>
    <w:rsid w:val="00BD060D"/>
    <w:rsid w:val="00BD0EF3"/>
    <w:rsid w:val="00BD0F1E"/>
    <w:rsid w:val="00BD1D9E"/>
    <w:rsid w:val="00BD2100"/>
    <w:rsid w:val="00BD252C"/>
    <w:rsid w:val="00BD2D45"/>
    <w:rsid w:val="00BD334C"/>
    <w:rsid w:val="00BD33D4"/>
    <w:rsid w:val="00BD391A"/>
    <w:rsid w:val="00BD3B77"/>
    <w:rsid w:val="00BD3BF6"/>
    <w:rsid w:val="00BD3F22"/>
    <w:rsid w:val="00BD40B1"/>
    <w:rsid w:val="00BD44AE"/>
    <w:rsid w:val="00BD459D"/>
    <w:rsid w:val="00BD4E07"/>
    <w:rsid w:val="00BD5502"/>
    <w:rsid w:val="00BD5FB4"/>
    <w:rsid w:val="00BD6BD6"/>
    <w:rsid w:val="00BD6C67"/>
    <w:rsid w:val="00BE1F0B"/>
    <w:rsid w:val="00BE2673"/>
    <w:rsid w:val="00BE2CC0"/>
    <w:rsid w:val="00BE3421"/>
    <w:rsid w:val="00BE4125"/>
    <w:rsid w:val="00BE413A"/>
    <w:rsid w:val="00BE47B6"/>
    <w:rsid w:val="00BE47BF"/>
    <w:rsid w:val="00BE4A23"/>
    <w:rsid w:val="00BE4B0F"/>
    <w:rsid w:val="00BE5374"/>
    <w:rsid w:val="00BE579A"/>
    <w:rsid w:val="00BE5C6B"/>
    <w:rsid w:val="00BE6219"/>
    <w:rsid w:val="00BE627A"/>
    <w:rsid w:val="00BE65AF"/>
    <w:rsid w:val="00BE6749"/>
    <w:rsid w:val="00BE6CE8"/>
    <w:rsid w:val="00BE7042"/>
    <w:rsid w:val="00BE709C"/>
    <w:rsid w:val="00BE721E"/>
    <w:rsid w:val="00BE76D1"/>
    <w:rsid w:val="00BE7C36"/>
    <w:rsid w:val="00BE7EFB"/>
    <w:rsid w:val="00BF0294"/>
    <w:rsid w:val="00BF02A4"/>
    <w:rsid w:val="00BF066A"/>
    <w:rsid w:val="00BF0849"/>
    <w:rsid w:val="00BF0C5E"/>
    <w:rsid w:val="00BF0DBD"/>
    <w:rsid w:val="00BF12B4"/>
    <w:rsid w:val="00BF131A"/>
    <w:rsid w:val="00BF17D9"/>
    <w:rsid w:val="00BF1C85"/>
    <w:rsid w:val="00BF20C9"/>
    <w:rsid w:val="00BF2B85"/>
    <w:rsid w:val="00BF2E6C"/>
    <w:rsid w:val="00BF335F"/>
    <w:rsid w:val="00BF3631"/>
    <w:rsid w:val="00BF3BA1"/>
    <w:rsid w:val="00BF4573"/>
    <w:rsid w:val="00BF459F"/>
    <w:rsid w:val="00BF4A05"/>
    <w:rsid w:val="00BF53BC"/>
    <w:rsid w:val="00BF69AE"/>
    <w:rsid w:val="00BF6E07"/>
    <w:rsid w:val="00BF758C"/>
    <w:rsid w:val="00BF7C54"/>
    <w:rsid w:val="00BF7EBD"/>
    <w:rsid w:val="00C004FF"/>
    <w:rsid w:val="00C01197"/>
    <w:rsid w:val="00C0128D"/>
    <w:rsid w:val="00C01656"/>
    <w:rsid w:val="00C018C1"/>
    <w:rsid w:val="00C01A77"/>
    <w:rsid w:val="00C01D5F"/>
    <w:rsid w:val="00C01ECA"/>
    <w:rsid w:val="00C01FFA"/>
    <w:rsid w:val="00C027B1"/>
    <w:rsid w:val="00C028F0"/>
    <w:rsid w:val="00C02AE5"/>
    <w:rsid w:val="00C031C6"/>
    <w:rsid w:val="00C03396"/>
    <w:rsid w:val="00C0345A"/>
    <w:rsid w:val="00C03511"/>
    <w:rsid w:val="00C035D4"/>
    <w:rsid w:val="00C03A6A"/>
    <w:rsid w:val="00C04B7A"/>
    <w:rsid w:val="00C04C3A"/>
    <w:rsid w:val="00C04C8D"/>
    <w:rsid w:val="00C05203"/>
    <w:rsid w:val="00C05640"/>
    <w:rsid w:val="00C05700"/>
    <w:rsid w:val="00C0648E"/>
    <w:rsid w:val="00C072E1"/>
    <w:rsid w:val="00C074CD"/>
    <w:rsid w:val="00C07782"/>
    <w:rsid w:val="00C07E2D"/>
    <w:rsid w:val="00C10381"/>
    <w:rsid w:val="00C1054B"/>
    <w:rsid w:val="00C107C3"/>
    <w:rsid w:val="00C10903"/>
    <w:rsid w:val="00C10B82"/>
    <w:rsid w:val="00C11237"/>
    <w:rsid w:val="00C11BA1"/>
    <w:rsid w:val="00C11CA3"/>
    <w:rsid w:val="00C120E0"/>
    <w:rsid w:val="00C123F2"/>
    <w:rsid w:val="00C133C5"/>
    <w:rsid w:val="00C13520"/>
    <w:rsid w:val="00C1352E"/>
    <w:rsid w:val="00C13B27"/>
    <w:rsid w:val="00C13F44"/>
    <w:rsid w:val="00C14227"/>
    <w:rsid w:val="00C14F9B"/>
    <w:rsid w:val="00C14FAB"/>
    <w:rsid w:val="00C15613"/>
    <w:rsid w:val="00C15E4A"/>
    <w:rsid w:val="00C15F42"/>
    <w:rsid w:val="00C1610B"/>
    <w:rsid w:val="00C1611D"/>
    <w:rsid w:val="00C166AC"/>
    <w:rsid w:val="00C168F0"/>
    <w:rsid w:val="00C16C9A"/>
    <w:rsid w:val="00C16E81"/>
    <w:rsid w:val="00C175E4"/>
    <w:rsid w:val="00C17838"/>
    <w:rsid w:val="00C20178"/>
    <w:rsid w:val="00C201EC"/>
    <w:rsid w:val="00C20C7B"/>
    <w:rsid w:val="00C20F6C"/>
    <w:rsid w:val="00C2153E"/>
    <w:rsid w:val="00C217A8"/>
    <w:rsid w:val="00C21D45"/>
    <w:rsid w:val="00C22089"/>
    <w:rsid w:val="00C22192"/>
    <w:rsid w:val="00C22B36"/>
    <w:rsid w:val="00C22B78"/>
    <w:rsid w:val="00C22D77"/>
    <w:rsid w:val="00C22EB3"/>
    <w:rsid w:val="00C2310C"/>
    <w:rsid w:val="00C232E0"/>
    <w:rsid w:val="00C2362A"/>
    <w:rsid w:val="00C23EF3"/>
    <w:rsid w:val="00C24B5E"/>
    <w:rsid w:val="00C25228"/>
    <w:rsid w:val="00C2534F"/>
    <w:rsid w:val="00C270E0"/>
    <w:rsid w:val="00C27563"/>
    <w:rsid w:val="00C27759"/>
    <w:rsid w:val="00C30058"/>
    <w:rsid w:val="00C3018F"/>
    <w:rsid w:val="00C30312"/>
    <w:rsid w:val="00C30827"/>
    <w:rsid w:val="00C308A1"/>
    <w:rsid w:val="00C309E1"/>
    <w:rsid w:val="00C30C66"/>
    <w:rsid w:val="00C31003"/>
    <w:rsid w:val="00C317A2"/>
    <w:rsid w:val="00C323BE"/>
    <w:rsid w:val="00C32837"/>
    <w:rsid w:val="00C32911"/>
    <w:rsid w:val="00C32C5F"/>
    <w:rsid w:val="00C32E90"/>
    <w:rsid w:val="00C3309C"/>
    <w:rsid w:val="00C33748"/>
    <w:rsid w:val="00C337F8"/>
    <w:rsid w:val="00C343FC"/>
    <w:rsid w:val="00C35052"/>
    <w:rsid w:val="00C3589F"/>
    <w:rsid w:val="00C35EF4"/>
    <w:rsid w:val="00C36206"/>
    <w:rsid w:val="00C3651F"/>
    <w:rsid w:val="00C36633"/>
    <w:rsid w:val="00C366B5"/>
    <w:rsid w:val="00C36882"/>
    <w:rsid w:val="00C369BA"/>
    <w:rsid w:val="00C36E47"/>
    <w:rsid w:val="00C36E9D"/>
    <w:rsid w:val="00C370BD"/>
    <w:rsid w:val="00C3727C"/>
    <w:rsid w:val="00C375CA"/>
    <w:rsid w:val="00C3770F"/>
    <w:rsid w:val="00C379FA"/>
    <w:rsid w:val="00C37C86"/>
    <w:rsid w:val="00C37DAF"/>
    <w:rsid w:val="00C37EDC"/>
    <w:rsid w:val="00C4006D"/>
    <w:rsid w:val="00C401A2"/>
    <w:rsid w:val="00C406A8"/>
    <w:rsid w:val="00C412B1"/>
    <w:rsid w:val="00C413BC"/>
    <w:rsid w:val="00C41583"/>
    <w:rsid w:val="00C415D8"/>
    <w:rsid w:val="00C41C7F"/>
    <w:rsid w:val="00C41ED1"/>
    <w:rsid w:val="00C426AA"/>
    <w:rsid w:val="00C42F76"/>
    <w:rsid w:val="00C430C4"/>
    <w:rsid w:val="00C4343C"/>
    <w:rsid w:val="00C43D79"/>
    <w:rsid w:val="00C44149"/>
    <w:rsid w:val="00C4436C"/>
    <w:rsid w:val="00C44BFA"/>
    <w:rsid w:val="00C45BBF"/>
    <w:rsid w:val="00C461B2"/>
    <w:rsid w:val="00C468A5"/>
    <w:rsid w:val="00C4724F"/>
    <w:rsid w:val="00C47B1C"/>
    <w:rsid w:val="00C47C8E"/>
    <w:rsid w:val="00C47E4E"/>
    <w:rsid w:val="00C50436"/>
    <w:rsid w:val="00C50537"/>
    <w:rsid w:val="00C50A76"/>
    <w:rsid w:val="00C50B64"/>
    <w:rsid w:val="00C50BF2"/>
    <w:rsid w:val="00C50F25"/>
    <w:rsid w:val="00C51106"/>
    <w:rsid w:val="00C5122E"/>
    <w:rsid w:val="00C51274"/>
    <w:rsid w:val="00C51443"/>
    <w:rsid w:val="00C51536"/>
    <w:rsid w:val="00C515B6"/>
    <w:rsid w:val="00C51691"/>
    <w:rsid w:val="00C51887"/>
    <w:rsid w:val="00C52338"/>
    <w:rsid w:val="00C526A0"/>
    <w:rsid w:val="00C52724"/>
    <w:rsid w:val="00C52735"/>
    <w:rsid w:val="00C5275B"/>
    <w:rsid w:val="00C5283C"/>
    <w:rsid w:val="00C52FD1"/>
    <w:rsid w:val="00C5359B"/>
    <w:rsid w:val="00C53AF7"/>
    <w:rsid w:val="00C54C55"/>
    <w:rsid w:val="00C551C8"/>
    <w:rsid w:val="00C55295"/>
    <w:rsid w:val="00C554B5"/>
    <w:rsid w:val="00C55724"/>
    <w:rsid w:val="00C55FA4"/>
    <w:rsid w:val="00C5613C"/>
    <w:rsid w:val="00C563A1"/>
    <w:rsid w:val="00C5649D"/>
    <w:rsid w:val="00C56946"/>
    <w:rsid w:val="00C56EF2"/>
    <w:rsid w:val="00C570A6"/>
    <w:rsid w:val="00C570ED"/>
    <w:rsid w:val="00C570FC"/>
    <w:rsid w:val="00C579F3"/>
    <w:rsid w:val="00C57DC8"/>
    <w:rsid w:val="00C600B3"/>
    <w:rsid w:val="00C604E5"/>
    <w:rsid w:val="00C60B3E"/>
    <w:rsid w:val="00C613B6"/>
    <w:rsid w:val="00C61464"/>
    <w:rsid w:val="00C615E2"/>
    <w:rsid w:val="00C61747"/>
    <w:rsid w:val="00C61A0D"/>
    <w:rsid w:val="00C61F45"/>
    <w:rsid w:val="00C62037"/>
    <w:rsid w:val="00C62289"/>
    <w:rsid w:val="00C62D5E"/>
    <w:rsid w:val="00C62E0C"/>
    <w:rsid w:val="00C63622"/>
    <w:rsid w:val="00C63712"/>
    <w:rsid w:val="00C63819"/>
    <w:rsid w:val="00C640BD"/>
    <w:rsid w:val="00C64B52"/>
    <w:rsid w:val="00C64E95"/>
    <w:rsid w:val="00C65A1C"/>
    <w:rsid w:val="00C65CC5"/>
    <w:rsid w:val="00C6604A"/>
    <w:rsid w:val="00C66803"/>
    <w:rsid w:val="00C67964"/>
    <w:rsid w:val="00C67A47"/>
    <w:rsid w:val="00C67D4D"/>
    <w:rsid w:val="00C67E8E"/>
    <w:rsid w:val="00C70330"/>
    <w:rsid w:val="00C704D9"/>
    <w:rsid w:val="00C7178C"/>
    <w:rsid w:val="00C72177"/>
    <w:rsid w:val="00C723B0"/>
    <w:rsid w:val="00C73469"/>
    <w:rsid w:val="00C735A7"/>
    <w:rsid w:val="00C73A99"/>
    <w:rsid w:val="00C73E4A"/>
    <w:rsid w:val="00C73F2E"/>
    <w:rsid w:val="00C748C7"/>
    <w:rsid w:val="00C74B8C"/>
    <w:rsid w:val="00C74CB8"/>
    <w:rsid w:val="00C74EE4"/>
    <w:rsid w:val="00C7556D"/>
    <w:rsid w:val="00C757A3"/>
    <w:rsid w:val="00C758C4"/>
    <w:rsid w:val="00C76073"/>
    <w:rsid w:val="00C760F7"/>
    <w:rsid w:val="00C76237"/>
    <w:rsid w:val="00C7628D"/>
    <w:rsid w:val="00C76B46"/>
    <w:rsid w:val="00C76C5F"/>
    <w:rsid w:val="00C772B6"/>
    <w:rsid w:val="00C80310"/>
    <w:rsid w:val="00C808D3"/>
    <w:rsid w:val="00C80CF8"/>
    <w:rsid w:val="00C811EA"/>
    <w:rsid w:val="00C812A1"/>
    <w:rsid w:val="00C81471"/>
    <w:rsid w:val="00C81532"/>
    <w:rsid w:val="00C81D4F"/>
    <w:rsid w:val="00C821C1"/>
    <w:rsid w:val="00C8268F"/>
    <w:rsid w:val="00C82C7F"/>
    <w:rsid w:val="00C82CC1"/>
    <w:rsid w:val="00C82EA7"/>
    <w:rsid w:val="00C830D0"/>
    <w:rsid w:val="00C83535"/>
    <w:rsid w:val="00C83D84"/>
    <w:rsid w:val="00C83E29"/>
    <w:rsid w:val="00C83EDB"/>
    <w:rsid w:val="00C8402C"/>
    <w:rsid w:val="00C84327"/>
    <w:rsid w:val="00C8493F"/>
    <w:rsid w:val="00C857A3"/>
    <w:rsid w:val="00C85D8B"/>
    <w:rsid w:val="00C85DAB"/>
    <w:rsid w:val="00C86167"/>
    <w:rsid w:val="00C86FA7"/>
    <w:rsid w:val="00C87082"/>
    <w:rsid w:val="00C87133"/>
    <w:rsid w:val="00C873D4"/>
    <w:rsid w:val="00C87436"/>
    <w:rsid w:val="00C90489"/>
    <w:rsid w:val="00C9049D"/>
    <w:rsid w:val="00C91651"/>
    <w:rsid w:val="00C917A4"/>
    <w:rsid w:val="00C922A2"/>
    <w:rsid w:val="00C92A5B"/>
    <w:rsid w:val="00C92AE0"/>
    <w:rsid w:val="00C93FF3"/>
    <w:rsid w:val="00C94DCE"/>
    <w:rsid w:val="00C94E1D"/>
    <w:rsid w:val="00C95231"/>
    <w:rsid w:val="00C970EE"/>
    <w:rsid w:val="00C9746A"/>
    <w:rsid w:val="00C977C7"/>
    <w:rsid w:val="00C97A44"/>
    <w:rsid w:val="00C97CEE"/>
    <w:rsid w:val="00CA03E9"/>
    <w:rsid w:val="00CA04CC"/>
    <w:rsid w:val="00CA0F3B"/>
    <w:rsid w:val="00CA1AA1"/>
    <w:rsid w:val="00CA1B9D"/>
    <w:rsid w:val="00CA1D35"/>
    <w:rsid w:val="00CA1E56"/>
    <w:rsid w:val="00CA2333"/>
    <w:rsid w:val="00CA26EA"/>
    <w:rsid w:val="00CA2CCF"/>
    <w:rsid w:val="00CA2FB2"/>
    <w:rsid w:val="00CA35B5"/>
    <w:rsid w:val="00CA3D3A"/>
    <w:rsid w:val="00CA3FE1"/>
    <w:rsid w:val="00CA41E0"/>
    <w:rsid w:val="00CA42C2"/>
    <w:rsid w:val="00CA42D6"/>
    <w:rsid w:val="00CA45E0"/>
    <w:rsid w:val="00CA508E"/>
    <w:rsid w:val="00CA528A"/>
    <w:rsid w:val="00CA593C"/>
    <w:rsid w:val="00CA5951"/>
    <w:rsid w:val="00CA5AF5"/>
    <w:rsid w:val="00CA5BCD"/>
    <w:rsid w:val="00CA5E57"/>
    <w:rsid w:val="00CA5E71"/>
    <w:rsid w:val="00CA5FC0"/>
    <w:rsid w:val="00CA65C1"/>
    <w:rsid w:val="00CA6CBB"/>
    <w:rsid w:val="00CA7131"/>
    <w:rsid w:val="00CA7835"/>
    <w:rsid w:val="00CA7973"/>
    <w:rsid w:val="00CA79AE"/>
    <w:rsid w:val="00CA7E39"/>
    <w:rsid w:val="00CB0A3B"/>
    <w:rsid w:val="00CB0CD3"/>
    <w:rsid w:val="00CB15E9"/>
    <w:rsid w:val="00CB1727"/>
    <w:rsid w:val="00CB1B28"/>
    <w:rsid w:val="00CB1B4F"/>
    <w:rsid w:val="00CB20FE"/>
    <w:rsid w:val="00CB2228"/>
    <w:rsid w:val="00CB229B"/>
    <w:rsid w:val="00CB22F5"/>
    <w:rsid w:val="00CB2BD5"/>
    <w:rsid w:val="00CB2E78"/>
    <w:rsid w:val="00CB318A"/>
    <w:rsid w:val="00CB3487"/>
    <w:rsid w:val="00CB3CBF"/>
    <w:rsid w:val="00CB3E1D"/>
    <w:rsid w:val="00CB40F4"/>
    <w:rsid w:val="00CB4173"/>
    <w:rsid w:val="00CB4986"/>
    <w:rsid w:val="00CB4ABB"/>
    <w:rsid w:val="00CB5020"/>
    <w:rsid w:val="00CB5356"/>
    <w:rsid w:val="00CB5C55"/>
    <w:rsid w:val="00CB6734"/>
    <w:rsid w:val="00CB6A4B"/>
    <w:rsid w:val="00CB6AD1"/>
    <w:rsid w:val="00CB6D0E"/>
    <w:rsid w:val="00CC0219"/>
    <w:rsid w:val="00CC054D"/>
    <w:rsid w:val="00CC1834"/>
    <w:rsid w:val="00CC1D1A"/>
    <w:rsid w:val="00CC1F9E"/>
    <w:rsid w:val="00CC2C02"/>
    <w:rsid w:val="00CC378B"/>
    <w:rsid w:val="00CC4955"/>
    <w:rsid w:val="00CC49B3"/>
    <w:rsid w:val="00CC49FC"/>
    <w:rsid w:val="00CC4BFF"/>
    <w:rsid w:val="00CC4EB1"/>
    <w:rsid w:val="00CC4EE1"/>
    <w:rsid w:val="00CC5710"/>
    <w:rsid w:val="00CC5A83"/>
    <w:rsid w:val="00CC6260"/>
    <w:rsid w:val="00CC641D"/>
    <w:rsid w:val="00CC647C"/>
    <w:rsid w:val="00CC67FA"/>
    <w:rsid w:val="00CC68FA"/>
    <w:rsid w:val="00CC6A66"/>
    <w:rsid w:val="00CC6B02"/>
    <w:rsid w:val="00CC6B47"/>
    <w:rsid w:val="00CD0180"/>
    <w:rsid w:val="00CD0365"/>
    <w:rsid w:val="00CD06DD"/>
    <w:rsid w:val="00CD0818"/>
    <w:rsid w:val="00CD1030"/>
    <w:rsid w:val="00CD1192"/>
    <w:rsid w:val="00CD1265"/>
    <w:rsid w:val="00CD1404"/>
    <w:rsid w:val="00CD1771"/>
    <w:rsid w:val="00CD19F6"/>
    <w:rsid w:val="00CD1A32"/>
    <w:rsid w:val="00CD1ADB"/>
    <w:rsid w:val="00CD1DF4"/>
    <w:rsid w:val="00CD24E3"/>
    <w:rsid w:val="00CD299C"/>
    <w:rsid w:val="00CD2CF1"/>
    <w:rsid w:val="00CD2F95"/>
    <w:rsid w:val="00CD35A1"/>
    <w:rsid w:val="00CD37A5"/>
    <w:rsid w:val="00CD380E"/>
    <w:rsid w:val="00CD3C2B"/>
    <w:rsid w:val="00CD51EC"/>
    <w:rsid w:val="00CD5F57"/>
    <w:rsid w:val="00CD64A3"/>
    <w:rsid w:val="00CD658A"/>
    <w:rsid w:val="00CD676E"/>
    <w:rsid w:val="00CD7329"/>
    <w:rsid w:val="00CD73D3"/>
    <w:rsid w:val="00CE1C7A"/>
    <w:rsid w:val="00CE222A"/>
    <w:rsid w:val="00CE224C"/>
    <w:rsid w:val="00CE28E3"/>
    <w:rsid w:val="00CE2921"/>
    <w:rsid w:val="00CE2977"/>
    <w:rsid w:val="00CE2B16"/>
    <w:rsid w:val="00CE302D"/>
    <w:rsid w:val="00CE3B74"/>
    <w:rsid w:val="00CE3E95"/>
    <w:rsid w:val="00CE4668"/>
    <w:rsid w:val="00CE4BB3"/>
    <w:rsid w:val="00CE4D2C"/>
    <w:rsid w:val="00CE4F3F"/>
    <w:rsid w:val="00CE59E4"/>
    <w:rsid w:val="00CE5A73"/>
    <w:rsid w:val="00CE5BEF"/>
    <w:rsid w:val="00CE5F7D"/>
    <w:rsid w:val="00CE5F83"/>
    <w:rsid w:val="00CE7031"/>
    <w:rsid w:val="00CE7567"/>
    <w:rsid w:val="00CE7CF7"/>
    <w:rsid w:val="00CE7FAD"/>
    <w:rsid w:val="00CF04EA"/>
    <w:rsid w:val="00CF060F"/>
    <w:rsid w:val="00CF0BA4"/>
    <w:rsid w:val="00CF0F46"/>
    <w:rsid w:val="00CF13E8"/>
    <w:rsid w:val="00CF167E"/>
    <w:rsid w:val="00CF16D5"/>
    <w:rsid w:val="00CF1A2D"/>
    <w:rsid w:val="00CF1BE8"/>
    <w:rsid w:val="00CF1CA9"/>
    <w:rsid w:val="00CF1E6A"/>
    <w:rsid w:val="00CF20F1"/>
    <w:rsid w:val="00CF21C7"/>
    <w:rsid w:val="00CF23FD"/>
    <w:rsid w:val="00CF2913"/>
    <w:rsid w:val="00CF35CE"/>
    <w:rsid w:val="00CF3FD4"/>
    <w:rsid w:val="00CF4354"/>
    <w:rsid w:val="00CF439F"/>
    <w:rsid w:val="00CF4910"/>
    <w:rsid w:val="00CF4A78"/>
    <w:rsid w:val="00CF5085"/>
    <w:rsid w:val="00CF5A3C"/>
    <w:rsid w:val="00CF5DED"/>
    <w:rsid w:val="00CF6C1C"/>
    <w:rsid w:val="00CF6D86"/>
    <w:rsid w:val="00CF7059"/>
    <w:rsid w:val="00CF7120"/>
    <w:rsid w:val="00CF724C"/>
    <w:rsid w:val="00CF7488"/>
    <w:rsid w:val="00D001B4"/>
    <w:rsid w:val="00D003B7"/>
    <w:rsid w:val="00D00E36"/>
    <w:rsid w:val="00D00F2B"/>
    <w:rsid w:val="00D01266"/>
    <w:rsid w:val="00D0196D"/>
    <w:rsid w:val="00D01D93"/>
    <w:rsid w:val="00D02F4F"/>
    <w:rsid w:val="00D03605"/>
    <w:rsid w:val="00D047AD"/>
    <w:rsid w:val="00D04CB3"/>
    <w:rsid w:val="00D05687"/>
    <w:rsid w:val="00D0597F"/>
    <w:rsid w:val="00D05AD6"/>
    <w:rsid w:val="00D063C4"/>
    <w:rsid w:val="00D064E2"/>
    <w:rsid w:val="00D06986"/>
    <w:rsid w:val="00D06CA4"/>
    <w:rsid w:val="00D07431"/>
    <w:rsid w:val="00D0779E"/>
    <w:rsid w:val="00D07964"/>
    <w:rsid w:val="00D0797C"/>
    <w:rsid w:val="00D10150"/>
    <w:rsid w:val="00D10381"/>
    <w:rsid w:val="00D104DE"/>
    <w:rsid w:val="00D106D3"/>
    <w:rsid w:val="00D10A00"/>
    <w:rsid w:val="00D10A03"/>
    <w:rsid w:val="00D110E9"/>
    <w:rsid w:val="00D113B6"/>
    <w:rsid w:val="00D1232D"/>
    <w:rsid w:val="00D12640"/>
    <w:rsid w:val="00D126E4"/>
    <w:rsid w:val="00D12902"/>
    <w:rsid w:val="00D135C0"/>
    <w:rsid w:val="00D13865"/>
    <w:rsid w:val="00D13AF1"/>
    <w:rsid w:val="00D13EAB"/>
    <w:rsid w:val="00D13F01"/>
    <w:rsid w:val="00D140E7"/>
    <w:rsid w:val="00D144F7"/>
    <w:rsid w:val="00D14E59"/>
    <w:rsid w:val="00D14F1B"/>
    <w:rsid w:val="00D15A12"/>
    <w:rsid w:val="00D15D96"/>
    <w:rsid w:val="00D164E0"/>
    <w:rsid w:val="00D16568"/>
    <w:rsid w:val="00D176EB"/>
    <w:rsid w:val="00D20031"/>
    <w:rsid w:val="00D20110"/>
    <w:rsid w:val="00D206E3"/>
    <w:rsid w:val="00D20B4C"/>
    <w:rsid w:val="00D2115C"/>
    <w:rsid w:val="00D214D8"/>
    <w:rsid w:val="00D21607"/>
    <w:rsid w:val="00D21755"/>
    <w:rsid w:val="00D21A00"/>
    <w:rsid w:val="00D21C45"/>
    <w:rsid w:val="00D21C8E"/>
    <w:rsid w:val="00D21FFC"/>
    <w:rsid w:val="00D22109"/>
    <w:rsid w:val="00D22684"/>
    <w:rsid w:val="00D22C41"/>
    <w:rsid w:val="00D22D49"/>
    <w:rsid w:val="00D22DDC"/>
    <w:rsid w:val="00D22FBB"/>
    <w:rsid w:val="00D230FE"/>
    <w:rsid w:val="00D234B6"/>
    <w:rsid w:val="00D2371C"/>
    <w:rsid w:val="00D23D91"/>
    <w:rsid w:val="00D24C03"/>
    <w:rsid w:val="00D24E4F"/>
    <w:rsid w:val="00D2510E"/>
    <w:rsid w:val="00D253AE"/>
    <w:rsid w:val="00D25916"/>
    <w:rsid w:val="00D25F2B"/>
    <w:rsid w:val="00D25FE2"/>
    <w:rsid w:val="00D26024"/>
    <w:rsid w:val="00D2668B"/>
    <w:rsid w:val="00D26701"/>
    <w:rsid w:val="00D27127"/>
    <w:rsid w:val="00D271EB"/>
    <w:rsid w:val="00D278FA"/>
    <w:rsid w:val="00D3010B"/>
    <w:rsid w:val="00D304F1"/>
    <w:rsid w:val="00D3081D"/>
    <w:rsid w:val="00D30AAE"/>
    <w:rsid w:val="00D313B3"/>
    <w:rsid w:val="00D317E5"/>
    <w:rsid w:val="00D31BD4"/>
    <w:rsid w:val="00D31C83"/>
    <w:rsid w:val="00D32060"/>
    <w:rsid w:val="00D32258"/>
    <w:rsid w:val="00D3292B"/>
    <w:rsid w:val="00D32D27"/>
    <w:rsid w:val="00D32F80"/>
    <w:rsid w:val="00D33409"/>
    <w:rsid w:val="00D33CC1"/>
    <w:rsid w:val="00D33DFA"/>
    <w:rsid w:val="00D33F02"/>
    <w:rsid w:val="00D341B1"/>
    <w:rsid w:val="00D34390"/>
    <w:rsid w:val="00D3525C"/>
    <w:rsid w:val="00D35854"/>
    <w:rsid w:val="00D358F7"/>
    <w:rsid w:val="00D36376"/>
    <w:rsid w:val="00D36E67"/>
    <w:rsid w:val="00D36F4A"/>
    <w:rsid w:val="00D37798"/>
    <w:rsid w:val="00D378BD"/>
    <w:rsid w:val="00D37C96"/>
    <w:rsid w:val="00D37E24"/>
    <w:rsid w:val="00D37EF5"/>
    <w:rsid w:val="00D400C3"/>
    <w:rsid w:val="00D40B20"/>
    <w:rsid w:val="00D41151"/>
    <w:rsid w:val="00D414B9"/>
    <w:rsid w:val="00D41759"/>
    <w:rsid w:val="00D419A0"/>
    <w:rsid w:val="00D419C9"/>
    <w:rsid w:val="00D419E7"/>
    <w:rsid w:val="00D41EFF"/>
    <w:rsid w:val="00D42363"/>
    <w:rsid w:val="00D42780"/>
    <w:rsid w:val="00D428B9"/>
    <w:rsid w:val="00D42C56"/>
    <w:rsid w:val="00D43246"/>
    <w:rsid w:val="00D43B07"/>
    <w:rsid w:val="00D44BEB"/>
    <w:rsid w:val="00D44CE3"/>
    <w:rsid w:val="00D45750"/>
    <w:rsid w:val="00D457EA"/>
    <w:rsid w:val="00D458CE"/>
    <w:rsid w:val="00D45C42"/>
    <w:rsid w:val="00D45D3D"/>
    <w:rsid w:val="00D470D4"/>
    <w:rsid w:val="00D47651"/>
    <w:rsid w:val="00D47B43"/>
    <w:rsid w:val="00D47BAE"/>
    <w:rsid w:val="00D47DE0"/>
    <w:rsid w:val="00D50331"/>
    <w:rsid w:val="00D50810"/>
    <w:rsid w:val="00D5096F"/>
    <w:rsid w:val="00D50BF9"/>
    <w:rsid w:val="00D515A4"/>
    <w:rsid w:val="00D52493"/>
    <w:rsid w:val="00D52706"/>
    <w:rsid w:val="00D527CB"/>
    <w:rsid w:val="00D52E54"/>
    <w:rsid w:val="00D52F86"/>
    <w:rsid w:val="00D52FF5"/>
    <w:rsid w:val="00D53027"/>
    <w:rsid w:val="00D5313D"/>
    <w:rsid w:val="00D536F8"/>
    <w:rsid w:val="00D53D11"/>
    <w:rsid w:val="00D53EA7"/>
    <w:rsid w:val="00D54359"/>
    <w:rsid w:val="00D549CD"/>
    <w:rsid w:val="00D54BA5"/>
    <w:rsid w:val="00D54FDC"/>
    <w:rsid w:val="00D55595"/>
    <w:rsid w:val="00D560F8"/>
    <w:rsid w:val="00D56342"/>
    <w:rsid w:val="00D56434"/>
    <w:rsid w:val="00D56DFA"/>
    <w:rsid w:val="00D5745E"/>
    <w:rsid w:val="00D57CCE"/>
    <w:rsid w:val="00D57FBC"/>
    <w:rsid w:val="00D60162"/>
    <w:rsid w:val="00D60429"/>
    <w:rsid w:val="00D605B5"/>
    <w:rsid w:val="00D60E22"/>
    <w:rsid w:val="00D61302"/>
    <w:rsid w:val="00D61341"/>
    <w:rsid w:val="00D616DC"/>
    <w:rsid w:val="00D62631"/>
    <w:rsid w:val="00D6279B"/>
    <w:rsid w:val="00D62CA8"/>
    <w:rsid w:val="00D62F4D"/>
    <w:rsid w:val="00D63203"/>
    <w:rsid w:val="00D63A1D"/>
    <w:rsid w:val="00D64464"/>
    <w:rsid w:val="00D64B71"/>
    <w:rsid w:val="00D64E7A"/>
    <w:rsid w:val="00D652D9"/>
    <w:rsid w:val="00D65BFB"/>
    <w:rsid w:val="00D65E6F"/>
    <w:rsid w:val="00D660A4"/>
    <w:rsid w:val="00D67363"/>
    <w:rsid w:val="00D70133"/>
    <w:rsid w:val="00D70DDA"/>
    <w:rsid w:val="00D7116F"/>
    <w:rsid w:val="00D71C85"/>
    <w:rsid w:val="00D71FB2"/>
    <w:rsid w:val="00D721A4"/>
    <w:rsid w:val="00D723EC"/>
    <w:rsid w:val="00D7275C"/>
    <w:rsid w:val="00D72B1C"/>
    <w:rsid w:val="00D72EEE"/>
    <w:rsid w:val="00D734D9"/>
    <w:rsid w:val="00D734F3"/>
    <w:rsid w:val="00D7396B"/>
    <w:rsid w:val="00D73AD9"/>
    <w:rsid w:val="00D7416D"/>
    <w:rsid w:val="00D742EC"/>
    <w:rsid w:val="00D754EA"/>
    <w:rsid w:val="00D76209"/>
    <w:rsid w:val="00D76260"/>
    <w:rsid w:val="00D762BF"/>
    <w:rsid w:val="00D7655F"/>
    <w:rsid w:val="00D76B3C"/>
    <w:rsid w:val="00D7714D"/>
    <w:rsid w:val="00D77A44"/>
    <w:rsid w:val="00D77A83"/>
    <w:rsid w:val="00D80280"/>
    <w:rsid w:val="00D8067F"/>
    <w:rsid w:val="00D80B8B"/>
    <w:rsid w:val="00D80C29"/>
    <w:rsid w:val="00D80F01"/>
    <w:rsid w:val="00D817BD"/>
    <w:rsid w:val="00D8316D"/>
    <w:rsid w:val="00D83309"/>
    <w:rsid w:val="00D83B51"/>
    <w:rsid w:val="00D83C26"/>
    <w:rsid w:val="00D8448E"/>
    <w:rsid w:val="00D84ECA"/>
    <w:rsid w:val="00D8525E"/>
    <w:rsid w:val="00D85BFA"/>
    <w:rsid w:val="00D8615F"/>
    <w:rsid w:val="00D86994"/>
    <w:rsid w:val="00D86E53"/>
    <w:rsid w:val="00D8718D"/>
    <w:rsid w:val="00D875C3"/>
    <w:rsid w:val="00D8775B"/>
    <w:rsid w:val="00D87EE6"/>
    <w:rsid w:val="00D903FA"/>
    <w:rsid w:val="00D9041B"/>
    <w:rsid w:val="00D9064A"/>
    <w:rsid w:val="00D90B06"/>
    <w:rsid w:val="00D90B3E"/>
    <w:rsid w:val="00D90DBB"/>
    <w:rsid w:val="00D90EA0"/>
    <w:rsid w:val="00D91339"/>
    <w:rsid w:val="00D9141D"/>
    <w:rsid w:val="00D917A4"/>
    <w:rsid w:val="00D91BDC"/>
    <w:rsid w:val="00D92341"/>
    <w:rsid w:val="00D92B82"/>
    <w:rsid w:val="00D92C09"/>
    <w:rsid w:val="00D92FA1"/>
    <w:rsid w:val="00D933F6"/>
    <w:rsid w:val="00D93C4D"/>
    <w:rsid w:val="00D93DCA"/>
    <w:rsid w:val="00D93F6B"/>
    <w:rsid w:val="00D94441"/>
    <w:rsid w:val="00D9463D"/>
    <w:rsid w:val="00D946C9"/>
    <w:rsid w:val="00D94CF3"/>
    <w:rsid w:val="00D94E82"/>
    <w:rsid w:val="00D95277"/>
    <w:rsid w:val="00D95F7E"/>
    <w:rsid w:val="00D96788"/>
    <w:rsid w:val="00D967A8"/>
    <w:rsid w:val="00D967AB"/>
    <w:rsid w:val="00D969CA"/>
    <w:rsid w:val="00D97035"/>
    <w:rsid w:val="00D97BCB"/>
    <w:rsid w:val="00D97CAC"/>
    <w:rsid w:val="00D97FD0"/>
    <w:rsid w:val="00D97FF4"/>
    <w:rsid w:val="00DA009B"/>
    <w:rsid w:val="00DA058E"/>
    <w:rsid w:val="00DA19AF"/>
    <w:rsid w:val="00DA28DB"/>
    <w:rsid w:val="00DA3D15"/>
    <w:rsid w:val="00DA3F50"/>
    <w:rsid w:val="00DA3FCA"/>
    <w:rsid w:val="00DA469C"/>
    <w:rsid w:val="00DA4707"/>
    <w:rsid w:val="00DA4781"/>
    <w:rsid w:val="00DA4DB0"/>
    <w:rsid w:val="00DA512C"/>
    <w:rsid w:val="00DA5184"/>
    <w:rsid w:val="00DA5C2A"/>
    <w:rsid w:val="00DA5EAF"/>
    <w:rsid w:val="00DA5EBE"/>
    <w:rsid w:val="00DA6765"/>
    <w:rsid w:val="00DA6DD3"/>
    <w:rsid w:val="00DA749F"/>
    <w:rsid w:val="00DA7A9A"/>
    <w:rsid w:val="00DB003C"/>
    <w:rsid w:val="00DB0531"/>
    <w:rsid w:val="00DB05E5"/>
    <w:rsid w:val="00DB060A"/>
    <w:rsid w:val="00DB09FF"/>
    <w:rsid w:val="00DB0BF8"/>
    <w:rsid w:val="00DB0D4C"/>
    <w:rsid w:val="00DB11BE"/>
    <w:rsid w:val="00DB1252"/>
    <w:rsid w:val="00DB14AA"/>
    <w:rsid w:val="00DB14F2"/>
    <w:rsid w:val="00DB1905"/>
    <w:rsid w:val="00DB1B6C"/>
    <w:rsid w:val="00DB1C77"/>
    <w:rsid w:val="00DB1E91"/>
    <w:rsid w:val="00DB1F9B"/>
    <w:rsid w:val="00DB2C13"/>
    <w:rsid w:val="00DB3130"/>
    <w:rsid w:val="00DB34DF"/>
    <w:rsid w:val="00DB3827"/>
    <w:rsid w:val="00DB3CAF"/>
    <w:rsid w:val="00DB3F78"/>
    <w:rsid w:val="00DB4288"/>
    <w:rsid w:val="00DB4410"/>
    <w:rsid w:val="00DB4753"/>
    <w:rsid w:val="00DB4DB9"/>
    <w:rsid w:val="00DB5117"/>
    <w:rsid w:val="00DB5424"/>
    <w:rsid w:val="00DB58D8"/>
    <w:rsid w:val="00DB5C26"/>
    <w:rsid w:val="00DB5C6F"/>
    <w:rsid w:val="00DB5C8D"/>
    <w:rsid w:val="00DB5F24"/>
    <w:rsid w:val="00DB6031"/>
    <w:rsid w:val="00DB619D"/>
    <w:rsid w:val="00DB6201"/>
    <w:rsid w:val="00DB62C9"/>
    <w:rsid w:val="00DB65E3"/>
    <w:rsid w:val="00DB664A"/>
    <w:rsid w:val="00DB68F6"/>
    <w:rsid w:val="00DB6C05"/>
    <w:rsid w:val="00DB6D91"/>
    <w:rsid w:val="00DB7463"/>
    <w:rsid w:val="00DB77BA"/>
    <w:rsid w:val="00DB7D36"/>
    <w:rsid w:val="00DC14AF"/>
    <w:rsid w:val="00DC1720"/>
    <w:rsid w:val="00DC1B9C"/>
    <w:rsid w:val="00DC2360"/>
    <w:rsid w:val="00DC242C"/>
    <w:rsid w:val="00DC269D"/>
    <w:rsid w:val="00DC2A9E"/>
    <w:rsid w:val="00DC3633"/>
    <w:rsid w:val="00DC3B4F"/>
    <w:rsid w:val="00DC4108"/>
    <w:rsid w:val="00DC42E3"/>
    <w:rsid w:val="00DC43D6"/>
    <w:rsid w:val="00DC4643"/>
    <w:rsid w:val="00DC4760"/>
    <w:rsid w:val="00DC4809"/>
    <w:rsid w:val="00DC4ABC"/>
    <w:rsid w:val="00DC4EC7"/>
    <w:rsid w:val="00DC4F64"/>
    <w:rsid w:val="00DC50C5"/>
    <w:rsid w:val="00DC545A"/>
    <w:rsid w:val="00DC5666"/>
    <w:rsid w:val="00DC5B50"/>
    <w:rsid w:val="00DC5EE1"/>
    <w:rsid w:val="00DC64A7"/>
    <w:rsid w:val="00DC6984"/>
    <w:rsid w:val="00DC6A4C"/>
    <w:rsid w:val="00DC7110"/>
    <w:rsid w:val="00DC7B05"/>
    <w:rsid w:val="00DD03C9"/>
    <w:rsid w:val="00DD05E4"/>
    <w:rsid w:val="00DD0953"/>
    <w:rsid w:val="00DD0994"/>
    <w:rsid w:val="00DD09FB"/>
    <w:rsid w:val="00DD0D55"/>
    <w:rsid w:val="00DD12F9"/>
    <w:rsid w:val="00DD194E"/>
    <w:rsid w:val="00DD1A95"/>
    <w:rsid w:val="00DD1B09"/>
    <w:rsid w:val="00DD1CC9"/>
    <w:rsid w:val="00DD2121"/>
    <w:rsid w:val="00DD2574"/>
    <w:rsid w:val="00DD2C81"/>
    <w:rsid w:val="00DD2F5E"/>
    <w:rsid w:val="00DD5461"/>
    <w:rsid w:val="00DD7214"/>
    <w:rsid w:val="00DD74AF"/>
    <w:rsid w:val="00DD7770"/>
    <w:rsid w:val="00DD79AE"/>
    <w:rsid w:val="00DD79C9"/>
    <w:rsid w:val="00DD7BD3"/>
    <w:rsid w:val="00DE0AAD"/>
    <w:rsid w:val="00DE13E2"/>
    <w:rsid w:val="00DE2296"/>
    <w:rsid w:val="00DE2496"/>
    <w:rsid w:val="00DE2681"/>
    <w:rsid w:val="00DE2A90"/>
    <w:rsid w:val="00DE392B"/>
    <w:rsid w:val="00DE399B"/>
    <w:rsid w:val="00DE3E55"/>
    <w:rsid w:val="00DE3F63"/>
    <w:rsid w:val="00DE426B"/>
    <w:rsid w:val="00DE434F"/>
    <w:rsid w:val="00DE4806"/>
    <w:rsid w:val="00DE48D6"/>
    <w:rsid w:val="00DE49C2"/>
    <w:rsid w:val="00DE5056"/>
    <w:rsid w:val="00DE51CC"/>
    <w:rsid w:val="00DE525C"/>
    <w:rsid w:val="00DE61A4"/>
    <w:rsid w:val="00DE61AA"/>
    <w:rsid w:val="00DE61AC"/>
    <w:rsid w:val="00DE6E75"/>
    <w:rsid w:val="00DE7099"/>
    <w:rsid w:val="00DE75E6"/>
    <w:rsid w:val="00DE7635"/>
    <w:rsid w:val="00DE76EA"/>
    <w:rsid w:val="00DE7A73"/>
    <w:rsid w:val="00DE7A7C"/>
    <w:rsid w:val="00DF0099"/>
    <w:rsid w:val="00DF0157"/>
    <w:rsid w:val="00DF0902"/>
    <w:rsid w:val="00DF0FAA"/>
    <w:rsid w:val="00DF1982"/>
    <w:rsid w:val="00DF1CC4"/>
    <w:rsid w:val="00DF29D5"/>
    <w:rsid w:val="00DF2EB6"/>
    <w:rsid w:val="00DF341B"/>
    <w:rsid w:val="00DF3520"/>
    <w:rsid w:val="00DF39E9"/>
    <w:rsid w:val="00DF3F14"/>
    <w:rsid w:val="00DF431B"/>
    <w:rsid w:val="00DF4713"/>
    <w:rsid w:val="00DF4F7A"/>
    <w:rsid w:val="00DF5525"/>
    <w:rsid w:val="00DF5872"/>
    <w:rsid w:val="00DF62DA"/>
    <w:rsid w:val="00DF674E"/>
    <w:rsid w:val="00DF6B95"/>
    <w:rsid w:val="00DF6D95"/>
    <w:rsid w:val="00DF74D9"/>
    <w:rsid w:val="00DF75F9"/>
    <w:rsid w:val="00E00417"/>
    <w:rsid w:val="00E00839"/>
    <w:rsid w:val="00E008F4"/>
    <w:rsid w:val="00E00F5E"/>
    <w:rsid w:val="00E00F8F"/>
    <w:rsid w:val="00E01320"/>
    <w:rsid w:val="00E0155B"/>
    <w:rsid w:val="00E01867"/>
    <w:rsid w:val="00E01CF1"/>
    <w:rsid w:val="00E02522"/>
    <w:rsid w:val="00E02956"/>
    <w:rsid w:val="00E0360B"/>
    <w:rsid w:val="00E03699"/>
    <w:rsid w:val="00E039F1"/>
    <w:rsid w:val="00E03A96"/>
    <w:rsid w:val="00E04342"/>
    <w:rsid w:val="00E04FE4"/>
    <w:rsid w:val="00E05D56"/>
    <w:rsid w:val="00E06248"/>
    <w:rsid w:val="00E06598"/>
    <w:rsid w:val="00E06A15"/>
    <w:rsid w:val="00E06F20"/>
    <w:rsid w:val="00E07899"/>
    <w:rsid w:val="00E0796B"/>
    <w:rsid w:val="00E079B8"/>
    <w:rsid w:val="00E079DB"/>
    <w:rsid w:val="00E07D64"/>
    <w:rsid w:val="00E07FDF"/>
    <w:rsid w:val="00E105A9"/>
    <w:rsid w:val="00E12A25"/>
    <w:rsid w:val="00E13875"/>
    <w:rsid w:val="00E13DC6"/>
    <w:rsid w:val="00E13F77"/>
    <w:rsid w:val="00E1474E"/>
    <w:rsid w:val="00E14820"/>
    <w:rsid w:val="00E148F9"/>
    <w:rsid w:val="00E14F04"/>
    <w:rsid w:val="00E15056"/>
    <w:rsid w:val="00E1564F"/>
    <w:rsid w:val="00E15DB1"/>
    <w:rsid w:val="00E15E43"/>
    <w:rsid w:val="00E16157"/>
    <w:rsid w:val="00E1684C"/>
    <w:rsid w:val="00E16B88"/>
    <w:rsid w:val="00E1701A"/>
    <w:rsid w:val="00E17552"/>
    <w:rsid w:val="00E17941"/>
    <w:rsid w:val="00E17B19"/>
    <w:rsid w:val="00E200F1"/>
    <w:rsid w:val="00E209D6"/>
    <w:rsid w:val="00E20A36"/>
    <w:rsid w:val="00E20AE4"/>
    <w:rsid w:val="00E20AE7"/>
    <w:rsid w:val="00E2110B"/>
    <w:rsid w:val="00E21B03"/>
    <w:rsid w:val="00E22082"/>
    <w:rsid w:val="00E22294"/>
    <w:rsid w:val="00E22445"/>
    <w:rsid w:val="00E22FE9"/>
    <w:rsid w:val="00E239AF"/>
    <w:rsid w:val="00E23A7A"/>
    <w:rsid w:val="00E23E5D"/>
    <w:rsid w:val="00E240F1"/>
    <w:rsid w:val="00E2575C"/>
    <w:rsid w:val="00E25769"/>
    <w:rsid w:val="00E25885"/>
    <w:rsid w:val="00E25A87"/>
    <w:rsid w:val="00E25BDC"/>
    <w:rsid w:val="00E260A3"/>
    <w:rsid w:val="00E260EF"/>
    <w:rsid w:val="00E262C7"/>
    <w:rsid w:val="00E26748"/>
    <w:rsid w:val="00E2690D"/>
    <w:rsid w:val="00E26C3B"/>
    <w:rsid w:val="00E26D15"/>
    <w:rsid w:val="00E26D20"/>
    <w:rsid w:val="00E2736A"/>
    <w:rsid w:val="00E27496"/>
    <w:rsid w:val="00E277C0"/>
    <w:rsid w:val="00E27DDB"/>
    <w:rsid w:val="00E30408"/>
    <w:rsid w:val="00E3050B"/>
    <w:rsid w:val="00E308E3"/>
    <w:rsid w:val="00E30940"/>
    <w:rsid w:val="00E31692"/>
    <w:rsid w:val="00E31702"/>
    <w:rsid w:val="00E318AE"/>
    <w:rsid w:val="00E31B75"/>
    <w:rsid w:val="00E320E5"/>
    <w:rsid w:val="00E323E5"/>
    <w:rsid w:val="00E3242E"/>
    <w:rsid w:val="00E32620"/>
    <w:rsid w:val="00E32BBB"/>
    <w:rsid w:val="00E330C9"/>
    <w:rsid w:val="00E3318F"/>
    <w:rsid w:val="00E3330E"/>
    <w:rsid w:val="00E3351F"/>
    <w:rsid w:val="00E3356E"/>
    <w:rsid w:val="00E335CD"/>
    <w:rsid w:val="00E33992"/>
    <w:rsid w:val="00E33EB7"/>
    <w:rsid w:val="00E3413A"/>
    <w:rsid w:val="00E34EF4"/>
    <w:rsid w:val="00E355BB"/>
    <w:rsid w:val="00E35935"/>
    <w:rsid w:val="00E35C92"/>
    <w:rsid w:val="00E35FFE"/>
    <w:rsid w:val="00E36363"/>
    <w:rsid w:val="00E371C9"/>
    <w:rsid w:val="00E3720D"/>
    <w:rsid w:val="00E3755B"/>
    <w:rsid w:val="00E378AF"/>
    <w:rsid w:val="00E37B96"/>
    <w:rsid w:val="00E37CA9"/>
    <w:rsid w:val="00E401AF"/>
    <w:rsid w:val="00E40DAE"/>
    <w:rsid w:val="00E40F62"/>
    <w:rsid w:val="00E4114D"/>
    <w:rsid w:val="00E420EA"/>
    <w:rsid w:val="00E425B1"/>
    <w:rsid w:val="00E42C25"/>
    <w:rsid w:val="00E42EDB"/>
    <w:rsid w:val="00E42F6C"/>
    <w:rsid w:val="00E43249"/>
    <w:rsid w:val="00E436A2"/>
    <w:rsid w:val="00E438B7"/>
    <w:rsid w:val="00E43F64"/>
    <w:rsid w:val="00E440B8"/>
    <w:rsid w:val="00E4418C"/>
    <w:rsid w:val="00E44440"/>
    <w:rsid w:val="00E44EB6"/>
    <w:rsid w:val="00E45640"/>
    <w:rsid w:val="00E458D8"/>
    <w:rsid w:val="00E461F7"/>
    <w:rsid w:val="00E463BD"/>
    <w:rsid w:val="00E46792"/>
    <w:rsid w:val="00E46DAB"/>
    <w:rsid w:val="00E4709B"/>
    <w:rsid w:val="00E47299"/>
    <w:rsid w:val="00E47393"/>
    <w:rsid w:val="00E47643"/>
    <w:rsid w:val="00E47FF1"/>
    <w:rsid w:val="00E505B6"/>
    <w:rsid w:val="00E508C0"/>
    <w:rsid w:val="00E51006"/>
    <w:rsid w:val="00E5134E"/>
    <w:rsid w:val="00E518A7"/>
    <w:rsid w:val="00E51ECB"/>
    <w:rsid w:val="00E52314"/>
    <w:rsid w:val="00E529F5"/>
    <w:rsid w:val="00E53280"/>
    <w:rsid w:val="00E5356B"/>
    <w:rsid w:val="00E5366B"/>
    <w:rsid w:val="00E536CF"/>
    <w:rsid w:val="00E53E00"/>
    <w:rsid w:val="00E53FF2"/>
    <w:rsid w:val="00E54221"/>
    <w:rsid w:val="00E54240"/>
    <w:rsid w:val="00E552D7"/>
    <w:rsid w:val="00E556DD"/>
    <w:rsid w:val="00E55D52"/>
    <w:rsid w:val="00E562FF"/>
    <w:rsid w:val="00E5650A"/>
    <w:rsid w:val="00E56707"/>
    <w:rsid w:val="00E56FBB"/>
    <w:rsid w:val="00E573E5"/>
    <w:rsid w:val="00E5747B"/>
    <w:rsid w:val="00E574EC"/>
    <w:rsid w:val="00E57760"/>
    <w:rsid w:val="00E57E9C"/>
    <w:rsid w:val="00E57F77"/>
    <w:rsid w:val="00E57F9C"/>
    <w:rsid w:val="00E6046A"/>
    <w:rsid w:val="00E6048A"/>
    <w:rsid w:val="00E605F7"/>
    <w:rsid w:val="00E60622"/>
    <w:rsid w:val="00E609D8"/>
    <w:rsid w:val="00E60B3A"/>
    <w:rsid w:val="00E60F97"/>
    <w:rsid w:val="00E6128E"/>
    <w:rsid w:val="00E61459"/>
    <w:rsid w:val="00E614A3"/>
    <w:rsid w:val="00E614AA"/>
    <w:rsid w:val="00E615C6"/>
    <w:rsid w:val="00E615F9"/>
    <w:rsid w:val="00E618BE"/>
    <w:rsid w:val="00E6193C"/>
    <w:rsid w:val="00E61A0F"/>
    <w:rsid w:val="00E61A83"/>
    <w:rsid w:val="00E61CDE"/>
    <w:rsid w:val="00E6208F"/>
    <w:rsid w:val="00E6220D"/>
    <w:rsid w:val="00E62731"/>
    <w:rsid w:val="00E62BC2"/>
    <w:rsid w:val="00E63370"/>
    <w:rsid w:val="00E635D3"/>
    <w:rsid w:val="00E637AD"/>
    <w:rsid w:val="00E6383B"/>
    <w:rsid w:val="00E63DAA"/>
    <w:rsid w:val="00E64206"/>
    <w:rsid w:val="00E65082"/>
    <w:rsid w:val="00E656B8"/>
    <w:rsid w:val="00E656E7"/>
    <w:rsid w:val="00E65859"/>
    <w:rsid w:val="00E65D83"/>
    <w:rsid w:val="00E65F4A"/>
    <w:rsid w:val="00E667B9"/>
    <w:rsid w:val="00E667C4"/>
    <w:rsid w:val="00E66CFA"/>
    <w:rsid w:val="00E66F36"/>
    <w:rsid w:val="00E678DA"/>
    <w:rsid w:val="00E67CB6"/>
    <w:rsid w:val="00E704D2"/>
    <w:rsid w:val="00E7068E"/>
    <w:rsid w:val="00E70873"/>
    <w:rsid w:val="00E70A11"/>
    <w:rsid w:val="00E70B1C"/>
    <w:rsid w:val="00E70D40"/>
    <w:rsid w:val="00E71099"/>
    <w:rsid w:val="00E71B5F"/>
    <w:rsid w:val="00E71FAC"/>
    <w:rsid w:val="00E7221D"/>
    <w:rsid w:val="00E727E7"/>
    <w:rsid w:val="00E727FA"/>
    <w:rsid w:val="00E72A75"/>
    <w:rsid w:val="00E72E7D"/>
    <w:rsid w:val="00E734C7"/>
    <w:rsid w:val="00E73D37"/>
    <w:rsid w:val="00E7430D"/>
    <w:rsid w:val="00E74404"/>
    <w:rsid w:val="00E74BAF"/>
    <w:rsid w:val="00E74DFD"/>
    <w:rsid w:val="00E75058"/>
    <w:rsid w:val="00E75CA1"/>
    <w:rsid w:val="00E75ED9"/>
    <w:rsid w:val="00E7615F"/>
    <w:rsid w:val="00E76AE0"/>
    <w:rsid w:val="00E76D7F"/>
    <w:rsid w:val="00E771D7"/>
    <w:rsid w:val="00E77348"/>
    <w:rsid w:val="00E80064"/>
    <w:rsid w:val="00E80525"/>
    <w:rsid w:val="00E80DF2"/>
    <w:rsid w:val="00E817BA"/>
    <w:rsid w:val="00E819F7"/>
    <w:rsid w:val="00E81A87"/>
    <w:rsid w:val="00E82081"/>
    <w:rsid w:val="00E82325"/>
    <w:rsid w:val="00E824F7"/>
    <w:rsid w:val="00E8250E"/>
    <w:rsid w:val="00E82BD4"/>
    <w:rsid w:val="00E82F67"/>
    <w:rsid w:val="00E83948"/>
    <w:rsid w:val="00E83CF9"/>
    <w:rsid w:val="00E8484D"/>
    <w:rsid w:val="00E84898"/>
    <w:rsid w:val="00E84F45"/>
    <w:rsid w:val="00E8529F"/>
    <w:rsid w:val="00E85579"/>
    <w:rsid w:val="00E85C10"/>
    <w:rsid w:val="00E85FB9"/>
    <w:rsid w:val="00E861A1"/>
    <w:rsid w:val="00E86293"/>
    <w:rsid w:val="00E86A19"/>
    <w:rsid w:val="00E8722D"/>
    <w:rsid w:val="00E8766C"/>
    <w:rsid w:val="00E8772A"/>
    <w:rsid w:val="00E90685"/>
    <w:rsid w:val="00E906C3"/>
    <w:rsid w:val="00E90889"/>
    <w:rsid w:val="00E910F3"/>
    <w:rsid w:val="00E912D6"/>
    <w:rsid w:val="00E9146F"/>
    <w:rsid w:val="00E914ED"/>
    <w:rsid w:val="00E92297"/>
    <w:rsid w:val="00E92345"/>
    <w:rsid w:val="00E925F5"/>
    <w:rsid w:val="00E92974"/>
    <w:rsid w:val="00E929BC"/>
    <w:rsid w:val="00E92F98"/>
    <w:rsid w:val="00E9331D"/>
    <w:rsid w:val="00E937FF"/>
    <w:rsid w:val="00E93DE0"/>
    <w:rsid w:val="00E93F78"/>
    <w:rsid w:val="00E9408C"/>
    <w:rsid w:val="00E942FE"/>
    <w:rsid w:val="00E9463E"/>
    <w:rsid w:val="00E94A0A"/>
    <w:rsid w:val="00E95322"/>
    <w:rsid w:val="00E95462"/>
    <w:rsid w:val="00E95490"/>
    <w:rsid w:val="00E95D32"/>
    <w:rsid w:val="00E960AF"/>
    <w:rsid w:val="00E9667A"/>
    <w:rsid w:val="00E968C1"/>
    <w:rsid w:val="00E96B58"/>
    <w:rsid w:val="00E971F6"/>
    <w:rsid w:val="00E975CA"/>
    <w:rsid w:val="00E97976"/>
    <w:rsid w:val="00E97BF2"/>
    <w:rsid w:val="00EA0E54"/>
    <w:rsid w:val="00EA0FB7"/>
    <w:rsid w:val="00EA155D"/>
    <w:rsid w:val="00EA162A"/>
    <w:rsid w:val="00EA1769"/>
    <w:rsid w:val="00EA188D"/>
    <w:rsid w:val="00EA18C3"/>
    <w:rsid w:val="00EA1D8C"/>
    <w:rsid w:val="00EA25B6"/>
    <w:rsid w:val="00EA2EBC"/>
    <w:rsid w:val="00EA33E2"/>
    <w:rsid w:val="00EA34C6"/>
    <w:rsid w:val="00EA3671"/>
    <w:rsid w:val="00EA427C"/>
    <w:rsid w:val="00EA4666"/>
    <w:rsid w:val="00EA4745"/>
    <w:rsid w:val="00EA5357"/>
    <w:rsid w:val="00EA5794"/>
    <w:rsid w:val="00EA6339"/>
    <w:rsid w:val="00EA6D83"/>
    <w:rsid w:val="00EA7063"/>
    <w:rsid w:val="00EA7923"/>
    <w:rsid w:val="00EA7D0F"/>
    <w:rsid w:val="00EB0C00"/>
    <w:rsid w:val="00EB0DEA"/>
    <w:rsid w:val="00EB1269"/>
    <w:rsid w:val="00EB1516"/>
    <w:rsid w:val="00EB1542"/>
    <w:rsid w:val="00EB1F63"/>
    <w:rsid w:val="00EB2302"/>
    <w:rsid w:val="00EB2527"/>
    <w:rsid w:val="00EB2624"/>
    <w:rsid w:val="00EB26F0"/>
    <w:rsid w:val="00EB27BC"/>
    <w:rsid w:val="00EB35B3"/>
    <w:rsid w:val="00EB40BB"/>
    <w:rsid w:val="00EB40E3"/>
    <w:rsid w:val="00EB4347"/>
    <w:rsid w:val="00EB4EEB"/>
    <w:rsid w:val="00EB4FAE"/>
    <w:rsid w:val="00EB5001"/>
    <w:rsid w:val="00EB5587"/>
    <w:rsid w:val="00EB563F"/>
    <w:rsid w:val="00EB58F5"/>
    <w:rsid w:val="00EB590F"/>
    <w:rsid w:val="00EB6065"/>
    <w:rsid w:val="00EB612C"/>
    <w:rsid w:val="00EB64C7"/>
    <w:rsid w:val="00EB689D"/>
    <w:rsid w:val="00EB6A32"/>
    <w:rsid w:val="00EB6C3E"/>
    <w:rsid w:val="00EB6F37"/>
    <w:rsid w:val="00EB70DB"/>
    <w:rsid w:val="00EB74BB"/>
    <w:rsid w:val="00EB76FF"/>
    <w:rsid w:val="00EB791D"/>
    <w:rsid w:val="00EC04B7"/>
    <w:rsid w:val="00EC0BB5"/>
    <w:rsid w:val="00EC0D54"/>
    <w:rsid w:val="00EC1065"/>
    <w:rsid w:val="00EC12FC"/>
    <w:rsid w:val="00EC1352"/>
    <w:rsid w:val="00EC1CEE"/>
    <w:rsid w:val="00EC229B"/>
    <w:rsid w:val="00EC2393"/>
    <w:rsid w:val="00EC23C7"/>
    <w:rsid w:val="00EC2EEA"/>
    <w:rsid w:val="00EC300A"/>
    <w:rsid w:val="00EC30A5"/>
    <w:rsid w:val="00EC33A0"/>
    <w:rsid w:val="00EC385E"/>
    <w:rsid w:val="00EC3CC5"/>
    <w:rsid w:val="00EC4646"/>
    <w:rsid w:val="00EC4836"/>
    <w:rsid w:val="00EC498D"/>
    <w:rsid w:val="00EC505C"/>
    <w:rsid w:val="00EC5088"/>
    <w:rsid w:val="00EC542E"/>
    <w:rsid w:val="00EC5516"/>
    <w:rsid w:val="00EC560F"/>
    <w:rsid w:val="00EC59FA"/>
    <w:rsid w:val="00EC6224"/>
    <w:rsid w:val="00EC64B2"/>
    <w:rsid w:val="00EC6930"/>
    <w:rsid w:val="00EC6BFC"/>
    <w:rsid w:val="00EC708C"/>
    <w:rsid w:val="00EC7221"/>
    <w:rsid w:val="00EC7294"/>
    <w:rsid w:val="00EC78C0"/>
    <w:rsid w:val="00EC7991"/>
    <w:rsid w:val="00ED0317"/>
    <w:rsid w:val="00ED05D9"/>
    <w:rsid w:val="00ED08CC"/>
    <w:rsid w:val="00ED0C48"/>
    <w:rsid w:val="00ED0CC1"/>
    <w:rsid w:val="00ED0D74"/>
    <w:rsid w:val="00ED0D7E"/>
    <w:rsid w:val="00ED0E50"/>
    <w:rsid w:val="00ED16C7"/>
    <w:rsid w:val="00ED3AC2"/>
    <w:rsid w:val="00ED4AFA"/>
    <w:rsid w:val="00ED4D7B"/>
    <w:rsid w:val="00ED51B4"/>
    <w:rsid w:val="00ED5871"/>
    <w:rsid w:val="00ED5E38"/>
    <w:rsid w:val="00ED607F"/>
    <w:rsid w:val="00ED6266"/>
    <w:rsid w:val="00ED69F4"/>
    <w:rsid w:val="00ED6B81"/>
    <w:rsid w:val="00ED6D0D"/>
    <w:rsid w:val="00ED6F4F"/>
    <w:rsid w:val="00ED70A2"/>
    <w:rsid w:val="00ED7442"/>
    <w:rsid w:val="00ED7DD6"/>
    <w:rsid w:val="00EE0218"/>
    <w:rsid w:val="00EE07D6"/>
    <w:rsid w:val="00EE0926"/>
    <w:rsid w:val="00EE13AF"/>
    <w:rsid w:val="00EE160B"/>
    <w:rsid w:val="00EE17F0"/>
    <w:rsid w:val="00EE1E8B"/>
    <w:rsid w:val="00EE2143"/>
    <w:rsid w:val="00EE216E"/>
    <w:rsid w:val="00EE2413"/>
    <w:rsid w:val="00EE4490"/>
    <w:rsid w:val="00EE473D"/>
    <w:rsid w:val="00EE4886"/>
    <w:rsid w:val="00EE4B47"/>
    <w:rsid w:val="00EE4EEF"/>
    <w:rsid w:val="00EE6327"/>
    <w:rsid w:val="00EE6832"/>
    <w:rsid w:val="00EE6CF8"/>
    <w:rsid w:val="00EE76A4"/>
    <w:rsid w:val="00EE7A72"/>
    <w:rsid w:val="00EF0201"/>
    <w:rsid w:val="00EF0671"/>
    <w:rsid w:val="00EF06E5"/>
    <w:rsid w:val="00EF0ABB"/>
    <w:rsid w:val="00EF1755"/>
    <w:rsid w:val="00EF181B"/>
    <w:rsid w:val="00EF1DF9"/>
    <w:rsid w:val="00EF2CF6"/>
    <w:rsid w:val="00EF3108"/>
    <w:rsid w:val="00EF35C8"/>
    <w:rsid w:val="00EF3D58"/>
    <w:rsid w:val="00EF4282"/>
    <w:rsid w:val="00EF45A6"/>
    <w:rsid w:val="00EF4B19"/>
    <w:rsid w:val="00EF4B2E"/>
    <w:rsid w:val="00EF5870"/>
    <w:rsid w:val="00EF5CC6"/>
    <w:rsid w:val="00EF5CD9"/>
    <w:rsid w:val="00EF6A86"/>
    <w:rsid w:val="00EF7063"/>
    <w:rsid w:val="00EF7084"/>
    <w:rsid w:val="00EF72D5"/>
    <w:rsid w:val="00EF756D"/>
    <w:rsid w:val="00EF7F64"/>
    <w:rsid w:val="00F0021F"/>
    <w:rsid w:val="00F003D2"/>
    <w:rsid w:val="00F007C5"/>
    <w:rsid w:val="00F00B34"/>
    <w:rsid w:val="00F0133C"/>
    <w:rsid w:val="00F015AE"/>
    <w:rsid w:val="00F01DBD"/>
    <w:rsid w:val="00F01FA2"/>
    <w:rsid w:val="00F0212A"/>
    <w:rsid w:val="00F0223F"/>
    <w:rsid w:val="00F03002"/>
    <w:rsid w:val="00F03209"/>
    <w:rsid w:val="00F0363A"/>
    <w:rsid w:val="00F03B39"/>
    <w:rsid w:val="00F03D1E"/>
    <w:rsid w:val="00F04052"/>
    <w:rsid w:val="00F040AF"/>
    <w:rsid w:val="00F04B84"/>
    <w:rsid w:val="00F04FED"/>
    <w:rsid w:val="00F05317"/>
    <w:rsid w:val="00F05A75"/>
    <w:rsid w:val="00F05F7B"/>
    <w:rsid w:val="00F06643"/>
    <w:rsid w:val="00F06673"/>
    <w:rsid w:val="00F06961"/>
    <w:rsid w:val="00F069DC"/>
    <w:rsid w:val="00F06DBB"/>
    <w:rsid w:val="00F06F19"/>
    <w:rsid w:val="00F10507"/>
    <w:rsid w:val="00F105C7"/>
    <w:rsid w:val="00F1066F"/>
    <w:rsid w:val="00F11080"/>
    <w:rsid w:val="00F115CC"/>
    <w:rsid w:val="00F11907"/>
    <w:rsid w:val="00F12185"/>
    <w:rsid w:val="00F12248"/>
    <w:rsid w:val="00F124EA"/>
    <w:rsid w:val="00F12D1C"/>
    <w:rsid w:val="00F130E0"/>
    <w:rsid w:val="00F133C8"/>
    <w:rsid w:val="00F134FF"/>
    <w:rsid w:val="00F13585"/>
    <w:rsid w:val="00F1366A"/>
    <w:rsid w:val="00F1375D"/>
    <w:rsid w:val="00F1396F"/>
    <w:rsid w:val="00F13C88"/>
    <w:rsid w:val="00F13F6F"/>
    <w:rsid w:val="00F1415F"/>
    <w:rsid w:val="00F14201"/>
    <w:rsid w:val="00F144D7"/>
    <w:rsid w:val="00F147BB"/>
    <w:rsid w:val="00F15023"/>
    <w:rsid w:val="00F1508C"/>
    <w:rsid w:val="00F150CA"/>
    <w:rsid w:val="00F1578E"/>
    <w:rsid w:val="00F15A5F"/>
    <w:rsid w:val="00F15B1A"/>
    <w:rsid w:val="00F162D8"/>
    <w:rsid w:val="00F1637B"/>
    <w:rsid w:val="00F1637E"/>
    <w:rsid w:val="00F17C63"/>
    <w:rsid w:val="00F17EA7"/>
    <w:rsid w:val="00F20683"/>
    <w:rsid w:val="00F20763"/>
    <w:rsid w:val="00F2080A"/>
    <w:rsid w:val="00F20FCF"/>
    <w:rsid w:val="00F21562"/>
    <w:rsid w:val="00F21932"/>
    <w:rsid w:val="00F21BC6"/>
    <w:rsid w:val="00F21DBD"/>
    <w:rsid w:val="00F22462"/>
    <w:rsid w:val="00F224E0"/>
    <w:rsid w:val="00F227C8"/>
    <w:rsid w:val="00F22D3B"/>
    <w:rsid w:val="00F23237"/>
    <w:rsid w:val="00F235C2"/>
    <w:rsid w:val="00F23A82"/>
    <w:rsid w:val="00F23CB7"/>
    <w:rsid w:val="00F23DD4"/>
    <w:rsid w:val="00F24B62"/>
    <w:rsid w:val="00F25247"/>
    <w:rsid w:val="00F257B5"/>
    <w:rsid w:val="00F25D66"/>
    <w:rsid w:val="00F25E06"/>
    <w:rsid w:val="00F26B26"/>
    <w:rsid w:val="00F26D21"/>
    <w:rsid w:val="00F2720E"/>
    <w:rsid w:val="00F2776D"/>
    <w:rsid w:val="00F301D7"/>
    <w:rsid w:val="00F308F6"/>
    <w:rsid w:val="00F30A77"/>
    <w:rsid w:val="00F31108"/>
    <w:rsid w:val="00F315D0"/>
    <w:rsid w:val="00F31607"/>
    <w:rsid w:val="00F316CE"/>
    <w:rsid w:val="00F316DD"/>
    <w:rsid w:val="00F318D4"/>
    <w:rsid w:val="00F32050"/>
    <w:rsid w:val="00F32AAD"/>
    <w:rsid w:val="00F32C61"/>
    <w:rsid w:val="00F32E4B"/>
    <w:rsid w:val="00F332F1"/>
    <w:rsid w:val="00F334A5"/>
    <w:rsid w:val="00F33EB4"/>
    <w:rsid w:val="00F33F52"/>
    <w:rsid w:val="00F345DA"/>
    <w:rsid w:val="00F346E6"/>
    <w:rsid w:val="00F3495E"/>
    <w:rsid w:val="00F351AC"/>
    <w:rsid w:val="00F353EB"/>
    <w:rsid w:val="00F36138"/>
    <w:rsid w:val="00F363FB"/>
    <w:rsid w:val="00F364AF"/>
    <w:rsid w:val="00F36701"/>
    <w:rsid w:val="00F36CAD"/>
    <w:rsid w:val="00F373B5"/>
    <w:rsid w:val="00F373D8"/>
    <w:rsid w:val="00F37B29"/>
    <w:rsid w:val="00F401A5"/>
    <w:rsid w:val="00F40484"/>
    <w:rsid w:val="00F40864"/>
    <w:rsid w:val="00F40A74"/>
    <w:rsid w:val="00F40DF2"/>
    <w:rsid w:val="00F416DF"/>
    <w:rsid w:val="00F4180C"/>
    <w:rsid w:val="00F41BA6"/>
    <w:rsid w:val="00F41BB4"/>
    <w:rsid w:val="00F4269F"/>
    <w:rsid w:val="00F427AF"/>
    <w:rsid w:val="00F42926"/>
    <w:rsid w:val="00F42B0B"/>
    <w:rsid w:val="00F42BF6"/>
    <w:rsid w:val="00F42E47"/>
    <w:rsid w:val="00F43574"/>
    <w:rsid w:val="00F4362D"/>
    <w:rsid w:val="00F444AC"/>
    <w:rsid w:val="00F4465F"/>
    <w:rsid w:val="00F44895"/>
    <w:rsid w:val="00F448AE"/>
    <w:rsid w:val="00F45875"/>
    <w:rsid w:val="00F45D38"/>
    <w:rsid w:val="00F4637A"/>
    <w:rsid w:val="00F46F2B"/>
    <w:rsid w:val="00F46FFC"/>
    <w:rsid w:val="00F47160"/>
    <w:rsid w:val="00F4741A"/>
    <w:rsid w:val="00F47436"/>
    <w:rsid w:val="00F475F1"/>
    <w:rsid w:val="00F47A0D"/>
    <w:rsid w:val="00F47C6B"/>
    <w:rsid w:val="00F50585"/>
    <w:rsid w:val="00F50C61"/>
    <w:rsid w:val="00F50FEB"/>
    <w:rsid w:val="00F512D1"/>
    <w:rsid w:val="00F516E3"/>
    <w:rsid w:val="00F5181E"/>
    <w:rsid w:val="00F51EFB"/>
    <w:rsid w:val="00F5312B"/>
    <w:rsid w:val="00F5393A"/>
    <w:rsid w:val="00F53E8E"/>
    <w:rsid w:val="00F54832"/>
    <w:rsid w:val="00F54858"/>
    <w:rsid w:val="00F54B0D"/>
    <w:rsid w:val="00F5507B"/>
    <w:rsid w:val="00F564CE"/>
    <w:rsid w:val="00F56AFF"/>
    <w:rsid w:val="00F56D77"/>
    <w:rsid w:val="00F571A9"/>
    <w:rsid w:val="00F57885"/>
    <w:rsid w:val="00F57907"/>
    <w:rsid w:val="00F60E8D"/>
    <w:rsid w:val="00F60EDE"/>
    <w:rsid w:val="00F60F50"/>
    <w:rsid w:val="00F61271"/>
    <w:rsid w:val="00F61BC6"/>
    <w:rsid w:val="00F62299"/>
    <w:rsid w:val="00F62682"/>
    <w:rsid w:val="00F62779"/>
    <w:rsid w:val="00F62E4A"/>
    <w:rsid w:val="00F631A5"/>
    <w:rsid w:val="00F634DB"/>
    <w:rsid w:val="00F6371C"/>
    <w:rsid w:val="00F6455D"/>
    <w:rsid w:val="00F64574"/>
    <w:rsid w:val="00F64869"/>
    <w:rsid w:val="00F64EAA"/>
    <w:rsid w:val="00F6508E"/>
    <w:rsid w:val="00F65A7D"/>
    <w:rsid w:val="00F65B69"/>
    <w:rsid w:val="00F65F5C"/>
    <w:rsid w:val="00F66090"/>
    <w:rsid w:val="00F66144"/>
    <w:rsid w:val="00F66797"/>
    <w:rsid w:val="00F66D35"/>
    <w:rsid w:val="00F66E94"/>
    <w:rsid w:val="00F6713F"/>
    <w:rsid w:val="00F672E0"/>
    <w:rsid w:val="00F67CAB"/>
    <w:rsid w:val="00F67CBE"/>
    <w:rsid w:val="00F70243"/>
    <w:rsid w:val="00F70C54"/>
    <w:rsid w:val="00F71629"/>
    <w:rsid w:val="00F71EAE"/>
    <w:rsid w:val="00F72633"/>
    <w:rsid w:val="00F72E0C"/>
    <w:rsid w:val="00F7369E"/>
    <w:rsid w:val="00F7371F"/>
    <w:rsid w:val="00F73E54"/>
    <w:rsid w:val="00F740B5"/>
    <w:rsid w:val="00F74724"/>
    <w:rsid w:val="00F74B05"/>
    <w:rsid w:val="00F74B51"/>
    <w:rsid w:val="00F7555E"/>
    <w:rsid w:val="00F75A58"/>
    <w:rsid w:val="00F75BFB"/>
    <w:rsid w:val="00F75CBA"/>
    <w:rsid w:val="00F76653"/>
    <w:rsid w:val="00F76A58"/>
    <w:rsid w:val="00F76CB7"/>
    <w:rsid w:val="00F76FEA"/>
    <w:rsid w:val="00F7796C"/>
    <w:rsid w:val="00F77BE2"/>
    <w:rsid w:val="00F77E69"/>
    <w:rsid w:val="00F8059E"/>
    <w:rsid w:val="00F808B4"/>
    <w:rsid w:val="00F81362"/>
    <w:rsid w:val="00F81429"/>
    <w:rsid w:val="00F81481"/>
    <w:rsid w:val="00F82B05"/>
    <w:rsid w:val="00F82F96"/>
    <w:rsid w:val="00F83281"/>
    <w:rsid w:val="00F835EF"/>
    <w:rsid w:val="00F83F97"/>
    <w:rsid w:val="00F83FCD"/>
    <w:rsid w:val="00F84098"/>
    <w:rsid w:val="00F84C68"/>
    <w:rsid w:val="00F85275"/>
    <w:rsid w:val="00F85459"/>
    <w:rsid w:val="00F854EE"/>
    <w:rsid w:val="00F85642"/>
    <w:rsid w:val="00F864DF"/>
    <w:rsid w:val="00F86B2E"/>
    <w:rsid w:val="00F86B37"/>
    <w:rsid w:val="00F86EAD"/>
    <w:rsid w:val="00F87DAD"/>
    <w:rsid w:val="00F90EEE"/>
    <w:rsid w:val="00F91267"/>
    <w:rsid w:val="00F91353"/>
    <w:rsid w:val="00F9158F"/>
    <w:rsid w:val="00F918C5"/>
    <w:rsid w:val="00F91B29"/>
    <w:rsid w:val="00F92670"/>
    <w:rsid w:val="00F92B3D"/>
    <w:rsid w:val="00F93087"/>
    <w:rsid w:val="00F93A50"/>
    <w:rsid w:val="00F93D3D"/>
    <w:rsid w:val="00F94263"/>
    <w:rsid w:val="00F94266"/>
    <w:rsid w:val="00F945B1"/>
    <w:rsid w:val="00F947F5"/>
    <w:rsid w:val="00F94B7D"/>
    <w:rsid w:val="00F94D61"/>
    <w:rsid w:val="00F94FD2"/>
    <w:rsid w:val="00F9684A"/>
    <w:rsid w:val="00F96ABA"/>
    <w:rsid w:val="00F96CD4"/>
    <w:rsid w:val="00F96F63"/>
    <w:rsid w:val="00F971C3"/>
    <w:rsid w:val="00F97B2C"/>
    <w:rsid w:val="00FA0297"/>
    <w:rsid w:val="00FA03B2"/>
    <w:rsid w:val="00FA0825"/>
    <w:rsid w:val="00FA08AD"/>
    <w:rsid w:val="00FA116F"/>
    <w:rsid w:val="00FA170F"/>
    <w:rsid w:val="00FA189F"/>
    <w:rsid w:val="00FA201B"/>
    <w:rsid w:val="00FA2771"/>
    <w:rsid w:val="00FA2F27"/>
    <w:rsid w:val="00FA3AE1"/>
    <w:rsid w:val="00FA3EF6"/>
    <w:rsid w:val="00FA4150"/>
    <w:rsid w:val="00FA4967"/>
    <w:rsid w:val="00FA56CF"/>
    <w:rsid w:val="00FA5766"/>
    <w:rsid w:val="00FA5BA6"/>
    <w:rsid w:val="00FA5E8D"/>
    <w:rsid w:val="00FA5FD1"/>
    <w:rsid w:val="00FA61F5"/>
    <w:rsid w:val="00FA6228"/>
    <w:rsid w:val="00FA672D"/>
    <w:rsid w:val="00FA6ABE"/>
    <w:rsid w:val="00FA6EA1"/>
    <w:rsid w:val="00FA7729"/>
    <w:rsid w:val="00FA79F3"/>
    <w:rsid w:val="00FA7D7D"/>
    <w:rsid w:val="00FB03C3"/>
    <w:rsid w:val="00FB07E9"/>
    <w:rsid w:val="00FB0AF3"/>
    <w:rsid w:val="00FB2025"/>
    <w:rsid w:val="00FB2B78"/>
    <w:rsid w:val="00FB2C39"/>
    <w:rsid w:val="00FB2E34"/>
    <w:rsid w:val="00FB2E7F"/>
    <w:rsid w:val="00FB34A3"/>
    <w:rsid w:val="00FB4078"/>
    <w:rsid w:val="00FB40E7"/>
    <w:rsid w:val="00FB44DC"/>
    <w:rsid w:val="00FB46C4"/>
    <w:rsid w:val="00FB4929"/>
    <w:rsid w:val="00FB4EDA"/>
    <w:rsid w:val="00FB56D4"/>
    <w:rsid w:val="00FB5CC5"/>
    <w:rsid w:val="00FB5DE3"/>
    <w:rsid w:val="00FB5F0E"/>
    <w:rsid w:val="00FB620D"/>
    <w:rsid w:val="00FB6288"/>
    <w:rsid w:val="00FB6F67"/>
    <w:rsid w:val="00FB7496"/>
    <w:rsid w:val="00FB7743"/>
    <w:rsid w:val="00FB7C4A"/>
    <w:rsid w:val="00FC007E"/>
    <w:rsid w:val="00FC00D2"/>
    <w:rsid w:val="00FC031B"/>
    <w:rsid w:val="00FC0AD7"/>
    <w:rsid w:val="00FC0D13"/>
    <w:rsid w:val="00FC0D4F"/>
    <w:rsid w:val="00FC0D51"/>
    <w:rsid w:val="00FC10DE"/>
    <w:rsid w:val="00FC16AA"/>
    <w:rsid w:val="00FC22B2"/>
    <w:rsid w:val="00FC2493"/>
    <w:rsid w:val="00FC2513"/>
    <w:rsid w:val="00FC275B"/>
    <w:rsid w:val="00FC2782"/>
    <w:rsid w:val="00FC280A"/>
    <w:rsid w:val="00FC2834"/>
    <w:rsid w:val="00FC2AFA"/>
    <w:rsid w:val="00FC2B0F"/>
    <w:rsid w:val="00FC2D5F"/>
    <w:rsid w:val="00FC301F"/>
    <w:rsid w:val="00FC307E"/>
    <w:rsid w:val="00FC31C5"/>
    <w:rsid w:val="00FC3B01"/>
    <w:rsid w:val="00FC4F56"/>
    <w:rsid w:val="00FC5063"/>
    <w:rsid w:val="00FC519B"/>
    <w:rsid w:val="00FC527C"/>
    <w:rsid w:val="00FC5603"/>
    <w:rsid w:val="00FC58E9"/>
    <w:rsid w:val="00FC5CAC"/>
    <w:rsid w:val="00FC6251"/>
    <w:rsid w:val="00FC648B"/>
    <w:rsid w:val="00FC6EA9"/>
    <w:rsid w:val="00FC719E"/>
    <w:rsid w:val="00FC725D"/>
    <w:rsid w:val="00FC792C"/>
    <w:rsid w:val="00FC7936"/>
    <w:rsid w:val="00FC7C42"/>
    <w:rsid w:val="00FD0401"/>
    <w:rsid w:val="00FD0B28"/>
    <w:rsid w:val="00FD0C70"/>
    <w:rsid w:val="00FD0CA9"/>
    <w:rsid w:val="00FD1308"/>
    <w:rsid w:val="00FD17BA"/>
    <w:rsid w:val="00FD2499"/>
    <w:rsid w:val="00FD273B"/>
    <w:rsid w:val="00FD2A21"/>
    <w:rsid w:val="00FD2C9D"/>
    <w:rsid w:val="00FD2D81"/>
    <w:rsid w:val="00FD2F74"/>
    <w:rsid w:val="00FD30C2"/>
    <w:rsid w:val="00FD3B94"/>
    <w:rsid w:val="00FD3D35"/>
    <w:rsid w:val="00FD3EAD"/>
    <w:rsid w:val="00FD3F1B"/>
    <w:rsid w:val="00FD40DD"/>
    <w:rsid w:val="00FD43B3"/>
    <w:rsid w:val="00FD4628"/>
    <w:rsid w:val="00FD4995"/>
    <w:rsid w:val="00FD4B6F"/>
    <w:rsid w:val="00FD592A"/>
    <w:rsid w:val="00FD61E8"/>
    <w:rsid w:val="00FD6295"/>
    <w:rsid w:val="00FD67A7"/>
    <w:rsid w:val="00FD6B12"/>
    <w:rsid w:val="00FD7D0E"/>
    <w:rsid w:val="00FD7D16"/>
    <w:rsid w:val="00FD7EEA"/>
    <w:rsid w:val="00FE0398"/>
    <w:rsid w:val="00FE04AB"/>
    <w:rsid w:val="00FE1118"/>
    <w:rsid w:val="00FE1270"/>
    <w:rsid w:val="00FE191B"/>
    <w:rsid w:val="00FE1B4A"/>
    <w:rsid w:val="00FE2460"/>
    <w:rsid w:val="00FE24D3"/>
    <w:rsid w:val="00FE37F0"/>
    <w:rsid w:val="00FE38FD"/>
    <w:rsid w:val="00FE3A06"/>
    <w:rsid w:val="00FE3AE8"/>
    <w:rsid w:val="00FE40E5"/>
    <w:rsid w:val="00FE43A3"/>
    <w:rsid w:val="00FE43AC"/>
    <w:rsid w:val="00FE4739"/>
    <w:rsid w:val="00FE4DB2"/>
    <w:rsid w:val="00FE5D6D"/>
    <w:rsid w:val="00FE681D"/>
    <w:rsid w:val="00FE6E11"/>
    <w:rsid w:val="00FE6FDE"/>
    <w:rsid w:val="00FE7024"/>
    <w:rsid w:val="00FE73A8"/>
    <w:rsid w:val="00FE749D"/>
    <w:rsid w:val="00FE74DF"/>
    <w:rsid w:val="00FE76FD"/>
    <w:rsid w:val="00FF08F6"/>
    <w:rsid w:val="00FF0A78"/>
    <w:rsid w:val="00FF0DBD"/>
    <w:rsid w:val="00FF1D89"/>
    <w:rsid w:val="00FF1DD4"/>
    <w:rsid w:val="00FF2100"/>
    <w:rsid w:val="00FF21E9"/>
    <w:rsid w:val="00FF2C0C"/>
    <w:rsid w:val="00FF2E00"/>
    <w:rsid w:val="00FF31FE"/>
    <w:rsid w:val="00FF33FE"/>
    <w:rsid w:val="00FF3A07"/>
    <w:rsid w:val="00FF3D7E"/>
    <w:rsid w:val="00FF3DFD"/>
    <w:rsid w:val="00FF3FB8"/>
    <w:rsid w:val="00FF3FEA"/>
    <w:rsid w:val="00FF45B5"/>
    <w:rsid w:val="00FF46D8"/>
    <w:rsid w:val="00FF4C68"/>
    <w:rsid w:val="00FF558C"/>
    <w:rsid w:val="00FF56CC"/>
    <w:rsid w:val="00FF573D"/>
    <w:rsid w:val="00FF5905"/>
    <w:rsid w:val="00FF5AF1"/>
    <w:rsid w:val="00FF6000"/>
    <w:rsid w:val="00FF60A4"/>
    <w:rsid w:val="00FF6365"/>
    <w:rsid w:val="00FF692C"/>
    <w:rsid w:val="00FF7DC8"/>
    <w:rsid w:val="00FF7E02"/>
    <w:rsid w:val="01A0F72D"/>
    <w:rsid w:val="01D90C56"/>
    <w:rsid w:val="02A0E2C5"/>
    <w:rsid w:val="03405CEA"/>
    <w:rsid w:val="046C894F"/>
    <w:rsid w:val="04856936"/>
    <w:rsid w:val="05310A9A"/>
    <w:rsid w:val="06F55266"/>
    <w:rsid w:val="081CC5DE"/>
    <w:rsid w:val="08C1A050"/>
    <w:rsid w:val="08F8AD75"/>
    <w:rsid w:val="0A66124D"/>
    <w:rsid w:val="0B09F745"/>
    <w:rsid w:val="0BB50A98"/>
    <w:rsid w:val="0BBD585C"/>
    <w:rsid w:val="0BC38774"/>
    <w:rsid w:val="0CB24BAF"/>
    <w:rsid w:val="0DD9939D"/>
    <w:rsid w:val="0EE67C02"/>
    <w:rsid w:val="0F127D86"/>
    <w:rsid w:val="1251CCA3"/>
    <w:rsid w:val="12673583"/>
    <w:rsid w:val="134102A7"/>
    <w:rsid w:val="13EC3382"/>
    <w:rsid w:val="14503B36"/>
    <w:rsid w:val="166EE8AE"/>
    <w:rsid w:val="1703BC0B"/>
    <w:rsid w:val="171D99E2"/>
    <w:rsid w:val="18529822"/>
    <w:rsid w:val="18CF1A0F"/>
    <w:rsid w:val="18F8F347"/>
    <w:rsid w:val="19017532"/>
    <w:rsid w:val="1983034E"/>
    <w:rsid w:val="1AF9DC23"/>
    <w:rsid w:val="1BFA17CB"/>
    <w:rsid w:val="1CDD3327"/>
    <w:rsid w:val="1DAF8D01"/>
    <w:rsid w:val="1E68C4D2"/>
    <w:rsid w:val="1F1D4991"/>
    <w:rsid w:val="1F2A4FFF"/>
    <w:rsid w:val="1F60452D"/>
    <w:rsid w:val="1FA8D23C"/>
    <w:rsid w:val="20052325"/>
    <w:rsid w:val="211EE0CE"/>
    <w:rsid w:val="2332F918"/>
    <w:rsid w:val="23904E1B"/>
    <w:rsid w:val="26B8AC44"/>
    <w:rsid w:val="292B8FC3"/>
    <w:rsid w:val="29677102"/>
    <w:rsid w:val="29A23A9C"/>
    <w:rsid w:val="29F04D06"/>
    <w:rsid w:val="2AD1038A"/>
    <w:rsid w:val="2AD97C28"/>
    <w:rsid w:val="2B6667BF"/>
    <w:rsid w:val="2BA7ECC0"/>
    <w:rsid w:val="2BBB05EE"/>
    <w:rsid w:val="2E59519C"/>
    <w:rsid w:val="2F27B710"/>
    <w:rsid w:val="30105622"/>
    <w:rsid w:val="33C4FCE4"/>
    <w:rsid w:val="347E2DAA"/>
    <w:rsid w:val="35A207B8"/>
    <w:rsid w:val="36B71A9E"/>
    <w:rsid w:val="39547D9E"/>
    <w:rsid w:val="3BC588AA"/>
    <w:rsid w:val="3D463920"/>
    <w:rsid w:val="3D5C6D95"/>
    <w:rsid w:val="3E015FEE"/>
    <w:rsid w:val="3F0EC62E"/>
    <w:rsid w:val="3F3096BA"/>
    <w:rsid w:val="40608D94"/>
    <w:rsid w:val="407BF99E"/>
    <w:rsid w:val="4224D84C"/>
    <w:rsid w:val="42F3FC9D"/>
    <w:rsid w:val="43828E48"/>
    <w:rsid w:val="4517987A"/>
    <w:rsid w:val="45478B12"/>
    <w:rsid w:val="471C9A90"/>
    <w:rsid w:val="492A1747"/>
    <w:rsid w:val="496A80A1"/>
    <w:rsid w:val="4A7F3A23"/>
    <w:rsid w:val="4BAFB0D5"/>
    <w:rsid w:val="4BF7EC97"/>
    <w:rsid w:val="4BFA774C"/>
    <w:rsid w:val="4C4EBAF0"/>
    <w:rsid w:val="4D460F27"/>
    <w:rsid w:val="4DFF605F"/>
    <w:rsid w:val="4F868F02"/>
    <w:rsid w:val="50C8ACBC"/>
    <w:rsid w:val="50E9BBC2"/>
    <w:rsid w:val="510E329D"/>
    <w:rsid w:val="538EC941"/>
    <w:rsid w:val="53ABF864"/>
    <w:rsid w:val="55F3BCF3"/>
    <w:rsid w:val="5612412A"/>
    <w:rsid w:val="5649F035"/>
    <w:rsid w:val="5723BF06"/>
    <w:rsid w:val="586B6CB2"/>
    <w:rsid w:val="59C663FC"/>
    <w:rsid w:val="5A12F290"/>
    <w:rsid w:val="5A957A2C"/>
    <w:rsid w:val="5DA45C6E"/>
    <w:rsid w:val="600E4ED8"/>
    <w:rsid w:val="6057B9AE"/>
    <w:rsid w:val="614409ED"/>
    <w:rsid w:val="61D22D9E"/>
    <w:rsid w:val="61D37707"/>
    <w:rsid w:val="61E36E74"/>
    <w:rsid w:val="625A5AF6"/>
    <w:rsid w:val="630AC967"/>
    <w:rsid w:val="63A4FBB8"/>
    <w:rsid w:val="64494927"/>
    <w:rsid w:val="64BFDE37"/>
    <w:rsid w:val="66694F88"/>
    <w:rsid w:val="66BAAC63"/>
    <w:rsid w:val="67DF770F"/>
    <w:rsid w:val="6A8053BD"/>
    <w:rsid w:val="6B33D68F"/>
    <w:rsid w:val="6C7D97B7"/>
    <w:rsid w:val="6D08B485"/>
    <w:rsid w:val="6D314BD0"/>
    <w:rsid w:val="6DAEC9B5"/>
    <w:rsid w:val="6E468126"/>
    <w:rsid w:val="721C98D5"/>
    <w:rsid w:val="733EDD1C"/>
    <w:rsid w:val="7386B107"/>
    <w:rsid w:val="7485B9DE"/>
    <w:rsid w:val="74AD178A"/>
    <w:rsid w:val="76166B80"/>
    <w:rsid w:val="788FD24A"/>
    <w:rsid w:val="7A6729EC"/>
    <w:rsid w:val="7AFB54FC"/>
    <w:rsid w:val="7BCD22B2"/>
    <w:rsid w:val="7E07B930"/>
    <w:rsid w:val="7E4B1C88"/>
    <w:rsid w:val="7E58574C"/>
    <w:rsid w:val="7EFFA865"/>
    <w:rsid w:val="7FC0D949"/>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48C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03A9"/>
    <w:pPr>
      <w:spacing w:before="120"/>
    </w:pPr>
    <w:rPr>
      <w:rFonts w:ascii="Franklin Gothic Book" w:hAnsi="Franklin Gothic Book"/>
    </w:rPr>
  </w:style>
  <w:style w:type="paragraph" w:styleId="Heading1">
    <w:name w:val="heading 1"/>
    <w:basedOn w:val="Normal"/>
    <w:next w:val="Normal"/>
    <w:link w:val="Heading1Char"/>
    <w:uiPriority w:val="9"/>
    <w:qFormat/>
    <w:rsid w:val="001531D6"/>
    <w:pPr>
      <w:keepNext/>
      <w:keepLines/>
      <w:numPr>
        <w:numId w:val="3"/>
      </w:numPr>
      <w:pBdr>
        <w:bottom w:val="single" w:sz="4" w:space="1" w:color="auto"/>
      </w:pBdr>
      <w:spacing w:before="600" w:after="480" w:line="240" w:lineRule="auto"/>
      <w:ind w:left="357" w:hanging="357"/>
      <w:outlineLvl w:val="0"/>
    </w:pPr>
    <w:rPr>
      <w:rFonts w:ascii="Franklin Gothic Medium" w:eastAsiaTheme="majorEastAsia" w:hAnsi="Franklin Gothic Medium" w:cstheme="majorBidi"/>
      <w:sz w:val="44"/>
      <w:szCs w:val="32"/>
    </w:rPr>
  </w:style>
  <w:style w:type="paragraph" w:styleId="Heading2">
    <w:name w:val="heading 2"/>
    <w:basedOn w:val="Normal"/>
    <w:next w:val="Normal"/>
    <w:link w:val="Heading2Char"/>
    <w:uiPriority w:val="9"/>
    <w:unhideWhenUsed/>
    <w:qFormat/>
    <w:rsid w:val="001531D6"/>
    <w:pPr>
      <w:keepNext/>
      <w:keepLines/>
      <w:numPr>
        <w:ilvl w:val="1"/>
        <w:numId w:val="3"/>
      </w:numPr>
      <w:spacing w:before="360" w:after="240" w:line="240" w:lineRule="auto"/>
      <w:outlineLvl w:val="1"/>
    </w:pPr>
    <w:rPr>
      <w:rFonts w:ascii="Franklin Gothic Medium" w:eastAsiaTheme="majorEastAsia" w:hAnsi="Franklin Gothic Medium" w:cstheme="majorBidi"/>
      <w:color w:val="000000" w:themeColor="text1"/>
      <w:sz w:val="32"/>
      <w:szCs w:val="26"/>
    </w:rPr>
  </w:style>
  <w:style w:type="paragraph" w:styleId="Heading3">
    <w:name w:val="heading 3"/>
    <w:basedOn w:val="Normal"/>
    <w:next w:val="Normal"/>
    <w:link w:val="Heading3Char"/>
    <w:uiPriority w:val="9"/>
    <w:unhideWhenUsed/>
    <w:qFormat/>
    <w:rsid w:val="005103C5"/>
    <w:pPr>
      <w:keepNext/>
      <w:keepLines/>
      <w:tabs>
        <w:tab w:val="left" w:pos="851"/>
      </w:tabs>
      <w:spacing w:before="360" w:after="200" w:line="240" w:lineRule="auto"/>
      <w:outlineLvl w:val="2"/>
    </w:pPr>
    <w:rPr>
      <w:rFonts w:ascii="Franklin Gothic Medium" w:eastAsiaTheme="majorEastAsia" w:hAnsi="Franklin Gothic Medium" w:cstheme="majorBidi"/>
      <w:sz w:val="24"/>
      <w:szCs w:val="24"/>
    </w:rPr>
  </w:style>
  <w:style w:type="paragraph" w:styleId="Heading4">
    <w:name w:val="heading 4"/>
    <w:basedOn w:val="Heading3"/>
    <w:next w:val="Normal"/>
    <w:link w:val="Heading4Char"/>
    <w:uiPriority w:val="9"/>
    <w:unhideWhenUsed/>
    <w:qFormat/>
    <w:rsid w:val="00A776A4"/>
    <w:pPr>
      <w:outlineLvl w:val="3"/>
    </w:pPr>
    <w:rPr>
      <w:i/>
    </w:rPr>
  </w:style>
  <w:style w:type="paragraph" w:styleId="Heading5">
    <w:name w:val="heading 5"/>
    <w:basedOn w:val="Normal"/>
    <w:next w:val="Normal"/>
    <w:link w:val="Heading5Char"/>
    <w:uiPriority w:val="9"/>
    <w:unhideWhenUsed/>
    <w:qFormat/>
    <w:rsid w:val="001A02F6"/>
    <w:pPr>
      <w:keepNext/>
      <w:keepLines/>
      <w:spacing w:before="40" w:after="0" w:line="240" w:lineRule="auto"/>
      <w:outlineLvl w:val="4"/>
    </w:pPr>
    <w:rPr>
      <w:rFonts w:asciiTheme="majorHAnsi" w:eastAsiaTheme="majorEastAsia" w:hAnsiTheme="majorHAnsi" w:cstheme="majorBidi"/>
      <w:szCs w:val="24"/>
      <w:lang w:eastAsia="en-GB"/>
    </w:rPr>
  </w:style>
  <w:style w:type="paragraph" w:styleId="Heading6">
    <w:name w:val="heading 6"/>
    <w:basedOn w:val="Normal"/>
    <w:next w:val="Normal"/>
    <w:link w:val="Heading6Char"/>
    <w:uiPriority w:val="9"/>
    <w:unhideWhenUsed/>
    <w:qFormat/>
    <w:rsid w:val="00721CE2"/>
    <w:pPr>
      <w:keepNext/>
      <w:keepLines/>
      <w:spacing w:before="40" w:after="0" w:line="240" w:lineRule="auto"/>
      <w:outlineLvl w:val="5"/>
    </w:pPr>
    <w:rPr>
      <w:rFonts w:asciiTheme="majorHAnsi" w:eastAsiaTheme="majorEastAsia" w:hAnsiTheme="majorHAnsi" w:cstheme="majorBidi"/>
      <w:color w:val="1F4D78" w:themeColor="accent1" w:themeShade="7F"/>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link w:val="TableTextChar"/>
    <w:qFormat/>
    <w:rsid w:val="003E7773"/>
    <w:pPr>
      <w:spacing w:before="40" w:after="40" w:line="240" w:lineRule="auto"/>
    </w:pPr>
    <w:rPr>
      <w:rFonts w:ascii="Arial Narrow" w:hAnsi="Arial Narrow"/>
      <w:sz w:val="20"/>
    </w:rPr>
  </w:style>
  <w:style w:type="paragraph" w:customStyle="1" w:styleId="TableHeading">
    <w:name w:val="TableHeading"/>
    <w:basedOn w:val="Normal"/>
    <w:link w:val="TableHeadingChar"/>
    <w:qFormat/>
    <w:rsid w:val="00B151CF"/>
    <w:pPr>
      <w:keepNext/>
      <w:spacing w:after="60" w:line="240" w:lineRule="auto"/>
    </w:pPr>
    <w:rPr>
      <w:rFonts w:ascii="Arial Narrow" w:hAnsi="Arial Narrow"/>
      <w:b/>
      <w:sz w:val="20"/>
    </w:rPr>
  </w:style>
  <w:style w:type="paragraph" w:styleId="CommentText">
    <w:name w:val="annotation text"/>
    <w:basedOn w:val="Normal"/>
    <w:link w:val="CommentTextChar"/>
    <w:uiPriority w:val="99"/>
    <w:unhideWhenUsed/>
    <w:rsid w:val="003E7773"/>
    <w:pPr>
      <w:spacing w:after="240" w:line="240" w:lineRule="auto"/>
    </w:pPr>
    <w:rPr>
      <w:rFonts w:ascii="Calibri" w:eastAsia="Times New Roman" w:hAnsi="Calibri" w:cs="Times New Roman"/>
      <w:color w:val="000000"/>
      <w:szCs w:val="24"/>
      <w:lang w:eastAsia="en-AU"/>
    </w:rPr>
  </w:style>
  <w:style w:type="character" w:customStyle="1" w:styleId="CommentTextChar">
    <w:name w:val="Comment Text Char"/>
    <w:basedOn w:val="DefaultParagraphFont"/>
    <w:link w:val="CommentText"/>
    <w:uiPriority w:val="99"/>
    <w:rsid w:val="003E7773"/>
    <w:rPr>
      <w:rFonts w:ascii="Calibri" w:eastAsia="Times New Roman" w:hAnsi="Calibri" w:cs="Times New Roman"/>
      <w:color w:val="000000"/>
      <w:szCs w:val="24"/>
      <w:lang w:eastAsia="en-AU"/>
    </w:rPr>
  </w:style>
  <w:style w:type="character" w:styleId="CommentReference">
    <w:name w:val="annotation reference"/>
    <w:aliases w:val="Table Title"/>
    <w:basedOn w:val="DefaultParagraphFont"/>
    <w:uiPriority w:val="99"/>
    <w:unhideWhenUsed/>
    <w:qFormat/>
    <w:rsid w:val="003E7773"/>
    <w:rPr>
      <w:sz w:val="16"/>
      <w:szCs w:val="16"/>
    </w:rPr>
  </w:style>
  <w:style w:type="character" w:customStyle="1" w:styleId="TableTextChar">
    <w:name w:val="Table Text Char"/>
    <w:basedOn w:val="DefaultParagraphFont"/>
    <w:link w:val="TableText"/>
    <w:rsid w:val="003E7773"/>
    <w:rPr>
      <w:rFonts w:ascii="Arial Narrow" w:hAnsi="Arial Narrow"/>
      <w:sz w:val="20"/>
    </w:rPr>
  </w:style>
  <w:style w:type="character" w:customStyle="1" w:styleId="TableHeadingChar">
    <w:name w:val="TableHeading Char"/>
    <w:link w:val="TableHeading"/>
    <w:rsid w:val="00B151CF"/>
    <w:rPr>
      <w:rFonts w:ascii="Arial Narrow" w:hAnsi="Arial Narrow"/>
      <w:b/>
      <w:sz w:val="20"/>
    </w:rPr>
  </w:style>
  <w:style w:type="paragraph" w:styleId="BalloonText">
    <w:name w:val="Balloon Text"/>
    <w:basedOn w:val="Normal"/>
    <w:link w:val="BalloonTextChar"/>
    <w:uiPriority w:val="99"/>
    <w:semiHidden/>
    <w:unhideWhenUsed/>
    <w:rsid w:val="003E77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7773"/>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3E7773"/>
    <w:pPr>
      <w:spacing w:after="160"/>
    </w:pPr>
    <w:rPr>
      <w:rFonts w:asciiTheme="minorHAnsi" w:eastAsiaTheme="minorHAnsi" w:hAnsiTheme="minorHAnsi" w:cstheme="minorBidi"/>
      <w:b/>
      <w:bCs/>
      <w:color w:val="auto"/>
      <w:sz w:val="20"/>
      <w:szCs w:val="20"/>
      <w:lang w:eastAsia="en-US"/>
    </w:rPr>
  </w:style>
  <w:style w:type="character" w:customStyle="1" w:styleId="CommentSubjectChar">
    <w:name w:val="Comment Subject Char"/>
    <w:basedOn w:val="CommentTextChar"/>
    <w:link w:val="CommentSubject"/>
    <w:uiPriority w:val="99"/>
    <w:semiHidden/>
    <w:rsid w:val="003E7773"/>
    <w:rPr>
      <w:rFonts w:ascii="Calibri" w:eastAsia="Times New Roman" w:hAnsi="Calibri" w:cs="Times New Roman"/>
      <w:b/>
      <w:bCs/>
      <w:color w:val="000000"/>
      <w:sz w:val="20"/>
      <w:szCs w:val="20"/>
      <w:lang w:eastAsia="en-AU"/>
    </w:rPr>
  </w:style>
  <w:style w:type="character" w:customStyle="1" w:styleId="Heading1Char">
    <w:name w:val="Heading 1 Char"/>
    <w:basedOn w:val="DefaultParagraphFont"/>
    <w:link w:val="Heading1"/>
    <w:uiPriority w:val="9"/>
    <w:rsid w:val="001531D6"/>
    <w:rPr>
      <w:rFonts w:ascii="Franklin Gothic Medium" w:eastAsiaTheme="majorEastAsia" w:hAnsi="Franklin Gothic Medium" w:cstheme="majorBidi"/>
      <w:sz w:val="44"/>
      <w:szCs w:val="32"/>
    </w:rPr>
  </w:style>
  <w:style w:type="character" w:customStyle="1" w:styleId="Heading2Char">
    <w:name w:val="Heading 2 Char"/>
    <w:basedOn w:val="DefaultParagraphFont"/>
    <w:link w:val="Heading2"/>
    <w:uiPriority w:val="9"/>
    <w:rsid w:val="001531D6"/>
    <w:rPr>
      <w:rFonts w:ascii="Franklin Gothic Medium" w:eastAsiaTheme="majorEastAsia" w:hAnsi="Franklin Gothic Medium" w:cstheme="majorBidi"/>
      <w:color w:val="000000" w:themeColor="text1"/>
      <w:sz w:val="32"/>
      <w:szCs w:val="26"/>
    </w:rPr>
  </w:style>
  <w:style w:type="character" w:customStyle="1" w:styleId="Heading3Char">
    <w:name w:val="Heading 3 Char"/>
    <w:basedOn w:val="DefaultParagraphFont"/>
    <w:link w:val="Heading3"/>
    <w:uiPriority w:val="9"/>
    <w:rsid w:val="005103C5"/>
    <w:rPr>
      <w:rFonts w:ascii="Franklin Gothic Medium" w:eastAsiaTheme="majorEastAsia" w:hAnsi="Franklin Gothic Medium" w:cstheme="majorBidi"/>
      <w:sz w:val="24"/>
      <w:szCs w:val="24"/>
    </w:rPr>
  </w:style>
  <w:style w:type="paragraph" w:styleId="Caption">
    <w:name w:val="caption"/>
    <w:aliases w:val="Caption Char2 Char,Caption Char Char Char2,Caption Char1 Char Char Char1,Caption Char2 Char Char Char1 Char1,Caption Char Char1 Char Char Char1 Char1,Caption Char1 Char Char Char Char Char Char,Caption Char Char1,Caption Char2,Caption Char1"/>
    <w:basedOn w:val="Normal"/>
    <w:next w:val="Normal"/>
    <w:link w:val="CaptionChar"/>
    <w:qFormat/>
    <w:rsid w:val="009A06F4"/>
    <w:pPr>
      <w:keepNext/>
      <w:spacing w:before="360" w:after="120" w:line="240" w:lineRule="auto"/>
    </w:pPr>
    <w:rPr>
      <w:rFonts w:ascii="Arial Narrow" w:eastAsia="Times New Roman" w:hAnsi="Arial Narrow" w:cs="Times New Roman"/>
      <w:b/>
      <w:bCs/>
      <w:sz w:val="20"/>
      <w:szCs w:val="20"/>
    </w:rPr>
  </w:style>
  <w:style w:type="table" w:customStyle="1" w:styleId="TableGrid1">
    <w:name w:val="Table Grid1"/>
    <w:basedOn w:val="TableNormal"/>
    <w:next w:val="TableGrid"/>
    <w:locked/>
    <w:rsid w:val="00CA528A"/>
    <w:pPr>
      <w:spacing w:before="40" w:after="40" w:line="240" w:lineRule="auto"/>
    </w:pPr>
    <w:rPr>
      <w:rFonts w:ascii="Arial Narrow" w:eastAsia="Times New Roman" w:hAnsi="Arial Narrow"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Narrow" w:hAnsi="Arial Narrow"/>
        <w:b w:val="0"/>
        <w:sz w:val="20"/>
      </w:rPr>
    </w:tblStylePr>
  </w:style>
  <w:style w:type="character" w:customStyle="1" w:styleId="CaptionChar">
    <w:name w:val="Caption Char"/>
    <w:aliases w:val="Caption Char2 Char Char,Caption Char Char Char2 Char,Caption Char1 Char Char Char1 Char,Caption Char2 Char Char Char1 Char1 Char,Caption Char Char1 Char Char Char1 Char1 Char,Caption Char1 Char Char Char Char Char Char Char"/>
    <w:basedOn w:val="DefaultParagraphFont"/>
    <w:link w:val="Caption"/>
    <w:rsid w:val="009A06F4"/>
    <w:rPr>
      <w:rFonts w:ascii="Arial Narrow" w:eastAsia="Times New Roman" w:hAnsi="Arial Narrow" w:cs="Times New Roman"/>
      <w:b/>
      <w:bCs/>
      <w:sz w:val="20"/>
      <w:szCs w:val="20"/>
    </w:rPr>
  </w:style>
  <w:style w:type="table" w:styleId="TableGrid">
    <w:name w:val="Table Grid"/>
    <w:aliases w:val="Summary box,Table Gridbeth,RTI AMCP Table,new style,ASD Table,HealthConsult,HTAtableplain"/>
    <w:basedOn w:val="TableNormal"/>
    <w:rsid w:val="00CA52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gNote">
    <w:name w:val="TableFigNote"/>
    <w:basedOn w:val="Normal"/>
    <w:qFormat/>
    <w:rsid w:val="00CA528A"/>
    <w:pPr>
      <w:spacing w:after="360" w:line="240" w:lineRule="auto"/>
      <w:contextualSpacing/>
    </w:pPr>
    <w:rPr>
      <w:sz w:val="18"/>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列"/>
    <w:basedOn w:val="Normal"/>
    <w:link w:val="ListParagraphChar"/>
    <w:uiPriority w:val="34"/>
    <w:qFormat/>
    <w:rsid w:val="00724F92"/>
    <w:pPr>
      <w:ind w:left="720"/>
      <w:contextualSpacing/>
    </w:pPr>
  </w:style>
  <w:style w:type="character" w:styleId="Strong">
    <w:name w:val="Strong"/>
    <w:basedOn w:val="DefaultParagraphFont"/>
    <w:uiPriority w:val="22"/>
    <w:qFormat/>
    <w:rsid w:val="00FD17BA"/>
    <w:rPr>
      <w:b/>
      <w:bCs/>
    </w:rPr>
  </w:style>
  <w:style w:type="paragraph" w:customStyle="1" w:styleId="TableName">
    <w:name w:val="TableName"/>
    <w:basedOn w:val="Normal"/>
    <w:qFormat/>
    <w:rsid w:val="00FD17BA"/>
    <w:pPr>
      <w:keepNext/>
      <w:spacing w:after="240" w:line="240" w:lineRule="auto"/>
      <w:ind w:left="1418" w:hanging="1418"/>
    </w:pPr>
    <w:rPr>
      <w:rFonts w:ascii="Franklin Gothic Medium" w:hAnsi="Franklin Gothic Medium"/>
    </w:rPr>
  </w:style>
  <w:style w:type="paragraph" w:customStyle="1" w:styleId="TableFigNoteHangingLast">
    <w:name w:val="TableFigNoteHanging Last"/>
    <w:basedOn w:val="TableFigNote"/>
    <w:qFormat/>
    <w:rsid w:val="00FD17BA"/>
    <w:pPr>
      <w:ind w:left="142" w:hanging="142"/>
    </w:pPr>
  </w:style>
  <w:style w:type="paragraph" w:customStyle="1" w:styleId="TableTextCA">
    <w:name w:val="Table Text CA"/>
    <w:basedOn w:val="TableText"/>
    <w:qFormat/>
    <w:rsid w:val="00FD17BA"/>
    <w:pPr>
      <w:jc w:val="center"/>
    </w:pPr>
  </w:style>
  <w:style w:type="paragraph" w:customStyle="1" w:styleId="TableHeadingCA">
    <w:name w:val="Table Heading CA"/>
    <w:basedOn w:val="TableHeading0"/>
    <w:qFormat/>
    <w:rsid w:val="00FD17BA"/>
    <w:pPr>
      <w:jc w:val="center"/>
    </w:pPr>
  </w:style>
  <w:style w:type="paragraph" w:customStyle="1" w:styleId="TableHeading0">
    <w:name w:val="Table Heading"/>
    <w:basedOn w:val="Normal"/>
    <w:qFormat/>
    <w:rsid w:val="00FD17BA"/>
    <w:pPr>
      <w:spacing w:after="60" w:line="240" w:lineRule="auto"/>
    </w:pPr>
    <w:rPr>
      <w:rFonts w:ascii="Arial Narrow" w:hAnsi="Arial Narrow"/>
      <w:b/>
      <w:sz w:val="20"/>
    </w:rPr>
  </w:style>
  <w:style w:type="paragraph" w:customStyle="1" w:styleId="TableFigNoteLast">
    <w:name w:val="TableFigNote Last"/>
    <w:basedOn w:val="TableFigNote"/>
    <w:qFormat/>
    <w:rsid w:val="00FD17BA"/>
  </w:style>
  <w:style w:type="character" w:customStyle="1" w:styleId="Heading4Char">
    <w:name w:val="Heading 4 Char"/>
    <w:basedOn w:val="DefaultParagraphFont"/>
    <w:link w:val="Heading4"/>
    <w:uiPriority w:val="9"/>
    <w:rsid w:val="00A776A4"/>
    <w:rPr>
      <w:rFonts w:ascii="Franklin Gothic Medium" w:eastAsiaTheme="majorEastAsia" w:hAnsi="Franklin Gothic Medium" w:cstheme="majorBidi"/>
      <w:i/>
      <w:sz w:val="24"/>
      <w:szCs w:val="24"/>
    </w:rPr>
  </w:style>
  <w:style w:type="paragraph" w:customStyle="1" w:styleId="2ChapterText">
    <w:name w:val="2ChapterText"/>
    <w:basedOn w:val="Normal"/>
    <w:qFormat/>
    <w:rsid w:val="00004F7F"/>
    <w:rPr>
      <w:shd w:val="clear" w:color="auto" w:fill="BDD6EE" w:themeFill="accent1" w:themeFillTint="66"/>
    </w:rPr>
  </w:style>
  <w:style w:type="paragraph" w:customStyle="1" w:styleId="1ExplanatoryText">
    <w:name w:val="1ExplanatoryText"/>
    <w:basedOn w:val="Normal"/>
    <w:qFormat/>
    <w:rsid w:val="00225833"/>
    <w:pPr>
      <w:shd w:val="clear" w:color="auto" w:fill="C5E0B3" w:themeFill="accent6" w:themeFillTint="66"/>
    </w:pPr>
  </w:style>
  <w:style w:type="character" w:styleId="Hyperlink">
    <w:name w:val="Hyperlink"/>
    <w:basedOn w:val="DefaultParagraphFont"/>
    <w:uiPriority w:val="99"/>
    <w:unhideWhenUsed/>
    <w:qFormat/>
    <w:rsid w:val="00997BA8"/>
    <w:rPr>
      <w:color w:val="0070C0"/>
      <w:u w:val="single"/>
    </w:rPr>
  </w:style>
  <w:style w:type="paragraph" w:styleId="TOC1">
    <w:name w:val="toc 1"/>
    <w:basedOn w:val="Normal"/>
    <w:next w:val="Normal"/>
    <w:autoRedefine/>
    <w:uiPriority w:val="39"/>
    <w:unhideWhenUsed/>
    <w:rsid w:val="00C91651"/>
    <w:pPr>
      <w:tabs>
        <w:tab w:val="left" w:pos="1100"/>
        <w:tab w:val="left" w:pos="1531"/>
        <w:tab w:val="right" w:leader="dot" w:pos="9010"/>
      </w:tabs>
      <w:spacing w:after="100" w:line="240" w:lineRule="auto"/>
    </w:pPr>
    <w:rPr>
      <w:rFonts w:asciiTheme="minorHAnsi" w:hAnsiTheme="minorHAnsi"/>
      <w:b/>
    </w:rPr>
  </w:style>
  <w:style w:type="paragraph" w:styleId="TOC2">
    <w:name w:val="toc 2"/>
    <w:basedOn w:val="Normal"/>
    <w:next w:val="Normal"/>
    <w:autoRedefine/>
    <w:uiPriority w:val="39"/>
    <w:unhideWhenUsed/>
    <w:rsid w:val="00944087"/>
    <w:pPr>
      <w:tabs>
        <w:tab w:val="left" w:pos="1089"/>
        <w:tab w:val="right" w:leader="dot" w:pos="9010"/>
      </w:tabs>
      <w:spacing w:after="100" w:line="240" w:lineRule="auto"/>
    </w:pPr>
    <w:rPr>
      <w:rFonts w:asciiTheme="minorHAnsi" w:hAnsiTheme="minorHAnsi"/>
    </w:rPr>
  </w:style>
  <w:style w:type="paragraph" w:styleId="TOC3">
    <w:name w:val="toc 3"/>
    <w:basedOn w:val="Normal"/>
    <w:next w:val="Normal"/>
    <w:autoRedefine/>
    <w:uiPriority w:val="39"/>
    <w:unhideWhenUsed/>
    <w:rsid w:val="0088445B"/>
    <w:pPr>
      <w:spacing w:after="100" w:line="240" w:lineRule="auto"/>
      <w:ind w:left="720"/>
    </w:pPr>
    <w:rPr>
      <w:rFonts w:asciiTheme="minorHAnsi" w:hAnsiTheme="minorHAnsi"/>
    </w:rPr>
  </w:style>
  <w:style w:type="character" w:styleId="FollowedHyperlink">
    <w:name w:val="FollowedHyperlink"/>
    <w:basedOn w:val="DefaultParagraphFont"/>
    <w:uiPriority w:val="99"/>
    <w:semiHidden/>
    <w:unhideWhenUsed/>
    <w:rsid w:val="0088445B"/>
    <w:rPr>
      <w:color w:val="954F72" w:themeColor="followedHyperlink"/>
      <w:u w:val="single"/>
    </w:rPr>
  </w:style>
  <w:style w:type="paragraph" w:styleId="TOC9">
    <w:name w:val="toc 9"/>
    <w:basedOn w:val="Normal"/>
    <w:next w:val="Normal"/>
    <w:autoRedefine/>
    <w:uiPriority w:val="39"/>
    <w:unhideWhenUsed/>
    <w:rsid w:val="00AF3D39"/>
    <w:pPr>
      <w:spacing w:after="100"/>
      <w:ind w:left="1760"/>
    </w:pPr>
  </w:style>
  <w:style w:type="paragraph" w:styleId="Date">
    <w:name w:val="Date"/>
    <w:basedOn w:val="Normal"/>
    <w:next w:val="Normal"/>
    <w:link w:val="DateChar"/>
    <w:rsid w:val="000870B6"/>
    <w:pPr>
      <w:spacing w:before="1134" w:after="800"/>
      <w:ind w:left="4536"/>
    </w:pPr>
    <w:rPr>
      <w:rFonts w:ascii="Arial" w:eastAsia="Times New Roman" w:hAnsi="Arial" w:cs="Tahoma"/>
      <w:b/>
      <w:sz w:val="36"/>
      <w:lang w:eastAsia="en-AU"/>
    </w:rPr>
  </w:style>
  <w:style w:type="character" w:customStyle="1" w:styleId="DateChar">
    <w:name w:val="Date Char"/>
    <w:basedOn w:val="DefaultParagraphFont"/>
    <w:link w:val="Date"/>
    <w:rsid w:val="000870B6"/>
    <w:rPr>
      <w:rFonts w:ascii="Arial" w:eastAsia="Times New Roman" w:hAnsi="Arial" w:cs="Tahoma"/>
      <w:b/>
      <w:sz w:val="36"/>
      <w:lang w:eastAsia="en-AU"/>
    </w:rPr>
  </w:style>
  <w:style w:type="paragraph" w:customStyle="1" w:styleId="PublicationTitle">
    <w:name w:val="PublicationTitle"/>
    <w:basedOn w:val="Normal"/>
    <w:rsid w:val="000870B6"/>
    <w:pPr>
      <w:tabs>
        <w:tab w:val="left" w:pos="4536"/>
      </w:tabs>
      <w:spacing w:before="4536" w:after="800" w:line="480" w:lineRule="exact"/>
      <w:ind w:left="4536" w:right="113"/>
      <w:jc w:val="right"/>
    </w:pPr>
    <w:rPr>
      <w:rFonts w:ascii="Arial" w:eastAsia="Times New Roman" w:hAnsi="Arial" w:cs="Tahoma"/>
      <w:b/>
      <w:i/>
      <w:sz w:val="44"/>
      <w:lang w:eastAsia="en-AU"/>
    </w:rPr>
  </w:style>
  <w:style w:type="paragraph" w:customStyle="1" w:styleId="Sub-title">
    <w:name w:val="Sub-title"/>
    <w:basedOn w:val="Normal"/>
    <w:locked/>
    <w:rsid w:val="00401DBF"/>
    <w:pPr>
      <w:spacing w:before="1701"/>
      <w:ind w:left="4536"/>
    </w:pPr>
    <w:rPr>
      <w:rFonts w:ascii="Arial" w:eastAsia="Times New Roman" w:hAnsi="Arial" w:cs="Tahoma"/>
      <w:b/>
      <w:sz w:val="32"/>
      <w:lang w:eastAsia="en-AU"/>
    </w:rPr>
  </w:style>
  <w:style w:type="paragraph" w:customStyle="1" w:styleId="Nnumberedlist">
    <w:name w:val="Nnumbered list"/>
    <w:basedOn w:val="Normal"/>
    <w:rsid w:val="00AF3D39"/>
    <w:pPr>
      <w:numPr>
        <w:numId w:val="4"/>
      </w:numPr>
      <w:jc w:val="both"/>
    </w:pPr>
    <w:rPr>
      <w:rFonts w:ascii="Calibri" w:eastAsia="Times New Roman" w:hAnsi="Calibri" w:cs="Tahoma"/>
      <w:lang w:eastAsia="en-AU"/>
    </w:rPr>
  </w:style>
  <w:style w:type="paragraph" w:styleId="TOCHeading">
    <w:name w:val="TOC Heading"/>
    <w:basedOn w:val="Heading1"/>
    <w:next w:val="Normal"/>
    <w:uiPriority w:val="39"/>
    <w:unhideWhenUsed/>
    <w:qFormat/>
    <w:rsid w:val="00DE7099"/>
    <w:pPr>
      <w:numPr>
        <w:numId w:val="0"/>
      </w:numPr>
      <w:pBdr>
        <w:bottom w:val="none" w:sz="0" w:space="0" w:color="auto"/>
      </w:pBdr>
      <w:spacing w:before="240" w:after="0" w:line="259" w:lineRule="auto"/>
      <w:outlineLvl w:val="9"/>
    </w:pPr>
    <w:rPr>
      <w:rFonts w:asciiTheme="majorHAnsi" w:hAnsiTheme="majorHAnsi"/>
      <w:color w:val="2E74B5" w:themeColor="accent1" w:themeShade="BF"/>
      <w:sz w:val="32"/>
      <w:lang w:val="en-US"/>
    </w:rPr>
  </w:style>
  <w:style w:type="paragraph" w:styleId="TOC4">
    <w:name w:val="toc 4"/>
    <w:basedOn w:val="Normal"/>
    <w:next w:val="Normal"/>
    <w:autoRedefine/>
    <w:uiPriority w:val="39"/>
    <w:unhideWhenUsed/>
    <w:rsid w:val="00DE7099"/>
    <w:pPr>
      <w:spacing w:after="100"/>
      <w:ind w:left="660"/>
    </w:pPr>
    <w:rPr>
      <w:rFonts w:asciiTheme="minorHAnsi" w:eastAsiaTheme="minorEastAsia" w:hAnsiTheme="minorHAnsi"/>
      <w:lang w:eastAsia="en-AU"/>
    </w:rPr>
  </w:style>
  <w:style w:type="paragraph" w:styleId="TOC5">
    <w:name w:val="toc 5"/>
    <w:basedOn w:val="Normal"/>
    <w:next w:val="Normal"/>
    <w:autoRedefine/>
    <w:uiPriority w:val="39"/>
    <w:unhideWhenUsed/>
    <w:rsid w:val="00DE7099"/>
    <w:pPr>
      <w:spacing w:after="100"/>
      <w:ind w:left="880"/>
    </w:pPr>
    <w:rPr>
      <w:rFonts w:asciiTheme="minorHAnsi" w:eastAsiaTheme="minorEastAsia" w:hAnsiTheme="minorHAnsi"/>
      <w:lang w:eastAsia="en-AU"/>
    </w:rPr>
  </w:style>
  <w:style w:type="paragraph" w:styleId="TOC6">
    <w:name w:val="toc 6"/>
    <w:basedOn w:val="Normal"/>
    <w:next w:val="Normal"/>
    <w:autoRedefine/>
    <w:uiPriority w:val="39"/>
    <w:unhideWhenUsed/>
    <w:rsid w:val="00DE7099"/>
    <w:pPr>
      <w:spacing w:after="100"/>
      <w:ind w:left="1100"/>
    </w:pPr>
    <w:rPr>
      <w:rFonts w:asciiTheme="minorHAnsi" w:eastAsiaTheme="minorEastAsia" w:hAnsiTheme="minorHAnsi"/>
      <w:lang w:eastAsia="en-AU"/>
    </w:rPr>
  </w:style>
  <w:style w:type="paragraph" w:styleId="TOC7">
    <w:name w:val="toc 7"/>
    <w:basedOn w:val="Normal"/>
    <w:next w:val="Normal"/>
    <w:autoRedefine/>
    <w:uiPriority w:val="39"/>
    <w:unhideWhenUsed/>
    <w:rsid w:val="00DE7099"/>
    <w:pPr>
      <w:spacing w:after="100"/>
      <w:ind w:left="1320"/>
    </w:pPr>
    <w:rPr>
      <w:rFonts w:asciiTheme="minorHAnsi" w:eastAsiaTheme="minorEastAsia" w:hAnsiTheme="minorHAnsi"/>
      <w:lang w:eastAsia="en-AU"/>
    </w:rPr>
  </w:style>
  <w:style w:type="paragraph" w:styleId="TOC8">
    <w:name w:val="toc 8"/>
    <w:basedOn w:val="Normal"/>
    <w:next w:val="Normal"/>
    <w:autoRedefine/>
    <w:uiPriority w:val="39"/>
    <w:unhideWhenUsed/>
    <w:rsid w:val="00DE7099"/>
    <w:pPr>
      <w:spacing w:after="100"/>
      <w:ind w:left="1540"/>
    </w:pPr>
    <w:rPr>
      <w:rFonts w:asciiTheme="minorHAnsi" w:eastAsiaTheme="minorEastAsia" w:hAnsiTheme="minorHAnsi"/>
      <w:lang w:eastAsia="en-AU"/>
    </w:rPr>
  </w:style>
  <w:style w:type="paragraph" w:customStyle="1" w:styleId="In-tableHeading">
    <w:name w:val="In-table Heading"/>
    <w:qFormat/>
    <w:rsid w:val="000472D4"/>
    <w:pPr>
      <w:keepNext/>
      <w:spacing w:after="0" w:line="240" w:lineRule="auto"/>
    </w:pPr>
    <w:rPr>
      <w:rFonts w:ascii="Arial Narrow" w:eastAsiaTheme="majorEastAsia" w:hAnsi="Arial Narrow" w:cs="Times New Roman"/>
      <w:b/>
      <w:sz w:val="20"/>
      <w:szCs w:val="24"/>
      <w:lang w:val="en-US" w:eastAsia="en-AU"/>
    </w:rPr>
  </w:style>
  <w:style w:type="paragraph" w:customStyle="1" w:styleId="TableFigureFooter">
    <w:name w:val="Table/Figure Footer"/>
    <w:basedOn w:val="Normal"/>
    <w:link w:val="TableFigureFooterChar"/>
    <w:qFormat/>
    <w:rsid w:val="009A06F4"/>
    <w:pPr>
      <w:tabs>
        <w:tab w:val="left" w:pos="284"/>
      </w:tabs>
      <w:spacing w:after="360" w:line="240" w:lineRule="auto"/>
    </w:pPr>
    <w:rPr>
      <w:rFonts w:ascii="Arial Narrow" w:eastAsia="Times New Roman" w:hAnsi="Arial Narrow" w:cs="Arial"/>
      <w:snapToGrid w:val="0"/>
      <w:sz w:val="18"/>
      <w:lang w:eastAsia="en-AU"/>
    </w:rPr>
  </w:style>
  <w:style w:type="character" w:customStyle="1" w:styleId="TableFigureFooterChar">
    <w:name w:val="Table/Figure Footer Char"/>
    <w:link w:val="TableFigureFooter"/>
    <w:rsid w:val="009A06F4"/>
    <w:rPr>
      <w:rFonts w:ascii="Arial Narrow" w:eastAsia="Times New Roman" w:hAnsi="Arial Narrow" w:cs="Arial"/>
      <w:snapToGrid w:val="0"/>
      <w:sz w:val="18"/>
      <w:lang w:eastAsia="en-AU"/>
    </w:rPr>
  </w:style>
  <w:style w:type="character" w:styleId="Emphasis">
    <w:name w:val="Emphasis"/>
    <w:uiPriority w:val="20"/>
    <w:qFormat/>
    <w:rsid w:val="00566298"/>
    <w:rPr>
      <w:i/>
      <w:iCs/>
    </w:rPr>
  </w:style>
  <w:style w:type="paragraph" w:styleId="Header">
    <w:name w:val="header"/>
    <w:basedOn w:val="Normal"/>
    <w:link w:val="HeaderChar"/>
    <w:uiPriority w:val="99"/>
    <w:unhideWhenUsed/>
    <w:rsid w:val="00B62D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2DF2"/>
    <w:rPr>
      <w:rFonts w:ascii="Franklin Gothic Book" w:hAnsi="Franklin Gothic Book"/>
    </w:rPr>
  </w:style>
  <w:style w:type="paragraph" w:styleId="Footer">
    <w:name w:val="footer"/>
    <w:basedOn w:val="Normal"/>
    <w:link w:val="FooterChar"/>
    <w:uiPriority w:val="99"/>
    <w:unhideWhenUsed/>
    <w:rsid w:val="00B62D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2DF2"/>
    <w:rPr>
      <w:rFonts w:ascii="Franklin Gothic Book" w:hAnsi="Franklin Gothic Book"/>
    </w:rPr>
  </w:style>
  <w:style w:type="paragraph" w:customStyle="1" w:styleId="Tablenotes">
    <w:name w:val="Tablenotes"/>
    <w:basedOn w:val="Normal"/>
    <w:link w:val="TablenotesChar"/>
    <w:qFormat/>
    <w:rsid w:val="00242F4E"/>
    <w:pPr>
      <w:widowControl w:val="0"/>
      <w:spacing w:after="120" w:line="240" w:lineRule="auto"/>
      <w:contextualSpacing/>
    </w:pPr>
    <w:rPr>
      <w:rFonts w:ascii="Arial Narrow" w:eastAsia="Times New Roman" w:hAnsi="Arial Narrow" w:cs="Arial"/>
      <w:snapToGrid w:val="0"/>
      <w:sz w:val="18"/>
      <w:szCs w:val="20"/>
    </w:rPr>
  </w:style>
  <w:style w:type="character" w:customStyle="1" w:styleId="TablenotesChar">
    <w:name w:val="Tablenotes Char"/>
    <w:basedOn w:val="DefaultParagraphFont"/>
    <w:link w:val="Tablenotes"/>
    <w:rsid w:val="00242F4E"/>
    <w:rPr>
      <w:rFonts w:ascii="Arial Narrow" w:eastAsia="Times New Roman" w:hAnsi="Arial Narrow" w:cs="Arial"/>
      <w:snapToGrid w:val="0"/>
      <w:sz w:val="18"/>
      <w:szCs w:val="20"/>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rsid w:val="00A454B3"/>
    <w:rPr>
      <w:rFonts w:ascii="Franklin Gothic Book" w:hAnsi="Franklin Gothic Book"/>
    </w:rPr>
  </w:style>
  <w:style w:type="table" w:customStyle="1" w:styleId="TableGridLight1">
    <w:name w:val="Table Grid Light1"/>
    <w:basedOn w:val="TableNormal"/>
    <w:uiPriority w:val="40"/>
    <w:rsid w:val="00BA59FB"/>
    <w:pPr>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tblPr/>
      <w:tcPr>
        <w:shd w:val="clear" w:color="auto" w:fill="F2F2F2" w:themeFill="background1" w:themeFillShade="F2"/>
      </w:tcPr>
    </w:tblStylePr>
  </w:style>
  <w:style w:type="paragraph" w:customStyle="1" w:styleId="Bullet">
    <w:name w:val="Bullet"/>
    <w:basedOn w:val="Normal"/>
    <w:qFormat/>
    <w:rsid w:val="00BA59FB"/>
    <w:pPr>
      <w:numPr>
        <w:numId w:val="5"/>
      </w:numPr>
      <w:spacing w:after="120" w:line="240" w:lineRule="auto"/>
    </w:pPr>
    <w:rPr>
      <w:rFonts w:asciiTheme="minorHAnsi" w:hAnsiTheme="minorHAnsi"/>
    </w:rPr>
  </w:style>
  <w:style w:type="paragraph" w:customStyle="1" w:styleId="TableFigureHeading">
    <w:name w:val="Table/Figure Heading"/>
    <w:next w:val="In-tableHeading"/>
    <w:link w:val="TableFigureHeadingChar"/>
    <w:qFormat/>
    <w:rsid w:val="00F257B5"/>
    <w:pPr>
      <w:keepNext/>
      <w:spacing w:after="0" w:line="240" w:lineRule="auto"/>
    </w:pPr>
    <w:rPr>
      <w:rFonts w:ascii="Arial Narrow" w:eastAsiaTheme="majorEastAsia" w:hAnsi="Arial Narrow" w:cstheme="majorBidi"/>
      <w:b/>
      <w:bCs/>
      <w:sz w:val="20"/>
      <w:szCs w:val="24"/>
      <w:lang w:eastAsia="en-AU"/>
    </w:rPr>
  </w:style>
  <w:style w:type="character" w:customStyle="1" w:styleId="TableFigureHeadingChar">
    <w:name w:val="Table/Figure Heading Char"/>
    <w:basedOn w:val="DefaultParagraphFont"/>
    <w:link w:val="TableFigureHeading"/>
    <w:rsid w:val="00F257B5"/>
    <w:rPr>
      <w:rFonts w:ascii="Arial Narrow" w:eastAsiaTheme="majorEastAsia" w:hAnsi="Arial Narrow" w:cstheme="majorBidi"/>
      <w:b/>
      <w:bCs/>
      <w:sz w:val="20"/>
      <w:szCs w:val="24"/>
      <w:lang w:eastAsia="en-AU"/>
    </w:rPr>
  </w:style>
  <w:style w:type="paragraph" w:customStyle="1" w:styleId="Tabletext0">
    <w:name w:val="Table text"/>
    <w:basedOn w:val="Normal"/>
    <w:link w:val="TabletextChar0"/>
    <w:qFormat/>
    <w:rsid w:val="001B2CD4"/>
    <w:pPr>
      <w:spacing w:before="40" w:after="40" w:line="240" w:lineRule="auto"/>
      <w:jc w:val="both"/>
    </w:pPr>
    <w:rPr>
      <w:rFonts w:ascii="Arial Narrow" w:eastAsia="Times New Roman" w:hAnsi="Arial Narrow" w:cs="Tahoma"/>
      <w:sz w:val="20"/>
      <w:szCs w:val="20"/>
      <w:lang w:eastAsia="en-AU"/>
    </w:rPr>
  </w:style>
  <w:style w:type="character" w:customStyle="1" w:styleId="TabletextChar0">
    <w:name w:val="Table text Char"/>
    <w:link w:val="Tabletext0"/>
    <w:rsid w:val="001B2CD4"/>
    <w:rPr>
      <w:rFonts w:ascii="Arial Narrow" w:eastAsia="Times New Roman" w:hAnsi="Arial Narrow" w:cs="Tahoma"/>
      <w:sz w:val="20"/>
      <w:szCs w:val="20"/>
      <w:lang w:eastAsia="en-AU"/>
    </w:rPr>
  </w:style>
  <w:style w:type="paragraph" w:customStyle="1" w:styleId="Tablenotes0">
    <w:name w:val="Table notes"/>
    <w:basedOn w:val="Normal"/>
    <w:link w:val="TablenotesChar0"/>
    <w:qFormat/>
    <w:rsid w:val="001B2CD4"/>
    <w:pPr>
      <w:spacing w:after="240"/>
      <w:contextualSpacing/>
      <w:jc w:val="both"/>
    </w:pPr>
    <w:rPr>
      <w:rFonts w:ascii="Arial Narrow" w:hAnsi="Arial Narrow" w:cs="Arial"/>
      <w:sz w:val="18"/>
    </w:rPr>
  </w:style>
  <w:style w:type="character" w:customStyle="1" w:styleId="TablenotesChar0">
    <w:name w:val="Table notes Char"/>
    <w:basedOn w:val="DefaultParagraphFont"/>
    <w:link w:val="Tablenotes0"/>
    <w:rsid w:val="001B2CD4"/>
    <w:rPr>
      <w:rFonts w:ascii="Arial Narrow" w:hAnsi="Arial Narrow" w:cs="Arial"/>
      <w:sz w:val="18"/>
    </w:rPr>
  </w:style>
  <w:style w:type="numbering" w:customStyle="1" w:styleId="ESSectionheading-numbered">
    <w:name w:val="ES. Section heading - numbered"/>
    <w:uiPriority w:val="99"/>
    <w:rsid w:val="002A4084"/>
    <w:pPr>
      <w:numPr>
        <w:numId w:val="6"/>
      </w:numPr>
    </w:pPr>
  </w:style>
  <w:style w:type="paragraph" w:customStyle="1" w:styleId="2-SectionHeading">
    <w:name w:val="2-Section Heading"/>
    <w:qFormat/>
    <w:rsid w:val="005131D3"/>
    <w:pPr>
      <w:keepNext/>
      <w:numPr>
        <w:numId w:val="7"/>
      </w:numPr>
      <w:spacing w:before="240" w:after="120" w:line="240" w:lineRule="auto"/>
      <w:outlineLvl w:val="0"/>
    </w:pPr>
    <w:rPr>
      <w:rFonts w:eastAsia="Times New Roman" w:cs="Arial"/>
      <w:b/>
      <w:snapToGrid w:val="0"/>
      <w:sz w:val="32"/>
      <w:szCs w:val="32"/>
      <w:lang w:eastAsia="en-AU"/>
    </w:rPr>
  </w:style>
  <w:style w:type="paragraph" w:customStyle="1" w:styleId="3-BodyText">
    <w:name w:val="3-Body Text"/>
    <w:basedOn w:val="ListParagraph"/>
    <w:qFormat/>
    <w:rsid w:val="005131D3"/>
    <w:pPr>
      <w:numPr>
        <w:ilvl w:val="1"/>
        <w:numId w:val="7"/>
      </w:numPr>
      <w:spacing w:after="120" w:line="240" w:lineRule="auto"/>
      <w:contextualSpacing w:val="0"/>
      <w:jc w:val="both"/>
    </w:pPr>
    <w:rPr>
      <w:rFonts w:asciiTheme="minorHAnsi" w:eastAsia="Times New Roman" w:hAnsiTheme="minorHAnsi" w:cs="Arial"/>
      <w:snapToGrid w:val="0"/>
      <w:sz w:val="24"/>
      <w:szCs w:val="24"/>
      <w:lang w:eastAsia="en-AU"/>
    </w:rPr>
  </w:style>
  <w:style w:type="paragraph" w:customStyle="1" w:styleId="BoxName">
    <w:name w:val="Box Name"/>
    <w:basedOn w:val="Normal"/>
    <w:qFormat/>
    <w:rsid w:val="002B667C"/>
    <w:pPr>
      <w:pBdr>
        <w:top w:val="single" w:sz="4" w:space="4" w:color="auto"/>
        <w:left w:val="single" w:sz="4" w:space="4" w:color="auto"/>
        <w:bottom w:val="single" w:sz="4" w:space="4" w:color="auto"/>
        <w:right w:val="single" w:sz="4" w:space="4" w:color="auto"/>
      </w:pBdr>
      <w:spacing w:after="120" w:line="240" w:lineRule="auto"/>
    </w:pPr>
    <w:rPr>
      <w:rFonts w:ascii="Franklin Gothic Medium" w:hAnsi="Franklin Gothic Medium"/>
      <w:sz w:val="21"/>
    </w:rPr>
  </w:style>
  <w:style w:type="character" w:customStyle="1" w:styleId="InstructionBulletpointChar">
    <w:name w:val="Instruction Bullet point Char"/>
    <w:basedOn w:val="DefaultParagraphFont"/>
    <w:link w:val="InstructionBulletpoint"/>
    <w:uiPriority w:val="3"/>
    <w:locked/>
    <w:rsid w:val="00107DCD"/>
    <w:rPr>
      <w:rFonts w:ascii="Calibri" w:hAnsi="Calibri" w:cs="Calibri"/>
      <w:color w:val="0070C0"/>
      <w:sz w:val="24"/>
    </w:rPr>
  </w:style>
  <w:style w:type="paragraph" w:customStyle="1" w:styleId="InstructionBulletpoint">
    <w:name w:val="Instruction Bullet point"/>
    <w:basedOn w:val="Normal"/>
    <w:link w:val="InstructionBulletpointChar"/>
    <w:uiPriority w:val="3"/>
    <w:qFormat/>
    <w:rsid w:val="00107DCD"/>
    <w:pPr>
      <w:numPr>
        <w:numId w:val="8"/>
      </w:numPr>
      <w:spacing w:after="120" w:line="240" w:lineRule="auto"/>
      <w:ind w:left="714" w:hanging="357"/>
    </w:pPr>
    <w:rPr>
      <w:rFonts w:ascii="Calibri" w:hAnsi="Calibri" w:cs="Calibri"/>
      <w:color w:val="0070C0"/>
      <w:sz w:val="24"/>
    </w:rPr>
  </w:style>
  <w:style w:type="character" w:customStyle="1" w:styleId="TableFooterChar">
    <w:name w:val="Table Footer Char"/>
    <w:link w:val="TableFooter"/>
    <w:locked/>
    <w:rsid w:val="007B0880"/>
    <w:rPr>
      <w:rFonts w:ascii="Arial Narrow" w:eastAsia="Times New Roman" w:hAnsi="Arial Narrow" w:cs="Arial"/>
      <w:sz w:val="18"/>
      <w:szCs w:val="20"/>
    </w:rPr>
  </w:style>
  <w:style w:type="paragraph" w:customStyle="1" w:styleId="TableFooter">
    <w:name w:val="Table Footer"/>
    <w:basedOn w:val="Normal"/>
    <w:link w:val="TableFooterChar"/>
    <w:qFormat/>
    <w:rsid w:val="007B0880"/>
    <w:pPr>
      <w:widowControl w:val="0"/>
      <w:snapToGrid w:val="0"/>
      <w:spacing w:after="240" w:line="240" w:lineRule="auto"/>
      <w:contextualSpacing/>
      <w:jc w:val="both"/>
    </w:pPr>
    <w:rPr>
      <w:rFonts w:ascii="Arial Narrow" w:eastAsia="Times New Roman" w:hAnsi="Arial Narrow" w:cs="Arial"/>
      <w:sz w:val="18"/>
      <w:szCs w:val="20"/>
    </w:rPr>
  </w:style>
  <w:style w:type="table" w:customStyle="1" w:styleId="PBACTableStyle">
    <w:name w:val="PBAC Table Style"/>
    <w:basedOn w:val="TableGrid10"/>
    <w:uiPriority w:val="99"/>
    <w:rsid w:val="007B0880"/>
    <w:pPr>
      <w:widowControl w:val="0"/>
      <w:spacing w:before="120" w:after="0" w:line="240" w:lineRule="auto"/>
      <w:contextualSpacing/>
      <w:jc w:val="center"/>
    </w:pPr>
    <w:rPr>
      <w:rFonts w:ascii="Arial Narrow" w:hAnsi="Arial Narrow"/>
      <w:color w:val="000000" w:themeColor="text1"/>
      <w:sz w:val="20"/>
      <w:szCs w:val="20"/>
      <w:lang w:val="en-US"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100" w:beforeAutospacing="1" w:afterLines="0" w:after="100" w:afterAutospacing="1" w:line="240" w:lineRule="auto"/>
        <w:ind w:leftChars="0" w:left="0" w:rightChars="0" w:right="0" w:firstLineChars="0" w:firstLine="0"/>
        <w:contextualSpacing/>
        <w:jc w:val="center"/>
      </w:pPr>
      <w:rPr>
        <w:rFonts w:ascii="Helvetica Neue" w:hAnsi="Helvetica Neue" w:hint="default"/>
        <w:b/>
        <w:sz w:val="20"/>
        <w:szCs w:val="20"/>
      </w:rPr>
    </w:tblStylePr>
    <w:tblStylePr w:type="lastRow">
      <w:rPr>
        <w:i/>
        <w:iCs/>
      </w:rPr>
      <w:tblPr/>
      <w:tcPr>
        <w:tcBorders>
          <w:tl2br w:val="none" w:sz="0" w:space="0" w:color="auto"/>
          <w:tr2bl w:val="none" w:sz="0" w:space="0" w:color="auto"/>
        </w:tcBorders>
      </w:tcPr>
    </w:tblStylePr>
    <w:tblStylePr w:type="firstCol">
      <w:pPr>
        <w:wordWrap/>
        <w:spacing w:beforeLines="0" w:before="100" w:beforeAutospacing="1" w:afterLines="0" w:after="100" w:afterAutospacing="1" w:line="240" w:lineRule="auto"/>
        <w:ind w:leftChars="0" w:left="0" w:rightChars="0" w:right="0"/>
        <w:contextualSpacing/>
        <w:jc w:val="left"/>
      </w:pPr>
      <w:rPr>
        <w:rFonts w:ascii="Helvetica Neue" w:hAnsi="Helvetica Neue" w:hint="default"/>
        <w:sz w:val="20"/>
        <w:szCs w:val="20"/>
      </w:rPr>
    </w:tblStylePr>
    <w:tblStylePr w:type="lastCol">
      <w:pPr>
        <w:wordWrap/>
        <w:spacing w:beforeLines="0" w:before="100" w:beforeAutospacing="1" w:afterLines="0" w:after="100" w:afterAutospacing="1" w:line="240" w:lineRule="auto"/>
        <w:ind w:leftChars="0" w:left="0" w:rightChars="0" w:right="0" w:firstLineChars="0" w:firstLine="0"/>
        <w:contextualSpacing/>
      </w:pPr>
      <w:rPr>
        <w:rFonts w:ascii="Helvetica Neue" w:hAnsi="Helvetica Neue" w:hint="default"/>
        <w:i/>
        <w:iCs/>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cBorders>
      </w:tcPr>
    </w:tblStylePr>
  </w:style>
  <w:style w:type="table" w:styleId="TableGrid10">
    <w:name w:val="Table Grid 1"/>
    <w:basedOn w:val="TableNormal"/>
    <w:uiPriority w:val="99"/>
    <w:semiHidden/>
    <w:unhideWhenUsed/>
    <w:rsid w:val="007B088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MSACESParagraphChar">
    <w:name w:val="MSAC ES Paragraph Char"/>
    <w:basedOn w:val="DefaultParagraphFont"/>
    <w:link w:val="MSACESParagraph"/>
    <w:uiPriority w:val="1"/>
    <w:locked/>
    <w:rsid w:val="000B720C"/>
    <w:rPr>
      <w:rFonts w:ascii="Times New Roman" w:hAnsi="Times New Roman" w:cs="Times New Roman"/>
      <w:sz w:val="24"/>
    </w:rPr>
  </w:style>
  <w:style w:type="paragraph" w:customStyle="1" w:styleId="MSACESParagraph">
    <w:name w:val="MSAC ES Paragraph"/>
    <w:link w:val="MSACESParagraphChar"/>
    <w:uiPriority w:val="1"/>
    <w:qFormat/>
    <w:rsid w:val="000B720C"/>
    <w:pPr>
      <w:spacing w:after="240" w:line="240" w:lineRule="auto"/>
    </w:pPr>
    <w:rPr>
      <w:rFonts w:ascii="Times New Roman" w:hAnsi="Times New Roman" w:cs="Times New Roman"/>
      <w:sz w:val="24"/>
    </w:rPr>
  </w:style>
  <w:style w:type="paragraph" w:styleId="FootnoteText">
    <w:name w:val="footnote text"/>
    <w:basedOn w:val="Normal"/>
    <w:link w:val="FootnoteTextChar"/>
    <w:uiPriority w:val="99"/>
    <w:unhideWhenUsed/>
    <w:rsid w:val="00804632"/>
    <w:pPr>
      <w:spacing w:after="0" w:line="240" w:lineRule="auto"/>
    </w:pPr>
    <w:rPr>
      <w:rFonts w:asciiTheme="minorHAnsi" w:hAnsiTheme="minorHAnsi"/>
      <w:sz w:val="18"/>
      <w:szCs w:val="20"/>
    </w:rPr>
  </w:style>
  <w:style w:type="character" w:customStyle="1" w:styleId="FootnoteTextChar">
    <w:name w:val="Footnote Text Char"/>
    <w:basedOn w:val="DefaultParagraphFont"/>
    <w:link w:val="FootnoteText"/>
    <w:uiPriority w:val="99"/>
    <w:rsid w:val="00804632"/>
    <w:rPr>
      <w:sz w:val="18"/>
      <w:szCs w:val="20"/>
    </w:rPr>
  </w:style>
  <w:style w:type="character" w:styleId="FootnoteReference">
    <w:name w:val="footnote reference"/>
    <w:basedOn w:val="DefaultParagraphFont"/>
    <w:unhideWhenUsed/>
    <w:rsid w:val="00804632"/>
    <w:rPr>
      <w:vertAlign w:val="superscript"/>
    </w:rPr>
  </w:style>
  <w:style w:type="paragraph" w:customStyle="1" w:styleId="TableFigNoteHanging">
    <w:name w:val="TableFigNoteHanging"/>
    <w:basedOn w:val="TableFigNoteHangingLast"/>
    <w:qFormat/>
    <w:rsid w:val="00804632"/>
    <w:pPr>
      <w:spacing w:after="0"/>
      <w:contextualSpacing w:val="0"/>
    </w:pPr>
    <w:rPr>
      <w:rFonts w:asciiTheme="minorHAnsi" w:hAnsiTheme="minorHAnsi"/>
    </w:rPr>
  </w:style>
  <w:style w:type="table" w:customStyle="1" w:styleId="TableGrid2">
    <w:name w:val="Table Grid2"/>
    <w:basedOn w:val="TableNormal"/>
    <w:next w:val="TableGrid"/>
    <w:uiPriority w:val="59"/>
    <w:rsid w:val="00804632"/>
    <w:pPr>
      <w:spacing w:after="240" w:line="240" w:lineRule="auto"/>
      <w:ind w:left="720"/>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mmaryboxheading">
    <w:name w:val="Summary box heading"/>
    <w:basedOn w:val="Normal"/>
    <w:rsid w:val="00666A58"/>
    <w:pPr>
      <w:spacing w:after="100" w:afterAutospacing="1"/>
      <w:jc w:val="both"/>
    </w:pPr>
    <w:rPr>
      <w:rFonts w:ascii="Arial Narrow" w:eastAsia="Times New Roman" w:hAnsi="Arial Narrow" w:cs="Tahoma"/>
      <w:b/>
      <w:lang w:eastAsia="en-AU"/>
    </w:rPr>
  </w:style>
  <w:style w:type="paragraph" w:customStyle="1" w:styleId="TableText1">
    <w:name w:val="TableText"/>
    <w:basedOn w:val="Normal"/>
    <w:link w:val="TableTextChar1"/>
    <w:rsid w:val="001C2A48"/>
    <w:pPr>
      <w:keepNext/>
      <w:spacing w:before="40" w:after="40"/>
      <w:jc w:val="both"/>
    </w:pPr>
    <w:rPr>
      <w:rFonts w:ascii="Arial Narrow" w:eastAsia="Times New Roman" w:hAnsi="Arial Narrow" w:cs="Tahoma"/>
      <w:sz w:val="18"/>
      <w:lang w:eastAsia="en-AU"/>
    </w:rPr>
  </w:style>
  <w:style w:type="character" w:customStyle="1" w:styleId="TableTextChar1">
    <w:name w:val="TableText Char"/>
    <w:link w:val="TableText1"/>
    <w:rsid w:val="001C2A48"/>
    <w:rPr>
      <w:rFonts w:ascii="Arial Narrow" w:eastAsia="Times New Roman" w:hAnsi="Arial Narrow" w:cs="Tahoma"/>
      <w:sz w:val="18"/>
      <w:lang w:eastAsia="en-AU"/>
    </w:rPr>
  </w:style>
  <w:style w:type="paragraph" w:customStyle="1" w:styleId="References">
    <w:name w:val="References"/>
    <w:basedOn w:val="Normal"/>
    <w:rsid w:val="001C2A48"/>
    <w:pPr>
      <w:keepLines/>
      <w:spacing w:after="240" w:line="312" w:lineRule="auto"/>
      <w:ind w:left="1440" w:hanging="720"/>
    </w:pPr>
    <w:rPr>
      <w:rFonts w:ascii="Calibri" w:eastAsia="Times New Roman" w:hAnsi="Calibri" w:cs="Tahoma"/>
      <w:lang w:eastAsia="en-AU"/>
    </w:rPr>
  </w:style>
  <w:style w:type="paragraph" w:styleId="Title">
    <w:name w:val="Title"/>
    <w:basedOn w:val="Normal"/>
    <w:next w:val="Normal"/>
    <w:link w:val="TitleChar"/>
    <w:qFormat/>
    <w:rsid w:val="00772829"/>
    <w:pPr>
      <w:spacing w:before="480" w:after="240" w:line="240" w:lineRule="auto"/>
      <w:jc w:val="center"/>
    </w:pPr>
    <w:rPr>
      <w:rFonts w:ascii="Arial" w:eastAsia="Times New Roman" w:hAnsi="Arial" w:cs="Arial"/>
      <w:b/>
      <w:bCs/>
      <w:color w:val="000080"/>
      <w:sz w:val="36"/>
      <w:szCs w:val="36"/>
      <w:lang w:eastAsia="en-AU"/>
    </w:rPr>
  </w:style>
  <w:style w:type="character" w:customStyle="1" w:styleId="TitleChar">
    <w:name w:val="Title Char"/>
    <w:basedOn w:val="DefaultParagraphFont"/>
    <w:link w:val="Title"/>
    <w:rsid w:val="00772829"/>
    <w:rPr>
      <w:rFonts w:ascii="Arial" w:eastAsia="Times New Roman" w:hAnsi="Arial" w:cs="Arial"/>
      <w:b/>
      <w:bCs/>
      <w:color w:val="000080"/>
      <w:sz w:val="36"/>
      <w:szCs w:val="36"/>
      <w:lang w:eastAsia="en-AU"/>
    </w:rPr>
  </w:style>
  <w:style w:type="paragraph" w:styleId="Subtitle">
    <w:name w:val="Subtitle"/>
    <w:basedOn w:val="Normal"/>
    <w:next w:val="Normal"/>
    <w:link w:val="SubtitleChar"/>
    <w:qFormat/>
    <w:rsid w:val="00772829"/>
    <w:pPr>
      <w:spacing w:after="240" w:line="240" w:lineRule="auto"/>
      <w:jc w:val="center"/>
    </w:pPr>
    <w:rPr>
      <w:rFonts w:ascii="Arial" w:eastAsia="Times New Roman" w:hAnsi="Arial" w:cs="Arial"/>
      <w:b/>
      <w:bCs/>
      <w:i/>
      <w:color w:val="000080"/>
      <w:sz w:val="28"/>
      <w:szCs w:val="28"/>
      <w:lang w:eastAsia="en-AU"/>
    </w:rPr>
  </w:style>
  <w:style w:type="character" w:customStyle="1" w:styleId="SubtitleChar">
    <w:name w:val="Subtitle Char"/>
    <w:basedOn w:val="DefaultParagraphFont"/>
    <w:link w:val="Subtitle"/>
    <w:rsid w:val="00772829"/>
    <w:rPr>
      <w:rFonts w:ascii="Arial" w:eastAsia="Times New Roman" w:hAnsi="Arial" w:cs="Arial"/>
      <w:b/>
      <w:bCs/>
      <w:i/>
      <w:color w:val="000080"/>
      <w:sz w:val="28"/>
      <w:szCs w:val="28"/>
      <w:lang w:eastAsia="en-AU"/>
    </w:rPr>
  </w:style>
  <w:style w:type="paragraph" w:customStyle="1" w:styleId="ESHeading1">
    <w:name w:val="ES Heading1"/>
    <w:basedOn w:val="Heading2"/>
    <w:next w:val="Normal"/>
    <w:qFormat/>
    <w:rsid w:val="002C70CE"/>
    <w:pPr>
      <w:numPr>
        <w:ilvl w:val="0"/>
        <w:numId w:val="9"/>
      </w:numPr>
      <w:spacing w:before="240"/>
      <w:ind w:left="2154" w:hanging="357"/>
    </w:pPr>
  </w:style>
  <w:style w:type="paragraph" w:customStyle="1" w:styleId="NormalBeforeBullet">
    <w:name w:val="Normal Before Bullet"/>
    <w:basedOn w:val="Normal"/>
    <w:qFormat/>
    <w:rsid w:val="00091C59"/>
    <w:pPr>
      <w:keepNext/>
      <w:spacing w:after="120" w:line="240" w:lineRule="auto"/>
    </w:pPr>
    <w:rPr>
      <w:rFonts w:asciiTheme="minorHAnsi" w:hAnsiTheme="minorHAnsi"/>
    </w:rPr>
  </w:style>
  <w:style w:type="paragraph" w:customStyle="1" w:styleId="Dash">
    <w:name w:val="Dash"/>
    <w:basedOn w:val="Bullet"/>
    <w:qFormat/>
    <w:rsid w:val="00091C59"/>
    <w:pPr>
      <w:numPr>
        <w:numId w:val="10"/>
      </w:numPr>
      <w:spacing w:after="40"/>
      <w:ind w:left="714" w:hanging="357"/>
    </w:pPr>
  </w:style>
  <w:style w:type="paragraph" w:customStyle="1" w:styleId="Instructionaltext">
    <w:name w:val="Instructional text"/>
    <w:basedOn w:val="Normal"/>
    <w:link w:val="InstructionaltextChar"/>
    <w:qFormat/>
    <w:rsid w:val="00E436A2"/>
    <w:rPr>
      <w:color w:val="258221"/>
    </w:rPr>
  </w:style>
  <w:style w:type="character" w:customStyle="1" w:styleId="UnresolvedMention1">
    <w:name w:val="Unresolved Mention1"/>
    <w:basedOn w:val="DefaultParagraphFont"/>
    <w:uiPriority w:val="99"/>
    <w:semiHidden/>
    <w:unhideWhenUsed/>
    <w:rsid w:val="00997BA8"/>
    <w:rPr>
      <w:color w:val="605E5C"/>
      <w:shd w:val="clear" w:color="auto" w:fill="E1DFDD"/>
    </w:rPr>
  </w:style>
  <w:style w:type="character" w:customStyle="1" w:styleId="InstructionaltextChar">
    <w:name w:val="Instructional text Char"/>
    <w:basedOn w:val="DefaultParagraphFont"/>
    <w:link w:val="Instructionaltext"/>
    <w:rsid w:val="00DF39E9"/>
    <w:rPr>
      <w:rFonts w:ascii="Franklin Gothic Book" w:hAnsi="Franklin Gothic Book"/>
      <w:color w:val="258221"/>
    </w:rPr>
  </w:style>
  <w:style w:type="paragraph" w:customStyle="1" w:styleId="Instructionaltext-bullet">
    <w:name w:val="Instructional text - bullet"/>
    <w:basedOn w:val="Instructionaltext"/>
    <w:qFormat/>
    <w:rsid w:val="002463A6"/>
    <w:pPr>
      <w:numPr>
        <w:numId w:val="11"/>
      </w:numPr>
      <w:spacing w:before="0" w:after="0"/>
      <w:ind w:left="714" w:hanging="357"/>
    </w:pPr>
  </w:style>
  <w:style w:type="paragraph" w:customStyle="1" w:styleId="Instructionaltext-afterfiguretable">
    <w:name w:val="Instructional text - after figure/table"/>
    <w:basedOn w:val="Instructionaltext"/>
    <w:qFormat/>
    <w:rsid w:val="00B151CF"/>
    <w:pPr>
      <w:spacing w:before="360"/>
    </w:pPr>
  </w:style>
  <w:style w:type="paragraph" w:customStyle="1" w:styleId="Guidelinescross-ref">
    <w:name w:val="Guidelines cross-ref"/>
    <w:basedOn w:val="Normal"/>
    <w:qFormat/>
    <w:rsid w:val="005B7D6C"/>
    <w:pPr>
      <w:spacing w:before="240" w:after="240"/>
    </w:pPr>
    <w:rPr>
      <w:b/>
      <w:color w:val="0070C0"/>
      <w:sz w:val="24"/>
    </w:rPr>
  </w:style>
  <w:style w:type="paragraph" w:styleId="Revision">
    <w:name w:val="Revision"/>
    <w:hidden/>
    <w:uiPriority w:val="99"/>
    <w:semiHidden/>
    <w:rsid w:val="00610ABA"/>
    <w:pPr>
      <w:spacing w:after="0" w:line="240" w:lineRule="auto"/>
    </w:pPr>
    <w:rPr>
      <w:rFonts w:ascii="Franklin Gothic Book" w:hAnsi="Franklin Gothic Book"/>
    </w:rPr>
  </w:style>
  <w:style w:type="character" w:customStyle="1" w:styleId="UnresolvedMention2">
    <w:name w:val="Unresolved Mention2"/>
    <w:basedOn w:val="DefaultParagraphFont"/>
    <w:uiPriority w:val="99"/>
    <w:semiHidden/>
    <w:unhideWhenUsed/>
    <w:rsid w:val="00223664"/>
    <w:rPr>
      <w:color w:val="605E5C"/>
      <w:shd w:val="clear" w:color="auto" w:fill="E1DFDD"/>
    </w:rPr>
  </w:style>
  <w:style w:type="character" w:styleId="UnresolvedMention">
    <w:name w:val="Unresolved Mention"/>
    <w:basedOn w:val="DefaultParagraphFont"/>
    <w:uiPriority w:val="99"/>
    <w:unhideWhenUsed/>
    <w:rsid w:val="00D13865"/>
    <w:rPr>
      <w:color w:val="605E5C"/>
      <w:shd w:val="clear" w:color="auto" w:fill="E1DFDD"/>
    </w:rPr>
  </w:style>
  <w:style w:type="character" w:customStyle="1" w:styleId="apple-converted-space">
    <w:name w:val="apple-converted-space"/>
    <w:basedOn w:val="DefaultParagraphFont"/>
    <w:rsid w:val="00584DD4"/>
  </w:style>
  <w:style w:type="table" w:styleId="PlainTable2">
    <w:name w:val="Plain Table 2"/>
    <w:basedOn w:val="TableNormal"/>
    <w:uiPriority w:val="42"/>
    <w:rsid w:val="0075560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5Char">
    <w:name w:val="Heading 5 Char"/>
    <w:basedOn w:val="DefaultParagraphFont"/>
    <w:link w:val="Heading5"/>
    <w:uiPriority w:val="9"/>
    <w:rsid w:val="001A02F6"/>
    <w:rPr>
      <w:rFonts w:asciiTheme="majorHAnsi" w:eastAsiaTheme="majorEastAsia" w:hAnsiTheme="majorHAnsi" w:cstheme="majorBidi"/>
      <w:szCs w:val="24"/>
      <w:lang w:eastAsia="en-GB"/>
    </w:rPr>
  </w:style>
  <w:style w:type="character" w:customStyle="1" w:styleId="Heading6Char">
    <w:name w:val="Heading 6 Char"/>
    <w:basedOn w:val="DefaultParagraphFont"/>
    <w:link w:val="Heading6"/>
    <w:uiPriority w:val="9"/>
    <w:rsid w:val="00721CE2"/>
    <w:rPr>
      <w:rFonts w:asciiTheme="majorHAnsi" w:eastAsiaTheme="majorEastAsia" w:hAnsiTheme="majorHAnsi" w:cstheme="majorBidi"/>
      <w:color w:val="1F4D78" w:themeColor="accent1" w:themeShade="7F"/>
      <w:szCs w:val="24"/>
      <w:lang w:eastAsia="en-GB"/>
    </w:rPr>
  </w:style>
  <w:style w:type="paragraph" w:customStyle="1" w:styleId="SectionHeading">
    <w:name w:val="Section Heading"/>
    <w:basedOn w:val="Heading1"/>
    <w:link w:val="SectionHeadingChar"/>
    <w:qFormat/>
    <w:rsid w:val="00721CE2"/>
    <w:pPr>
      <w:numPr>
        <w:numId w:val="0"/>
      </w:numPr>
      <w:ind w:left="2127" w:hanging="2127"/>
    </w:pPr>
    <w:rPr>
      <w:rFonts w:cstheme="minorHAnsi"/>
      <w:sz w:val="36"/>
      <w:szCs w:val="24"/>
      <w:lang w:eastAsia="en-GB"/>
    </w:rPr>
  </w:style>
  <w:style w:type="character" w:customStyle="1" w:styleId="SectionHeadingChar">
    <w:name w:val="Section Heading Char"/>
    <w:basedOn w:val="Heading1Char"/>
    <w:link w:val="SectionHeading"/>
    <w:rsid w:val="00721CE2"/>
    <w:rPr>
      <w:rFonts w:ascii="Franklin Gothic Medium" w:eastAsiaTheme="majorEastAsia" w:hAnsi="Franklin Gothic Medium" w:cstheme="minorHAnsi"/>
      <w:sz w:val="36"/>
      <w:szCs w:val="24"/>
      <w:lang w:eastAsia="en-GB"/>
    </w:rPr>
  </w:style>
  <w:style w:type="paragraph" w:customStyle="1" w:styleId="EndNoteBibliographyTitle">
    <w:name w:val="EndNote Bibliography Title"/>
    <w:basedOn w:val="Normal"/>
    <w:link w:val="EndNoteBibliographyTitleChar"/>
    <w:rsid w:val="00721CE2"/>
    <w:pPr>
      <w:spacing w:before="0" w:after="0" w:line="240" w:lineRule="auto"/>
      <w:jc w:val="center"/>
    </w:pPr>
    <w:rPr>
      <w:rFonts w:eastAsia="Times New Roman" w:cs="Calibri"/>
      <w:szCs w:val="24"/>
      <w:lang w:val="en-US" w:eastAsia="en-GB"/>
    </w:rPr>
  </w:style>
  <w:style w:type="character" w:customStyle="1" w:styleId="EndNoteBibliographyTitleChar">
    <w:name w:val="EndNote Bibliography Title Char"/>
    <w:basedOn w:val="DefaultParagraphFont"/>
    <w:link w:val="EndNoteBibliographyTitle"/>
    <w:rsid w:val="00721CE2"/>
    <w:rPr>
      <w:rFonts w:ascii="Franklin Gothic Book" w:eastAsia="Times New Roman" w:hAnsi="Franklin Gothic Book" w:cs="Calibri"/>
      <w:szCs w:val="24"/>
      <w:lang w:val="en-US" w:eastAsia="en-GB"/>
    </w:rPr>
  </w:style>
  <w:style w:type="paragraph" w:customStyle="1" w:styleId="EndNoteBibliography">
    <w:name w:val="EndNote Bibliography"/>
    <w:basedOn w:val="Normal"/>
    <w:link w:val="EndNoteBibliographyChar"/>
    <w:rsid w:val="00721CE2"/>
    <w:pPr>
      <w:spacing w:before="0" w:after="0" w:line="240" w:lineRule="auto"/>
    </w:pPr>
    <w:rPr>
      <w:rFonts w:eastAsia="Times New Roman" w:cs="Calibri"/>
      <w:szCs w:val="24"/>
      <w:lang w:val="en-US" w:eastAsia="en-GB"/>
    </w:rPr>
  </w:style>
  <w:style w:type="character" w:customStyle="1" w:styleId="EndNoteBibliographyChar">
    <w:name w:val="EndNote Bibliography Char"/>
    <w:basedOn w:val="DefaultParagraphFont"/>
    <w:link w:val="EndNoteBibliography"/>
    <w:rsid w:val="00721CE2"/>
    <w:rPr>
      <w:rFonts w:ascii="Franklin Gothic Book" w:eastAsia="Times New Roman" w:hAnsi="Franklin Gothic Book" w:cs="Calibri"/>
      <w:szCs w:val="24"/>
      <w:lang w:val="en-US" w:eastAsia="en-GB"/>
    </w:rPr>
  </w:style>
  <w:style w:type="paragraph" w:styleId="NormalWeb">
    <w:name w:val="Normal (Web)"/>
    <w:basedOn w:val="Normal"/>
    <w:uiPriority w:val="99"/>
    <w:unhideWhenUsed/>
    <w:rsid w:val="00721CE2"/>
    <w:pPr>
      <w:spacing w:before="0" w:after="0" w:line="240" w:lineRule="auto"/>
    </w:pPr>
    <w:rPr>
      <w:rFonts w:ascii="Times New Roman" w:eastAsia="Times New Roman" w:hAnsi="Times New Roman" w:cs="Times New Roman"/>
      <w:sz w:val="24"/>
      <w:szCs w:val="24"/>
      <w:lang w:eastAsia="en-GB"/>
    </w:rPr>
  </w:style>
  <w:style w:type="character" w:customStyle="1" w:styleId="sr-only">
    <w:name w:val="sr-only"/>
    <w:basedOn w:val="DefaultParagraphFont"/>
    <w:rsid w:val="00721CE2"/>
  </w:style>
  <w:style w:type="paragraph" w:customStyle="1" w:styleId="headinganchor">
    <w:name w:val="headinganchor"/>
    <w:basedOn w:val="Normal"/>
    <w:rsid w:val="00721CE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3">
    <w:name w:val="h3"/>
    <w:basedOn w:val="DefaultParagraphFont"/>
    <w:rsid w:val="00721CE2"/>
  </w:style>
  <w:style w:type="character" w:customStyle="1" w:styleId="headingendmark">
    <w:name w:val="headingendmark"/>
    <w:basedOn w:val="DefaultParagraphFont"/>
    <w:rsid w:val="00721CE2"/>
  </w:style>
  <w:style w:type="paragraph" w:customStyle="1" w:styleId="bulletindent1">
    <w:name w:val="bulletindent1"/>
    <w:basedOn w:val="Normal"/>
    <w:rsid w:val="00721CE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glyph">
    <w:name w:val="glyph"/>
    <w:basedOn w:val="DefaultParagraphFont"/>
    <w:rsid w:val="00721CE2"/>
  </w:style>
  <w:style w:type="paragraph" w:customStyle="1" w:styleId="bulletindent2">
    <w:name w:val="bulletindent2"/>
    <w:basedOn w:val="Normal"/>
    <w:rsid w:val="00721CE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2">
    <w:name w:val="h2"/>
    <w:basedOn w:val="DefaultParagraphFont"/>
    <w:rsid w:val="00721CE2"/>
  </w:style>
  <w:style w:type="character" w:customStyle="1" w:styleId="h1">
    <w:name w:val="h1"/>
    <w:basedOn w:val="DefaultParagraphFont"/>
    <w:rsid w:val="00721CE2"/>
  </w:style>
  <w:style w:type="paragraph" w:customStyle="1" w:styleId="tabletext2">
    <w:name w:val="tabletext"/>
    <w:basedOn w:val="Normal"/>
    <w:rsid w:val="00721CE2"/>
    <w:pPr>
      <w:spacing w:before="100" w:beforeAutospacing="1" w:after="100" w:afterAutospacing="1" w:line="240" w:lineRule="auto"/>
    </w:pPr>
    <w:rPr>
      <w:rFonts w:ascii="Times New Roman" w:eastAsia="Times New Roman" w:hAnsi="Times New Roman" w:cs="Times New Roman"/>
      <w:sz w:val="24"/>
      <w:szCs w:val="24"/>
      <w:lang w:eastAsia="en-GB"/>
    </w:rPr>
  </w:style>
  <w:style w:type="table" w:customStyle="1" w:styleId="HealthConsult1">
    <w:name w:val="HealthConsult1"/>
    <w:basedOn w:val="TableNormal"/>
    <w:next w:val="TableGrid"/>
    <w:uiPriority w:val="59"/>
    <w:rsid w:val="00721C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1">
    <w:name w:val="body1"/>
    <w:basedOn w:val="Normal"/>
    <w:rsid w:val="00721CE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PlaceholderText">
    <w:name w:val="Placeholder Text"/>
    <w:basedOn w:val="DefaultParagraphFont"/>
    <w:uiPriority w:val="99"/>
    <w:semiHidden/>
    <w:rsid w:val="00721CE2"/>
    <w:rPr>
      <w:color w:val="808080"/>
    </w:rPr>
  </w:style>
  <w:style w:type="character" w:customStyle="1" w:styleId="article-headerdoi">
    <w:name w:val="article-header__doi"/>
    <w:basedOn w:val="DefaultParagraphFont"/>
    <w:rsid w:val="00721CE2"/>
  </w:style>
  <w:style w:type="paragraph" w:styleId="EndnoteText">
    <w:name w:val="endnote text"/>
    <w:basedOn w:val="Normal"/>
    <w:link w:val="EndnoteTextChar"/>
    <w:uiPriority w:val="99"/>
    <w:semiHidden/>
    <w:unhideWhenUsed/>
    <w:rsid w:val="008C591B"/>
    <w:pPr>
      <w:spacing w:before="0" w:after="0" w:line="240" w:lineRule="auto"/>
    </w:pPr>
    <w:rPr>
      <w:sz w:val="20"/>
      <w:szCs w:val="20"/>
    </w:rPr>
  </w:style>
  <w:style w:type="character" w:customStyle="1" w:styleId="5BodytextChar">
    <w:name w:val="5. Body text Char"/>
    <w:basedOn w:val="DefaultParagraphFont"/>
    <w:link w:val="5Bodytext"/>
    <w:locked/>
    <w:rsid w:val="00E60622"/>
    <w:rPr>
      <w:rFonts w:ascii="Tms Rmn" w:eastAsia="Times New Roman" w:hAnsi="Tms Rmn" w:cs="Times New Roman"/>
      <w:sz w:val="24"/>
      <w:szCs w:val="24"/>
      <w:lang w:eastAsia="en-AU"/>
    </w:rPr>
  </w:style>
  <w:style w:type="paragraph" w:customStyle="1" w:styleId="5Bodytext">
    <w:name w:val="5. Body text"/>
    <w:basedOn w:val="ListParagraph"/>
    <w:link w:val="5BodytextChar"/>
    <w:qFormat/>
    <w:rsid w:val="00E60622"/>
    <w:pPr>
      <w:autoSpaceDE w:val="0"/>
      <w:autoSpaceDN w:val="0"/>
      <w:adjustRightInd w:val="0"/>
      <w:spacing w:before="0" w:after="240" w:line="240" w:lineRule="auto"/>
      <w:ind w:left="0"/>
      <w:contextualSpacing w:val="0"/>
    </w:pPr>
    <w:rPr>
      <w:rFonts w:ascii="Tms Rmn" w:eastAsia="Times New Roman" w:hAnsi="Tms Rmn" w:cs="Times New Roman"/>
      <w:sz w:val="24"/>
      <w:szCs w:val="24"/>
      <w:lang w:eastAsia="en-AU"/>
    </w:rPr>
  </w:style>
  <w:style w:type="table" w:styleId="GridTable1Light">
    <w:name w:val="Grid Table 1 Light"/>
    <w:basedOn w:val="TableNormal"/>
    <w:uiPriority w:val="46"/>
    <w:rsid w:val="00AA6FB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EndnoteTextChar">
    <w:name w:val="Endnote Text Char"/>
    <w:basedOn w:val="DefaultParagraphFont"/>
    <w:link w:val="EndnoteText"/>
    <w:uiPriority w:val="99"/>
    <w:semiHidden/>
    <w:rsid w:val="008C591B"/>
    <w:rPr>
      <w:rFonts w:ascii="Franklin Gothic Book" w:hAnsi="Franklin Gothic Book"/>
      <w:sz w:val="20"/>
      <w:szCs w:val="20"/>
    </w:rPr>
  </w:style>
  <w:style w:type="character" w:styleId="EndnoteReference">
    <w:name w:val="endnote reference"/>
    <w:basedOn w:val="DefaultParagraphFont"/>
    <w:uiPriority w:val="99"/>
    <w:semiHidden/>
    <w:unhideWhenUsed/>
    <w:rsid w:val="008C591B"/>
    <w:rPr>
      <w:vertAlign w:val="superscript"/>
    </w:rPr>
  </w:style>
  <w:style w:type="character" w:styleId="Mention">
    <w:name w:val="Mention"/>
    <w:basedOn w:val="DefaultParagraphFont"/>
    <w:uiPriority w:val="99"/>
    <w:unhideWhenUsed/>
    <w:rsid w:val="00647FCD"/>
    <w:rPr>
      <w:color w:val="2B579A"/>
      <w:shd w:val="clear" w:color="auto" w:fill="E1DFDD"/>
    </w:rPr>
  </w:style>
  <w:style w:type="paragraph" w:customStyle="1" w:styleId="TableDash">
    <w:name w:val="TableDash"/>
    <w:basedOn w:val="TableText1"/>
    <w:rsid w:val="008F6BC2"/>
    <w:pPr>
      <w:numPr>
        <w:numId w:val="16"/>
      </w:numPr>
      <w:tabs>
        <w:tab w:val="clear" w:pos="216"/>
        <w:tab w:val="num" w:pos="432"/>
      </w:tabs>
      <w:spacing w:before="60" w:after="60" w:line="240" w:lineRule="auto"/>
      <w:jc w:val="left"/>
    </w:pPr>
    <w:rPr>
      <w:rFonts w:ascii="Franklin Gothic Book" w:hAnsi="Franklin Gothic Book" w:cs="Times New Roman"/>
      <w:color w:val="000000"/>
      <w:sz w:val="21"/>
      <w:szCs w:val="21"/>
    </w:rPr>
  </w:style>
  <w:style w:type="paragraph" w:customStyle="1" w:styleId="BulletBeforeDash">
    <w:name w:val="BulletBeforeDash"/>
    <w:basedOn w:val="Normal"/>
    <w:rsid w:val="008F6BC2"/>
    <w:pPr>
      <w:numPr>
        <w:numId w:val="17"/>
      </w:numPr>
      <w:spacing w:before="0" w:after="0" w:line="240" w:lineRule="auto"/>
    </w:pPr>
    <w:rPr>
      <w:rFonts w:eastAsia="Times New Roman" w:cs="Times New Roman"/>
      <w:color w:val="000000"/>
      <w:szCs w:val="20"/>
      <w:lang w:eastAsia="en-AU"/>
    </w:rPr>
  </w:style>
  <w:style w:type="paragraph" w:customStyle="1" w:styleId="BulletLast">
    <w:name w:val="BulletLast"/>
    <w:basedOn w:val="Bullet"/>
    <w:qFormat/>
    <w:rsid w:val="008F6BC2"/>
    <w:pPr>
      <w:tabs>
        <w:tab w:val="num" w:pos="360"/>
      </w:tabs>
      <w:spacing w:before="0" w:after="240"/>
      <w:ind w:left="360"/>
    </w:pPr>
    <w:rPr>
      <w:rFonts w:ascii="Franklin Gothic Book" w:eastAsia="Times New Roman" w:hAnsi="Franklin Gothic Book" w:cs="Times New Roman"/>
      <w:color w:val="000000"/>
      <w:szCs w:val="20"/>
      <w:lang w:eastAsia="en-AU"/>
    </w:rPr>
  </w:style>
  <w:style w:type="paragraph" w:customStyle="1" w:styleId="NormalBeforeBullet0">
    <w:name w:val="NormalBeforeBullet"/>
    <w:basedOn w:val="Normal"/>
    <w:qFormat/>
    <w:rsid w:val="008F6BC2"/>
    <w:pPr>
      <w:keepNext/>
      <w:spacing w:before="0" w:after="120" w:line="240" w:lineRule="auto"/>
    </w:pPr>
    <w:rPr>
      <w:rFonts w:eastAsia="Times New Roman" w:cs="Times New Roman"/>
      <w:color w:val="000000"/>
      <w:szCs w:val="20"/>
      <w:lang w:eastAsia="en-AU"/>
    </w:rPr>
  </w:style>
  <w:style w:type="paragraph" w:customStyle="1" w:styleId="BoxName0">
    <w:name w:val="BoxName"/>
    <w:basedOn w:val="Normal"/>
    <w:rsid w:val="008F6BC2"/>
    <w:pPr>
      <w:keepNext/>
      <w:pBdr>
        <w:top w:val="single" w:sz="4" w:space="4" w:color="000000"/>
        <w:left w:val="single" w:sz="4" w:space="4" w:color="000000"/>
        <w:bottom w:val="single" w:sz="4" w:space="4" w:color="000000"/>
        <w:right w:val="single" w:sz="4" w:space="4" w:color="000000"/>
      </w:pBdr>
      <w:spacing w:before="240" w:after="240" w:line="240" w:lineRule="auto"/>
      <w:ind w:left="1077" w:hanging="1077"/>
    </w:pPr>
    <w:rPr>
      <w:rFonts w:eastAsia="Times New Roman" w:cs="Times New Roman"/>
      <w:b/>
      <w:bCs/>
      <w:color w:val="000000"/>
      <w:sz w:val="24"/>
      <w:szCs w:val="20"/>
      <w:lang w:eastAsia="en-AU"/>
    </w:rPr>
  </w:style>
  <w:style w:type="paragraph" w:customStyle="1" w:styleId="BoxHeading">
    <w:name w:val="BoxHeading"/>
    <w:basedOn w:val="Normal"/>
    <w:rsid w:val="008F6BC2"/>
    <w:pPr>
      <w:keepNext/>
      <w:pBdr>
        <w:top w:val="single" w:sz="4" w:space="4" w:color="000000"/>
        <w:left w:val="single" w:sz="4" w:space="4" w:color="000000"/>
        <w:bottom w:val="single" w:sz="4" w:space="4" w:color="000000"/>
        <w:right w:val="single" w:sz="4" w:space="4" w:color="000000"/>
      </w:pBdr>
      <w:spacing w:after="60" w:line="240" w:lineRule="auto"/>
    </w:pPr>
    <w:rPr>
      <w:rFonts w:eastAsia="Times New Roman" w:cs="Times New Roman"/>
      <w:b/>
      <w:bCs/>
      <w:color w:val="000000"/>
      <w:szCs w:val="20"/>
      <w:lang w:eastAsia="en-AU"/>
    </w:rPr>
  </w:style>
  <w:style w:type="paragraph" w:customStyle="1" w:styleId="BoxBullet">
    <w:name w:val="BoxBullet"/>
    <w:basedOn w:val="Normal"/>
    <w:rsid w:val="008F6BC2"/>
    <w:pPr>
      <w:numPr>
        <w:numId w:val="18"/>
      </w:numPr>
      <w:pBdr>
        <w:top w:val="single" w:sz="4" w:space="4" w:color="000000"/>
        <w:left w:val="single" w:sz="4" w:space="4" w:color="000000"/>
        <w:bottom w:val="single" w:sz="4" w:space="4" w:color="000000"/>
        <w:right w:val="single" w:sz="4" w:space="4" w:color="000000"/>
      </w:pBdr>
      <w:spacing w:before="0" w:after="120" w:line="240" w:lineRule="auto"/>
    </w:pPr>
    <w:rPr>
      <w:rFonts w:eastAsia="Times New Roman" w:cs="Times New Roman"/>
      <w:color w:val="000000"/>
      <w:szCs w:val="20"/>
      <w:lang w:eastAsia="en-AU"/>
    </w:rPr>
  </w:style>
  <w:style w:type="paragraph" w:customStyle="1" w:styleId="TableHeadingCA0">
    <w:name w:val="TableHeadingCA"/>
    <w:basedOn w:val="TableHeading"/>
    <w:rsid w:val="008F6BC2"/>
    <w:pPr>
      <w:spacing w:before="60"/>
      <w:jc w:val="center"/>
    </w:pPr>
    <w:rPr>
      <w:rFonts w:ascii="Franklin Gothic Book" w:eastAsia="Times New Roman" w:hAnsi="Franklin Gothic Book" w:cs="Times New Roman"/>
      <w:bCs/>
      <w:color w:val="000000"/>
      <w:sz w:val="21"/>
      <w:szCs w:val="21"/>
      <w:lang w:eastAsia="en-AU"/>
    </w:rPr>
  </w:style>
  <w:style w:type="paragraph" w:customStyle="1" w:styleId="TableTextDecimalAlign">
    <w:name w:val="TableTextDecimalAlign"/>
    <w:basedOn w:val="TableText1"/>
    <w:rsid w:val="008F6BC2"/>
    <w:pPr>
      <w:tabs>
        <w:tab w:val="decimal" w:pos="1119"/>
      </w:tabs>
      <w:spacing w:before="60" w:after="60" w:line="240" w:lineRule="auto"/>
      <w:jc w:val="left"/>
    </w:pPr>
    <w:rPr>
      <w:rFonts w:ascii="Franklin Gothic Book" w:hAnsi="Franklin Gothic Book" w:cs="Times New Roman"/>
      <w:color w:val="000000"/>
      <w:sz w:val="21"/>
      <w:szCs w:val="21"/>
    </w:rPr>
  </w:style>
  <w:style w:type="paragraph" w:styleId="BodyText">
    <w:name w:val="Body Text"/>
    <w:basedOn w:val="Normal"/>
    <w:link w:val="BodyTextChar"/>
    <w:rsid w:val="00CB2E78"/>
    <w:pPr>
      <w:widowControl w:val="0"/>
      <w:spacing w:after="0" w:line="240" w:lineRule="auto"/>
      <w:jc w:val="both"/>
    </w:pPr>
    <w:rPr>
      <w:rFonts w:ascii="Book Antiqua" w:eastAsia="Times New Roman" w:hAnsi="Book Antiqua" w:cs="Times New Roman"/>
      <w:sz w:val="24"/>
      <w:szCs w:val="20"/>
    </w:rPr>
  </w:style>
  <w:style w:type="character" w:customStyle="1" w:styleId="BodyTextChar">
    <w:name w:val="Body Text Char"/>
    <w:basedOn w:val="DefaultParagraphFont"/>
    <w:link w:val="BodyText"/>
    <w:rsid w:val="00CB2E78"/>
    <w:rPr>
      <w:rFonts w:ascii="Book Antiqua" w:eastAsia="Times New Roman" w:hAnsi="Book Antiqua" w:cs="Times New Roman"/>
      <w:sz w:val="24"/>
      <w:szCs w:val="20"/>
    </w:rPr>
  </w:style>
  <w:style w:type="character" w:customStyle="1" w:styleId="normaltextrun">
    <w:name w:val="normaltextrun"/>
    <w:basedOn w:val="DefaultParagraphFont"/>
    <w:rsid w:val="00681A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65403">
      <w:bodyDiv w:val="1"/>
      <w:marLeft w:val="0"/>
      <w:marRight w:val="0"/>
      <w:marTop w:val="0"/>
      <w:marBottom w:val="0"/>
      <w:divBdr>
        <w:top w:val="none" w:sz="0" w:space="0" w:color="auto"/>
        <w:left w:val="none" w:sz="0" w:space="0" w:color="auto"/>
        <w:bottom w:val="none" w:sz="0" w:space="0" w:color="auto"/>
        <w:right w:val="none" w:sz="0" w:space="0" w:color="auto"/>
      </w:divBdr>
    </w:div>
    <w:div w:id="74130392">
      <w:bodyDiv w:val="1"/>
      <w:marLeft w:val="0"/>
      <w:marRight w:val="0"/>
      <w:marTop w:val="0"/>
      <w:marBottom w:val="0"/>
      <w:divBdr>
        <w:top w:val="none" w:sz="0" w:space="0" w:color="auto"/>
        <w:left w:val="none" w:sz="0" w:space="0" w:color="auto"/>
        <w:bottom w:val="none" w:sz="0" w:space="0" w:color="auto"/>
        <w:right w:val="none" w:sz="0" w:space="0" w:color="auto"/>
      </w:divBdr>
    </w:div>
    <w:div w:id="77531366">
      <w:bodyDiv w:val="1"/>
      <w:marLeft w:val="0"/>
      <w:marRight w:val="0"/>
      <w:marTop w:val="0"/>
      <w:marBottom w:val="0"/>
      <w:divBdr>
        <w:top w:val="none" w:sz="0" w:space="0" w:color="auto"/>
        <w:left w:val="none" w:sz="0" w:space="0" w:color="auto"/>
        <w:bottom w:val="none" w:sz="0" w:space="0" w:color="auto"/>
        <w:right w:val="none" w:sz="0" w:space="0" w:color="auto"/>
      </w:divBdr>
    </w:div>
    <w:div w:id="88355982">
      <w:bodyDiv w:val="1"/>
      <w:marLeft w:val="0"/>
      <w:marRight w:val="0"/>
      <w:marTop w:val="0"/>
      <w:marBottom w:val="0"/>
      <w:divBdr>
        <w:top w:val="none" w:sz="0" w:space="0" w:color="auto"/>
        <w:left w:val="none" w:sz="0" w:space="0" w:color="auto"/>
        <w:bottom w:val="none" w:sz="0" w:space="0" w:color="auto"/>
        <w:right w:val="none" w:sz="0" w:space="0" w:color="auto"/>
      </w:divBdr>
      <w:divsChild>
        <w:div w:id="124585954">
          <w:marLeft w:val="0"/>
          <w:marRight w:val="0"/>
          <w:marTop w:val="0"/>
          <w:marBottom w:val="0"/>
          <w:divBdr>
            <w:top w:val="none" w:sz="0" w:space="0" w:color="auto"/>
            <w:left w:val="none" w:sz="0" w:space="0" w:color="auto"/>
            <w:bottom w:val="none" w:sz="0" w:space="0" w:color="auto"/>
            <w:right w:val="none" w:sz="0" w:space="0" w:color="auto"/>
          </w:divBdr>
          <w:divsChild>
            <w:div w:id="612321342">
              <w:marLeft w:val="0"/>
              <w:marRight w:val="0"/>
              <w:marTop w:val="0"/>
              <w:marBottom w:val="0"/>
              <w:divBdr>
                <w:top w:val="none" w:sz="0" w:space="0" w:color="auto"/>
                <w:left w:val="none" w:sz="0" w:space="0" w:color="auto"/>
                <w:bottom w:val="none" w:sz="0" w:space="0" w:color="auto"/>
                <w:right w:val="none" w:sz="0" w:space="0" w:color="auto"/>
              </w:divBdr>
              <w:divsChild>
                <w:div w:id="110888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23228">
      <w:bodyDiv w:val="1"/>
      <w:marLeft w:val="0"/>
      <w:marRight w:val="0"/>
      <w:marTop w:val="0"/>
      <w:marBottom w:val="0"/>
      <w:divBdr>
        <w:top w:val="none" w:sz="0" w:space="0" w:color="auto"/>
        <w:left w:val="none" w:sz="0" w:space="0" w:color="auto"/>
        <w:bottom w:val="none" w:sz="0" w:space="0" w:color="auto"/>
        <w:right w:val="none" w:sz="0" w:space="0" w:color="auto"/>
      </w:divBdr>
      <w:divsChild>
        <w:div w:id="509493313">
          <w:marLeft w:val="0"/>
          <w:marRight w:val="0"/>
          <w:marTop w:val="0"/>
          <w:marBottom w:val="0"/>
          <w:divBdr>
            <w:top w:val="none" w:sz="0" w:space="0" w:color="auto"/>
            <w:left w:val="none" w:sz="0" w:space="0" w:color="auto"/>
            <w:bottom w:val="none" w:sz="0" w:space="0" w:color="auto"/>
            <w:right w:val="none" w:sz="0" w:space="0" w:color="auto"/>
          </w:divBdr>
          <w:divsChild>
            <w:div w:id="1623920428">
              <w:marLeft w:val="0"/>
              <w:marRight w:val="0"/>
              <w:marTop w:val="0"/>
              <w:marBottom w:val="0"/>
              <w:divBdr>
                <w:top w:val="none" w:sz="0" w:space="0" w:color="auto"/>
                <w:left w:val="none" w:sz="0" w:space="0" w:color="auto"/>
                <w:bottom w:val="none" w:sz="0" w:space="0" w:color="auto"/>
                <w:right w:val="none" w:sz="0" w:space="0" w:color="auto"/>
              </w:divBdr>
              <w:divsChild>
                <w:div w:id="12081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98036">
      <w:bodyDiv w:val="1"/>
      <w:marLeft w:val="0"/>
      <w:marRight w:val="0"/>
      <w:marTop w:val="0"/>
      <w:marBottom w:val="0"/>
      <w:divBdr>
        <w:top w:val="none" w:sz="0" w:space="0" w:color="auto"/>
        <w:left w:val="none" w:sz="0" w:space="0" w:color="auto"/>
        <w:bottom w:val="none" w:sz="0" w:space="0" w:color="auto"/>
        <w:right w:val="none" w:sz="0" w:space="0" w:color="auto"/>
      </w:divBdr>
    </w:div>
    <w:div w:id="184029289">
      <w:bodyDiv w:val="1"/>
      <w:marLeft w:val="0"/>
      <w:marRight w:val="0"/>
      <w:marTop w:val="0"/>
      <w:marBottom w:val="0"/>
      <w:divBdr>
        <w:top w:val="none" w:sz="0" w:space="0" w:color="auto"/>
        <w:left w:val="none" w:sz="0" w:space="0" w:color="auto"/>
        <w:bottom w:val="none" w:sz="0" w:space="0" w:color="auto"/>
        <w:right w:val="none" w:sz="0" w:space="0" w:color="auto"/>
      </w:divBdr>
    </w:div>
    <w:div w:id="206991689">
      <w:bodyDiv w:val="1"/>
      <w:marLeft w:val="0"/>
      <w:marRight w:val="0"/>
      <w:marTop w:val="0"/>
      <w:marBottom w:val="0"/>
      <w:divBdr>
        <w:top w:val="none" w:sz="0" w:space="0" w:color="auto"/>
        <w:left w:val="none" w:sz="0" w:space="0" w:color="auto"/>
        <w:bottom w:val="none" w:sz="0" w:space="0" w:color="auto"/>
        <w:right w:val="none" w:sz="0" w:space="0" w:color="auto"/>
      </w:divBdr>
    </w:div>
    <w:div w:id="240987840">
      <w:bodyDiv w:val="1"/>
      <w:marLeft w:val="0"/>
      <w:marRight w:val="0"/>
      <w:marTop w:val="0"/>
      <w:marBottom w:val="0"/>
      <w:divBdr>
        <w:top w:val="none" w:sz="0" w:space="0" w:color="auto"/>
        <w:left w:val="none" w:sz="0" w:space="0" w:color="auto"/>
        <w:bottom w:val="none" w:sz="0" w:space="0" w:color="auto"/>
        <w:right w:val="none" w:sz="0" w:space="0" w:color="auto"/>
      </w:divBdr>
    </w:div>
    <w:div w:id="243686333">
      <w:bodyDiv w:val="1"/>
      <w:marLeft w:val="0"/>
      <w:marRight w:val="0"/>
      <w:marTop w:val="0"/>
      <w:marBottom w:val="0"/>
      <w:divBdr>
        <w:top w:val="none" w:sz="0" w:space="0" w:color="auto"/>
        <w:left w:val="none" w:sz="0" w:space="0" w:color="auto"/>
        <w:bottom w:val="none" w:sz="0" w:space="0" w:color="auto"/>
        <w:right w:val="none" w:sz="0" w:space="0" w:color="auto"/>
      </w:divBdr>
    </w:div>
    <w:div w:id="259148225">
      <w:bodyDiv w:val="1"/>
      <w:marLeft w:val="0"/>
      <w:marRight w:val="0"/>
      <w:marTop w:val="0"/>
      <w:marBottom w:val="0"/>
      <w:divBdr>
        <w:top w:val="none" w:sz="0" w:space="0" w:color="auto"/>
        <w:left w:val="none" w:sz="0" w:space="0" w:color="auto"/>
        <w:bottom w:val="none" w:sz="0" w:space="0" w:color="auto"/>
        <w:right w:val="none" w:sz="0" w:space="0" w:color="auto"/>
      </w:divBdr>
    </w:div>
    <w:div w:id="286203948">
      <w:bodyDiv w:val="1"/>
      <w:marLeft w:val="0"/>
      <w:marRight w:val="0"/>
      <w:marTop w:val="0"/>
      <w:marBottom w:val="0"/>
      <w:divBdr>
        <w:top w:val="none" w:sz="0" w:space="0" w:color="auto"/>
        <w:left w:val="none" w:sz="0" w:space="0" w:color="auto"/>
        <w:bottom w:val="none" w:sz="0" w:space="0" w:color="auto"/>
        <w:right w:val="none" w:sz="0" w:space="0" w:color="auto"/>
      </w:divBdr>
      <w:divsChild>
        <w:div w:id="2073189313">
          <w:marLeft w:val="0"/>
          <w:marRight w:val="0"/>
          <w:marTop w:val="0"/>
          <w:marBottom w:val="0"/>
          <w:divBdr>
            <w:top w:val="none" w:sz="0" w:space="0" w:color="auto"/>
            <w:left w:val="none" w:sz="0" w:space="0" w:color="auto"/>
            <w:bottom w:val="none" w:sz="0" w:space="0" w:color="auto"/>
            <w:right w:val="none" w:sz="0" w:space="0" w:color="auto"/>
          </w:divBdr>
          <w:divsChild>
            <w:div w:id="656686684">
              <w:marLeft w:val="0"/>
              <w:marRight w:val="0"/>
              <w:marTop w:val="0"/>
              <w:marBottom w:val="0"/>
              <w:divBdr>
                <w:top w:val="none" w:sz="0" w:space="0" w:color="auto"/>
                <w:left w:val="none" w:sz="0" w:space="0" w:color="auto"/>
                <w:bottom w:val="none" w:sz="0" w:space="0" w:color="auto"/>
                <w:right w:val="none" w:sz="0" w:space="0" w:color="auto"/>
              </w:divBdr>
              <w:divsChild>
                <w:div w:id="503935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249859">
      <w:bodyDiv w:val="1"/>
      <w:marLeft w:val="0"/>
      <w:marRight w:val="0"/>
      <w:marTop w:val="0"/>
      <w:marBottom w:val="0"/>
      <w:divBdr>
        <w:top w:val="none" w:sz="0" w:space="0" w:color="auto"/>
        <w:left w:val="none" w:sz="0" w:space="0" w:color="auto"/>
        <w:bottom w:val="none" w:sz="0" w:space="0" w:color="auto"/>
        <w:right w:val="none" w:sz="0" w:space="0" w:color="auto"/>
      </w:divBdr>
    </w:div>
    <w:div w:id="388959748">
      <w:bodyDiv w:val="1"/>
      <w:marLeft w:val="0"/>
      <w:marRight w:val="0"/>
      <w:marTop w:val="0"/>
      <w:marBottom w:val="0"/>
      <w:divBdr>
        <w:top w:val="none" w:sz="0" w:space="0" w:color="auto"/>
        <w:left w:val="none" w:sz="0" w:space="0" w:color="auto"/>
        <w:bottom w:val="none" w:sz="0" w:space="0" w:color="auto"/>
        <w:right w:val="none" w:sz="0" w:space="0" w:color="auto"/>
      </w:divBdr>
    </w:div>
    <w:div w:id="393283070">
      <w:bodyDiv w:val="1"/>
      <w:marLeft w:val="0"/>
      <w:marRight w:val="0"/>
      <w:marTop w:val="0"/>
      <w:marBottom w:val="0"/>
      <w:divBdr>
        <w:top w:val="none" w:sz="0" w:space="0" w:color="auto"/>
        <w:left w:val="none" w:sz="0" w:space="0" w:color="auto"/>
        <w:bottom w:val="none" w:sz="0" w:space="0" w:color="auto"/>
        <w:right w:val="none" w:sz="0" w:space="0" w:color="auto"/>
      </w:divBdr>
    </w:div>
    <w:div w:id="414280912">
      <w:bodyDiv w:val="1"/>
      <w:marLeft w:val="0"/>
      <w:marRight w:val="0"/>
      <w:marTop w:val="0"/>
      <w:marBottom w:val="0"/>
      <w:divBdr>
        <w:top w:val="none" w:sz="0" w:space="0" w:color="auto"/>
        <w:left w:val="none" w:sz="0" w:space="0" w:color="auto"/>
        <w:bottom w:val="none" w:sz="0" w:space="0" w:color="auto"/>
        <w:right w:val="none" w:sz="0" w:space="0" w:color="auto"/>
      </w:divBdr>
    </w:div>
    <w:div w:id="425276192">
      <w:bodyDiv w:val="1"/>
      <w:marLeft w:val="0"/>
      <w:marRight w:val="0"/>
      <w:marTop w:val="0"/>
      <w:marBottom w:val="0"/>
      <w:divBdr>
        <w:top w:val="none" w:sz="0" w:space="0" w:color="auto"/>
        <w:left w:val="none" w:sz="0" w:space="0" w:color="auto"/>
        <w:bottom w:val="none" w:sz="0" w:space="0" w:color="auto"/>
        <w:right w:val="none" w:sz="0" w:space="0" w:color="auto"/>
      </w:divBdr>
    </w:div>
    <w:div w:id="445393862">
      <w:bodyDiv w:val="1"/>
      <w:marLeft w:val="0"/>
      <w:marRight w:val="0"/>
      <w:marTop w:val="0"/>
      <w:marBottom w:val="0"/>
      <w:divBdr>
        <w:top w:val="none" w:sz="0" w:space="0" w:color="auto"/>
        <w:left w:val="none" w:sz="0" w:space="0" w:color="auto"/>
        <w:bottom w:val="none" w:sz="0" w:space="0" w:color="auto"/>
        <w:right w:val="none" w:sz="0" w:space="0" w:color="auto"/>
      </w:divBdr>
    </w:div>
    <w:div w:id="490027857">
      <w:bodyDiv w:val="1"/>
      <w:marLeft w:val="0"/>
      <w:marRight w:val="0"/>
      <w:marTop w:val="0"/>
      <w:marBottom w:val="0"/>
      <w:divBdr>
        <w:top w:val="none" w:sz="0" w:space="0" w:color="auto"/>
        <w:left w:val="none" w:sz="0" w:space="0" w:color="auto"/>
        <w:bottom w:val="none" w:sz="0" w:space="0" w:color="auto"/>
        <w:right w:val="none" w:sz="0" w:space="0" w:color="auto"/>
      </w:divBdr>
    </w:div>
    <w:div w:id="497383534">
      <w:bodyDiv w:val="1"/>
      <w:marLeft w:val="0"/>
      <w:marRight w:val="0"/>
      <w:marTop w:val="0"/>
      <w:marBottom w:val="0"/>
      <w:divBdr>
        <w:top w:val="none" w:sz="0" w:space="0" w:color="auto"/>
        <w:left w:val="none" w:sz="0" w:space="0" w:color="auto"/>
        <w:bottom w:val="none" w:sz="0" w:space="0" w:color="auto"/>
        <w:right w:val="none" w:sz="0" w:space="0" w:color="auto"/>
      </w:divBdr>
    </w:div>
    <w:div w:id="547684622">
      <w:bodyDiv w:val="1"/>
      <w:marLeft w:val="0"/>
      <w:marRight w:val="0"/>
      <w:marTop w:val="0"/>
      <w:marBottom w:val="0"/>
      <w:divBdr>
        <w:top w:val="none" w:sz="0" w:space="0" w:color="auto"/>
        <w:left w:val="none" w:sz="0" w:space="0" w:color="auto"/>
        <w:bottom w:val="none" w:sz="0" w:space="0" w:color="auto"/>
        <w:right w:val="none" w:sz="0" w:space="0" w:color="auto"/>
      </w:divBdr>
    </w:div>
    <w:div w:id="553857340">
      <w:bodyDiv w:val="1"/>
      <w:marLeft w:val="0"/>
      <w:marRight w:val="0"/>
      <w:marTop w:val="0"/>
      <w:marBottom w:val="0"/>
      <w:divBdr>
        <w:top w:val="none" w:sz="0" w:space="0" w:color="auto"/>
        <w:left w:val="none" w:sz="0" w:space="0" w:color="auto"/>
        <w:bottom w:val="none" w:sz="0" w:space="0" w:color="auto"/>
        <w:right w:val="none" w:sz="0" w:space="0" w:color="auto"/>
      </w:divBdr>
    </w:div>
    <w:div w:id="562450881">
      <w:bodyDiv w:val="1"/>
      <w:marLeft w:val="0"/>
      <w:marRight w:val="0"/>
      <w:marTop w:val="0"/>
      <w:marBottom w:val="0"/>
      <w:divBdr>
        <w:top w:val="none" w:sz="0" w:space="0" w:color="auto"/>
        <w:left w:val="none" w:sz="0" w:space="0" w:color="auto"/>
        <w:bottom w:val="none" w:sz="0" w:space="0" w:color="auto"/>
        <w:right w:val="none" w:sz="0" w:space="0" w:color="auto"/>
      </w:divBdr>
    </w:div>
    <w:div w:id="580332928">
      <w:bodyDiv w:val="1"/>
      <w:marLeft w:val="0"/>
      <w:marRight w:val="0"/>
      <w:marTop w:val="0"/>
      <w:marBottom w:val="0"/>
      <w:divBdr>
        <w:top w:val="none" w:sz="0" w:space="0" w:color="auto"/>
        <w:left w:val="none" w:sz="0" w:space="0" w:color="auto"/>
        <w:bottom w:val="none" w:sz="0" w:space="0" w:color="auto"/>
        <w:right w:val="none" w:sz="0" w:space="0" w:color="auto"/>
      </w:divBdr>
      <w:divsChild>
        <w:div w:id="554859126">
          <w:marLeft w:val="0"/>
          <w:marRight w:val="0"/>
          <w:marTop w:val="0"/>
          <w:marBottom w:val="0"/>
          <w:divBdr>
            <w:top w:val="none" w:sz="0" w:space="0" w:color="auto"/>
            <w:left w:val="none" w:sz="0" w:space="0" w:color="auto"/>
            <w:bottom w:val="none" w:sz="0" w:space="0" w:color="auto"/>
            <w:right w:val="none" w:sz="0" w:space="0" w:color="auto"/>
          </w:divBdr>
          <w:divsChild>
            <w:div w:id="250893656">
              <w:marLeft w:val="0"/>
              <w:marRight w:val="0"/>
              <w:marTop w:val="0"/>
              <w:marBottom w:val="0"/>
              <w:divBdr>
                <w:top w:val="none" w:sz="0" w:space="0" w:color="auto"/>
                <w:left w:val="none" w:sz="0" w:space="0" w:color="auto"/>
                <w:bottom w:val="none" w:sz="0" w:space="0" w:color="auto"/>
                <w:right w:val="none" w:sz="0" w:space="0" w:color="auto"/>
              </w:divBdr>
              <w:divsChild>
                <w:div w:id="38944879">
                  <w:marLeft w:val="0"/>
                  <w:marRight w:val="0"/>
                  <w:marTop w:val="0"/>
                  <w:marBottom w:val="0"/>
                  <w:divBdr>
                    <w:top w:val="none" w:sz="0" w:space="0" w:color="auto"/>
                    <w:left w:val="none" w:sz="0" w:space="0" w:color="auto"/>
                    <w:bottom w:val="none" w:sz="0" w:space="0" w:color="auto"/>
                    <w:right w:val="none" w:sz="0" w:space="0" w:color="auto"/>
                  </w:divBdr>
                  <w:divsChild>
                    <w:div w:id="31263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3798868">
      <w:bodyDiv w:val="1"/>
      <w:marLeft w:val="0"/>
      <w:marRight w:val="0"/>
      <w:marTop w:val="0"/>
      <w:marBottom w:val="0"/>
      <w:divBdr>
        <w:top w:val="none" w:sz="0" w:space="0" w:color="auto"/>
        <w:left w:val="none" w:sz="0" w:space="0" w:color="auto"/>
        <w:bottom w:val="none" w:sz="0" w:space="0" w:color="auto"/>
        <w:right w:val="none" w:sz="0" w:space="0" w:color="auto"/>
      </w:divBdr>
    </w:div>
    <w:div w:id="650017405">
      <w:bodyDiv w:val="1"/>
      <w:marLeft w:val="0"/>
      <w:marRight w:val="0"/>
      <w:marTop w:val="0"/>
      <w:marBottom w:val="0"/>
      <w:divBdr>
        <w:top w:val="none" w:sz="0" w:space="0" w:color="auto"/>
        <w:left w:val="none" w:sz="0" w:space="0" w:color="auto"/>
        <w:bottom w:val="none" w:sz="0" w:space="0" w:color="auto"/>
        <w:right w:val="none" w:sz="0" w:space="0" w:color="auto"/>
      </w:divBdr>
    </w:div>
    <w:div w:id="678238532">
      <w:bodyDiv w:val="1"/>
      <w:marLeft w:val="0"/>
      <w:marRight w:val="0"/>
      <w:marTop w:val="0"/>
      <w:marBottom w:val="0"/>
      <w:divBdr>
        <w:top w:val="none" w:sz="0" w:space="0" w:color="auto"/>
        <w:left w:val="none" w:sz="0" w:space="0" w:color="auto"/>
        <w:bottom w:val="none" w:sz="0" w:space="0" w:color="auto"/>
        <w:right w:val="none" w:sz="0" w:space="0" w:color="auto"/>
      </w:divBdr>
      <w:divsChild>
        <w:div w:id="1150099556">
          <w:marLeft w:val="0"/>
          <w:marRight w:val="0"/>
          <w:marTop w:val="0"/>
          <w:marBottom w:val="0"/>
          <w:divBdr>
            <w:top w:val="none" w:sz="0" w:space="0" w:color="auto"/>
            <w:left w:val="none" w:sz="0" w:space="0" w:color="auto"/>
            <w:bottom w:val="none" w:sz="0" w:space="0" w:color="auto"/>
            <w:right w:val="none" w:sz="0" w:space="0" w:color="auto"/>
          </w:divBdr>
          <w:divsChild>
            <w:div w:id="56972756">
              <w:marLeft w:val="0"/>
              <w:marRight w:val="0"/>
              <w:marTop w:val="0"/>
              <w:marBottom w:val="0"/>
              <w:divBdr>
                <w:top w:val="none" w:sz="0" w:space="0" w:color="auto"/>
                <w:left w:val="none" w:sz="0" w:space="0" w:color="auto"/>
                <w:bottom w:val="none" w:sz="0" w:space="0" w:color="auto"/>
                <w:right w:val="none" w:sz="0" w:space="0" w:color="auto"/>
              </w:divBdr>
              <w:divsChild>
                <w:div w:id="558515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983588">
      <w:bodyDiv w:val="1"/>
      <w:marLeft w:val="0"/>
      <w:marRight w:val="0"/>
      <w:marTop w:val="0"/>
      <w:marBottom w:val="0"/>
      <w:divBdr>
        <w:top w:val="none" w:sz="0" w:space="0" w:color="auto"/>
        <w:left w:val="none" w:sz="0" w:space="0" w:color="auto"/>
        <w:bottom w:val="none" w:sz="0" w:space="0" w:color="auto"/>
        <w:right w:val="none" w:sz="0" w:space="0" w:color="auto"/>
      </w:divBdr>
      <w:divsChild>
        <w:div w:id="974870685">
          <w:marLeft w:val="0"/>
          <w:marRight w:val="0"/>
          <w:marTop w:val="0"/>
          <w:marBottom w:val="0"/>
          <w:divBdr>
            <w:top w:val="none" w:sz="0" w:space="0" w:color="auto"/>
            <w:left w:val="none" w:sz="0" w:space="0" w:color="auto"/>
            <w:bottom w:val="none" w:sz="0" w:space="0" w:color="auto"/>
            <w:right w:val="none" w:sz="0" w:space="0" w:color="auto"/>
          </w:divBdr>
          <w:divsChild>
            <w:div w:id="138498275">
              <w:marLeft w:val="0"/>
              <w:marRight w:val="0"/>
              <w:marTop w:val="0"/>
              <w:marBottom w:val="0"/>
              <w:divBdr>
                <w:top w:val="none" w:sz="0" w:space="0" w:color="auto"/>
                <w:left w:val="none" w:sz="0" w:space="0" w:color="auto"/>
                <w:bottom w:val="none" w:sz="0" w:space="0" w:color="auto"/>
                <w:right w:val="none" w:sz="0" w:space="0" w:color="auto"/>
              </w:divBdr>
              <w:divsChild>
                <w:div w:id="34571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204984">
      <w:bodyDiv w:val="1"/>
      <w:marLeft w:val="0"/>
      <w:marRight w:val="0"/>
      <w:marTop w:val="0"/>
      <w:marBottom w:val="0"/>
      <w:divBdr>
        <w:top w:val="none" w:sz="0" w:space="0" w:color="auto"/>
        <w:left w:val="none" w:sz="0" w:space="0" w:color="auto"/>
        <w:bottom w:val="none" w:sz="0" w:space="0" w:color="auto"/>
        <w:right w:val="none" w:sz="0" w:space="0" w:color="auto"/>
      </w:divBdr>
      <w:divsChild>
        <w:div w:id="1870290781">
          <w:marLeft w:val="0"/>
          <w:marRight w:val="0"/>
          <w:marTop w:val="0"/>
          <w:marBottom w:val="0"/>
          <w:divBdr>
            <w:top w:val="none" w:sz="0" w:space="0" w:color="auto"/>
            <w:left w:val="none" w:sz="0" w:space="0" w:color="auto"/>
            <w:bottom w:val="none" w:sz="0" w:space="0" w:color="auto"/>
            <w:right w:val="none" w:sz="0" w:space="0" w:color="auto"/>
          </w:divBdr>
          <w:divsChild>
            <w:div w:id="658116365">
              <w:marLeft w:val="0"/>
              <w:marRight w:val="0"/>
              <w:marTop w:val="0"/>
              <w:marBottom w:val="0"/>
              <w:divBdr>
                <w:top w:val="none" w:sz="0" w:space="0" w:color="auto"/>
                <w:left w:val="none" w:sz="0" w:space="0" w:color="auto"/>
                <w:bottom w:val="none" w:sz="0" w:space="0" w:color="auto"/>
                <w:right w:val="none" w:sz="0" w:space="0" w:color="auto"/>
              </w:divBdr>
              <w:divsChild>
                <w:div w:id="1372996333">
                  <w:marLeft w:val="0"/>
                  <w:marRight w:val="0"/>
                  <w:marTop w:val="0"/>
                  <w:marBottom w:val="0"/>
                  <w:divBdr>
                    <w:top w:val="none" w:sz="0" w:space="0" w:color="auto"/>
                    <w:left w:val="none" w:sz="0" w:space="0" w:color="auto"/>
                    <w:bottom w:val="none" w:sz="0" w:space="0" w:color="auto"/>
                    <w:right w:val="none" w:sz="0" w:space="0" w:color="auto"/>
                  </w:divBdr>
                  <w:divsChild>
                    <w:div w:id="181043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669662">
      <w:bodyDiv w:val="1"/>
      <w:marLeft w:val="0"/>
      <w:marRight w:val="0"/>
      <w:marTop w:val="0"/>
      <w:marBottom w:val="0"/>
      <w:divBdr>
        <w:top w:val="none" w:sz="0" w:space="0" w:color="auto"/>
        <w:left w:val="none" w:sz="0" w:space="0" w:color="auto"/>
        <w:bottom w:val="none" w:sz="0" w:space="0" w:color="auto"/>
        <w:right w:val="none" w:sz="0" w:space="0" w:color="auto"/>
      </w:divBdr>
    </w:div>
    <w:div w:id="733554141">
      <w:bodyDiv w:val="1"/>
      <w:marLeft w:val="0"/>
      <w:marRight w:val="0"/>
      <w:marTop w:val="0"/>
      <w:marBottom w:val="0"/>
      <w:divBdr>
        <w:top w:val="none" w:sz="0" w:space="0" w:color="auto"/>
        <w:left w:val="none" w:sz="0" w:space="0" w:color="auto"/>
        <w:bottom w:val="none" w:sz="0" w:space="0" w:color="auto"/>
        <w:right w:val="none" w:sz="0" w:space="0" w:color="auto"/>
      </w:divBdr>
    </w:div>
    <w:div w:id="741685246">
      <w:bodyDiv w:val="1"/>
      <w:marLeft w:val="0"/>
      <w:marRight w:val="0"/>
      <w:marTop w:val="0"/>
      <w:marBottom w:val="0"/>
      <w:divBdr>
        <w:top w:val="none" w:sz="0" w:space="0" w:color="auto"/>
        <w:left w:val="none" w:sz="0" w:space="0" w:color="auto"/>
        <w:bottom w:val="none" w:sz="0" w:space="0" w:color="auto"/>
        <w:right w:val="none" w:sz="0" w:space="0" w:color="auto"/>
      </w:divBdr>
    </w:div>
    <w:div w:id="747383675">
      <w:bodyDiv w:val="1"/>
      <w:marLeft w:val="0"/>
      <w:marRight w:val="0"/>
      <w:marTop w:val="0"/>
      <w:marBottom w:val="0"/>
      <w:divBdr>
        <w:top w:val="none" w:sz="0" w:space="0" w:color="auto"/>
        <w:left w:val="none" w:sz="0" w:space="0" w:color="auto"/>
        <w:bottom w:val="none" w:sz="0" w:space="0" w:color="auto"/>
        <w:right w:val="none" w:sz="0" w:space="0" w:color="auto"/>
      </w:divBdr>
      <w:divsChild>
        <w:div w:id="2078477077">
          <w:marLeft w:val="0"/>
          <w:marRight w:val="0"/>
          <w:marTop w:val="0"/>
          <w:marBottom w:val="0"/>
          <w:divBdr>
            <w:top w:val="none" w:sz="0" w:space="0" w:color="auto"/>
            <w:left w:val="none" w:sz="0" w:space="0" w:color="auto"/>
            <w:bottom w:val="none" w:sz="0" w:space="0" w:color="auto"/>
            <w:right w:val="none" w:sz="0" w:space="0" w:color="auto"/>
          </w:divBdr>
          <w:divsChild>
            <w:div w:id="477038612">
              <w:marLeft w:val="0"/>
              <w:marRight w:val="0"/>
              <w:marTop w:val="0"/>
              <w:marBottom w:val="0"/>
              <w:divBdr>
                <w:top w:val="none" w:sz="0" w:space="0" w:color="auto"/>
                <w:left w:val="none" w:sz="0" w:space="0" w:color="auto"/>
                <w:bottom w:val="none" w:sz="0" w:space="0" w:color="auto"/>
                <w:right w:val="none" w:sz="0" w:space="0" w:color="auto"/>
              </w:divBdr>
              <w:divsChild>
                <w:div w:id="1883010430">
                  <w:marLeft w:val="0"/>
                  <w:marRight w:val="0"/>
                  <w:marTop w:val="0"/>
                  <w:marBottom w:val="0"/>
                  <w:divBdr>
                    <w:top w:val="none" w:sz="0" w:space="0" w:color="auto"/>
                    <w:left w:val="none" w:sz="0" w:space="0" w:color="auto"/>
                    <w:bottom w:val="none" w:sz="0" w:space="0" w:color="auto"/>
                    <w:right w:val="none" w:sz="0" w:space="0" w:color="auto"/>
                  </w:divBdr>
                  <w:divsChild>
                    <w:div w:id="160445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6654683">
      <w:bodyDiv w:val="1"/>
      <w:marLeft w:val="0"/>
      <w:marRight w:val="0"/>
      <w:marTop w:val="0"/>
      <w:marBottom w:val="0"/>
      <w:divBdr>
        <w:top w:val="none" w:sz="0" w:space="0" w:color="auto"/>
        <w:left w:val="none" w:sz="0" w:space="0" w:color="auto"/>
        <w:bottom w:val="none" w:sz="0" w:space="0" w:color="auto"/>
        <w:right w:val="none" w:sz="0" w:space="0" w:color="auto"/>
      </w:divBdr>
      <w:divsChild>
        <w:div w:id="1726221711">
          <w:marLeft w:val="0"/>
          <w:marRight w:val="0"/>
          <w:marTop w:val="0"/>
          <w:marBottom w:val="0"/>
          <w:divBdr>
            <w:top w:val="none" w:sz="0" w:space="0" w:color="auto"/>
            <w:left w:val="none" w:sz="0" w:space="0" w:color="auto"/>
            <w:bottom w:val="none" w:sz="0" w:space="0" w:color="auto"/>
            <w:right w:val="none" w:sz="0" w:space="0" w:color="auto"/>
          </w:divBdr>
          <w:divsChild>
            <w:div w:id="81686442">
              <w:marLeft w:val="0"/>
              <w:marRight w:val="0"/>
              <w:marTop w:val="0"/>
              <w:marBottom w:val="0"/>
              <w:divBdr>
                <w:top w:val="none" w:sz="0" w:space="0" w:color="auto"/>
                <w:left w:val="none" w:sz="0" w:space="0" w:color="auto"/>
                <w:bottom w:val="none" w:sz="0" w:space="0" w:color="auto"/>
                <w:right w:val="none" w:sz="0" w:space="0" w:color="auto"/>
              </w:divBdr>
              <w:divsChild>
                <w:div w:id="131887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788212">
      <w:bodyDiv w:val="1"/>
      <w:marLeft w:val="0"/>
      <w:marRight w:val="0"/>
      <w:marTop w:val="0"/>
      <w:marBottom w:val="0"/>
      <w:divBdr>
        <w:top w:val="none" w:sz="0" w:space="0" w:color="auto"/>
        <w:left w:val="none" w:sz="0" w:space="0" w:color="auto"/>
        <w:bottom w:val="none" w:sz="0" w:space="0" w:color="auto"/>
        <w:right w:val="none" w:sz="0" w:space="0" w:color="auto"/>
      </w:divBdr>
      <w:divsChild>
        <w:div w:id="1745446500">
          <w:marLeft w:val="0"/>
          <w:marRight w:val="0"/>
          <w:marTop w:val="0"/>
          <w:marBottom w:val="0"/>
          <w:divBdr>
            <w:top w:val="none" w:sz="0" w:space="0" w:color="auto"/>
            <w:left w:val="none" w:sz="0" w:space="0" w:color="auto"/>
            <w:bottom w:val="none" w:sz="0" w:space="0" w:color="auto"/>
            <w:right w:val="none" w:sz="0" w:space="0" w:color="auto"/>
          </w:divBdr>
          <w:divsChild>
            <w:div w:id="468010679">
              <w:marLeft w:val="0"/>
              <w:marRight w:val="0"/>
              <w:marTop w:val="0"/>
              <w:marBottom w:val="0"/>
              <w:divBdr>
                <w:top w:val="none" w:sz="0" w:space="0" w:color="auto"/>
                <w:left w:val="none" w:sz="0" w:space="0" w:color="auto"/>
                <w:bottom w:val="none" w:sz="0" w:space="0" w:color="auto"/>
                <w:right w:val="none" w:sz="0" w:space="0" w:color="auto"/>
              </w:divBdr>
              <w:divsChild>
                <w:div w:id="195482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755281">
      <w:bodyDiv w:val="1"/>
      <w:marLeft w:val="0"/>
      <w:marRight w:val="0"/>
      <w:marTop w:val="0"/>
      <w:marBottom w:val="0"/>
      <w:divBdr>
        <w:top w:val="none" w:sz="0" w:space="0" w:color="auto"/>
        <w:left w:val="none" w:sz="0" w:space="0" w:color="auto"/>
        <w:bottom w:val="none" w:sz="0" w:space="0" w:color="auto"/>
        <w:right w:val="none" w:sz="0" w:space="0" w:color="auto"/>
      </w:divBdr>
    </w:div>
    <w:div w:id="850949379">
      <w:bodyDiv w:val="1"/>
      <w:marLeft w:val="0"/>
      <w:marRight w:val="0"/>
      <w:marTop w:val="0"/>
      <w:marBottom w:val="0"/>
      <w:divBdr>
        <w:top w:val="none" w:sz="0" w:space="0" w:color="auto"/>
        <w:left w:val="none" w:sz="0" w:space="0" w:color="auto"/>
        <w:bottom w:val="none" w:sz="0" w:space="0" w:color="auto"/>
        <w:right w:val="none" w:sz="0" w:space="0" w:color="auto"/>
      </w:divBdr>
    </w:div>
    <w:div w:id="883716246">
      <w:bodyDiv w:val="1"/>
      <w:marLeft w:val="0"/>
      <w:marRight w:val="0"/>
      <w:marTop w:val="0"/>
      <w:marBottom w:val="0"/>
      <w:divBdr>
        <w:top w:val="none" w:sz="0" w:space="0" w:color="auto"/>
        <w:left w:val="none" w:sz="0" w:space="0" w:color="auto"/>
        <w:bottom w:val="none" w:sz="0" w:space="0" w:color="auto"/>
        <w:right w:val="none" w:sz="0" w:space="0" w:color="auto"/>
      </w:divBdr>
    </w:div>
    <w:div w:id="912742429">
      <w:bodyDiv w:val="1"/>
      <w:marLeft w:val="0"/>
      <w:marRight w:val="0"/>
      <w:marTop w:val="0"/>
      <w:marBottom w:val="0"/>
      <w:divBdr>
        <w:top w:val="none" w:sz="0" w:space="0" w:color="auto"/>
        <w:left w:val="none" w:sz="0" w:space="0" w:color="auto"/>
        <w:bottom w:val="none" w:sz="0" w:space="0" w:color="auto"/>
        <w:right w:val="none" w:sz="0" w:space="0" w:color="auto"/>
      </w:divBdr>
    </w:div>
    <w:div w:id="921065123">
      <w:bodyDiv w:val="1"/>
      <w:marLeft w:val="0"/>
      <w:marRight w:val="0"/>
      <w:marTop w:val="0"/>
      <w:marBottom w:val="0"/>
      <w:divBdr>
        <w:top w:val="none" w:sz="0" w:space="0" w:color="auto"/>
        <w:left w:val="none" w:sz="0" w:space="0" w:color="auto"/>
        <w:bottom w:val="none" w:sz="0" w:space="0" w:color="auto"/>
        <w:right w:val="none" w:sz="0" w:space="0" w:color="auto"/>
      </w:divBdr>
    </w:div>
    <w:div w:id="944847599">
      <w:bodyDiv w:val="1"/>
      <w:marLeft w:val="0"/>
      <w:marRight w:val="0"/>
      <w:marTop w:val="0"/>
      <w:marBottom w:val="0"/>
      <w:divBdr>
        <w:top w:val="none" w:sz="0" w:space="0" w:color="auto"/>
        <w:left w:val="none" w:sz="0" w:space="0" w:color="auto"/>
        <w:bottom w:val="none" w:sz="0" w:space="0" w:color="auto"/>
        <w:right w:val="none" w:sz="0" w:space="0" w:color="auto"/>
      </w:divBdr>
    </w:div>
    <w:div w:id="976447681">
      <w:bodyDiv w:val="1"/>
      <w:marLeft w:val="0"/>
      <w:marRight w:val="0"/>
      <w:marTop w:val="0"/>
      <w:marBottom w:val="0"/>
      <w:divBdr>
        <w:top w:val="none" w:sz="0" w:space="0" w:color="auto"/>
        <w:left w:val="none" w:sz="0" w:space="0" w:color="auto"/>
        <w:bottom w:val="none" w:sz="0" w:space="0" w:color="auto"/>
        <w:right w:val="none" w:sz="0" w:space="0" w:color="auto"/>
      </w:divBdr>
    </w:div>
    <w:div w:id="983004680">
      <w:bodyDiv w:val="1"/>
      <w:marLeft w:val="0"/>
      <w:marRight w:val="0"/>
      <w:marTop w:val="0"/>
      <w:marBottom w:val="0"/>
      <w:divBdr>
        <w:top w:val="none" w:sz="0" w:space="0" w:color="auto"/>
        <w:left w:val="none" w:sz="0" w:space="0" w:color="auto"/>
        <w:bottom w:val="none" w:sz="0" w:space="0" w:color="auto"/>
        <w:right w:val="none" w:sz="0" w:space="0" w:color="auto"/>
      </w:divBdr>
    </w:div>
    <w:div w:id="1019160309">
      <w:bodyDiv w:val="1"/>
      <w:marLeft w:val="0"/>
      <w:marRight w:val="0"/>
      <w:marTop w:val="0"/>
      <w:marBottom w:val="0"/>
      <w:divBdr>
        <w:top w:val="none" w:sz="0" w:space="0" w:color="auto"/>
        <w:left w:val="none" w:sz="0" w:space="0" w:color="auto"/>
        <w:bottom w:val="none" w:sz="0" w:space="0" w:color="auto"/>
        <w:right w:val="none" w:sz="0" w:space="0" w:color="auto"/>
      </w:divBdr>
    </w:div>
    <w:div w:id="1115448293">
      <w:bodyDiv w:val="1"/>
      <w:marLeft w:val="0"/>
      <w:marRight w:val="0"/>
      <w:marTop w:val="0"/>
      <w:marBottom w:val="0"/>
      <w:divBdr>
        <w:top w:val="none" w:sz="0" w:space="0" w:color="auto"/>
        <w:left w:val="none" w:sz="0" w:space="0" w:color="auto"/>
        <w:bottom w:val="none" w:sz="0" w:space="0" w:color="auto"/>
        <w:right w:val="none" w:sz="0" w:space="0" w:color="auto"/>
      </w:divBdr>
    </w:div>
    <w:div w:id="1117408241">
      <w:bodyDiv w:val="1"/>
      <w:marLeft w:val="0"/>
      <w:marRight w:val="0"/>
      <w:marTop w:val="0"/>
      <w:marBottom w:val="0"/>
      <w:divBdr>
        <w:top w:val="none" w:sz="0" w:space="0" w:color="auto"/>
        <w:left w:val="none" w:sz="0" w:space="0" w:color="auto"/>
        <w:bottom w:val="none" w:sz="0" w:space="0" w:color="auto"/>
        <w:right w:val="none" w:sz="0" w:space="0" w:color="auto"/>
      </w:divBdr>
    </w:div>
    <w:div w:id="1129739271">
      <w:bodyDiv w:val="1"/>
      <w:marLeft w:val="0"/>
      <w:marRight w:val="0"/>
      <w:marTop w:val="0"/>
      <w:marBottom w:val="0"/>
      <w:divBdr>
        <w:top w:val="none" w:sz="0" w:space="0" w:color="auto"/>
        <w:left w:val="none" w:sz="0" w:space="0" w:color="auto"/>
        <w:bottom w:val="none" w:sz="0" w:space="0" w:color="auto"/>
        <w:right w:val="none" w:sz="0" w:space="0" w:color="auto"/>
      </w:divBdr>
      <w:divsChild>
        <w:div w:id="1929383592">
          <w:marLeft w:val="0"/>
          <w:marRight w:val="0"/>
          <w:marTop w:val="0"/>
          <w:marBottom w:val="0"/>
          <w:divBdr>
            <w:top w:val="none" w:sz="0" w:space="0" w:color="auto"/>
            <w:left w:val="none" w:sz="0" w:space="0" w:color="auto"/>
            <w:bottom w:val="none" w:sz="0" w:space="0" w:color="auto"/>
            <w:right w:val="none" w:sz="0" w:space="0" w:color="auto"/>
          </w:divBdr>
          <w:divsChild>
            <w:div w:id="1166097175">
              <w:marLeft w:val="0"/>
              <w:marRight w:val="0"/>
              <w:marTop w:val="0"/>
              <w:marBottom w:val="0"/>
              <w:divBdr>
                <w:top w:val="none" w:sz="0" w:space="0" w:color="auto"/>
                <w:left w:val="none" w:sz="0" w:space="0" w:color="auto"/>
                <w:bottom w:val="none" w:sz="0" w:space="0" w:color="auto"/>
                <w:right w:val="none" w:sz="0" w:space="0" w:color="auto"/>
              </w:divBdr>
              <w:divsChild>
                <w:div w:id="1651204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0272256">
      <w:bodyDiv w:val="1"/>
      <w:marLeft w:val="0"/>
      <w:marRight w:val="0"/>
      <w:marTop w:val="0"/>
      <w:marBottom w:val="0"/>
      <w:divBdr>
        <w:top w:val="none" w:sz="0" w:space="0" w:color="auto"/>
        <w:left w:val="none" w:sz="0" w:space="0" w:color="auto"/>
        <w:bottom w:val="none" w:sz="0" w:space="0" w:color="auto"/>
        <w:right w:val="none" w:sz="0" w:space="0" w:color="auto"/>
      </w:divBdr>
    </w:div>
    <w:div w:id="1171220333">
      <w:bodyDiv w:val="1"/>
      <w:marLeft w:val="0"/>
      <w:marRight w:val="0"/>
      <w:marTop w:val="0"/>
      <w:marBottom w:val="0"/>
      <w:divBdr>
        <w:top w:val="none" w:sz="0" w:space="0" w:color="auto"/>
        <w:left w:val="none" w:sz="0" w:space="0" w:color="auto"/>
        <w:bottom w:val="none" w:sz="0" w:space="0" w:color="auto"/>
        <w:right w:val="none" w:sz="0" w:space="0" w:color="auto"/>
      </w:divBdr>
    </w:div>
    <w:div w:id="1224098787">
      <w:bodyDiv w:val="1"/>
      <w:marLeft w:val="0"/>
      <w:marRight w:val="0"/>
      <w:marTop w:val="0"/>
      <w:marBottom w:val="0"/>
      <w:divBdr>
        <w:top w:val="none" w:sz="0" w:space="0" w:color="auto"/>
        <w:left w:val="none" w:sz="0" w:space="0" w:color="auto"/>
        <w:bottom w:val="none" w:sz="0" w:space="0" w:color="auto"/>
        <w:right w:val="none" w:sz="0" w:space="0" w:color="auto"/>
      </w:divBdr>
    </w:div>
    <w:div w:id="1229151570">
      <w:bodyDiv w:val="1"/>
      <w:marLeft w:val="0"/>
      <w:marRight w:val="0"/>
      <w:marTop w:val="0"/>
      <w:marBottom w:val="0"/>
      <w:divBdr>
        <w:top w:val="none" w:sz="0" w:space="0" w:color="auto"/>
        <w:left w:val="none" w:sz="0" w:space="0" w:color="auto"/>
        <w:bottom w:val="none" w:sz="0" w:space="0" w:color="auto"/>
        <w:right w:val="none" w:sz="0" w:space="0" w:color="auto"/>
      </w:divBdr>
    </w:div>
    <w:div w:id="1244218186">
      <w:bodyDiv w:val="1"/>
      <w:marLeft w:val="0"/>
      <w:marRight w:val="0"/>
      <w:marTop w:val="0"/>
      <w:marBottom w:val="0"/>
      <w:divBdr>
        <w:top w:val="none" w:sz="0" w:space="0" w:color="auto"/>
        <w:left w:val="none" w:sz="0" w:space="0" w:color="auto"/>
        <w:bottom w:val="none" w:sz="0" w:space="0" w:color="auto"/>
        <w:right w:val="none" w:sz="0" w:space="0" w:color="auto"/>
      </w:divBdr>
    </w:div>
    <w:div w:id="1256019463">
      <w:bodyDiv w:val="1"/>
      <w:marLeft w:val="0"/>
      <w:marRight w:val="0"/>
      <w:marTop w:val="0"/>
      <w:marBottom w:val="0"/>
      <w:divBdr>
        <w:top w:val="none" w:sz="0" w:space="0" w:color="auto"/>
        <w:left w:val="none" w:sz="0" w:space="0" w:color="auto"/>
        <w:bottom w:val="none" w:sz="0" w:space="0" w:color="auto"/>
        <w:right w:val="none" w:sz="0" w:space="0" w:color="auto"/>
      </w:divBdr>
    </w:div>
    <w:div w:id="1257448350">
      <w:bodyDiv w:val="1"/>
      <w:marLeft w:val="0"/>
      <w:marRight w:val="0"/>
      <w:marTop w:val="0"/>
      <w:marBottom w:val="0"/>
      <w:divBdr>
        <w:top w:val="none" w:sz="0" w:space="0" w:color="auto"/>
        <w:left w:val="none" w:sz="0" w:space="0" w:color="auto"/>
        <w:bottom w:val="none" w:sz="0" w:space="0" w:color="auto"/>
        <w:right w:val="none" w:sz="0" w:space="0" w:color="auto"/>
      </w:divBdr>
    </w:div>
    <w:div w:id="1260408255">
      <w:bodyDiv w:val="1"/>
      <w:marLeft w:val="0"/>
      <w:marRight w:val="0"/>
      <w:marTop w:val="0"/>
      <w:marBottom w:val="0"/>
      <w:divBdr>
        <w:top w:val="none" w:sz="0" w:space="0" w:color="auto"/>
        <w:left w:val="none" w:sz="0" w:space="0" w:color="auto"/>
        <w:bottom w:val="none" w:sz="0" w:space="0" w:color="auto"/>
        <w:right w:val="none" w:sz="0" w:space="0" w:color="auto"/>
      </w:divBdr>
    </w:div>
    <w:div w:id="1261797108">
      <w:bodyDiv w:val="1"/>
      <w:marLeft w:val="0"/>
      <w:marRight w:val="0"/>
      <w:marTop w:val="0"/>
      <w:marBottom w:val="0"/>
      <w:divBdr>
        <w:top w:val="none" w:sz="0" w:space="0" w:color="auto"/>
        <w:left w:val="none" w:sz="0" w:space="0" w:color="auto"/>
        <w:bottom w:val="none" w:sz="0" w:space="0" w:color="auto"/>
        <w:right w:val="none" w:sz="0" w:space="0" w:color="auto"/>
      </w:divBdr>
    </w:div>
    <w:div w:id="1285310076">
      <w:bodyDiv w:val="1"/>
      <w:marLeft w:val="0"/>
      <w:marRight w:val="0"/>
      <w:marTop w:val="0"/>
      <w:marBottom w:val="0"/>
      <w:divBdr>
        <w:top w:val="none" w:sz="0" w:space="0" w:color="auto"/>
        <w:left w:val="none" w:sz="0" w:space="0" w:color="auto"/>
        <w:bottom w:val="none" w:sz="0" w:space="0" w:color="auto"/>
        <w:right w:val="none" w:sz="0" w:space="0" w:color="auto"/>
      </w:divBdr>
    </w:div>
    <w:div w:id="1291789928">
      <w:bodyDiv w:val="1"/>
      <w:marLeft w:val="0"/>
      <w:marRight w:val="0"/>
      <w:marTop w:val="0"/>
      <w:marBottom w:val="0"/>
      <w:divBdr>
        <w:top w:val="none" w:sz="0" w:space="0" w:color="auto"/>
        <w:left w:val="none" w:sz="0" w:space="0" w:color="auto"/>
        <w:bottom w:val="none" w:sz="0" w:space="0" w:color="auto"/>
        <w:right w:val="none" w:sz="0" w:space="0" w:color="auto"/>
      </w:divBdr>
    </w:div>
    <w:div w:id="1309745875">
      <w:bodyDiv w:val="1"/>
      <w:marLeft w:val="0"/>
      <w:marRight w:val="0"/>
      <w:marTop w:val="0"/>
      <w:marBottom w:val="0"/>
      <w:divBdr>
        <w:top w:val="none" w:sz="0" w:space="0" w:color="auto"/>
        <w:left w:val="none" w:sz="0" w:space="0" w:color="auto"/>
        <w:bottom w:val="none" w:sz="0" w:space="0" w:color="auto"/>
        <w:right w:val="none" w:sz="0" w:space="0" w:color="auto"/>
      </w:divBdr>
    </w:div>
    <w:div w:id="1320118329">
      <w:bodyDiv w:val="1"/>
      <w:marLeft w:val="0"/>
      <w:marRight w:val="0"/>
      <w:marTop w:val="0"/>
      <w:marBottom w:val="0"/>
      <w:divBdr>
        <w:top w:val="none" w:sz="0" w:space="0" w:color="auto"/>
        <w:left w:val="none" w:sz="0" w:space="0" w:color="auto"/>
        <w:bottom w:val="none" w:sz="0" w:space="0" w:color="auto"/>
        <w:right w:val="none" w:sz="0" w:space="0" w:color="auto"/>
      </w:divBdr>
    </w:div>
    <w:div w:id="1324818370">
      <w:bodyDiv w:val="1"/>
      <w:marLeft w:val="0"/>
      <w:marRight w:val="0"/>
      <w:marTop w:val="0"/>
      <w:marBottom w:val="0"/>
      <w:divBdr>
        <w:top w:val="none" w:sz="0" w:space="0" w:color="auto"/>
        <w:left w:val="none" w:sz="0" w:space="0" w:color="auto"/>
        <w:bottom w:val="none" w:sz="0" w:space="0" w:color="auto"/>
        <w:right w:val="none" w:sz="0" w:space="0" w:color="auto"/>
      </w:divBdr>
    </w:div>
    <w:div w:id="1338461236">
      <w:bodyDiv w:val="1"/>
      <w:marLeft w:val="0"/>
      <w:marRight w:val="0"/>
      <w:marTop w:val="0"/>
      <w:marBottom w:val="0"/>
      <w:divBdr>
        <w:top w:val="none" w:sz="0" w:space="0" w:color="auto"/>
        <w:left w:val="none" w:sz="0" w:space="0" w:color="auto"/>
        <w:bottom w:val="none" w:sz="0" w:space="0" w:color="auto"/>
        <w:right w:val="none" w:sz="0" w:space="0" w:color="auto"/>
      </w:divBdr>
    </w:div>
    <w:div w:id="1339045467">
      <w:bodyDiv w:val="1"/>
      <w:marLeft w:val="0"/>
      <w:marRight w:val="0"/>
      <w:marTop w:val="0"/>
      <w:marBottom w:val="0"/>
      <w:divBdr>
        <w:top w:val="none" w:sz="0" w:space="0" w:color="auto"/>
        <w:left w:val="none" w:sz="0" w:space="0" w:color="auto"/>
        <w:bottom w:val="none" w:sz="0" w:space="0" w:color="auto"/>
        <w:right w:val="none" w:sz="0" w:space="0" w:color="auto"/>
      </w:divBdr>
    </w:div>
    <w:div w:id="1355038522">
      <w:bodyDiv w:val="1"/>
      <w:marLeft w:val="0"/>
      <w:marRight w:val="0"/>
      <w:marTop w:val="0"/>
      <w:marBottom w:val="0"/>
      <w:divBdr>
        <w:top w:val="none" w:sz="0" w:space="0" w:color="auto"/>
        <w:left w:val="none" w:sz="0" w:space="0" w:color="auto"/>
        <w:bottom w:val="none" w:sz="0" w:space="0" w:color="auto"/>
        <w:right w:val="none" w:sz="0" w:space="0" w:color="auto"/>
      </w:divBdr>
      <w:divsChild>
        <w:div w:id="251739599">
          <w:marLeft w:val="0"/>
          <w:marRight w:val="0"/>
          <w:marTop w:val="0"/>
          <w:marBottom w:val="0"/>
          <w:divBdr>
            <w:top w:val="none" w:sz="0" w:space="0" w:color="auto"/>
            <w:left w:val="none" w:sz="0" w:space="0" w:color="auto"/>
            <w:bottom w:val="none" w:sz="0" w:space="0" w:color="auto"/>
            <w:right w:val="none" w:sz="0" w:space="0" w:color="auto"/>
          </w:divBdr>
          <w:divsChild>
            <w:div w:id="927082933">
              <w:marLeft w:val="0"/>
              <w:marRight w:val="0"/>
              <w:marTop w:val="0"/>
              <w:marBottom w:val="0"/>
              <w:divBdr>
                <w:top w:val="none" w:sz="0" w:space="0" w:color="auto"/>
                <w:left w:val="none" w:sz="0" w:space="0" w:color="auto"/>
                <w:bottom w:val="none" w:sz="0" w:space="0" w:color="auto"/>
                <w:right w:val="none" w:sz="0" w:space="0" w:color="auto"/>
              </w:divBdr>
              <w:divsChild>
                <w:div w:id="1331832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778870">
      <w:bodyDiv w:val="1"/>
      <w:marLeft w:val="0"/>
      <w:marRight w:val="0"/>
      <w:marTop w:val="0"/>
      <w:marBottom w:val="0"/>
      <w:divBdr>
        <w:top w:val="none" w:sz="0" w:space="0" w:color="auto"/>
        <w:left w:val="none" w:sz="0" w:space="0" w:color="auto"/>
        <w:bottom w:val="none" w:sz="0" w:space="0" w:color="auto"/>
        <w:right w:val="none" w:sz="0" w:space="0" w:color="auto"/>
      </w:divBdr>
    </w:div>
    <w:div w:id="1446995807">
      <w:bodyDiv w:val="1"/>
      <w:marLeft w:val="0"/>
      <w:marRight w:val="0"/>
      <w:marTop w:val="0"/>
      <w:marBottom w:val="0"/>
      <w:divBdr>
        <w:top w:val="none" w:sz="0" w:space="0" w:color="auto"/>
        <w:left w:val="none" w:sz="0" w:space="0" w:color="auto"/>
        <w:bottom w:val="none" w:sz="0" w:space="0" w:color="auto"/>
        <w:right w:val="none" w:sz="0" w:space="0" w:color="auto"/>
      </w:divBdr>
    </w:div>
    <w:div w:id="1460298848">
      <w:bodyDiv w:val="1"/>
      <w:marLeft w:val="0"/>
      <w:marRight w:val="0"/>
      <w:marTop w:val="0"/>
      <w:marBottom w:val="0"/>
      <w:divBdr>
        <w:top w:val="none" w:sz="0" w:space="0" w:color="auto"/>
        <w:left w:val="none" w:sz="0" w:space="0" w:color="auto"/>
        <w:bottom w:val="none" w:sz="0" w:space="0" w:color="auto"/>
        <w:right w:val="none" w:sz="0" w:space="0" w:color="auto"/>
      </w:divBdr>
    </w:div>
    <w:div w:id="1463307564">
      <w:bodyDiv w:val="1"/>
      <w:marLeft w:val="0"/>
      <w:marRight w:val="0"/>
      <w:marTop w:val="0"/>
      <w:marBottom w:val="0"/>
      <w:divBdr>
        <w:top w:val="none" w:sz="0" w:space="0" w:color="auto"/>
        <w:left w:val="none" w:sz="0" w:space="0" w:color="auto"/>
        <w:bottom w:val="none" w:sz="0" w:space="0" w:color="auto"/>
        <w:right w:val="none" w:sz="0" w:space="0" w:color="auto"/>
      </w:divBdr>
    </w:div>
    <w:div w:id="1481924238">
      <w:bodyDiv w:val="1"/>
      <w:marLeft w:val="0"/>
      <w:marRight w:val="0"/>
      <w:marTop w:val="0"/>
      <w:marBottom w:val="0"/>
      <w:divBdr>
        <w:top w:val="none" w:sz="0" w:space="0" w:color="auto"/>
        <w:left w:val="none" w:sz="0" w:space="0" w:color="auto"/>
        <w:bottom w:val="none" w:sz="0" w:space="0" w:color="auto"/>
        <w:right w:val="none" w:sz="0" w:space="0" w:color="auto"/>
      </w:divBdr>
    </w:div>
    <w:div w:id="1486817913">
      <w:bodyDiv w:val="1"/>
      <w:marLeft w:val="0"/>
      <w:marRight w:val="0"/>
      <w:marTop w:val="0"/>
      <w:marBottom w:val="0"/>
      <w:divBdr>
        <w:top w:val="none" w:sz="0" w:space="0" w:color="auto"/>
        <w:left w:val="none" w:sz="0" w:space="0" w:color="auto"/>
        <w:bottom w:val="none" w:sz="0" w:space="0" w:color="auto"/>
        <w:right w:val="none" w:sz="0" w:space="0" w:color="auto"/>
      </w:divBdr>
    </w:div>
    <w:div w:id="1590624353">
      <w:bodyDiv w:val="1"/>
      <w:marLeft w:val="0"/>
      <w:marRight w:val="0"/>
      <w:marTop w:val="0"/>
      <w:marBottom w:val="0"/>
      <w:divBdr>
        <w:top w:val="none" w:sz="0" w:space="0" w:color="auto"/>
        <w:left w:val="none" w:sz="0" w:space="0" w:color="auto"/>
        <w:bottom w:val="none" w:sz="0" w:space="0" w:color="auto"/>
        <w:right w:val="none" w:sz="0" w:space="0" w:color="auto"/>
      </w:divBdr>
    </w:div>
    <w:div w:id="1596087102">
      <w:bodyDiv w:val="1"/>
      <w:marLeft w:val="0"/>
      <w:marRight w:val="0"/>
      <w:marTop w:val="0"/>
      <w:marBottom w:val="0"/>
      <w:divBdr>
        <w:top w:val="none" w:sz="0" w:space="0" w:color="auto"/>
        <w:left w:val="none" w:sz="0" w:space="0" w:color="auto"/>
        <w:bottom w:val="none" w:sz="0" w:space="0" w:color="auto"/>
        <w:right w:val="none" w:sz="0" w:space="0" w:color="auto"/>
      </w:divBdr>
    </w:div>
    <w:div w:id="1606306867">
      <w:bodyDiv w:val="1"/>
      <w:marLeft w:val="0"/>
      <w:marRight w:val="0"/>
      <w:marTop w:val="0"/>
      <w:marBottom w:val="0"/>
      <w:divBdr>
        <w:top w:val="none" w:sz="0" w:space="0" w:color="auto"/>
        <w:left w:val="none" w:sz="0" w:space="0" w:color="auto"/>
        <w:bottom w:val="none" w:sz="0" w:space="0" w:color="auto"/>
        <w:right w:val="none" w:sz="0" w:space="0" w:color="auto"/>
      </w:divBdr>
    </w:div>
    <w:div w:id="1622224429">
      <w:bodyDiv w:val="1"/>
      <w:marLeft w:val="0"/>
      <w:marRight w:val="0"/>
      <w:marTop w:val="0"/>
      <w:marBottom w:val="0"/>
      <w:divBdr>
        <w:top w:val="none" w:sz="0" w:space="0" w:color="auto"/>
        <w:left w:val="none" w:sz="0" w:space="0" w:color="auto"/>
        <w:bottom w:val="none" w:sz="0" w:space="0" w:color="auto"/>
        <w:right w:val="none" w:sz="0" w:space="0" w:color="auto"/>
      </w:divBdr>
      <w:divsChild>
        <w:div w:id="243144898">
          <w:marLeft w:val="0"/>
          <w:marRight w:val="0"/>
          <w:marTop w:val="0"/>
          <w:marBottom w:val="0"/>
          <w:divBdr>
            <w:top w:val="none" w:sz="0" w:space="0" w:color="auto"/>
            <w:left w:val="none" w:sz="0" w:space="0" w:color="auto"/>
            <w:bottom w:val="none" w:sz="0" w:space="0" w:color="auto"/>
            <w:right w:val="none" w:sz="0" w:space="0" w:color="auto"/>
          </w:divBdr>
          <w:divsChild>
            <w:div w:id="872959522">
              <w:marLeft w:val="0"/>
              <w:marRight w:val="0"/>
              <w:marTop w:val="0"/>
              <w:marBottom w:val="0"/>
              <w:divBdr>
                <w:top w:val="none" w:sz="0" w:space="0" w:color="auto"/>
                <w:left w:val="none" w:sz="0" w:space="0" w:color="auto"/>
                <w:bottom w:val="none" w:sz="0" w:space="0" w:color="auto"/>
                <w:right w:val="none" w:sz="0" w:space="0" w:color="auto"/>
              </w:divBdr>
              <w:divsChild>
                <w:div w:id="607394686">
                  <w:marLeft w:val="0"/>
                  <w:marRight w:val="0"/>
                  <w:marTop w:val="0"/>
                  <w:marBottom w:val="0"/>
                  <w:divBdr>
                    <w:top w:val="none" w:sz="0" w:space="0" w:color="auto"/>
                    <w:left w:val="none" w:sz="0" w:space="0" w:color="auto"/>
                    <w:bottom w:val="none" w:sz="0" w:space="0" w:color="auto"/>
                    <w:right w:val="none" w:sz="0" w:space="0" w:color="auto"/>
                  </w:divBdr>
                  <w:divsChild>
                    <w:div w:id="180985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6181121">
      <w:bodyDiv w:val="1"/>
      <w:marLeft w:val="0"/>
      <w:marRight w:val="0"/>
      <w:marTop w:val="0"/>
      <w:marBottom w:val="0"/>
      <w:divBdr>
        <w:top w:val="none" w:sz="0" w:space="0" w:color="auto"/>
        <w:left w:val="none" w:sz="0" w:space="0" w:color="auto"/>
        <w:bottom w:val="none" w:sz="0" w:space="0" w:color="auto"/>
        <w:right w:val="none" w:sz="0" w:space="0" w:color="auto"/>
      </w:divBdr>
    </w:div>
    <w:div w:id="1788818186">
      <w:bodyDiv w:val="1"/>
      <w:marLeft w:val="0"/>
      <w:marRight w:val="0"/>
      <w:marTop w:val="0"/>
      <w:marBottom w:val="0"/>
      <w:divBdr>
        <w:top w:val="none" w:sz="0" w:space="0" w:color="auto"/>
        <w:left w:val="none" w:sz="0" w:space="0" w:color="auto"/>
        <w:bottom w:val="none" w:sz="0" w:space="0" w:color="auto"/>
        <w:right w:val="none" w:sz="0" w:space="0" w:color="auto"/>
      </w:divBdr>
    </w:div>
    <w:div w:id="1812365276">
      <w:bodyDiv w:val="1"/>
      <w:marLeft w:val="0"/>
      <w:marRight w:val="0"/>
      <w:marTop w:val="0"/>
      <w:marBottom w:val="0"/>
      <w:divBdr>
        <w:top w:val="none" w:sz="0" w:space="0" w:color="auto"/>
        <w:left w:val="none" w:sz="0" w:space="0" w:color="auto"/>
        <w:bottom w:val="none" w:sz="0" w:space="0" w:color="auto"/>
        <w:right w:val="none" w:sz="0" w:space="0" w:color="auto"/>
      </w:divBdr>
    </w:div>
    <w:div w:id="1821579227">
      <w:bodyDiv w:val="1"/>
      <w:marLeft w:val="0"/>
      <w:marRight w:val="0"/>
      <w:marTop w:val="0"/>
      <w:marBottom w:val="0"/>
      <w:divBdr>
        <w:top w:val="none" w:sz="0" w:space="0" w:color="auto"/>
        <w:left w:val="none" w:sz="0" w:space="0" w:color="auto"/>
        <w:bottom w:val="none" w:sz="0" w:space="0" w:color="auto"/>
        <w:right w:val="none" w:sz="0" w:space="0" w:color="auto"/>
      </w:divBdr>
    </w:div>
    <w:div w:id="1825900015">
      <w:bodyDiv w:val="1"/>
      <w:marLeft w:val="0"/>
      <w:marRight w:val="0"/>
      <w:marTop w:val="0"/>
      <w:marBottom w:val="0"/>
      <w:divBdr>
        <w:top w:val="none" w:sz="0" w:space="0" w:color="auto"/>
        <w:left w:val="none" w:sz="0" w:space="0" w:color="auto"/>
        <w:bottom w:val="none" w:sz="0" w:space="0" w:color="auto"/>
        <w:right w:val="none" w:sz="0" w:space="0" w:color="auto"/>
      </w:divBdr>
    </w:div>
    <w:div w:id="1839031648">
      <w:bodyDiv w:val="1"/>
      <w:marLeft w:val="0"/>
      <w:marRight w:val="0"/>
      <w:marTop w:val="0"/>
      <w:marBottom w:val="0"/>
      <w:divBdr>
        <w:top w:val="none" w:sz="0" w:space="0" w:color="auto"/>
        <w:left w:val="none" w:sz="0" w:space="0" w:color="auto"/>
        <w:bottom w:val="none" w:sz="0" w:space="0" w:color="auto"/>
        <w:right w:val="none" w:sz="0" w:space="0" w:color="auto"/>
      </w:divBdr>
    </w:div>
    <w:div w:id="1872720001">
      <w:bodyDiv w:val="1"/>
      <w:marLeft w:val="0"/>
      <w:marRight w:val="0"/>
      <w:marTop w:val="0"/>
      <w:marBottom w:val="0"/>
      <w:divBdr>
        <w:top w:val="none" w:sz="0" w:space="0" w:color="auto"/>
        <w:left w:val="none" w:sz="0" w:space="0" w:color="auto"/>
        <w:bottom w:val="none" w:sz="0" w:space="0" w:color="auto"/>
        <w:right w:val="none" w:sz="0" w:space="0" w:color="auto"/>
      </w:divBdr>
    </w:div>
    <w:div w:id="1897084583">
      <w:bodyDiv w:val="1"/>
      <w:marLeft w:val="0"/>
      <w:marRight w:val="0"/>
      <w:marTop w:val="0"/>
      <w:marBottom w:val="0"/>
      <w:divBdr>
        <w:top w:val="none" w:sz="0" w:space="0" w:color="auto"/>
        <w:left w:val="none" w:sz="0" w:space="0" w:color="auto"/>
        <w:bottom w:val="none" w:sz="0" w:space="0" w:color="auto"/>
        <w:right w:val="none" w:sz="0" w:space="0" w:color="auto"/>
      </w:divBdr>
    </w:div>
    <w:div w:id="1960406170">
      <w:bodyDiv w:val="1"/>
      <w:marLeft w:val="0"/>
      <w:marRight w:val="0"/>
      <w:marTop w:val="0"/>
      <w:marBottom w:val="0"/>
      <w:divBdr>
        <w:top w:val="none" w:sz="0" w:space="0" w:color="auto"/>
        <w:left w:val="none" w:sz="0" w:space="0" w:color="auto"/>
        <w:bottom w:val="none" w:sz="0" w:space="0" w:color="auto"/>
        <w:right w:val="none" w:sz="0" w:space="0" w:color="auto"/>
      </w:divBdr>
      <w:divsChild>
        <w:div w:id="1319648647">
          <w:marLeft w:val="0"/>
          <w:marRight w:val="0"/>
          <w:marTop w:val="0"/>
          <w:marBottom w:val="0"/>
          <w:divBdr>
            <w:top w:val="none" w:sz="0" w:space="0" w:color="auto"/>
            <w:left w:val="none" w:sz="0" w:space="0" w:color="auto"/>
            <w:bottom w:val="none" w:sz="0" w:space="0" w:color="auto"/>
            <w:right w:val="none" w:sz="0" w:space="0" w:color="auto"/>
          </w:divBdr>
          <w:divsChild>
            <w:div w:id="84812057">
              <w:marLeft w:val="0"/>
              <w:marRight w:val="0"/>
              <w:marTop w:val="0"/>
              <w:marBottom w:val="0"/>
              <w:divBdr>
                <w:top w:val="none" w:sz="0" w:space="0" w:color="auto"/>
                <w:left w:val="none" w:sz="0" w:space="0" w:color="auto"/>
                <w:bottom w:val="none" w:sz="0" w:space="0" w:color="auto"/>
                <w:right w:val="none" w:sz="0" w:space="0" w:color="auto"/>
              </w:divBdr>
              <w:divsChild>
                <w:div w:id="38891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886888">
      <w:bodyDiv w:val="1"/>
      <w:marLeft w:val="0"/>
      <w:marRight w:val="0"/>
      <w:marTop w:val="0"/>
      <w:marBottom w:val="0"/>
      <w:divBdr>
        <w:top w:val="none" w:sz="0" w:space="0" w:color="auto"/>
        <w:left w:val="none" w:sz="0" w:space="0" w:color="auto"/>
        <w:bottom w:val="none" w:sz="0" w:space="0" w:color="auto"/>
        <w:right w:val="none" w:sz="0" w:space="0" w:color="auto"/>
      </w:divBdr>
    </w:div>
    <w:div w:id="1969897989">
      <w:bodyDiv w:val="1"/>
      <w:marLeft w:val="0"/>
      <w:marRight w:val="0"/>
      <w:marTop w:val="0"/>
      <w:marBottom w:val="0"/>
      <w:divBdr>
        <w:top w:val="none" w:sz="0" w:space="0" w:color="auto"/>
        <w:left w:val="none" w:sz="0" w:space="0" w:color="auto"/>
        <w:bottom w:val="none" w:sz="0" w:space="0" w:color="auto"/>
        <w:right w:val="none" w:sz="0" w:space="0" w:color="auto"/>
      </w:divBdr>
    </w:div>
    <w:div w:id="2010130949">
      <w:bodyDiv w:val="1"/>
      <w:marLeft w:val="0"/>
      <w:marRight w:val="0"/>
      <w:marTop w:val="0"/>
      <w:marBottom w:val="0"/>
      <w:divBdr>
        <w:top w:val="none" w:sz="0" w:space="0" w:color="auto"/>
        <w:left w:val="none" w:sz="0" w:space="0" w:color="auto"/>
        <w:bottom w:val="none" w:sz="0" w:space="0" w:color="auto"/>
        <w:right w:val="none" w:sz="0" w:space="0" w:color="auto"/>
      </w:divBdr>
    </w:div>
    <w:div w:id="2036076492">
      <w:bodyDiv w:val="1"/>
      <w:marLeft w:val="0"/>
      <w:marRight w:val="0"/>
      <w:marTop w:val="0"/>
      <w:marBottom w:val="0"/>
      <w:divBdr>
        <w:top w:val="none" w:sz="0" w:space="0" w:color="auto"/>
        <w:left w:val="none" w:sz="0" w:space="0" w:color="auto"/>
        <w:bottom w:val="none" w:sz="0" w:space="0" w:color="auto"/>
        <w:right w:val="none" w:sz="0" w:space="0" w:color="auto"/>
      </w:divBdr>
      <w:divsChild>
        <w:div w:id="1139104230">
          <w:marLeft w:val="0"/>
          <w:marRight w:val="0"/>
          <w:marTop w:val="0"/>
          <w:marBottom w:val="0"/>
          <w:divBdr>
            <w:top w:val="none" w:sz="0" w:space="0" w:color="auto"/>
            <w:left w:val="none" w:sz="0" w:space="0" w:color="auto"/>
            <w:bottom w:val="none" w:sz="0" w:space="0" w:color="auto"/>
            <w:right w:val="none" w:sz="0" w:space="0" w:color="auto"/>
          </w:divBdr>
          <w:divsChild>
            <w:div w:id="546069592">
              <w:marLeft w:val="0"/>
              <w:marRight w:val="0"/>
              <w:marTop w:val="0"/>
              <w:marBottom w:val="0"/>
              <w:divBdr>
                <w:top w:val="none" w:sz="0" w:space="0" w:color="auto"/>
                <w:left w:val="none" w:sz="0" w:space="0" w:color="auto"/>
                <w:bottom w:val="none" w:sz="0" w:space="0" w:color="auto"/>
                <w:right w:val="none" w:sz="0" w:space="0" w:color="auto"/>
              </w:divBdr>
              <w:divsChild>
                <w:div w:id="1751193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530871">
      <w:bodyDiv w:val="1"/>
      <w:marLeft w:val="0"/>
      <w:marRight w:val="0"/>
      <w:marTop w:val="0"/>
      <w:marBottom w:val="0"/>
      <w:divBdr>
        <w:top w:val="none" w:sz="0" w:space="0" w:color="auto"/>
        <w:left w:val="none" w:sz="0" w:space="0" w:color="auto"/>
        <w:bottom w:val="none" w:sz="0" w:space="0" w:color="auto"/>
        <w:right w:val="none" w:sz="0" w:space="0" w:color="auto"/>
      </w:divBdr>
    </w:div>
    <w:div w:id="2070152062">
      <w:bodyDiv w:val="1"/>
      <w:marLeft w:val="0"/>
      <w:marRight w:val="0"/>
      <w:marTop w:val="0"/>
      <w:marBottom w:val="0"/>
      <w:divBdr>
        <w:top w:val="none" w:sz="0" w:space="0" w:color="auto"/>
        <w:left w:val="none" w:sz="0" w:space="0" w:color="auto"/>
        <w:bottom w:val="none" w:sz="0" w:space="0" w:color="auto"/>
        <w:right w:val="none" w:sz="0" w:space="0" w:color="auto"/>
      </w:divBdr>
    </w:div>
    <w:div w:id="2104757405">
      <w:bodyDiv w:val="1"/>
      <w:marLeft w:val="0"/>
      <w:marRight w:val="0"/>
      <w:marTop w:val="0"/>
      <w:marBottom w:val="0"/>
      <w:divBdr>
        <w:top w:val="none" w:sz="0" w:space="0" w:color="auto"/>
        <w:left w:val="none" w:sz="0" w:space="0" w:color="auto"/>
        <w:bottom w:val="none" w:sz="0" w:space="0" w:color="auto"/>
        <w:right w:val="none" w:sz="0" w:space="0" w:color="auto"/>
      </w:divBdr>
    </w:div>
    <w:div w:id="2116902954">
      <w:bodyDiv w:val="1"/>
      <w:marLeft w:val="0"/>
      <w:marRight w:val="0"/>
      <w:marTop w:val="0"/>
      <w:marBottom w:val="0"/>
      <w:divBdr>
        <w:top w:val="none" w:sz="0" w:space="0" w:color="auto"/>
        <w:left w:val="none" w:sz="0" w:space="0" w:color="auto"/>
        <w:bottom w:val="none" w:sz="0" w:space="0" w:color="auto"/>
        <w:right w:val="none" w:sz="0" w:space="0" w:color="auto"/>
      </w:divBdr>
    </w:div>
    <w:div w:id="21312375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msac.gov.a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msac.gov.au/internet/msac/publishing.nsf/Content/Home-1"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8" Type="http://schemas.openxmlformats.org/officeDocument/2006/relationships/hyperlink" Target="https://www.health.gov.au/resources/publications/aisr-2022-national-influenza-season-summary?language=en" TargetMode="External"/><Relationship Id="rId3" Type="http://schemas.openxmlformats.org/officeDocument/2006/relationships/hyperlink" Target="http://www.mbsonline.gov.au/internet/mbsonline/publishing.nsf/Content/Factsheet-Extension%20of%20temporary%20pathology%20items%20for%20SARS-CoV-2" TargetMode="External"/><Relationship Id="rId7" Type="http://schemas.openxmlformats.org/officeDocument/2006/relationships/hyperlink" Target="https://www.health.tas.gov.au/publications/testing-covid-19-fact-sheet" TargetMode="External"/><Relationship Id="rId2" Type="http://schemas.openxmlformats.org/officeDocument/2006/relationships/hyperlink" Target="http://www.mbsonline.gov.au/internet/mbsonline/publishing.nsf/Content/Pathology-SARS-CoV-2-items" TargetMode="External"/><Relationship Id="rId1" Type="http://schemas.openxmlformats.org/officeDocument/2006/relationships/hyperlink" Target="http://www.mbsonline.gov.au/internet/mbsonline/publishing.nsf/Content/Factsheet-Cov.LTI" TargetMode="External"/><Relationship Id="rId6" Type="http://schemas.openxmlformats.org/officeDocument/2006/relationships/hyperlink" Target="http://www.mbsonline.gov.au/internet/mbsonline/publishing.nsf/Content/Factsheet-Cov.LTI" TargetMode="External"/><Relationship Id="rId11" Type="http://schemas.openxmlformats.org/officeDocument/2006/relationships/hyperlink" Target="https://clinical.goldstandarddiagnostics.com/home/products/covid-19-pcr-assay/sars-cov-2-real-time-rt-pcr/gsd-novaprime-tsp-sars-cov-2-rt-pcr" TargetMode="External"/><Relationship Id="rId5" Type="http://schemas.openxmlformats.org/officeDocument/2006/relationships/hyperlink" Target="https://www.health.gov.au/resources/publications/coronavirus-covid-19-testing-framework-for-covid-19-in-australia" TargetMode="External"/><Relationship Id="rId10" Type="http://schemas.openxmlformats.org/officeDocument/2006/relationships/hyperlink" Target="https://extranet.who.int/pqweb/sites/default/files/documents/230419_List_IVDs_NotAccepted_EUL_SARS-CoV-2.pdf" TargetMode="External"/><Relationship Id="rId4" Type="http://schemas.openxmlformats.org/officeDocument/2006/relationships/hyperlink" Target="https://www.tga.gov.au/sites/default/files/regulatory-requirements-in-house-ivds.pdf" TargetMode="External"/><Relationship Id="rId9" Type="http://schemas.openxmlformats.org/officeDocument/2006/relationships/hyperlink" Target="https://extranet.who.int/pqweb/sites/default/files/documents/230419_List_IVDs_NotAccepted_EUL_SARS-CoV-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EEC862-DE60-4118-9756-B20D3C7F25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43</Pages>
  <Words>19374</Words>
  <Characters>110435</Characters>
  <Application>Microsoft Office Word</Application>
  <DocSecurity>0</DocSecurity>
  <Lines>920</Lines>
  <Paragraphs>259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2023-09-27T22:49:00Z</dcterms:created>
  <dcterms:modified xsi:type="dcterms:W3CDTF">2023-10-10T03:48:00Z</dcterms:modified>
</cp:coreProperties>
</file>