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BC35E" w14:textId="74043ECB" w:rsidR="00E141C1" w:rsidRPr="004A7B64" w:rsidRDefault="00CE5013" w:rsidP="00643251">
      <w:pPr>
        <w:pStyle w:val="Heading2"/>
        <w:spacing w:before="0"/>
      </w:pPr>
      <w:r w:rsidRPr="004A7B64">
        <w:t>MSAC application 1747 – P</w:t>
      </w:r>
      <w:r w:rsidR="00327EF2" w:rsidRPr="004A7B64">
        <w:t>ermanent</w:t>
      </w:r>
      <w:r w:rsidR="00012946" w:rsidRPr="004A7B64">
        <w:t xml:space="preserve"> </w:t>
      </w:r>
      <w:r w:rsidRPr="004A7B64">
        <w:t>Medicare Benefits Schedule (</w:t>
      </w:r>
      <w:r w:rsidR="00012946" w:rsidRPr="004A7B64">
        <w:t>MBS</w:t>
      </w:r>
      <w:r w:rsidRPr="004A7B64">
        <w:t>)</w:t>
      </w:r>
      <w:r w:rsidR="00327EF2" w:rsidRPr="004A7B64">
        <w:t xml:space="preserve"> items for </w:t>
      </w:r>
      <w:r w:rsidR="00C320AA" w:rsidRPr="004A7B64">
        <w:t>COVID-19</w:t>
      </w:r>
      <w:r w:rsidR="00E86FDF" w:rsidRPr="004A7B64">
        <w:t xml:space="preserve"> </w:t>
      </w:r>
      <w:r w:rsidRPr="004A7B64">
        <w:t xml:space="preserve">nucleic acid </w:t>
      </w:r>
      <w:r w:rsidR="00327EF2" w:rsidRPr="004A7B64">
        <w:t>testing</w:t>
      </w:r>
      <w:r w:rsidR="00F71F3B" w:rsidRPr="004A7B64">
        <w:t xml:space="preserve"> </w:t>
      </w:r>
    </w:p>
    <w:p w14:paraId="2B7DACD7" w14:textId="674F5014" w:rsidR="00C16746" w:rsidRDefault="00C16746">
      <w:pPr>
        <w:rPr>
          <w:rFonts w:ascii="Franklin Gothic Book" w:hAnsi="Franklin Gothic Book"/>
        </w:rPr>
      </w:pPr>
      <w:r w:rsidRPr="00C16746">
        <w:rPr>
          <w:rFonts w:ascii="Franklin Gothic Book" w:hAnsi="Franklin Gothic Book"/>
        </w:rPr>
        <w:t xml:space="preserve">There are three permanent MBS items for detection of a virus or microbial antigen or microbial nucleic acid </w:t>
      </w:r>
      <w:r>
        <w:rPr>
          <w:rFonts w:ascii="Franklin Gothic Book" w:hAnsi="Franklin Gothic Book"/>
        </w:rPr>
        <w:t>that</w:t>
      </w:r>
      <w:r w:rsidRPr="00C16746">
        <w:rPr>
          <w:rFonts w:ascii="Franklin Gothic Book" w:hAnsi="Franklin Gothic Book"/>
        </w:rPr>
        <w:t xml:space="preserve"> do not specifically include testing for SARS-CoV-2.</w:t>
      </w:r>
      <w:r>
        <w:rPr>
          <w:rFonts w:ascii="Franklin Gothic Book" w:hAnsi="Franklin Gothic Book"/>
        </w:rPr>
        <w:t xml:space="preserve"> </w:t>
      </w:r>
      <w:r w:rsidRPr="00C16746">
        <w:rPr>
          <w:rFonts w:ascii="Franklin Gothic Book" w:hAnsi="Franklin Gothic Book"/>
        </w:rPr>
        <w:t xml:space="preserve">Five temporary MBS items for </w:t>
      </w:r>
      <w:r w:rsidR="00AF36FA">
        <w:rPr>
          <w:rFonts w:ascii="Franklin Gothic Book" w:hAnsi="Franklin Gothic Book"/>
        </w:rPr>
        <w:t xml:space="preserve">laboratory-based </w:t>
      </w:r>
      <w:r w:rsidRPr="00C16746">
        <w:rPr>
          <w:rFonts w:ascii="Franklin Gothic Book" w:hAnsi="Franklin Gothic Book"/>
        </w:rPr>
        <w:t xml:space="preserve">SARS-CoV-2 </w:t>
      </w:r>
      <w:r>
        <w:rPr>
          <w:rFonts w:ascii="Franklin Gothic Book" w:hAnsi="Franklin Gothic Book"/>
        </w:rPr>
        <w:t>nucleic acid t</w:t>
      </w:r>
      <w:r w:rsidRPr="00C16746">
        <w:rPr>
          <w:rFonts w:ascii="Franklin Gothic Book" w:hAnsi="Franklin Gothic Book"/>
        </w:rPr>
        <w:t xml:space="preserve">esting </w:t>
      </w:r>
      <w:proofErr w:type="gramStart"/>
      <w:r w:rsidRPr="00C16746">
        <w:rPr>
          <w:rFonts w:ascii="Franklin Gothic Book" w:hAnsi="Franklin Gothic Book"/>
        </w:rPr>
        <w:t>were</w:t>
      </w:r>
      <w:proofErr w:type="gramEnd"/>
      <w:r w:rsidRPr="00C16746">
        <w:rPr>
          <w:rFonts w:ascii="Franklin Gothic Book" w:hAnsi="Franklin Gothic Book"/>
        </w:rPr>
        <w:t xml:space="preserve"> implemented in October 2022. The temporary MBS items </w:t>
      </w:r>
      <w:r>
        <w:rPr>
          <w:rFonts w:ascii="Franklin Gothic Book" w:hAnsi="Franklin Gothic Book"/>
        </w:rPr>
        <w:t xml:space="preserve">will </w:t>
      </w:r>
      <w:r w:rsidRPr="00C16746">
        <w:rPr>
          <w:rFonts w:ascii="Franklin Gothic Book" w:hAnsi="Franklin Gothic Book"/>
        </w:rPr>
        <w:t>cease on 31 December 202</w:t>
      </w:r>
      <w:r>
        <w:rPr>
          <w:rFonts w:ascii="Franklin Gothic Book" w:hAnsi="Franklin Gothic Book"/>
        </w:rPr>
        <w:t>3</w:t>
      </w:r>
      <w:r w:rsidR="000714C8">
        <w:rPr>
          <w:rFonts w:ascii="Franklin Gothic Book" w:hAnsi="Franklin Gothic Book"/>
        </w:rPr>
        <w:t>.</w:t>
      </w:r>
      <w:r w:rsidRPr="00C16746">
        <w:rPr>
          <w:rFonts w:ascii="Franklin Gothic Book" w:hAnsi="Franklin Gothic Book"/>
        </w:rPr>
        <w:t xml:space="preserve"> </w:t>
      </w:r>
      <w:r w:rsidR="000337A3">
        <w:rPr>
          <w:rFonts w:ascii="Franklin Gothic Book" w:hAnsi="Franklin Gothic Book"/>
        </w:rPr>
        <w:t>I</w:t>
      </w:r>
      <w:r w:rsidRPr="00C16746">
        <w:rPr>
          <w:rFonts w:ascii="Franklin Gothic Book" w:hAnsi="Franklin Gothic Book"/>
        </w:rPr>
        <w:t>n the absence of a decision of Government to embed new, permanent items in the MBS</w:t>
      </w:r>
      <w:r w:rsidR="000337A3">
        <w:rPr>
          <w:rFonts w:ascii="Franklin Gothic Book" w:hAnsi="Franklin Gothic Book"/>
        </w:rPr>
        <w:t>; the</w:t>
      </w:r>
      <w:r w:rsidRPr="00C16746">
        <w:rPr>
          <w:rFonts w:ascii="Franklin Gothic Book" w:hAnsi="Franklin Gothic Book"/>
        </w:rPr>
        <w:t xml:space="preserve"> testing for SARS-CoV-2 </w:t>
      </w:r>
      <w:r>
        <w:rPr>
          <w:rFonts w:ascii="Franklin Gothic Book" w:hAnsi="Franklin Gothic Book"/>
        </w:rPr>
        <w:t>will</w:t>
      </w:r>
      <w:r w:rsidRPr="00C16746">
        <w:rPr>
          <w:rFonts w:ascii="Franklin Gothic Book" w:hAnsi="Franklin Gothic Book"/>
        </w:rPr>
        <w:t xml:space="preserve"> revert to the existing, permanent generic nucleic acid amplification test (NAAT)</w:t>
      </w:r>
      <w:r>
        <w:rPr>
          <w:rFonts w:ascii="Franklin Gothic Book" w:hAnsi="Franklin Gothic Book"/>
        </w:rPr>
        <w:t xml:space="preserve"> </w:t>
      </w:r>
      <w:r w:rsidRPr="00C16746">
        <w:rPr>
          <w:rFonts w:ascii="Franklin Gothic Book" w:hAnsi="Franklin Gothic Book"/>
        </w:rPr>
        <w:t>MBS item 69494 and combined testing for SARS-CoV-2 and other respiratory pathogens claimed under MBS items 69495 and 69496.</w:t>
      </w:r>
      <w:r>
        <w:rPr>
          <w:rFonts w:ascii="Franklin Gothic Book" w:hAnsi="Franklin Gothic Book"/>
        </w:rPr>
        <w:t xml:space="preserve"> </w:t>
      </w:r>
    </w:p>
    <w:p w14:paraId="2D350012" w14:textId="5AF0B943" w:rsidR="00C16746" w:rsidRDefault="00C16746" w:rsidP="00C16746">
      <w:pPr>
        <w:rPr>
          <w:rFonts w:ascii="Franklin Gothic Book" w:hAnsi="Franklin Gothic Book"/>
        </w:rPr>
      </w:pPr>
      <w:bookmarkStart w:id="0" w:name="_Ref69732160"/>
      <w:bookmarkStart w:id="1" w:name="_Ref118458020"/>
      <w:bookmarkStart w:id="2" w:name="_Ref69732155"/>
      <w:r w:rsidRPr="004A7B64">
        <w:rPr>
          <w:rFonts w:ascii="Franklin Gothic Book" w:hAnsi="Franklin Gothic Book"/>
        </w:rPr>
        <w:t xml:space="preserve">The Government has asked the Minister for Health and Aged Care to seek the Medical Services Advisory Committee (MSAC)’s advice on the appropriate use and public funding of laboratory-based testing for SARS-CoV-2 nucleic acids, including the use and utility of multiplex testing for SARS-CoV-2 and other respiratory pathogens, publicly funded under the MBS. The Department of Health and Aged Care has therefore </w:t>
      </w:r>
      <w:r w:rsidR="00004658">
        <w:rPr>
          <w:rFonts w:ascii="Franklin Gothic Book" w:hAnsi="Franklin Gothic Book"/>
        </w:rPr>
        <w:t>requested</w:t>
      </w:r>
      <w:r w:rsidRPr="004A7B64">
        <w:rPr>
          <w:rFonts w:ascii="Franklin Gothic Book" w:hAnsi="Franklin Gothic Book"/>
        </w:rPr>
        <w:t xml:space="preserve"> advice from MSAC on permanent MBS items for COVID-19 nucleic acid testing. This assessment is to inform MSAC’s consideration and advice to the Minister.</w:t>
      </w:r>
    </w:p>
    <w:p w14:paraId="17F3CE35" w14:textId="4040421D" w:rsidR="00327EF2" w:rsidRDefault="00C320AA" w:rsidP="004A7B64">
      <w:pPr>
        <w:pStyle w:val="Caption"/>
      </w:pPr>
      <w:r>
        <w:t>Table 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0"/>
      <w:r>
        <w:tab/>
      </w:r>
      <w:r w:rsidR="00B539C0">
        <w:t>P</w:t>
      </w:r>
      <w:r w:rsidR="00373146">
        <w:t>arameters</w:t>
      </w:r>
      <w:r>
        <w:t xml:space="preserve"> for</w:t>
      </w:r>
      <w:r w:rsidR="00B539C0">
        <w:t xml:space="preserve"> assessing</w:t>
      </w:r>
      <w:r>
        <w:t xml:space="preserve"> </w:t>
      </w:r>
      <w:bookmarkEnd w:id="1"/>
      <w:r>
        <w:t xml:space="preserve">permanent MBS items for COVID-19 testing </w:t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131"/>
      </w:tblGrid>
      <w:tr w:rsidR="00C320AA" w:rsidRPr="00CE5013" w14:paraId="140F90E4" w14:textId="77777777" w:rsidTr="00643251">
        <w:trPr>
          <w:tblHeader/>
        </w:trPr>
        <w:tc>
          <w:tcPr>
            <w:tcW w:w="1885" w:type="dxa"/>
            <w:shd w:val="clear" w:color="auto" w:fill="D9D9D9" w:themeFill="background1" w:themeFillShade="D9"/>
          </w:tcPr>
          <w:p w14:paraId="2439DAC6" w14:textId="05CD2948" w:rsidR="00C320AA" w:rsidRPr="00CE5013" w:rsidRDefault="00C320AA" w:rsidP="004A7B64">
            <w:pPr>
              <w:pStyle w:val="TableHeading"/>
            </w:pPr>
            <w:r w:rsidRPr="00CE5013">
              <w:t>Component</w:t>
            </w:r>
          </w:p>
        </w:tc>
        <w:tc>
          <w:tcPr>
            <w:tcW w:w="7131" w:type="dxa"/>
            <w:shd w:val="clear" w:color="auto" w:fill="D9D9D9" w:themeFill="background1" w:themeFillShade="D9"/>
          </w:tcPr>
          <w:p w14:paraId="5A8AA602" w14:textId="04877A8C" w:rsidR="00C320AA" w:rsidRPr="00CE5013" w:rsidRDefault="00C320AA" w:rsidP="004A7B64">
            <w:pPr>
              <w:pStyle w:val="TableHeading"/>
            </w:pPr>
            <w:r w:rsidRPr="00CE5013">
              <w:t>Description</w:t>
            </w:r>
          </w:p>
        </w:tc>
      </w:tr>
      <w:tr w:rsidR="00327EF2" w:rsidRPr="00C320AA" w14:paraId="11273AB2" w14:textId="77777777" w:rsidTr="00495996">
        <w:tc>
          <w:tcPr>
            <w:tcW w:w="1885" w:type="dxa"/>
          </w:tcPr>
          <w:p w14:paraId="0DED5D35" w14:textId="78CA5749" w:rsidR="00327EF2" w:rsidRPr="004A7B64" w:rsidRDefault="00327EF2">
            <w:pPr>
              <w:rPr>
                <w:rFonts w:ascii="Arial Narrow" w:hAnsi="Arial Narrow"/>
                <w:sz w:val="20"/>
                <w:szCs w:val="20"/>
              </w:rPr>
            </w:pPr>
            <w:r w:rsidRPr="004A7B64">
              <w:rPr>
                <w:rFonts w:ascii="Arial Narrow" w:hAnsi="Arial Narrow"/>
                <w:sz w:val="20"/>
                <w:szCs w:val="20"/>
              </w:rPr>
              <w:t>Population</w:t>
            </w:r>
          </w:p>
        </w:tc>
        <w:tc>
          <w:tcPr>
            <w:tcW w:w="7131" w:type="dxa"/>
          </w:tcPr>
          <w:p w14:paraId="47EA61B8" w14:textId="7F0E275D" w:rsidR="00F10193" w:rsidRPr="004A7B64" w:rsidRDefault="00327EF2">
            <w:pPr>
              <w:rPr>
                <w:rFonts w:ascii="Arial Narrow" w:hAnsi="Arial Narrow"/>
                <w:sz w:val="20"/>
                <w:szCs w:val="20"/>
              </w:rPr>
            </w:pPr>
            <w:r w:rsidRPr="004A7B64">
              <w:rPr>
                <w:rFonts w:ascii="Arial Narrow" w:hAnsi="Arial Narrow"/>
                <w:sz w:val="20"/>
                <w:szCs w:val="20"/>
              </w:rPr>
              <w:t xml:space="preserve">Individuals who require testing for the diagnosis of </w:t>
            </w:r>
            <w:r w:rsidR="00134594" w:rsidRPr="004A7B64">
              <w:rPr>
                <w:rFonts w:ascii="Arial Narrow" w:hAnsi="Arial Narrow"/>
                <w:sz w:val="20"/>
                <w:szCs w:val="20"/>
              </w:rPr>
              <w:t xml:space="preserve">SARS-CoV-2 </w:t>
            </w:r>
            <w:r w:rsidR="00E86FDF" w:rsidRPr="004A7B64">
              <w:rPr>
                <w:rFonts w:ascii="Arial Narrow" w:hAnsi="Arial Narrow"/>
                <w:sz w:val="20"/>
                <w:szCs w:val="20"/>
              </w:rPr>
              <w:t>and/</w:t>
            </w:r>
            <w:r w:rsidR="00134594" w:rsidRPr="004A7B64">
              <w:rPr>
                <w:rFonts w:ascii="Arial Narrow" w:hAnsi="Arial Narrow"/>
                <w:sz w:val="20"/>
                <w:szCs w:val="20"/>
              </w:rPr>
              <w:t>or other</w:t>
            </w:r>
            <w:r w:rsidRPr="004A7B6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535CC" w:rsidRPr="004A7B64">
              <w:rPr>
                <w:rFonts w:ascii="Arial Narrow" w:hAnsi="Arial Narrow"/>
                <w:sz w:val="20"/>
                <w:szCs w:val="20"/>
              </w:rPr>
              <w:t xml:space="preserve">respiratory </w:t>
            </w:r>
            <w:r w:rsidRPr="004A7B64">
              <w:rPr>
                <w:rFonts w:ascii="Arial Narrow" w:hAnsi="Arial Narrow"/>
                <w:sz w:val="20"/>
                <w:szCs w:val="20"/>
              </w:rPr>
              <w:t>viral illness</w:t>
            </w:r>
            <w:r w:rsidR="00EE5ECA" w:rsidRPr="004A7B64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="00F10193" w:rsidRPr="004A7B64">
              <w:rPr>
                <w:rFonts w:ascii="Arial Narrow" w:hAnsi="Arial Narrow"/>
                <w:sz w:val="20"/>
                <w:szCs w:val="20"/>
              </w:rPr>
              <w:t>split into testing performed in outpatient settings and inpatient settings</w:t>
            </w:r>
            <w:r w:rsidR="00EE5ECA" w:rsidRPr="004A7B64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58A6CE90" w14:textId="77777777" w:rsidR="00012946" w:rsidRPr="004A7B64" w:rsidRDefault="00012946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61D67E2" w14:textId="09EB8040" w:rsidR="00012946" w:rsidRPr="004A7B64" w:rsidRDefault="00AB487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The assessment should e</w:t>
            </w:r>
            <w:r w:rsidR="00012946" w:rsidRPr="004A7B64">
              <w:rPr>
                <w:rFonts w:ascii="Arial Narrow" w:hAnsi="Arial Narrow"/>
                <w:sz w:val="20"/>
                <w:szCs w:val="20"/>
              </w:rPr>
              <w:t xml:space="preserve">xamine the clinical place of </w:t>
            </w:r>
            <w:proofErr w:type="spellStart"/>
            <w:r w:rsidR="00012946" w:rsidRPr="004A7B64">
              <w:rPr>
                <w:rFonts w:ascii="Arial Narrow" w:hAnsi="Arial Narrow"/>
                <w:sz w:val="20"/>
                <w:szCs w:val="20"/>
              </w:rPr>
              <w:t>singleplex</w:t>
            </w:r>
            <w:proofErr w:type="spellEnd"/>
            <w:r w:rsidR="00012946" w:rsidRPr="004A7B64">
              <w:rPr>
                <w:rFonts w:ascii="Arial Narrow" w:hAnsi="Arial Narrow"/>
                <w:sz w:val="20"/>
                <w:szCs w:val="20"/>
              </w:rPr>
              <w:t xml:space="preserve"> and multiplex SARS-CoV-2 testing, including differences by clinical setting (e.g., </w:t>
            </w:r>
            <w:r w:rsidR="005724DA">
              <w:rPr>
                <w:rFonts w:ascii="Arial Narrow" w:hAnsi="Arial Narrow"/>
                <w:sz w:val="20"/>
                <w:szCs w:val="20"/>
              </w:rPr>
              <w:t xml:space="preserve">test sequencing in </w:t>
            </w:r>
            <w:r w:rsidR="00012946" w:rsidRPr="004A7B64">
              <w:rPr>
                <w:rFonts w:ascii="Arial Narrow" w:hAnsi="Arial Narrow"/>
                <w:sz w:val="20"/>
                <w:szCs w:val="20"/>
              </w:rPr>
              <w:t>primary care versus admitted hospital patient</w:t>
            </w:r>
            <w:r w:rsidR="005724DA">
              <w:rPr>
                <w:rFonts w:ascii="Arial Narrow" w:hAnsi="Arial Narrow"/>
                <w:sz w:val="20"/>
                <w:szCs w:val="20"/>
              </w:rPr>
              <w:t>, and test purpose in confirming or refuting a diagnosis</w:t>
            </w:r>
            <w:r w:rsidR="001554BC">
              <w:rPr>
                <w:rFonts w:ascii="Arial Narrow" w:hAnsi="Arial Narrow"/>
                <w:sz w:val="20"/>
                <w:szCs w:val="20"/>
              </w:rPr>
              <w:t xml:space="preserve"> of SARS-CoV-2 and/or other respiratory viral infections</w:t>
            </w:r>
            <w:r w:rsidR="00012946" w:rsidRPr="004A7B64">
              <w:rPr>
                <w:rFonts w:ascii="Arial Narrow" w:hAnsi="Arial Narrow"/>
                <w:sz w:val="20"/>
                <w:szCs w:val="20"/>
              </w:rPr>
              <w:t>) and in the context of other respiratory viral testing.</w:t>
            </w:r>
          </w:p>
        </w:tc>
      </w:tr>
      <w:tr w:rsidR="00327EF2" w:rsidRPr="00C320AA" w14:paraId="6D5F8295" w14:textId="77777777" w:rsidTr="00495996">
        <w:tc>
          <w:tcPr>
            <w:tcW w:w="1885" w:type="dxa"/>
          </w:tcPr>
          <w:p w14:paraId="2903803A" w14:textId="070E4308" w:rsidR="00327EF2" w:rsidRPr="004A7B64" w:rsidRDefault="00F10193">
            <w:pPr>
              <w:rPr>
                <w:rFonts w:ascii="Arial Narrow" w:hAnsi="Arial Narrow"/>
                <w:sz w:val="20"/>
                <w:szCs w:val="20"/>
              </w:rPr>
            </w:pPr>
            <w:r w:rsidRPr="004A7B64">
              <w:rPr>
                <w:rFonts w:ascii="Arial Narrow" w:hAnsi="Arial Narrow"/>
                <w:sz w:val="20"/>
                <w:szCs w:val="20"/>
              </w:rPr>
              <w:t>Intervention</w:t>
            </w:r>
          </w:p>
        </w:tc>
        <w:tc>
          <w:tcPr>
            <w:tcW w:w="7131" w:type="dxa"/>
          </w:tcPr>
          <w:p w14:paraId="3D3223A8" w14:textId="2EAF2A14" w:rsidR="00B55712" w:rsidRPr="004A7B64" w:rsidRDefault="00807574" w:rsidP="00B55712">
            <w:pPr>
              <w:rPr>
                <w:rFonts w:ascii="Arial Narrow" w:hAnsi="Arial Narrow"/>
                <w:sz w:val="20"/>
                <w:szCs w:val="20"/>
              </w:rPr>
            </w:pPr>
            <w:r w:rsidRPr="004A7B64">
              <w:rPr>
                <w:rFonts w:ascii="Arial Narrow" w:hAnsi="Arial Narrow"/>
                <w:sz w:val="20"/>
                <w:szCs w:val="20"/>
              </w:rPr>
              <w:t>P</w:t>
            </w:r>
            <w:r w:rsidR="00B55712" w:rsidRPr="004A7B64">
              <w:rPr>
                <w:rFonts w:ascii="Arial Narrow" w:hAnsi="Arial Narrow"/>
                <w:sz w:val="20"/>
                <w:szCs w:val="20"/>
              </w:rPr>
              <w:t xml:space="preserve">ermanent MBS items for testing for SARS-CoV-2 and/or other respiratory virus nucleic acids (any method, though recognising </w:t>
            </w:r>
            <w:r w:rsidR="0068663C">
              <w:rPr>
                <w:rFonts w:ascii="Arial Narrow" w:hAnsi="Arial Narrow"/>
                <w:sz w:val="20"/>
                <w:szCs w:val="20"/>
              </w:rPr>
              <w:t xml:space="preserve">advice from laboratory providers indicates </w:t>
            </w:r>
            <w:r w:rsidR="00B55712" w:rsidRPr="004A7B64">
              <w:rPr>
                <w:rFonts w:ascii="Arial Narrow" w:hAnsi="Arial Narrow"/>
                <w:sz w:val="20"/>
                <w:szCs w:val="20"/>
              </w:rPr>
              <w:t xml:space="preserve">that current testing in Australia </w:t>
            </w:r>
            <w:r w:rsidR="0068663C">
              <w:rPr>
                <w:rFonts w:ascii="Arial Narrow" w:hAnsi="Arial Narrow"/>
                <w:sz w:val="20"/>
                <w:szCs w:val="20"/>
              </w:rPr>
              <w:t>uses</w:t>
            </w:r>
            <w:r w:rsidR="00B55712" w:rsidRPr="004A7B6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8663C">
              <w:rPr>
                <w:rFonts w:ascii="Arial Narrow" w:hAnsi="Arial Narrow"/>
                <w:sz w:val="20"/>
                <w:szCs w:val="20"/>
              </w:rPr>
              <w:t>polymerase chain reaction (</w:t>
            </w:r>
            <w:r w:rsidR="00B55712" w:rsidRPr="004A7B64">
              <w:rPr>
                <w:rFonts w:ascii="Arial Narrow" w:hAnsi="Arial Narrow"/>
                <w:sz w:val="20"/>
                <w:szCs w:val="20"/>
              </w:rPr>
              <w:t>PCR</w:t>
            </w:r>
            <w:r w:rsidR="0068663C">
              <w:rPr>
                <w:rFonts w:ascii="Arial Narrow" w:hAnsi="Arial Narrow"/>
                <w:sz w:val="20"/>
                <w:szCs w:val="20"/>
              </w:rPr>
              <w:t>)</w:t>
            </w:r>
            <w:r w:rsidR="00B55712" w:rsidRPr="004A7B64">
              <w:rPr>
                <w:rFonts w:ascii="Arial Narrow" w:hAnsi="Arial Narrow"/>
                <w:sz w:val="20"/>
                <w:szCs w:val="20"/>
              </w:rPr>
              <w:t xml:space="preserve"> methods).</w:t>
            </w:r>
          </w:p>
          <w:p w14:paraId="2D41B4F8" w14:textId="77777777" w:rsidR="00EE5ECA" w:rsidRPr="004A7B64" w:rsidRDefault="00EE5EC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7D1B734" w14:textId="2F8B431C" w:rsidR="00327EF2" w:rsidRPr="004A7B64" w:rsidRDefault="00B55712">
            <w:pPr>
              <w:rPr>
                <w:rFonts w:ascii="Arial Narrow" w:hAnsi="Arial Narrow"/>
                <w:sz w:val="20"/>
                <w:szCs w:val="20"/>
              </w:rPr>
            </w:pPr>
            <w:r w:rsidRPr="004A7B64">
              <w:rPr>
                <w:rFonts w:ascii="Arial Narrow" w:hAnsi="Arial Narrow"/>
                <w:sz w:val="20"/>
                <w:szCs w:val="20"/>
              </w:rPr>
              <w:t xml:space="preserve">The proposed permanent items could use the same structure </w:t>
            </w:r>
            <w:r w:rsidR="00C959EF">
              <w:rPr>
                <w:rFonts w:ascii="Arial Narrow" w:hAnsi="Arial Narrow"/>
                <w:sz w:val="20"/>
                <w:szCs w:val="20"/>
              </w:rPr>
              <w:t xml:space="preserve">and item descriptors </w:t>
            </w:r>
            <w:r w:rsidRPr="004A7B64">
              <w:rPr>
                <w:rFonts w:ascii="Arial Narrow" w:hAnsi="Arial Narrow"/>
                <w:sz w:val="20"/>
                <w:szCs w:val="20"/>
              </w:rPr>
              <w:t>as the t</w:t>
            </w:r>
            <w:r w:rsidR="00F10193" w:rsidRPr="004A7B64">
              <w:rPr>
                <w:rFonts w:ascii="Arial Narrow" w:hAnsi="Arial Narrow"/>
                <w:sz w:val="20"/>
                <w:szCs w:val="20"/>
              </w:rPr>
              <w:t xml:space="preserve">emporary </w:t>
            </w:r>
            <w:r w:rsidR="00841AA0" w:rsidRPr="004A7B64">
              <w:rPr>
                <w:rFonts w:ascii="Arial Narrow" w:hAnsi="Arial Narrow"/>
                <w:sz w:val="20"/>
                <w:szCs w:val="20"/>
              </w:rPr>
              <w:t>SARS-CoV-2</w:t>
            </w:r>
            <w:r w:rsidR="00F10193" w:rsidRPr="004A7B64">
              <w:rPr>
                <w:rFonts w:ascii="Arial Narrow" w:hAnsi="Arial Narrow"/>
                <w:sz w:val="20"/>
                <w:szCs w:val="20"/>
              </w:rPr>
              <w:t xml:space="preserve"> test </w:t>
            </w:r>
            <w:r w:rsidR="00C959EF">
              <w:rPr>
                <w:rFonts w:ascii="Arial Narrow" w:hAnsi="Arial Narrow"/>
                <w:sz w:val="20"/>
                <w:szCs w:val="20"/>
              </w:rPr>
              <w:t xml:space="preserve">MBS </w:t>
            </w:r>
            <w:r w:rsidR="00F10193" w:rsidRPr="004A7B64">
              <w:rPr>
                <w:rFonts w:ascii="Arial Narrow" w:hAnsi="Arial Narrow"/>
                <w:sz w:val="20"/>
                <w:szCs w:val="20"/>
              </w:rPr>
              <w:t>items</w:t>
            </w:r>
            <w:r w:rsidR="00DD12C2" w:rsidRPr="004A7B64">
              <w:rPr>
                <w:rFonts w:ascii="Arial Narrow" w:hAnsi="Arial Narrow"/>
                <w:sz w:val="20"/>
                <w:szCs w:val="20"/>
              </w:rPr>
              <w:t xml:space="preserve"> (full schedule fee</w:t>
            </w:r>
            <w:r w:rsidR="00012946" w:rsidRPr="004A7B64">
              <w:rPr>
                <w:rFonts w:ascii="Arial Narrow" w:hAnsi="Arial Narrow"/>
                <w:sz w:val="20"/>
                <w:szCs w:val="20"/>
              </w:rPr>
              <w:t>s</w:t>
            </w:r>
            <w:r w:rsidR="00DD12C2" w:rsidRPr="004A7B64">
              <w:rPr>
                <w:rFonts w:ascii="Arial Narrow" w:hAnsi="Arial Narrow"/>
                <w:sz w:val="20"/>
                <w:szCs w:val="20"/>
              </w:rPr>
              <w:t>, laboratory-based)</w:t>
            </w:r>
            <w:r w:rsidR="007456B8" w:rsidRPr="004A7B64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53E6D807" w14:textId="6A161B15" w:rsidR="00F10193" w:rsidRPr="004A7B64" w:rsidRDefault="00EE5ECA" w:rsidP="00B55712">
            <w:pPr>
              <w:ind w:firstLine="136"/>
              <w:rPr>
                <w:rFonts w:ascii="Arial Narrow" w:hAnsi="Arial Narrow"/>
                <w:sz w:val="20"/>
                <w:szCs w:val="20"/>
              </w:rPr>
            </w:pPr>
            <w:r w:rsidRPr="004A7B64">
              <w:rPr>
                <w:rFonts w:ascii="Arial Narrow" w:hAnsi="Arial Narrow"/>
                <w:sz w:val="20"/>
                <w:szCs w:val="20"/>
              </w:rPr>
              <w:t xml:space="preserve">69511 one test $68.85 </w:t>
            </w:r>
          </w:p>
          <w:p w14:paraId="108C43CB" w14:textId="0BFF2904" w:rsidR="00EE5ECA" w:rsidRPr="004A7B64" w:rsidRDefault="00EE5ECA" w:rsidP="00B55712">
            <w:pPr>
              <w:ind w:firstLine="136"/>
              <w:rPr>
                <w:rFonts w:ascii="Arial Narrow" w:hAnsi="Arial Narrow"/>
                <w:sz w:val="20"/>
                <w:szCs w:val="20"/>
              </w:rPr>
            </w:pPr>
            <w:r w:rsidRPr="004A7B64">
              <w:rPr>
                <w:rFonts w:ascii="Arial Narrow" w:hAnsi="Arial Narrow"/>
                <w:sz w:val="20"/>
                <w:szCs w:val="20"/>
              </w:rPr>
              <w:t>69512 two to four tests $74.75</w:t>
            </w:r>
          </w:p>
          <w:p w14:paraId="7402655B" w14:textId="2138E58D" w:rsidR="00EE5ECA" w:rsidRPr="004A7B64" w:rsidRDefault="00EE5ECA" w:rsidP="00B55712">
            <w:pPr>
              <w:ind w:firstLine="136"/>
              <w:rPr>
                <w:rFonts w:ascii="Arial Narrow" w:hAnsi="Arial Narrow"/>
                <w:sz w:val="20"/>
                <w:szCs w:val="20"/>
              </w:rPr>
            </w:pPr>
            <w:r w:rsidRPr="004A7B64">
              <w:rPr>
                <w:rFonts w:ascii="Arial Narrow" w:hAnsi="Arial Narrow"/>
                <w:sz w:val="20"/>
                <w:szCs w:val="20"/>
              </w:rPr>
              <w:t>69513 five to eight tests $80.65</w:t>
            </w:r>
          </w:p>
          <w:p w14:paraId="00053BB6" w14:textId="3D2BF85B" w:rsidR="00EE5ECA" w:rsidRPr="004A7B64" w:rsidRDefault="00EE5ECA" w:rsidP="00B55712">
            <w:pPr>
              <w:ind w:firstLine="136"/>
              <w:rPr>
                <w:rFonts w:ascii="Arial Narrow" w:hAnsi="Arial Narrow"/>
                <w:sz w:val="20"/>
                <w:szCs w:val="20"/>
              </w:rPr>
            </w:pPr>
            <w:r w:rsidRPr="004A7B64">
              <w:rPr>
                <w:rFonts w:ascii="Arial Narrow" w:hAnsi="Arial Narrow"/>
                <w:sz w:val="20"/>
                <w:szCs w:val="20"/>
              </w:rPr>
              <w:t>69514 nine to twelve tests $86.55</w:t>
            </w:r>
          </w:p>
          <w:p w14:paraId="2847863D" w14:textId="45CD1EE7" w:rsidR="00EE5ECA" w:rsidRPr="004A7B64" w:rsidRDefault="00EE5ECA" w:rsidP="00B55712">
            <w:pPr>
              <w:ind w:firstLine="136"/>
              <w:rPr>
                <w:rFonts w:ascii="Arial Narrow" w:hAnsi="Arial Narrow"/>
                <w:sz w:val="20"/>
                <w:szCs w:val="20"/>
              </w:rPr>
            </w:pPr>
            <w:r w:rsidRPr="004A7B64">
              <w:rPr>
                <w:rFonts w:ascii="Arial Narrow" w:hAnsi="Arial Narrow"/>
                <w:sz w:val="20"/>
                <w:szCs w:val="20"/>
              </w:rPr>
              <w:t>69515 thirteen or more tests $92.45</w:t>
            </w:r>
          </w:p>
          <w:p w14:paraId="64D19FA6" w14:textId="61DCA4B9" w:rsidR="00004658" w:rsidRPr="00465DC4" w:rsidRDefault="00465DC4" w:rsidP="00C320AA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465DC4">
              <w:rPr>
                <w:rFonts w:ascii="Arial Narrow" w:hAnsi="Arial Narrow"/>
                <w:i/>
                <w:iCs/>
                <w:sz w:val="20"/>
                <w:szCs w:val="20"/>
              </w:rPr>
              <w:t>See Appendix A for MBS item descriptors.</w:t>
            </w:r>
          </w:p>
          <w:p w14:paraId="24CA1803" w14:textId="77777777" w:rsidR="00465DC4" w:rsidRDefault="00465DC4" w:rsidP="00C320A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74EF82B" w14:textId="6E62F158" w:rsidR="00C320AA" w:rsidRDefault="00C16746" w:rsidP="00C320A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Noting that t</w:t>
            </w:r>
            <w:r w:rsidRPr="00C16746">
              <w:rPr>
                <w:rFonts w:ascii="Arial Narrow" w:hAnsi="Arial Narrow"/>
                <w:sz w:val="20"/>
                <w:szCs w:val="20"/>
              </w:rPr>
              <w:t xml:space="preserve">he current temporary MBS items for the detection of SARS-CoV-2 include a fee differential between public and private pathology providers to align with the fifty-fifty cost-sharing agreements between the Commonwealth and states and territories. The </w:t>
            </w:r>
            <w:r>
              <w:rPr>
                <w:rFonts w:ascii="Arial Narrow" w:hAnsi="Arial Narrow"/>
                <w:sz w:val="20"/>
                <w:szCs w:val="20"/>
              </w:rPr>
              <w:t>assessment is to use t</w:t>
            </w:r>
            <w:r w:rsidRPr="00C16746">
              <w:rPr>
                <w:rFonts w:ascii="Arial Narrow" w:hAnsi="Arial Narrow"/>
                <w:sz w:val="20"/>
                <w:szCs w:val="20"/>
              </w:rPr>
              <w:t>he fees for private providers.</w:t>
            </w:r>
          </w:p>
          <w:p w14:paraId="5BE750C6" w14:textId="77777777" w:rsidR="00C16746" w:rsidRPr="00E85065" w:rsidRDefault="00C16746" w:rsidP="00C320A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CBF8DA9" w14:textId="77777777" w:rsidR="00AB4874" w:rsidRPr="004A7B64" w:rsidRDefault="00AB4874" w:rsidP="00AB4874">
            <w:pPr>
              <w:rPr>
                <w:rFonts w:ascii="Arial Narrow" w:hAnsi="Arial Narrow"/>
                <w:sz w:val="20"/>
                <w:szCs w:val="20"/>
              </w:rPr>
            </w:pPr>
            <w:r w:rsidRPr="004A7B64">
              <w:rPr>
                <w:rFonts w:ascii="Arial Narrow" w:hAnsi="Arial Narrow"/>
                <w:sz w:val="20"/>
                <w:szCs w:val="20"/>
              </w:rPr>
              <w:t xml:space="preserve">The assessment is to include justification for the proposed cost of testing. This should include more granular cost </w:t>
            </w:r>
            <w:proofErr w:type="gramStart"/>
            <w:r w:rsidRPr="004A7B64">
              <w:rPr>
                <w:rFonts w:ascii="Arial Narrow" w:hAnsi="Arial Narrow"/>
                <w:sz w:val="20"/>
                <w:szCs w:val="20"/>
              </w:rPr>
              <w:t>inputs</w:t>
            </w:r>
            <w:proofErr w:type="gramEnd"/>
            <w:r w:rsidRPr="004A7B64">
              <w:rPr>
                <w:rFonts w:ascii="Arial Narrow" w:hAnsi="Arial Narrow"/>
                <w:sz w:val="20"/>
                <w:szCs w:val="20"/>
              </w:rPr>
              <w:t xml:space="preserve"> if possible, as well as comparing the fees sought against those from current and recent MSAC assessments relevant to pathogen molecular testing (e.g. 1627 and 1646), and existing similar MBS items.</w:t>
            </w:r>
          </w:p>
          <w:p w14:paraId="3B98143F" w14:textId="77777777" w:rsidR="00AB4874" w:rsidRDefault="00AB4874" w:rsidP="00C320A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B935839" w14:textId="649378B1" w:rsidR="00C320AA" w:rsidRPr="00E85065" w:rsidRDefault="00692933" w:rsidP="00C320A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Rapid PCR testing</w:t>
            </w:r>
            <w:r w:rsidR="00C320AA" w:rsidRPr="00E8506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C4EA3">
              <w:rPr>
                <w:rFonts w:ascii="Arial Narrow" w:hAnsi="Arial Narrow"/>
                <w:sz w:val="20"/>
                <w:szCs w:val="20"/>
              </w:rPr>
              <w:t>of nucleic acids (</w:t>
            </w:r>
            <w:proofErr w:type="gramStart"/>
            <w:r w:rsidR="008C4EA3">
              <w:rPr>
                <w:rFonts w:ascii="Arial Narrow" w:hAnsi="Arial Narrow"/>
                <w:sz w:val="20"/>
                <w:szCs w:val="20"/>
              </w:rPr>
              <w:t>e.g.</w:t>
            </w:r>
            <w:proofErr w:type="gramEnd"/>
            <w:r w:rsidR="008C4EA3" w:rsidRPr="008C4EA3">
              <w:t xml:space="preserve"> </w:t>
            </w:r>
            <w:r w:rsidR="008C4EA3" w:rsidRPr="008C4EA3">
              <w:rPr>
                <w:rFonts w:ascii="Arial Narrow" w:hAnsi="Arial Narrow"/>
                <w:sz w:val="20"/>
                <w:szCs w:val="20"/>
              </w:rPr>
              <w:t>Cepheid GeneXpert</w:t>
            </w:r>
            <w:r w:rsidRPr="00692933">
              <w:rPr>
                <w:rFonts w:ascii="Arial Narrow" w:hAnsi="Arial Narrow"/>
                <w:sz w:val="20"/>
                <w:szCs w:val="20"/>
                <w:vertAlign w:val="superscript"/>
              </w:rPr>
              <w:t>®</w:t>
            </w:r>
            <w:r w:rsidR="008C4EA3">
              <w:rPr>
                <w:rFonts w:ascii="Arial Narrow" w:hAnsi="Arial Narrow"/>
                <w:sz w:val="20"/>
                <w:szCs w:val="20"/>
              </w:rPr>
              <w:t xml:space="preserve">) </w:t>
            </w:r>
            <w:r>
              <w:rPr>
                <w:rFonts w:ascii="Arial Narrow" w:hAnsi="Arial Narrow"/>
                <w:sz w:val="20"/>
                <w:szCs w:val="20"/>
              </w:rPr>
              <w:t xml:space="preserve">conducted in an accredited pathology laboratory </w:t>
            </w:r>
            <w:r w:rsidR="00C320AA" w:rsidRPr="00E85065">
              <w:rPr>
                <w:rFonts w:ascii="Arial Narrow" w:hAnsi="Arial Narrow"/>
                <w:sz w:val="20"/>
                <w:szCs w:val="20"/>
              </w:rPr>
              <w:t>is also to be assessed (scope of platform tests, fees and turnaround time to be included).</w:t>
            </w:r>
          </w:p>
          <w:p w14:paraId="66625DDE" w14:textId="77777777" w:rsidR="00B55712" w:rsidRPr="004A7B64" w:rsidRDefault="00B5571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65B0871" w14:textId="05C5F76E" w:rsidR="00E86FDF" w:rsidRPr="004A7B64" w:rsidRDefault="00012946" w:rsidP="00614643">
            <w:pPr>
              <w:rPr>
                <w:rFonts w:ascii="Arial Narrow" w:hAnsi="Arial Narrow"/>
                <w:sz w:val="20"/>
                <w:szCs w:val="20"/>
              </w:rPr>
            </w:pPr>
            <w:r w:rsidRPr="004A7B64">
              <w:rPr>
                <w:rFonts w:ascii="Arial Narrow" w:hAnsi="Arial Narrow"/>
                <w:sz w:val="20"/>
                <w:szCs w:val="20"/>
              </w:rPr>
              <w:t>C</w:t>
            </w:r>
            <w:r w:rsidR="00E86FDF" w:rsidRPr="004A7B64">
              <w:rPr>
                <w:rFonts w:ascii="Arial Narrow" w:hAnsi="Arial Narrow"/>
                <w:sz w:val="20"/>
                <w:szCs w:val="20"/>
              </w:rPr>
              <w:t>ompare the available technologies (</w:t>
            </w:r>
            <w:proofErr w:type="gramStart"/>
            <w:r w:rsidR="00E86FDF" w:rsidRPr="004A7B64">
              <w:rPr>
                <w:rFonts w:ascii="Arial Narrow" w:hAnsi="Arial Narrow"/>
                <w:sz w:val="20"/>
                <w:szCs w:val="20"/>
              </w:rPr>
              <w:t>e.g.</w:t>
            </w:r>
            <w:proofErr w:type="gramEnd"/>
            <w:r w:rsidR="00E86FDF" w:rsidRPr="004A7B64">
              <w:rPr>
                <w:rFonts w:ascii="Arial Narrow" w:hAnsi="Arial Narrow"/>
                <w:sz w:val="20"/>
                <w:szCs w:val="20"/>
              </w:rPr>
              <w:t xml:space="preserve"> GeneXpert</w:t>
            </w:r>
            <w:r w:rsidR="00E86FDF" w:rsidRPr="004A7B64">
              <w:rPr>
                <w:rFonts w:ascii="Arial Narrow" w:hAnsi="Arial Narrow"/>
                <w:sz w:val="20"/>
                <w:szCs w:val="20"/>
                <w:vertAlign w:val="superscript"/>
              </w:rPr>
              <w:t>®</w:t>
            </w:r>
            <w:r w:rsidR="00E86FDF" w:rsidRPr="004A7B64">
              <w:rPr>
                <w:rFonts w:ascii="Arial Narrow" w:hAnsi="Arial Narrow"/>
                <w:sz w:val="20"/>
                <w:szCs w:val="20"/>
              </w:rPr>
              <w:t xml:space="preserve">) and service delivery models for </w:t>
            </w:r>
            <w:proofErr w:type="spellStart"/>
            <w:r w:rsidR="00E86FDF" w:rsidRPr="004A7B64">
              <w:rPr>
                <w:rFonts w:ascii="Arial Narrow" w:hAnsi="Arial Narrow"/>
                <w:sz w:val="20"/>
                <w:szCs w:val="20"/>
              </w:rPr>
              <w:t>singleplex</w:t>
            </w:r>
            <w:proofErr w:type="spellEnd"/>
            <w:r w:rsidR="00E86FDF" w:rsidRPr="004A7B64">
              <w:rPr>
                <w:rFonts w:ascii="Arial Narrow" w:hAnsi="Arial Narrow"/>
                <w:sz w:val="20"/>
                <w:szCs w:val="20"/>
              </w:rPr>
              <w:t xml:space="preserve"> and multiplex laboratory-based PCR testing, and their associated costs and turnaround times.</w:t>
            </w:r>
          </w:p>
        </w:tc>
      </w:tr>
      <w:tr w:rsidR="00327EF2" w:rsidRPr="00C320AA" w14:paraId="40F032BE" w14:textId="77777777" w:rsidTr="00495996">
        <w:tc>
          <w:tcPr>
            <w:tcW w:w="1885" w:type="dxa"/>
          </w:tcPr>
          <w:p w14:paraId="04217C6D" w14:textId="118A63A3" w:rsidR="00327EF2" w:rsidRPr="004A7B64" w:rsidRDefault="00F10193">
            <w:pPr>
              <w:rPr>
                <w:rFonts w:ascii="Arial Narrow" w:hAnsi="Arial Narrow"/>
                <w:sz w:val="20"/>
                <w:szCs w:val="20"/>
              </w:rPr>
            </w:pPr>
            <w:r w:rsidRPr="004A7B64">
              <w:rPr>
                <w:rFonts w:ascii="Arial Narrow" w:hAnsi="Arial Narrow"/>
                <w:sz w:val="20"/>
                <w:szCs w:val="20"/>
              </w:rPr>
              <w:lastRenderedPageBreak/>
              <w:t>Comparator</w:t>
            </w:r>
          </w:p>
        </w:tc>
        <w:tc>
          <w:tcPr>
            <w:tcW w:w="7131" w:type="dxa"/>
          </w:tcPr>
          <w:p w14:paraId="6F7CD8C6" w14:textId="32214B83" w:rsidR="00327EF2" w:rsidRPr="004A7B64" w:rsidRDefault="00B55712">
            <w:pPr>
              <w:rPr>
                <w:rFonts w:ascii="Arial Narrow" w:hAnsi="Arial Narrow"/>
                <w:sz w:val="20"/>
                <w:szCs w:val="20"/>
              </w:rPr>
            </w:pPr>
            <w:r w:rsidRPr="004A7B64">
              <w:rPr>
                <w:rFonts w:ascii="Arial Narrow" w:hAnsi="Arial Narrow"/>
                <w:sz w:val="20"/>
                <w:szCs w:val="20"/>
              </w:rPr>
              <w:t>SARS-CoV</w:t>
            </w:r>
            <w:r w:rsidR="00B8619F" w:rsidRPr="004A7B64">
              <w:rPr>
                <w:rFonts w:ascii="Arial Narrow" w:hAnsi="Arial Narrow"/>
                <w:sz w:val="20"/>
                <w:szCs w:val="20"/>
              </w:rPr>
              <w:t>-</w:t>
            </w:r>
            <w:r w:rsidRPr="004A7B64">
              <w:rPr>
                <w:rFonts w:ascii="Arial Narrow" w:hAnsi="Arial Narrow"/>
                <w:sz w:val="20"/>
                <w:szCs w:val="20"/>
              </w:rPr>
              <w:t>2 t</w:t>
            </w:r>
            <w:r w:rsidR="00560A4D" w:rsidRPr="004A7B64">
              <w:rPr>
                <w:rFonts w:ascii="Arial Narrow" w:hAnsi="Arial Narrow"/>
                <w:sz w:val="20"/>
                <w:szCs w:val="20"/>
              </w:rPr>
              <w:t xml:space="preserve">esting if the temporary items </w:t>
            </w:r>
            <w:r w:rsidR="00012946" w:rsidRPr="004A7B64">
              <w:rPr>
                <w:rFonts w:ascii="Arial Narrow" w:hAnsi="Arial Narrow"/>
                <w:sz w:val="20"/>
                <w:szCs w:val="20"/>
              </w:rPr>
              <w:t>cease on</w:t>
            </w:r>
            <w:r w:rsidR="00E86FDF" w:rsidRPr="004A7B64">
              <w:rPr>
                <w:rFonts w:ascii="Arial Narrow" w:hAnsi="Arial Narrow"/>
                <w:sz w:val="20"/>
                <w:szCs w:val="20"/>
              </w:rPr>
              <w:t xml:space="preserve"> 31 December 2023;</w:t>
            </w:r>
            <w:r w:rsidR="00560A4D" w:rsidRPr="004A7B6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86FDF" w:rsidRPr="004A7B64">
              <w:rPr>
                <w:rFonts w:ascii="Arial Narrow" w:hAnsi="Arial Narrow"/>
                <w:sz w:val="20"/>
                <w:szCs w:val="20"/>
              </w:rPr>
              <w:t>i</w:t>
            </w:r>
            <w:r w:rsidR="00560A4D" w:rsidRPr="004A7B64">
              <w:rPr>
                <w:rFonts w:ascii="Arial Narrow" w:hAnsi="Arial Narrow"/>
                <w:sz w:val="20"/>
                <w:szCs w:val="20"/>
              </w:rPr>
              <w:t>.e., t</w:t>
            </w:r>
            <w:r w:rsidR="00EE5ECA" w:rsidRPr="004A7B64">
              <w:rPr>
                <w:rFonts w:ascii="Arial Narrow" w:hAnsi="Arial Narrow"/>
                <w:sz w:val="20"/>
                <w:szCs w:val="20"/>
              </w:rPr>
              <w:t>esting for suspected SARS-CoV-2, and</w:t>
            </w:r>
            <w:r w:rsidR="003D747F" w:rsidRPr="004A7B64">
              <w:rPr>
                <w:rFonts w:ascii="Arial Narrow" w:hAnsi="Arial Narrow"/>
                <w:sz w:val="20"/>
                <w:szCs w:val="20"/>
              </w:rPr>
              <w:t>/</w:t>
            </w:r>
            <w:r w:rsidR="00EE5ECA" w:rsidRPr="004A7B64">
              <w:rPr>
                <w:rFonts w:ascii="Arial Narrow" w:hAnsi="Arial Narrow"/>
                <w:sz w:val="20"/>
                <w:szCs w:val="20"/>
              </w:rPr>
              <w:t>or other respiratory viral pathogens using the g</w:t>
            </w:r>
            <w:r w:rsidR="00F10193" w:rsidRPr="004A7B64">
              <w:rPr>
                <w:rFonts w:ascii="Arial Narrow" w:hAnsi="Arial Narrow"/>
                <w:sz w:val="20"/>
                <w:szCs w:val="20"/>
              </w:rPr>
              <w:t>eneric permanent MBS items for nucleic acid testing</w:t>
            </w:r>
            <w:r w:rsidR="00DD12C2" w:rsidRPr="004A7B64">
              <w:rPr>
                <w:rFonts w:ascii="Arial Narrow" w:hAnsi="Arial Narrow"/>
                <w:sz w:val="20"/>
                <w:szCs w:val="20"/>
              </w:rPr>
              <w:t xml:space="preserve"> (full schedule fee</w:t>
            </w:r>
            <w:r w:rsidR="00012946" w:rsidRPr="004A7B64">
              <w:rPr>
                <w:rFonts w:ascii="Arial Narrow" w:hAnsi="Arial Narrow"/>
                <w:sz w:val="20"/>
                <w:szCs w:val="20"/>
              </w:rPr>
              <w:t>s</w:t>
            </w:r>
            <w:r w:rsidR="00DD12C2" w:rsidRPr="004A7B64">
              <w:rPr>
                <w:rFonts w:ascii="Arial Narrow" w:hAnsi="Arial Narrow"/>
                <w:sz w:val="20"/>
                <w:szCs w:val="20"/>
              </w:rPr>
              <w:t>)</w:t>
            </w:r>
            <w:r w:rsidR="00EE5ECA" w:rsidRPr="004A7B64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3BEA99B8" w14:textId="081C528C" w:rsidR="00F10193" w:rsidRPr="004A7B64" w:rsidRDefault="00F10193" w:rsidP="004A7B64">
            <w:pPr>
              <w:ind w:firstLine="136"/>
              <w:rPr>
                <w:rFonts w:ascii="Arial Narrow" w:hAnsi="Arial Narrow"/>
                <w:sz w:val="20"/>
                <w:szCs w:val="20"/>
              </w:rPr>
            </w:pPr>
            <w:r w:rsidRPr="004A7B64">
              <w:rPr>
                <w:rFonts w:ascii="Arial Narrow" w:hAnsi="Arial Narrow"/>
                <w:sz w:val="20"/>
                <w:szCs w:val="20"/>
              </w:rPr>
              <w:t>69494 – one test</w:t>
            </w:r>
            <w:r w:rsidR="00EE5ECA" w:rsidRPr="004A7B64">
              <w:rPr>
                <w:rFonts w:ascii="Arial Narrow" w:hAnsi="Arial Narrow"/>
                <w:sz w:val="20"/>
                <w:szCs w:val="20"/>
              </w:rPr>
              <w:t xml:space="preserve"> $28.65</w:t>
            </w:r>
          </w:p>
          <w:p w14:paraId="40E21BD2" w14:textId="2A924075" w:rsidR="00F10193" w:rsidRPr="004A7B64" w:rsidRDefault="00F10193" w:rsidP="004A7B64">
            <w:pPr>
              <w:ind w:firstLine="136"/>
              <w:rPr>
                <w:rFonts w:ascii="Arial Narrow" w:hAnsi="Arial Narrow"/>
                <w:sz w:val="20"/>
                <w:szCs w:val="20"/>
              </w:rPr>
            </w:pPr>
            <w:r w:rsidRPr="004A7B64">
              <w:rPr>
                <w:rFonts w:ascii="Arial Narrow" w:hAnsi="Arial Narrow"/>
                <w:sz w:val="20"/>
                <w:szCs w:val="20"/>
              </w:rPr>
              <w:t>69495 – two tests</w:t>
            </w:r>
            <w:r w:rsidR="00EE5ECA" w:rsidRPr="004A7B64">
              <w:rPr>
                <w:rFonts w:ascii="Arial Narrow" w:hAnsi="Arial Narrow"/>
                <w:sz w:val="20"/>
                <w:szCs w:val="20"/>
              </w:rPr>
              <w:t xml:space="preserve"> $35.85</w:t>
            </w:r>
          </w:p>
          <w:p w14:paraId="726B7D9E" w14:textId="312706D6" w:rsidR="00F10193" w:rsidRDefault="00F10193" w:rsidP="004A7B64">
            <w:pPr>
              <w:ind w:firstLine="136"/>
              <w:rPr>
                <w:rFonts w:ascii="Arial Narrow" w:hAnsi="Arial Narrow"/>
                <w:sz w:val="20"/>
                <w:szCs w:val="20"/>
              </w:rPr>
            </w:pPr>
            <w:r w:rsidRPr="004A7B64">
              <w:rPr>
                <w:rFonts w:ascii="Arial Narrow" w:hAnsi="Arial Narrow"/>
                <w:sz w:val="20"/>
                <w:szCs w:val="20"/>
              </w:rPr>
              <w:t xml:space="preserve">69496 – three </w:t>
            </w:r>
            <w:r w:rsidR="00AE2987">
              <w:rPr>
                <w:rFonts w:ascii="Arial Narrow" w:hAnsi="Arial Narrow"/>
                <w:sz w:val="20"/>
                <w:szCs w:val="20"/>
              </w:rPr>
              <w:t xml:space="preserve">or more </w:t>
            </w:r>
            <w:r w:rsidRPr="004A7B64">
              <w:rPr>
                <w:rFonts w:ascii="Arial Narrow" w:hAnsi="Arial Narrow"/>
                <w:sz w:val="20"/>
                <w:szCs w:val="20"/>
              </w:rPr>
              <w:t>tests</w:t>
            </w:r>
            <w:r w:rsidR="00EE5ECA" w:rsidRPr="004A7B6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064F3" w:rsidRPr="00614643">
              <w:rPr>
                <w:rFonts w:ascii="Arial Narrow" w:hAnsi="Arial Narrow"/>
                <w:sz w:val="20"/>
                <w:szCs w:val="20"/>
              </w:rPr>
              <w:t>$43.05</w:t>
            </w:r>
          </w:p>
          <w:p w14:paraId="7468EADB" w14:textId="23C308FA" w:rsidR="00465DC4" w:rsidRPr="00465DC4" w:rsidRDefault="00465DC4" w:rsidP="00465DC4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465DC4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See Appendix </w:t>
            </w:r>
            <w:r w:rsidR="00094891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B </w:t>
            </w:r>
            <w:r w:rsidRPr="00465DC4">
              <w:rPr>
                <w:rFonts w:ascii="Arial Narrow" w:hAnsi="Arial Narrow"/>
                <w:i/>
                <w:iCs/>
                <w:sz w:val="20"/>
                <w:szCs w:val="20"/>
              </w:rPr>
              <w:t>for MBS item descriptors.</w:t>
            </w:r>
          </w:p>
          <w:p w14:paraId="46D1A9B9" w14:textId="77777777" w:rsidR="00465DC4" w:rsidRDefault="00465DC4" w:rsidP="007133E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3AF2376" w14:textId="1278FEBF" w:rsidR="007133E7" w:rsidRPr="004A7B64" w:rsidRDefault="007133E7" w:rsidP="007133E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The intervention is proposed to be listed on the MBS in addition to (rather than replacing) these permanent MBS items.</w:t>
            </w:r>
          </w:p>
        </w:tc>
      </w:tr>
      <w:tr w:rsidR="00327EF2" w:rsidRPr="00C320AA" w14:paraId="1040AF0F" w14:textId="77777777" w:rsidTr="00495996">
        <w:tc>
          <w:tcPr>
            <w:tcW w:w="1885" w:type="dxa"/>
          </w:tcPr>
          <w:p w14:paraId="59D78ACC" w14:textId="425AB542" w:rsidR="00327EF2" w:rsidRPr="004A7B64" w:rsidRDefault="00012946">
            <w:pPr>
              <w:rPr>
                <w:rFonts w:ascii="Arial Narrow" w:hAnsi="Arial Narrow"/>
                <w:sz w:val="20"/>
                <w:szCs w:val="20"/>
              </w:rPr>
            </w:pPr>
            <w:r w:rsidRPr="004A7B64">
              <w:rPr>
                <w:rFonts w:ascii="Arial Narrow" w:hAnsi="Arial Narrow"/>
                <w:sz w:val="20"/>
                <w:szCs w:val="20"/>
              </w:rPr>
              <w:t>Reference standard</w:t>
            </w:r>
          </w:p>
        </w:tc>
        <w:tc>
          <w:tcPr>
            <w:tcW w:w="7131" w:type="dxa"/>
          </w:tcPr>
          <w:p w14:paraId="4E1BA4AA" w14:textId="551D83CC" w:rsidR="00327EF2" w:rsidRDefault="0046518E">
            <w:pPr>
              <w:rPr>
                <w:rFonts w:ascii="Arial Narrow" w:hAnsi="Arial Narrow"/>
                <w:sz w:val="20"/>
                <w:szCs w:val="20"/>
              </w:rPr>
            </w:pPr>
            <w:r w:rsidRPr="004A7B64">
              <w:rPr>
                <w:rFonts w:ascii="Arial Narrow" w:hAnsi="Arial Narrow"/>
                <w:sz w:val="20"/>
                <w:szCs w:val="20"/>
              </w:rPr>
              <w:t>Assessing the</w:t>
            </w:r>
            <w:r w:rsidR="005724DA">
              <w:rPr>
                <w:rFonts w:ascii="Arial Narrow" w:hAnsi="Arial Narrow"/>
                <w:sz w:val="20"/>
                <w:szCs w:val="20"/>
              </w:rPr>
              <w:t xml:space="preserve"> comparative</w:t>
            </w:r>
            <w:r w:rsidRPr="004A7B64">
              <w:rPr>
                <w:rFonts w:ascii="Arial Narrow" w:hAnsi="Arial Narrow"/>
                <w:sz w:val="20"/>
                <w:szCs w:val="20"/>
              </w:rPr>
              <w:t xml:space="preserve"> analytical validity of different </w:t>
            </w:r>
            <w:r w:rsidR="003332D3">
              <w:rPr>
                <w:rFonts w:ascii="Arial Narrow" w:hAnsi="Arial Narrow"/>
                <w:sz w:val="20"/>
                <w:szCs w:val="20"/>
              </w:rPr>
              <w:t xml:space="preserve">SARS-CoV-2 </w:t>
            </w:r>
            <w:r w:rsidRPr="004A7B64">
              <w:rPr>
                <w:rFonts w:ascii="Arial Narrow" w:hAnsi="Arial Narrow"/>
                <w:sz w:val="20"/>
                <w:szCs w:val="20"/>
              </w:rPr>
              <w:t>testing strategies comprised of the same tests is not required.</w:t>
            </w:r>
          </w:p>
          <w:p w14:paraId="1FF7ADC2" w14:textId="77777777" w:rsidR="003332D3" w:rsidRPr="004A7B64" w:rsidRDefault="003332D3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CF4A3E7" w14:textId="18BF1CC9" w:rsidR="0046518E" w:rsidRPr="004A7B64" w:rsidRDefault="0046518E">
            <w:pPr>
              <w:rPr>
                <w:rFonts w:ascii="Arial Narrow" w:hAnsi="Arial Narrow"/>
                <w:sz w:val="20"/>
                <w:szCs w:val="20"/>
              </w:rPr>
            </w:pPr>
            <w:r w:rsidRPr="004A7B64">
              <w:rPr>
                <w:rFonts w:ascii="Arial Narrow" w:hAnsi="Arial Narrow"/>
                <w:sz w:val="20"/>
                <w:szCs w:val="20"/>
              </w:rPr>
              <w:t xml:space="preserve">The assessment of the effectiveness of the intervention should include the analytical validity of </w:t>
            </w:r>
            <w:r w:rsidR="003332D3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Pr="004A7B64">
              <w:rPr>
                <w:rFonts w:ascii="Arial Narrow" w:hAnsi="Arial Narrow"/>
                <w:sz w:val="20"/>
                <w:szCs w:val="20"/>
              </w:rPr>
              <w:t>in-scope test methods (</w:t>
            </w:r>
            <w:proofErr w:type="gramStart"/>
            <w:r w:rsidR="00C320AA">
              <w:rPr>
                <w:rFonts w:ascii="Arial Narrow" w:hAnsi="Arial Narrow"/>
                <w:sz w:val="20"/>
                <w:szCs w:val="20"/>
              </w:rPr>
              <w:t>e.g.</w:t>
            </w:r>
            <w:proofErr w:type="gramEnd"/>
            <w:r w:rsidR="00C320A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320AA" w:rsidRPr="00C320AA">
              <w:rPr>
                <w:rFonts w:ascii="Arial Narrow" w:hAnsi="Arial Narrow"/>
                <w:sz w:val="20"/>
                <w:szCs w:val="20"/>
              </w:rPr>
              <w:t>sensitivity, specificity, false positive rate, false negative rate, positive predictive value, negative predictive value</w:t>
            </w:r>
            <w:r w:rsidR="003332D3">
              <w:rPr>
                <w:rFonts w:ascii="Arial Narrow" w:hAnsi="Arial Narrow"/>
                <w:sz w:val="20"/>
                <w:szCs w:val="20"/>
              </w:rPr>
              <w:t>). For this comparison the reference standard is laboratory-based PCR testing.</w:t>
            </w:r>
          </w:p>
        </w:tc>
      </w:tr>
      <w:tr w:rsidR="00560A4D" w:rsidRPr="00C320AA" w14:paraId="75A08DCF" w14:textId="77777777" w:rsidTr="00495996">
        <w:tc>
          <w:tcPr>
            <w:tcW w:w="1885" w:type="dxa"/>
          </w:tcPr>
          <w:p w14:paraId="32B8925E" w14:textId="0EB9B9CC" w:rsidR="00560A4D" w:rsidRPr="004A7B64" w:rsidRDefault="00560A4D">
            <w:pPr>
              <w:rPr>
                <w:rFonts w:ascii="Arial Narrow" w:hAnsi="Arial Narrow"/>
                <w:sz w:val="20"/>
                <w:szCs w:val="20"/>
              </w:rPr>
            </w:pPr>
            <w:r w:rsidRPr="004A7B64">
              <w:rPr>
                <w:rFonts w:ascii="Arial Narrow" w:hAnsi="Arial Narrow"/>
                <w:sz w:val="20"/>
                <w:szCs w:val="20"/>
              </w:rPr>
              <w:t>Outcomes</w:t>
            </w:r>
          </w:p>
        </w:tc>
        <w:tc>
          <w:tcPr>
            <w:tcW w:w="7131" w:type="dxa"/>
          </w:tcPr>
          <w:p w14:paraId="794794EA" w14:textId="46AF61A6" w:rsidR="00012946" w:rsidRPr="004A7B64" w:rsidRDefault="00012946">
            <w:pPr>
              <w:rPr>
                <w:rFonts w:ascii="Arial Narrow" w:hAnsi="Arial Narrow"/>
                <w:sz w:val="20"/>
                <w:szCs w:val="20"/>
              </w:rPr>
            </w:pPr>
            <w:r w:rsidRPr="004A7B64">
              <w:rPr>
                <w:rFonts w:ascii="Arial Narrow" w:hAnsi="Arial Narrow"/>
                <w:sz w:val="20"/>
                <w:szCs w:val="20"/>
              </w:rPr>
              <w:t>The assessment should examine outcomes that could potentially differ between the intervention and comparator</w:t>
            </w:r>
            <w:r w:rsidR="00CB5F65">
              <w:rPr>
                <w:rFonts w:ascii="Arial Narrow" w:hAnsi="Arial Narrow"/>
                <w:sz w:val="20"/>
                <w:szCs w:val="20"/>
              </w:rPr>
              <w:t>. This i</w:t>
            </w:r>
            <w:r w:rsidR="00CE5013">
              <w:rPr>
                <w:rFonts w:ascii="Arial Narrow" w:hAnsi="Arial Narrow"/>
                <w:sz w:val="20"/>
                <w:szCs w:val="20"/>
              </w:rPr>
              <w:t>ncludes</w:t>
            </w:r>
            <w:r w:rsidR="00CB5F65">
              <w:rPr>
                <w:rFonts w:ascii="Arial Narrow" w:hAnsi="Arial Narrow"/>
                <w:sz w:val="20"/>
                <w:szCs w:val="20"/>
              </w:rPr>
              <w:t xml:space="preserve"> at least</w:t>
            </w:r>
            <w:r w:rsidRPr="004A7B64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57F56F3B" w14:textId="77777777" w:rsidR="001554BC" w:rsidRPr="004A7B64" w:rsidRDefault="001554BC" w:rsidP="001554BC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0"/>
                <w:szCs w:val="20"/>
              </w:rPr>
            </w:pPr>
            <w:r w:rsidRPr="004A7B64">
              <w:rPr>
                <w:rFonts w:ascii="Arial Narrow" w:hAnsi="Arial Narrow"/>
                <w:sz w:val="20"/>
                <w:szCs w:val="20"/>
              </w:rPr>
              <w:t>Diagnostic yield</w:t>
            </w:r>
            <w:r>
              <w:rPr>
                <w:rFonts w:ascii="Arial Narrow" w:hAnsi="Arial Narrow"/>
                <w:sz w:val="20"/>
                <w:szCs w:val="20"/>
              </w:rPr>
              <w:t xml:space="preserve"> of SARS-CoV-2 testing and other relevant viruses, including</w:t>
            </w:r>
            <w:r w:rsidRPr="004A7B64">
              <w:rPr>
                <w:rFonts w:ascii="Arial Narrow" w:hAnsi="Arial Narrow"/>
                <w:sz w:val="20"/>
                <w:szCs w:val="20"/>
              </w:rPr>
              <w:t xml:space="preserve"> in different settings</w:t>
            </w:r>
            <w:r>
              <w:rPr>
                <w:rFonts w:ascii="Arial Narrow" w:hAnsi="Arial Narrow"/>
                <w:sz w:val="20"/>
                <w:szCs w:val="20"/>
              </w:rPr>
              <w:t xml:space="preserve"> with varying incidence, and according to testing strategy</w:t>
            </w:r>
          </w:p>
          <w:p w14:paraId="520EA68D" w14:textId="3E754359" w:rsidR="0046518E" w:rsidRPr="004A7B64" w:rsidRDefault="0046518E" w:rsidP="00012946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0"/>
                <w:szCs w:val="20"/>
              </w:rPr>
            </w:pPr>
            <w:r w:rsidRPr="004A7B64">
              <w:rPr>
                <w:rFonts w:ascii="Arial Narrow" w:hAnsi="Arial Narrow"/>
                <w:sz w:val="20"/>
                <w:szCs w:val="20"/>
              </w:rPr>
              <w:t>T</w:t>
            </w:r>
            <w:r w:rsidR="00C320AA">
              <w:rPr>
                <w:rFonts w:ascii="Arial Narrow" w:hAnsi="Arial Narrow"/>
                <w:sz w:val="20"/>
                <w:szCs w:val="20"/>
              </w:rPr>
              <w:t>est t</w:t>
            </w:r>
            <w:r w:rsidRPr="004A7B64">
              <w:rPr>
                <w:rFonts w:ascii="Arial Narrow" w:hAnsi="Arial Narrow"/>
                <w:sz w:val="20"/>
                <w:szCs w:val="20"/>
              </w:rPr>
              <w:t xml:space="preserve">urnaround time </w:t>
            </w:r>
          </w:p>
          <w:p w14:paraId="49F69010" w14:textId="33A57078" w:rsidR="00373146" w:rsidRDefault="00373146" w:rsidP="00012946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Analytical validity of the in-scope test methods </w:t>
            </w:r>
          </w:p>
          <w:p w14:paraId="7347F660" w14:textId="4813D58D" w:rsidR="001554BC" w:rsidRDefault="00CE5013" w:rsidP="001554BC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Any c</w:t>
            </w:r>
            <w:r w:rsidR="0046518E" w:rsidRPr="004A7B64">
              <w:rPr>
                <w:rFonts w:ascii="Arial Narrow" w:hAnsi="Arial Narrow"/>
                <w:sz w:val="20"/>
                <w:szCs w:val="20"/>
              </w:rPr>
              <w:t xml:space="preserve">hanges in management following a positive </w:t>
            </w:r>
            <w:r>
              <w:rPr>
                <w:rFonts w:ascii="Arial Narrow" w:hAnsi="Arial Narrow"/>
                <w:sz w:val="20"/>
                <w:szCs w:val="20"/>
              </w:rPr>
              <w:t xml:space="preserve">SARS-CoV-2 </w:t>
            </w:r>
            <w:r w:rsidR="00C320AA">
              <w:rPr>
                <w:rFonts w:ascii="Arial Narrow" w:hAnsi="Arial Narrow"/>
                <w:sz w:val="20"/>
                <w:szCs w:val="20"/>
              </w:rPr>
              <w:t>result</w:t>
            </w:r>
            <w:r>
              <w:rPr>
                <w:rFonts w:ascii="Arial Narrow" w:hAnsi="Arial Narrow"/>
                <w:sz w:val="20"/>
                <w:szCs w:val="20"/>
              </w:rPr>
              <w:t xml:space="preserve"> that may differ between the intervention and comparator</w:t>
            </w:r>
            <w:r w:rsidR="00C320AA">
              <w:rPr>
                <w:rFonts w:ascii="Arial Narrow" w:hAnsi="Arial Narrow"/>
                <w:sz w:val="20"/>
                <w:szCs w:val="20"/>
              </w:rPr>
              <w:t>, including</w:t>
            </w:r>
            <w:r w:rsidR="0046518E" w:rsidRPr="004A7B64">
              <w:rPr>
                <w:rFonts w:ascii="Arial Narrow" w:hAnsi="Arial Narrow"/>
                <w:sz w:val="20"/>
                <w:szCs w:val="20"/>
              </w:rPr>
              <w:t xml:space="preserve"> in different settings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6DD3E90D" w14:textId="056B828E" w:rsidR="00012946" w:rsidRPr="004A7B64" w:rsidRDefault="001554BC" w:rsidP="004A7B64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Cost of testing strategy and test sequence</w:t>
            </w:r>
          </w:p>
        </w:tc>
      </w:tr>
      <w:tr w:rsidR="00560A4D" w:rsidRPr="00C320AA" w14:paraId="3A1A7022" w14:textId="77777777" w:rsidTr="00495996">
        <w:tc>
          <w:tcPr>
            <w:tcW w:w="1885" w:type="dxa"/>
          </w:tcPr>
          <w:p w14:paraId="23E7919F" w14:textId="46AD3BAD" w:rsidR="00560A4D" w:rsidRPr="004A7B64" w:rsidRDefault="00560A4D">
            <w:pPr>
              <w:rPr>
                <w:rFonts w:ascii="Arial Narrow" w:hAnsi="Arial Narrow"/>
                <w:sz w:val="20"/>
                <w:szCs w:val="20"/>
              </w:rPr>
            </w:pPr>
            <w:r w:rsidRPr="004A7B64">
              <w:rPr>
                <w:rFonts w:ascii="Arial Narrow" w:hAnsi="Arial Narrow"/>
                <w:sz w:val="20"/>
                <w:szCs w:val="20"/>
              </w:rPr>
              <w:t>Economic evaluation</w:t>
            </w:r>
          </w:p>
        </w:tc>
        <w:tc>
          <w:tcPr>
            <w:tcW w:w="7131" w:type="dxa"/>
          </w:tcPr>
          <w:p w14:paraId="05CA39DC" w14:textId="7B0C783D" w:rsidR="00560A4D" w:rsidRPr="004A7B64" w:rsidRDefault="00560A4D">
            <w:pPr>
              <w:rPr>
                <w:rFonts w:ascii="Arial Narrow" w:hAnsi="Arial Narrow"/>
                <w:sz w:val="20"/>
                <w:szCs w:val="20"/>
              </w:rPr>
            </w:pPr>
            <w:r w:rsidRPr="004A7B64">
              <w:rPr>
                <w:rFonts w:ascii="Arial Narrow" w:hAnsi="Arial Narrow"/>
                <w:sz w:val="20"/>
                <w:szCs w:val="20"/>
              </w:rPr>
              <w:t>Cost consequence</w:t>
            </w:r>
            <w:r w:rsidR="0046518E" w:rsidRPr="004A7B64">
              <w:rPr>
                <w:rFonts w:ascii="Arial Narrow" w:hAnsi="Arial Narrow"/>
                <w:sz w:val="20"/>
                <w:szCs w:val="20"/>
              </w:rPr>
              <w:t>s</w:t>
            </w:r>
            <w:r w:rsidRPr="004A7B64">
              <w:rPr>
                <w:rFonts w:ascii="Arial Narrow" w:hAnsi="Arial Narrow"/>
                <w:sz w:val="20"/>
                <w:szCs w:val="20"/>
              </w:rPr>
              <w:t xml:space="preserve"> analysis</w:t>
            </w:r>
            <w:r w:rsidR="0046518E" w:rsidRPr="004A7B64">
              <w:rPr>
                <w:rFonts w:ascii="Arial Narrow" w:hAnsi="Arial Narrow"/>
                <w:sz w:val="20"/>
                <w:szCs w:val="20"/>
              </w:rPr>
              <w:t xml:space="preserve"> (CCA)</w:t>
            </w:r>
          </w:p>
        </w:tc>
      </w:tr>
      <w:tr w:rsidR="00327EF2" w:rsidRPr="00C320AA" w14:paraId="5F0F7633" w14:textId="77777777" w:rsidTr="00495996">
        <w:tc>
          <w:tcPr>
            <w:tcW w:w="1885" w:type="dxa"/>
          </w:tcPr>
          <w:p w14:paraId="1C8899A2" w14:textId="6FCB98C8" w:rsidR="00327EF2" w:rsidRPr="004A7B64" w:rsidRDefault="007456B8">
            <w:pPr>
              <w:rPr>
                <w:rFonts w:ascii="Arial Narrow" w:hAnsi="Arial Narrow"/>
                <w:sz w:val="20"/>
                <w:szCs w:val="20"/>
              </w:rPr>
            </w:pPr>
            <w:r w:rsidRPr="004A7B64">
              <w:rPr>
                <w:rFonts w:ascii="Arial Narrow" w:hAnsi="Arial Narrow"/>
                <w:sz w:val="20"/>
                <w:szCs w:val="20"/>
              </w:rPr>
              <w:t>Utilisation</w:t>
            </w:r>
            <w:r w:rsidR="00F71F3B" w:rsidRPr="004A7B64">
              <w:rPr>
                <w:rFonts w:ascii="Arial Narrow" w:hAnsi="Arial Narrow"/>
                <w:sz w:val="20"/>
                <w:szCs w:val="20"/>
              </w:rPr>
              <w:t xml:space="preserve"> &amp; financial implications</w:t>
            </w:r>
          </w:p>
        </w:tc>
        <w:tc>
          <w:tcPr>
            <w:tcW w:w="7131" w:type="dxa"/>
          </w:tcPr>
          <w:p w14:paraId="1D4F87D8" w14:textId="72655C7A" w:rsidR="007456B8" w:rsidRPr="004A7B64" w:rsidRDefault="007456B8" w:rsidP="004A7B64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20"/>
                <w:szCs w:val="20"/>
              </w:rPr>
            </w:pPr>
            <w:r w:rsidRPr="004A7B64">
              <w:rPr>
                <w:rFonts w:ascii="Arial Narrow" w:hAnsi="Arial Narrow"/>
                <w:sz w:val="20"/>
                <w:szCs w:val="20"/>
              </w:rPr>
              <w:t>Review patterns of utilisation of the current respiratory viral testing MBS items.</w:t>
            </w:r>
          </w:p>
          <w:p w14:paraId="0F1B3B72" w14:textId="3281BE8F" w:rsidR="007456B8" w:rsidRPr="004A7B64" w:rsidRDefault="007456B8" w:rsidP="004A7B64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20"/>
                <w:szCs w:val="20"/>
              </w:rPr>
            </w:pPr>
            <w:r w:rsidRPr="004A7B64">
              <w:rPr>
                <w:rFonts w:ascii="Arial Narrow" w:hAnsi="Arial Narrow"/>
                <w:sz w:val="20"/>
                <w:szCs w:val="20"/>
              </w:rPr>
              <w:t xml:space="preserve">Estimate the utilisation of permanent MBS items, including the proportions of </w:t>
            </w:r>
            <w:proofErr w:type="spellStart"/>
            <w:r w:rsidRPr="004A7B64">
              <w:rPr>
                <w:rFonts w:ascii="Arial Narrow" w:hAnsi="Arial Narrow"/>
                <w:sz w:val="20"/>
                <w:szCs w:val="20"/>
              </w:rPr>
              <w:t>singleplex</w:t>
            </w:r>
            <w:proofErr w:type="spellEnd"/>
            <w:r w:rsidRPr="004A7B64">
              <w:rPr>
                <w:rFonts w:ascii="Arial Narrow" w:hAnsi="Arial Narrow"/>
                <w:sz w:val="20"/>
                <w:szCs w:val="20"/>
              </w:rPr>
              <w:t xml:space="preserve"> versus multiple testing, and across different clinical settings.</w:t>
            </w:r>
          </w:p>
          <w:p w14:paraId="36783DD4" w14:textId="6D44ED86" w:rsidR="00012946" w:rsidRPr="004A7B64" w:rsidRDefault="00012946" w:rsidP="004A7B64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20"/>
                <w:szCs w:val="20"/>
              </w:rPr>
            </w:pPr>
            <w:r w:rsidRPr="004A7B64">
              <w:rPr>
                <w:rFonts w:ascii="Arial Narrow" w:hAnsi="Arial Narrow"/>
                <w:sz w:val="20"/>
                <w:szCs w:val="20"/>
              </w:rPr>
              <w:t xml:space="preserve">Estimate the resulting financial impact, including for both </w:t>
            </w:r>
            <w:proofErr w:type="spellStart"/>
            <w:r w:rsidRPr="004A7B64">
              <w:rPr>
                <w:rFonts w:ascii="Arial Narrow" w:hAnsi="Arial Narrow"/>
                <w:sz w:val="20"/>
                <w:szCs w:val="20"/>
              </w:rPr>
              <w:t>singleplex</w:t>
            </w:r>
            <w:proofErr w:type="spellEnd"/>
            <w:r w:rsidRPr="004A7B64">
              <w:rPr>
                <w:rFonts w:ascii="Arial Narrow" w:hAnsi="Arial Narrow"/>
                <w:sz w:val="20"/>
                <w:szCs w:val="20"/>
              </w:rPr>
              <w:t xml:space="preserve"> and multiplex testing.</w:t>
            </w:r>
          </w:p>
          <w:p w14:paraId="789A4770" w14:textId="77777777" w:rsidR="007456B8" w:rsidRPr="004A7B64" w:rsidRDefault="007456B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07CDAB2" w14:textId="70B131C1" w:rsidR="00CA36E8" w:rsidRDefault="00DD12C2">
            <w:pPr>
              <w:rPr>
                <w:rFonts w:ascii="Arial Narrow" w:hAnsi="Arial Narrow"/>
                <w:sz w:val="20"/>
                <w:szCs w:val="20"/>
              </w:rPr>
            </w:pPr>
            <w:r w:rsidRPr="004A7B64">
              <w:rPr>
                <w:rFonts w:ascii="Arial Narrow" w:hAnsi="Arial Narrow"/>
                <w:sz w:val="20"/>
                <w:szCs w:val="20"/>
              </w:rPr>
              <w:t xml:space="preserve">Based on the utilisation of current permanent test items and the temporary </w:t>
            </w:r>
            <w:r w:rsidR="00C320AA">
              <w:rPr>
                <w:rFonts w:ascii="Arial Narrow" w:hAnsi="Arial Narrow"/>
                <w:sz w:val="20"/>
                <w:szCs w:val="20"/>
              </w:rPr>
              <w:t>SARS-CoV-2</w:t>
            </w:r>
            <w:r w:rsidR="00C320AA" w:rsidRPr="004A7B6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A7B64">
              <w:rPr>
                <w:rFonts w:ascii="Arial Narrow" w:hAnsi="Arial Narrow"/>
                <w:sz w:val="20"/>
                <w:szCs w:val="20"/>
              </w:rPr>
              <w:t xml:space="preserve">items compare the </w:t>
            </w:r>
            <w:r w:rsidR="00EC5B2A" w:rsidRPr="004A7B64">
              <w:rPr>
                <w:rFonts w:ascii="Arial Narrow" w:hAnsi="Arial Narrow"/>
                <w:sz w:val="20"/>
                <w:szCs w:val="20"/>
              </w:rPr>
              <w:t xml:space="preserve">total </w:t>
            </w:r>
            <w:r w:rsidR="00FC2B6E" w:rsidRPr="004A7B64">
              <w:rPr>
                <w:rFonts w:ascii="Arial Narrow" w:hAnsi="Arial Narrow"/>
                <w:sz w:val="20"/>
                <w:szCs w:val="20"/>
              </w:rPr>
              <w:t>cost</w:t>
            </w:r>
            <w:r w:rsidR="00EC5B2A" w:rsidRPr="004A7B6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C3351" w:rsidRPr="004A7B64">
              <w:rPr>
                <w:rFonts w:ascii="Arial Narrow" w:hAnsi="Arial Narrow"/>
                <w:sz w:val="20"/>
                <w:szCs w:val="20"/>
              </w:rPr>
              <w:t>of single and multiplex tests for a standardised population</w:t>
            </w:r>
            <w:r w:rsidR="00CA36E8">
              <w:rPr>
                <w:rFonts w:ascii="Arial Narrow" w:hAnsi="Arial Narrow"/>
                <w:sz w:val="20"/>
                <w:szCs w:val="20"/>
              </w:rPr>
              <w:t>:</w:t>
            </w:r>
            <w:r w:rsidR="000C3351" w:rsidRPr="004A7B6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1503C77A" w14:textId="58CEB81E" w:rsidR="00CA36E8" w:rsidRPr="004A7B64" w:rsidRDefault="00EC5B2A" w:rsidP="004A7B64">
            <w:pPr>
              <w:pStyle w:val="ListParagraph"/>
              <w:numPr>
                <w:ilvl w:val="0"/>
                <w:numId w:val="7"/>
              </w:numPr>
              <w:ind w:left="694" w:hanging="334"/>
              <w:rPr>
                <w:rFonts w:ascii="Arial Narrow" w:hAnsi="Arial Narrow"/>
                <w:sz w:val="20"/>
                <w:szCs w:val="20"/>
              </w:rPr>
            </w:pPr>
            <w:r w:rsidRPr="004A7B64">
              <w:rPr>
                <w:rFonts w:ascii="Arial Narrow" w:hAnsi="Arial Narrow"/>
                <w:sz w:val="20"/>
                <w:szCs w:val="20"/>
              </w:rPr>
              <w:t xml:space="preserve">for </w:t>
            </w:r>
            <w:r w:rsidR="000C3351" w:rsidRPr="004A7B64">
              <w:rPr>
                <w:rFonts w:ascii="Arial Narrow" w:hAnsi="Arial Narrow"/>
                <w:sz w:val="20"/>
                <w:szCs w:val="20"/>
              </w:rPr>
              <w:t xml:space="preserve">inpatient and outpatient tests combined </w:t>
            </w:r>
            <w:r w:rsidR="007456B8" w:rsidRPr="004A7B64">
              <w:rPr>
                <w:rFonts w:ascii="Arial Narrow" w:hAnsi="Arial Narrow"/>
                <w:sz w:val="20"/>
                <w:szCs w:val="20"/>
              </w:rPr>
              <w:t xml:space="preserve">and </w:t>
            </w:r>
          </w:p>
          <w:p w14:paraId="114C6BB1" w14:textId="0D7A2C3F" w:rsidR="00EC5B2A" w:rsidRPr="004A7B64" w:rsidRDefault="000C3351" w:rsidP="004A7B64">
            <w:pPr>
              <w:pStyle w:val="ListParagraph"/>
              <w:numPr>
                <w:ilvl w:val="0"/>
                <w:numId w:val="7"/>
              </w:numPr>
              <w:ind w:left="694" w:hanging="334"/>
              <w:rPr>
                <w:rFonts w:ascii="Arial Narrow" w:hAnsi="Arial Narrow"/>
                <w:sz w:val="20"/>
                <w:szCs w:val="20"/>
              </w:rPr>
            </w:pPr>
            <w:r w:rsidRPr="004A7B64">
              <w:rPr>
                <w:rFonts w:ascii="Arial Narrow" w:hAnsi="Arial Narrow"/>
                <w:sz w:val="20"/>
                <w:szCs w:val="20"/>
              </w:rPr>
              <w:t xml:space="preserve">separated </w:t>
            </w:r>
            <w:r w:rsidR="00EC5B2A" w:rsidRPr="004A7B64">
              <w:rPr>
                <w:rFonts w:ascii="Arial Narrow" w:hAnsi="Arial Narrow"/>
                <w:sz w:val="20"/>
                <w:szCs w:val="20"/>
              </w:rPr>
              <w:t>according to inpatient and outpatient-based testing</w:t>
            </w:r>
            <w:r w:rsidR="00F71F3B" w:rsidRPr="004A7B64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220A2302" w14:textId="77777777" w:rsidR="00602F1B" w:rsidRPr="004A7B64" w:rsidRDefault="00602F1B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F7AA4C2" w14:textId="564288D4" w:rsidR="00602F1B" w:rsidRPr="004A7B64" w:rsidRDefault="00602F1B">
            <w:pPr>
              <w:rPr>
                <w:rFonts w:ascii="Arial Narrow" w:hAnsi="Arial Narrow"/>
                <w:sz w:val="20"/>
                <w:szCs w:val="20"/>
              </w:rPr>
            </w:pPr>
            <w:r w:rsidRPr="004A7B64">
              <w:rPr>
                <w:rFonts w:ascii="Arial Narrow" w:hAnsi="Arial Narrow"/>
                <w:sz w:val="20"/>
                <w:szCs w:val="20"/>
              </w:rPr>
              <w:t xml:space="preserve">Consider the proposed fee structure for </w:t>
            </w:r>
            <w:r w:rsidR="007456B8" w:rsidRPr="004A7B64">
              <w:rPr>
                <w:rFonts w:ascii="Arial Narrow" w:hAnsi="Arial Narrow"/>
                <w:sz w:val="20"/>
                <w:szCs w:val="20"/>
              </w:rPr>
              <w:t xml:space="preserve">SARS-CoV-2 </w:t>
            </w:r>
            <w:r w:rsidRPr="004A7B64">
              <w:rPr>
                <w:rFonts w:ascii="Arial Narrow" w:hAnsi="Arial Narrow"/>
                <w:sz w:val="20"/>
                <w:szCs w:val="20"/>
              </w:rPr>
              <w:t>testing with</w:t>
            </w:r>
            <w:r w:rsidR="000C3351" w:rsidRPr="004A7B64">
              <w:rPr>
                <w:rFonts w:ascii="Arial Narrow" w:hAnsi="Arial Narrow"/>
                <w:sz w:val="20"/>
                <w:szCs w:val="20"/>
              </w:rPr>
              <w:t xml:space="preserve"> other MBS-reimbursed </w:t>
            </w:r>
            <w:r w:rsidR="00E86FDF" w:rsidRPr="004A7B64">
              <w:rPr>
                <w:rFonts w:ascii="Arial Narrow" w:hAnsi="Arial Narrow"/>
                <w:sz w:val="20"/>
                <w:szCs w:val="20"/>
              </w:rPr>
              <w:t>respiratory viral</w:t>
            </w:r>
            <w:r w:rsidR="007456B8" w:rsidRPr="004A7B6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C3351" w:rsidRPr="004A7B64">
              <w:rPr>
                <w:rFonts w:ascii="Arial Narrow" w:hAnsi="Arial Narrow"/>
                <w:sz w:val="20"/>
                <w:szCs w:val="20"/>
              </w:rPr>
              <w:t>tests</w:t>
            </w:r>
            <w:r w:rsidR="00CA36E8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9C3C9D" w:rsidRPr="00C320AA" w14:paraId="1C652F62" w14:textId="77777777" w:rsidTr="00495996">
        <w:tc>
          <w:tcPr>
            <w:tcW w:w="1885" w:type="dxa"/>
          </w:tcPr>
          <w:p w14:paraId="0DEF21BA" w14:textId="159A5A0B" w:rsidR="009C3C9D" w:rsidRPr="004A7B64" w:rsidRDefault="009C3C9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Other relevant considerations</w:t>
            </w:r>
          </w:p>
        </w:tc>
        <w:tc>
          <w:tcPr>
            <w:tcW w:w="7131" w:type="dxa"/>
          </w:tcPr>
          <w:p w14:paraId="29EDA1CE" w14:textId="20D8487B" w:rsidR="009C3C9D" w:rsidRPr="009C3C9D" w:rsidRDefault="009C3C9D" w:rsidP="009C3C9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There may be a</w:t>
            </w:r>
            <w:r w:rsidR="001554BC">
              <w:rPr>
                <w:rFonts w:ascii="Arial Narrow" w:hAnsi="Arial Narrow"/>
                <w:sz w:val="20"/>
                <w:szCs w:val="20"/>
              </w:rPr>
              <w:t xml:space="preserve"> personal and/or</w:t>
            </w:r>
            <w:r>
              <w:rPr>
                <w:rFonts w:ascii="Arial Narrow" w:hAnsi="Arial Narrow"/>
                <w:sz w:val="20"/>
                <w:szCs w:val="20"/>
              </w:rPr>
              <w:t xml:space="preserve"> public health benefit from </w:t>
            </w:r>
            <w:proofErr w:type="gramStart"/>
            <w:r w:rsidR="001554BC">
              <w:rPr>
                <w:rFonts w:ascii="Arial Narrow" w:hAnsi="Arial Narrow"/>
                <w:sz w:val="20"/>
                <w:szCs w:val="20"/>
              </w:rPr>
              <w:t>e.g.</w:t>
            </w:r>
            <w:proofErr w:type="gramEnd"/>
            <w:r w:rsidR="001554BC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patient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cohorting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and/or quarantining based on </w:t>
            </w:r>
            <w:r w:rsidR="007133E7">
              <w:rPr>
                <w:rFonts w:ascii="Arial Narrow" w:hAnsi="Arial Narrow"/>
                <w:sz w:val="20"/>
                <w:szCs w:val="20"/>
              </w:rPr>
              <w:t xml:space="preserve">SARS-CoV-2 </w:t>
            </w:r>
            <w:r>
              <w:rPr>
                <w:rFonts w:ascii="Arial Narrow" w:hAnsi="Arial Narrow"/>
                <w:sz w:val="20"/>
                <w:szCs w:val="20"/>
              </w:rPr>
              <w:t xml:space="preserve">test results – </w:t>
            </w:r>
            <w:r w:rsidR="00B3286B">
              <w:rPr>
                <w:rFonts w:ascii="Arial Narrow" w:hAnsi="Arial Narrow"/>
                <w:sz w:val="20"/>
                <w:szCs w:val="20"/>
              </w:rPr>
              <w:t xml:space="preserve">where this could differ between the intervention and comparator, </w:t>
            </w:r>
            <w:r>
              <w:rPr>
                <w:rFonts w:ascii="Arial Narrow" w:hAnsi="Arial Narrow"/>
                <w:sz w:val="20"/>
                <w:szCs w:val="20"/>
              </w:rPr>
              <w:t xml:space="preserve">the evidence should be </w:t>
            </w:r>
            <w:r w:rsidR="00B3286B">
              <w:rPr>
                <w:rFonts w:ascii="Arial Narrow" w:hAnsi="Arial Narrow"/>
                <w:sz w:val="20"/>
                <w:szCs w:val="20"/>
              </w:rPr>
              <w:t>examined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</w:tbl>
    <w:p w14:paraId="69FA4DB4" w14:textId="4983E524" w:rsidR="00327EF2" w:rsidRDefault="00327EF2" w:rsidP="00614643"/>
    <w:p w14:paraId="15EC561E" w14:textId="77777777" w:rsidR="00643251" w:rsidRDefault="00643251">
      <w:pPr>
        <w:rPr>
          <w:rFonts w:ascii="Arial Narrow" w:eastAsia="Times New Roman" w:hAnsi="Arial Narrow" w:cs="Tahoma"/>
          <w:b/>
          <w:sz w:val="20"/>
          <w:szCs w:val="20"/>
          <w:lang w:val="en-GB" w:eastAsia="ja-JP"/>
        </w:rPr>
      </w:pPr>
      <w:r>
        <w:br w:type="page"/>
      </w:r>
    </w:p>
    <w:p w14:paraId="63FA7EC0" w14:textId="11C6E282" w:rsidR="00465DC4" w:rsidRDefault="00465DC4" w:rsidP="00465DC4">
      <w:pPr>
        <w:pStyle w:val="Caption"/>
      </w:pPr>
      <w:r>
        <w:lastRenderedPageBreak/>
        <w:t>Appendix A: Item descriptors for the intervention – current temporary items 69511-69515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65DC4" w:rsidRPr="00465DC4" w14:paraId="11DF6A8D" w14:textId="77777777" w:rsidTr="00465DC4">
        <w:tc>
          <w:tcPr>
            <w:tcW w:w="9060" w:type="dxa"/>
            <w:hideMark/>
          </w:tcPr>
          <w:p w14:paraId="05A7CFE6" w14:textId="77777777" w:rsidR="00465DC4" w:rsidRPr="00465DC4" w:rsidRDefault="00465DC4" w:rsidP="00465DC4">
            <w:pPr>
              <w:rPr>
                <w:rFonts w:ascii="Arial Narrow" w:hAnsi="Arial Narrow"/>
                <w:sz w:val="20"/>
                <w:szCs w:val="20"/>
              </w:rPr>
            </w:pPr>
            <w:r w:rsidRPr="00465DC4">
              <w:rPr>
                <w:rFonts w:ascii="Arial Narrow" w:hAnsi="Arial Narrow"/>
                <w:b/>
                <w:bCs/>
                <w:sz w:val="20"/>
                <w:szCs w:val="20"/>
              </w:rPr>
              <w:t>Category 6 – Pathology Services</w:t>
            </w:r>
          </w:p>
        </w:tc>
      </w:tr>
      <w:tr w:rsidR="00465DC4" w:rsidRPr="00465DC4" w14:paraId="09FA7939" w14:textId="77777777" w:rsidTr="00465DC4">
        <w:tc>
          <w:tcPr>
            <w:tcW w:w="9060" w:type="dxa"/>
            <w:hideMark/>
          </w:tcPr>
          <w:p w14:paraId="43074BF9" w14:textId="77777777" w:rsidR="00465DC4" w:rsidRPr="00465DC4" w:rsidRDefault="00465DC4" w:rsidP="00465DC4">
            <w:pPr>
              <w:rPr>
                <w:rFonts w:ascii="Arial Narrow" w:hAnsi="Arial Narrow"/>
                <w:sz w:val="20"/>
                <w:szCs w:val="20"/>
              </w:rPr>
            </w:pPr>
            <w:r w:rsidRPr="00465DC4">
              <w:rPr>
                <w:rFonts w:ascii="Arial Narrow" w:hAnsi="Arial Narrow"/>
                <w:b/>
                <w:bCs/>
                <w:sz w:val="20"/>
                <w:szCs w:val="20"/>
              </w:rPr>
              <w:t>Group P3 - Microbiology</w:t>
            </w:r>
          </w:p>
        </w:tc>
      </w:tr>
      <w:tr w:rsidR="00465DC4" w:rsidRPr="00465DC4" w14:paraId="14F1EECD" w14:textId="77777777" w:rsidTr="00465DC4">
        <w:tc>
          <w:tcPr>
            <w:tcW w:w="9060" w:type="dxa"/>
          </w:tcPr>
          <w:p w14:paraId="69092EC3" w14:textId="77777777" w:rsidR="00465DC4" w:rsidRPr="00465DC4" w:rsidRDefault="00465DC4" w:rsidP="00465DC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65DC4">
              <w:rPr>
                <w:rFonts w:ascii="Arial Narrow" w:hAnsi="Arial Narrow"/>
                <w:b/>
                <w:bCs/>
                <w:sz w:val="20"/>
                <w:szCs w:val="20"/>
              </w:rPr>
              <w:t>69511</w:t>
            </w:r>
          </w:p>
          <w:p w14:paraId="2053CB61" w14:textId="77777777" w:rsidR="00465DC4" w:rsidRPr="00465DC4" w:rsidRDefault="00465DC4" w:rsidP="00465DC4">
            <w:pPr>
              <w:rPr>
                <w:rFonts w:ascii="Arial Narrow" w:hAnsi="Arial Narrow"/>
                <w:sz w:val="20"/>
                <w:szCs w:val="20"/>
              </w:rPr>
            </w:pPr>
            <w:r w:rsidRPr="00465DC4">
              <w:rPr>
                <w:rFonts w:ascii="Arial Narrow" w:hAnsi="Arial Narrow"/>
                <w:sz w:val="20"/>
                <w:szCs w:val="20"/>
              </w:rPr>
              <w:t>Detection of SARS</w:t>
            </w:r>
            <w:r w:rsidRPr="00465DC4">
              <w:rPr>
                <w:rFonts w:ascii="Arial Narrow" w:hAnsi="Arial Narrow"/>
                <w:sz w:val="20"/>
                <w:szCs w:val="20"/>
              </w:rPr>
              <w:noBreakHyphen/>
              <w:t>CoV</w:t>
            </w:r>
            <w:r w:rsidRPr="00465DC4">
              <w:rPr>
                <w:rFonts w:ascii="Arial Narrow" w:hAnsi="Arial Narrow"/>
                <w:sz w:val="20"/>
                <w:szCs w:val="20"/>
              </w:rPr>
              <w:noBreakHyphen/>
              <w:t>2 nucleic acid if:</w:t>
            </w:r>
          </w:p>
          <w:p w14:paraId="49AE083A" w14:textId="77777777" w:rsidR="00465DC4" w:rsidRPr="00465DC4" w:rsidRDefault="00465DC4" w:rsidP="00465DC4">
            <w:pPr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0"/>
              </w:rPr>
            </w:pPr>
            <w:r w:rsidRPr="00465DC4">
              <w:rPr>
                <w:rFonts w:ascii="Arial Narrow" w:hAnsi="Arial Narrow"/>
                <w:sz w:val="20"/>
                <w:szCs w:val="20"/>
              </w:rPr>
              <w:t>the person is a private patient in a hospital other than a recognised hospital; or</w:t>
            </w:r>
          </w:p>
          <w:p w14:paraId="347E778E" w14:textId="77777777" w:rsidR="00465DC4" w:rsidRPr="00465DC4" w:rsidRDefault="00465DC4" w:rsidP="00465DC4">
            <w:pPr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0"/>
              </w:rPr>
            </w:pPr>
            <w:r w:rsidRPr="00465DC4">
              <w:rPr>
                <w:rFonts w:ascii="Arial Narrow" w:hAnsi="Arial Narrow"/>
                <w:sz w:val="20"/>
                <w:szCs w:val="20"/>
              </w:rPr>
              <w:t>the person receives a bulk-billed service not covered by item 69506</w:t>
            </w:r>
          </w:p>
          <w:p w14:paraId="72BD5E4C" w14:textId="77777777" w:rsidR="00465DC4" w:rsidRPr="00465DC4" w:rsidRDefault="00465DC4" w:rsidP="00465DC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5D77009" w14:textId="77777777" w:rsidR="00465DC4" w:rsidRPr="00465DC4" w:rsidRDefault="00465DC4" w:rsidP="00465DC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65DC4">
              <w:rPr>
                <w:rFonts w:ascii="Arial Narrow" w:hAnsi="Arial Narrow"/>
                <w:sz w:val="20"/>
                <w:szCs w:val="20"/>
              </w:rPr>
              <w:t>MBS Fee: $68.85</w:t>
            </w:r>
            <w:r w:rsidRPr="00465DC4">
              <w:rPr>
                <w:rFonts w:ascii="Arial Narrow" w:hAnsi="Arial Narrow"/>
                <w:sz w:val="20"/>
                <w:szCs w:val="20"/>
              </w:rPr>
              <w:br/>
              <w:t>Benefit: 75% = $51.65                  85% = $58.55</w:t>
            </w:r>
          </w:p>
        </w:tc>
      </w:tr>
      <w:tr w:rsidR="00465DC4" w:rsidRPr="00465DC4" w14:paraId="227DDD68" w14:textId="77777777" w:rsidTr="00465DC4">
        <w:tc>
          <w:tcPr>
            <w:tcW w:w="9060" w:type="dxa"/>
          </w:tcPr>
          <w:p w14:paraId="2062E6AC" w14:textId="77777777" w:rsidR="00465DC4" w:rsidRPr="00465DC4" w:rsidRDefault="00465DC4" w:rsidP="00465DC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65DC4">
              <w:rPr>
                <w:rFonts w:ascii="Arial Narrow" w:hAnsi="Arial Narrow"/>
                <w:b/>
                <w:bCs/>
                <w:sz w:val="20"/>
                <w:szCs w:val="20"/>
              </w:rPr>
              <w:t>69512</w:t>
            </w:r>
          </w:p>
          <w:p w14:paraId="0D3810CE" w14:textId="77777777" w:rsidR="00465DC4" w:rsidRPr="00465DC4" w:rsidRDefault="00465DC4" w:rsidP="00465DC4">
            <w:pPr>
              <w:rPr>
                <w:rFonts w:ascii="Arial Narrow" w:hAnsi="Arial Narrow"/>
                <w:sz w:val="20"/>
                <w:szCs w:val="20"/>
              </w:rPr>
            </w:pPr>
            <w:r w:rsidRPr="00465DC4">
              <w:rPr>
                <w:rFonts w:ascii="Arial Narrow" w:hAnsi="Arial Narrow"/>
                <w:sz w:val="20"/>
                <w:szCs w:val="20"/>
              </w:rPr>
              <w:t>Detection of a viral, fungal, atypical pneumonia pathogen or Bordetella species nucleic acid from a nasal swab, throat swab, nasopharyngeal aspirate and/or lower respiratory tract sample, and a service described in 69511, if:</w:t>
            </w:r>
          </w:p>
          <w:p w14:paraId="3AE96AC7" w14:textId="77777777" w:rsidR="00465DC4" w:rsidRPr="00465DC4" w:rsidRDefault="00465DC4" w:rsidP="00465DC4">
            <w:pPr>
              <w:numPr>
                <w:ilvl w:val="0"/>
                <w:numId w:val="10"/>
              </w:numPr>
              <w:rPr>
                <w:rFonts w:ascii="Arial Narrow" w:hAnsi="Arial Narrow"/>
                <w:sz w:val="20"/>
                <w:szCs w:val="20"/>
              </w:rPr>
            </w:pPr>
            <w:r w:rsidRPr="00465DC4">
              <w:rPr>
                <w:rFonts w:ascii="Arial Narrow" w:hAnsi="Arial Narrow"/>
                <w:sz w:val="20"/>
                <w:szCs w:val="20"/>
              </w:rPr>
              <w:t>the person is a private patient in a hospital other than a recognised hospital; or</w:t>
            </w:r>
          </w:p>
          <w:p w14:paraId="27B23A1F" w14:textId="77777777" w:rsidR="00465DC4" w:rsidRPr="00465DC4" w:rsidRDefault="00465DC4" w:rsidP="00465DC4">
            <w:pPr>
              <w:numPr>
                <w:ilvl w:val="0"/>
                <w:numId w:val="10"/>
              </w:numPr>
              <w:rPr>
                <w:rFonts w:ascii="Arial Narrow" w:hAnsi="Arial Narrow"/>
                <w:sz w:val="20"/>
                <w:szCs w:val="20"/>
              </w:rPr>
            </w:pPr>
            <w:r w:rsidRPr="00465DC4">
              <w:rPr>
                <w:rFonts w:ascii="Arial Narrow" w:hAnsi="Arial Narrow"/>
                <w:sz w:val="20"/>
                <w:szCs w:val="20"/>
              </w:rPr>
              <w:t>the person receives a bulk-billed service not covered by item 69507</w:t>
            </w:r>
          </w:p>
          <w:p w14:paraId="7B6C8B54" w14:textId="77777777" w:rsidR="00465DC4" w:rsidRPr="00465DC4" w:rsidRDefault="00465DC4" w:rsidP="00465DC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0E2A0E14" w14:textId="77777777" w:rsidR="00465DC4" w:rsidRPr="00465DC4" w:rsidRDefault="00465DC4" w:rsidP="00465DC4">
            <w:pPr>
              <w:rPr>
                <w:rFonts w:ascii="Arial Narrow" w:hAnsi="Arial Narrow"/>
                <w:sz w:val="20"/>
                <w:szCs w:val="20"/>
              </w:rPr>
            </w:pPr>
            <w:r w:rsidRPr="00465DC4">
              <w:rPr>
                <w:rFonts w:ascii="Arial Narrow" w:hAnsi="Arial Narrow"/>
                <w:sz w:val="20"/>
                <w:szCs w:val="20"/>
              </w:rPr>
              <w:t>2 to 4 tests</w:t>
            </w:r>
          </w:p>
          <w:p w14:paraId="7E6AD2C7" w14:textId="77777777" w:rsidR="00465DC4" w:rsidRPr="00465DC4" w:rsidRDefault="00465DC4" w:rsidP="00465DC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6325215D" w14:textId="77777777" w:rsidR="00465DC4" w:rsidRPr="00465DC4" w:rsidRDefault="00465DC4" w:rsidP="00465DC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65DC4">
              <w:rPr>
                <w:rFonts w:ascii="Arial Narrow" w:hAnsi="Arial Narrow"/>
                <w:sz w:val="20"/>
                <w:szCs w:val="20"/>
              </w:rPr>
              <w:t>MBS Fee: $74.75</w:t>
            </w:r>
            <w:r w:rsidRPr="00465DC4">
              <w:rPr>
                <w:rFonts w:ascii="Arial Narrow" w:hAnsi="Arial Narrow"/>
                <w:sz w:val="20"/>
                <w:szCs w:val="20"/>
              </w:rPr>
              <w:br/>
              <w:t>Benefit: 75% = $56.10                  85% = $63.55</w:t>
            </w:r>
          </w:p>
        </w:tc>
      </w:tr>
      <w:tr w:rsidR="00465DC4" w:rsidRPr="00465DC4" w14:paraId="43D9CAB0" w14:textId="77777777" w:rsidTr="00465DC4">
        <w:tc>
          <w:tcPr>
            <w:tcW w:w="9060" w:type="dxa"/>
          </w:tcPr>
          <w:p w14:paraId="51A3927B" w14:textId="77777777" w:rsidR="00465DC4" w:rsidRPr="00465DC4" w:rsidRDefault="00465DC4" w:rsidP="00465DC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65DC4">
              <w:rPr>
                <w:rFonts w:ascii="Arial Narrow" w:hAnsi="Arial Narrow"/>
                <w:b/>
                <w:bCs/>
                <w:sz w:val="20"/>
                <w:szCs w:val="20"/>
              </w:rPr>
              <w:t>69513</w:t>
            </w:r>
          </w:p>
          <w:p w14:paraId="0B375F44" w14:textId="77777777" w:rsidR="00465DC4" w:rsidRPr="00465DC4" w:rsidRDefault="00465DC4" w:rsidP="00465DC4">
            <w:pPr>
              <w:rPr>
                <w:rFonts w:ascii="Arial Narrow" w:hAnsi="Arial Narrow"/>
                <w:sz w:val="20"/>
                <w:szCs w:val="20"/>
              </w:rPr>
            </w:pPr>
            <w:r w:rsidRPr="00465DC4">
              <w:rPr>
                <w:rFonts w:ascii="Arial Narrow" w:hAnsi="Arial Narrow"/>
                <w:sz w:val="20"/>
                <w:szCs w:val="20"/>
              </w:rPr>
              <w:t>5 to 8 tests described in 69512.</w:t>
            </w:r>
          </w:p>
          <w:p w14:paraId="664E5A5D" w14:textId="77777777" w:rsidR="00465DC4" w:rsidRPr="00465DC4" w:rsidRDefault="00465DC4" w:rsidP="00465DC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66ED977F" w14:textId="77777777" w:rsidR="00465DC4" w:rsidRPr="00465DC4" w:rsidRDefault="00465DC4" w:rsidP="00465DC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65DC4">
              <w:rPr>
                <w:rFonts w:ascii="Arial Narrow" w:hAnsi="Arial Narrow"/>
                <w:sz w:val="20"/>
                <w:szCs w:val="20"/>
              </w:rPr>
              <w:t>MBS Fee: $80.65</w:t>
            </w:r>
            <w:r w:rsidRPr="00465DC4">
              <w:rPr>
                <w:rFonts w:ascii="Arial Narrow" w:hAnsi="Arial Narrow"/>
                <w:sz w:val="20"/>
                <w:szCs w:val="20"/>
              </w:rPr>
              <w:br/>
              <w:t>Benefit: 75% = $60.50 85% = $68.60</w:t>
            </w:r>
          </w:p>
        </w:tc>
      </w:tr>
      <w:tr w:rsidR="00465DC4" w:rsidRPr="00465DC4" w14:paraId="41BD5454" w14:textId="77777777" w:rsidTr="00465DC4">
        <w:tc>
          <w:tcPr>
            <w:tcW w:w="9060" w:type="dxa"/>
          </w:tcPr>
          <w:p w14:paraId="15419CD4" w14:textId="77777777" w:rsidR="00465DC4" w:rsidRPr="00465DC4" w:rsidRDefault="00465DC4" w:rsidP="00465DC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65DC4">
              <w:rPr>
                <w:rFonts w:ascii="Arial Narrow" w:hAnsi="Arial Narrow"/>
                <w:b/>
                <w:bCs/>
                <w:sz w:val="20"/>
                <w:szCs w:val="20"/>
              </w:rPr>
              <w:t>69514</w:t>
            </w:r>
          </w:p>
          <w:p w14:paraId="112A3128" w14:textId="77777777" w:rsidR="00465DC4" w:rsidRPr="00465DC4" w:rsidRDefault="00465DC4" w:rsidP="00465DC4">
            <w:pPr>
              <w:rPr>
                <w:rFonts w:ascii="Arial Narrow" w:hAnsi="Arial Narrow"/>
                <w:sz w:val="20"/>
                <w:szCs w:val="20"/>
              </w:rPr>
            </w:pPr>
            <w:r w:rsidRPr="00465DC4">
              <w:rPr>
                <w:rFonts w:ascii="Arial Narrow" w:hAnsi="Arial Narrow"/>
                <w:sz w:val="20"/>
                <w:szCs w:val="20"/>
              </w:rPr>
              <w:t>9 to 12 tests described in 69512.</w:t>
            </w:r>
          </w:p>
          <w:p w14:paraId="1AAC9198" w14:textId="77777777" w:rsidR="00465DC4" w:rsidRPr="00465DC4" w:rsidRDefault="00465DC4" w:rsidP="00465DC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95A2153" w14:textId="77777777" w:rsidR="00465DC4" w:rsidRPr="00465DC4" w:rsidRDefault="00465DC4" w:rsidP="00465DC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65DC4">
              <w:rPr>
                <w:rFonts w:ascii="Arial Narrow" w:hAnsi="Arial Narrow"/>
                <w:sz w:val="20"/>
                <w:szCs w:val="20"/>
              </w:rPr>
              <w:t>MBS Fee: $86.55</w:t>
            </w:r>
            <w:r w:rsidRPr="00465DC4">
              <w:rPr>
                <w:rFonts w:ascii="Arial Narrow" w:hAnsi="Arial Narrow"/>
                <w:sz w:val="20"/>
                <w:szCs w:val="20"/>
              </w:rPr>
              <w:br/>
              <w:t>Benefit: 75% = $64.95 85% = $73.60</w:t>
            </w:r>
          </w:p>
        </w:tc>
      </w:tr>
      <w:tr w:rsidR="00465DC4" w:rsidRPr="00465DC4" w14:paraId="4F77BB80" w14:textId="77777777" w:rsidTr="00465DC4">
        <w:tc>
          <w:tcPr>
            <w:tcW w:w="9060" w:type="dxa"/>
          </w:tcPr>
          <w:p w14:paraId="1758F8EE" w14:textId="77777777" w:rsidR="00465DC4" w:rsidRPr="00465DC4" w:rsidRDefault="00465DC4" w:rsidP="00465DC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65DC4">
              <w:rPr>
                <w:rFonts w:ascii="Arial Narrow" w:hAnsi="Arial Narrow"/>
                <w:b/>
                <w:bCs/>
                <w:sz w:val="20"/>
                <w:szCs w:val="20"/>
              </w:rPr>
              <w:t>69515</w:t>
            </w:r>
          </w:p>
          <w:p w14:paraId="4B5270D7" w14:textId="77777777" w:rsidR="00465DC4" w:rsidRPr="00465DC4" w:rsidRDefault="00465DC4" w:rsidP="00465DC4">
            <w:pPr>
              <w:rPr>
                <w:rFonts w:ascii="Arial Narrow" w:hAnsi="Arial Narrow"/>
                <w:sz w:val="20"/>
                <w:szCs w:val="20"/>
              </w:rPr>
            </w:pPr>
            <w:r w:rsidRPr="00465DC4">
              <w:rPr>
                <w:rFonts w:ascii="Arial Narrow" w:hAnsi="Arial Narrow"/>
                <w:sz w:val="20"/>
                <w:szCs w:val="20"/>
              </w:rPr>
              <w:t>13 or more tests described in 69512.</w:t>
            </w:r>
          </w:p>
          <w:p w14:paraId="34BFD2A8" w14:textId="77777777" w:rsidR="00465DC4" w:rsidRPr="00465DC4" w:rsidRDefault="00465DC4" w:rsidP="00465DC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E0135BF" w14:textId="77777777" w:rsidR="00465DC4" w:rsidRPr="00465DC4" w:rsidRDefault="00465DC4" w:rsidP="00465DC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65DC4">
              <w:rPr>
                <w:rFonts w:ascii="Arial Narrow" w:hAnsi="Arial Narrow"/>
                <w:sz w:val="20"/>
                <w:szCs w:val="20"/>
              </w:rPr>
              <w:t>MBS Fee: $92.45</w:t>
            </w:r>
            <w:r w:rsidRPr="00465DC4">
              <w:rPr>
                <w:rFonts w:ascii="Arial Narrow" w:hAnsi="Arial Narrow"/>
                <w:sz w:val="20"/>
                <w:szCs w:val="20"/>
              </w:rPr>
              <w:br/>
              <w:t>Benefit: 75% = $69.35 85% = $78.60</w:t>
            </w:r>
          </w:p>
        </w:tc>
      </w:tr>
    </w:tbl>
    <w:p w14:paraId="4C4A1192" w14:textId="0D8CB3A1" w:rsidR="00465DC4" w:rsidRDefault="00465DC4" w:rsidP="00465DC4">
      <w:pPr>
        <w:pStyle w:val="Caption"/>
      </w:pPr>
      <w:r>
        <w:t>Appendix B: Item descriptors for the comparator – current permanent generic nucleic acid amplification test (NAAT) items 69494-69496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65DC4" w:rsidRPr="00465DC4" w14:paraId="57B67FB6" w14:textId="77777777" w:rsidTr="00465DC4">
        <w:tc>
          <w:tcPr>
            <w:tcW w:w="9060" w:type="dxa"/>
            <w:hideMark/>
          </w:tcPr>
          <w:p w14:paraId="43D83001" w14:textId="77777777" w:rsidR="00465DC4" w:rsidRPr="00465DC4" w:rsidRDefault="00465DC4" w:rsidP="00465DC4">
            <w:pPr>
              <w:rPr>
                <w:rFonts w:ascii="Arial Narrow" w:hAnsi="Arial Narrow"/>
                <w:sz w:val="20"/>
                <w:szCs w:val="20"/>
              </w:rPr>
            </w:pPr>
            <w:r w:rsidRPr="00465DC4">
              <w:rPr>
                <w:rFonts w:ascii="Arial Narrow" w:hAnsi="Arial Narrow"/>
                <w:b/>
                <w:bCs/>
                <w:sz w:val="20"/>
                <w:szCs w:val="20"/>
              </w:rPr>
              <w:t>Category 6 – Pathology Services</w:t>
            </w:r>
          </w:p>
        </w:tc>
      </w:tr>
      <w:tr w:rsidR="00465DC4" w:rsidRPr="00465DC4" w14:paraId="4AA4A912" w14:textId="77777777" w:rsidTr="00465DC4">
        <w:tc>
          <w:tcPr>
            <w:tcW w:w="9060" w:type="dxa"/>
            <w:hideMark/>
          </w:tcPr>
          <w:p w14:paraId="0F4E51CC" w14:textId="77777777" w:rsidR="00465DC4" w:rsidRPr="00465DC4" w:rsidRDefault="00465DC4" w:rsidP="00465DC4">
            <w:pPr>
              <w:rPr>
                <w:rFonts w:ascii="Arial Narrow" w:hAnsi="Arial Narrow"/>
                <w:sz w:val="20"/>
                <w:szCs w:val="20"/>
              </w:rPr>
            </w:pPr>
            <w:r w:rsidRPr="00465DC4">
              <w:rPr>
                <w:rFonts w:ascii="Arial Narrow" w:hAnsi="Arial Narrow"/>
                <w:b/>
                <w:bCs/>
                <w:sz w:val="20"/>
                <w:szCs w:val="20"/>
              </w:rPr>
              <w:t>Group P3 - Microbiology</w:t>
            </w:r>
          </w:p>
        </w:tc>
      </w:tr>
      <w:tr w:rsidR="00465DC4" w:rsidRPr="00465DC4" w14:paraId="6414A4C1" w14:textId="77777777" w:rsidTr="00465DC4">
        <w:tc>
          <w:tcPr>
            <w:tcW w:w="9060" w:type="dxa"/>
          </w:tcPr>
          <w:p w14:paraId="29F6E697" w14:textId="77777777" w:rsidR="00465DC4" w:rsidRPr="00465DC4" w:rsidRDefault="00465DC4" w:rsidP="00465DC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65DC4">
              <w:rPr>
                <w:rFonts w:ascii="Arial Narrow" w:hAnsi="Arial Narrow"/>
                <w:b/>
                <w:bCs/>
                <w:sz w:val="20"/>
                <w:szCs w:val="20"/>
              </w:rPr>
              <w:t>69494</w:t>
            </w:r>
          </w:p>
          <w:p w14:paraId="7FF8FA88" w14:textId="77777777" w:rsidR="00465DC4" w:rsidRPr="00465DC4" w:rsidRDefault="00465DC4" w:rsidP="00465DC4">
            <w:pPr>
              <w:rPr>
                <w:rFonts w:ascii="Arial Narrow" w:hAnsi="Arial Narrow"/>
                <w:sz w:val="20"/>
                <w:szCs w:val="20"/>
              </w:rPr>
            </w:pPr>
            <w:r w:rsidRPr="00465DC4">
              <w:rPr>
                <w:rFonts w:ascii="Arial Narrow" w:hAnsi="Arial Narrow"/>
                <w:sz w:val="20"/>
                <w:szCs w:val="20"/>
              </w:rPr>
              <w:t>Detection of a virus or microbial antigen or microbial nucleic acid (not elsewhere specified).</w:t>
            </w:r>
          </w:p>
          <w:p w14:paraId="0DB01EC8" w14:textId="77777777" w:rsidR="00465DC4" w:rsidRPr="00465DC4" w:rsidRDefault="00465DC4" w:rsidP="00465DC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65DC4">
              <w:rPr>
                <w:rFonts w:ascii="Arial Narrow" w:hAnsi="Arial Narrow"/>
                <w:sz w:val="20"/>
                <w:szCs w:val="20"/>
              </w:rPr>
              <w:t>1 test</w:t>
            </w:r>
          </w:p>
          <w:p w14:paraId="38999D5F" w14:textId="77777777" w:rsidR="00465DC4" w:rsidRPr="00465DC4" w:rsidRDefault="00465DC4" w:rsidP="00465DC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837209F" w14:textId="77777777" w:rsidR="00465DC4" w:rsidRPr="00465DC4" w:rsidRDefault="00465DC4" w:rsidP="00465DC4">
            <w:pPr>
              <w:rPr>
                <w:rFonts w:ascii="Arial Narrow" w:hAnsi="Arial Narrow"/>
                <w:sz w:val="20"/>
                <w:szCs w:val="20"/>
              </w:rPr>
            </w:pPr>
            <w:r w:rsidRPr="00465DC4">
              <w:rPr>
                <w:rFonts w:ascii="Arial Narrow" w:hAnsi="Arial Narrow"/>
                <w:sz w:val="20"/>
                <w:szCs w:val="20"/>
              </w:rPr>
              <w:t>MBS Fee: $28.65</w:t>
            </w:r>
          </w:p>
          <w:p w14:paraId="75EB6F2A" w14:textId="77777777" w:rsidR="00465DC4" w:rsidRPr="00465DC4" w:rsidRDefault="00465DC4" w:rsidP="00465DC4">
            <w:pPr>
              <w:rPr>
                <w:rFonts w:ascii="Arial Narrow" w:hAnsi="Arial Narrow"/>
                <w:sz w:val="20"/>
                <w:szCs w:val="20"/>
              </w:rPr>
            </w:pPr>
            <w:r w:rsidRPr="00465DC4">
              <w:rPr>
                <w:rFonts w:ascii="Arial Narrow" w:hAnsi="Arial Narrow"/>
                <w:sz w:val="20"/>
                <w:szCs w:val="20"/>
              </w:rPr>
              <w:t>Benefit: 75% = $21.50              85% = $24.40</w:t>
            </w:r>
          </w:p>
        </w:tc>
      </w:tr>
      <w:tr w:rsidR="00465DC4" w:rsidRPr="00465DC4" w14:paraId="1B341BC2" w14:textId="77777777" w:rsidTr="00465DC4">
        <w:tc>
          <w:tcPr>
            <w:tcW w:w="9060" w:type="dxa"/>
          </w:tcPr>
          <w:p w14:paraId="07015BC1" w14:textId="77777777" w:rsidR="00465DC4" w:rsidRPr="00465DC4" w:rsidRDefault="00465DC4" w:rsidP="00465DC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65DC4">
              <w:rPr>
                <w:rFonts w:ascii="Arial Narrow" w:hAnsi="Arial Narrow"/>
                <w:b/>
                <w:bCs/>
                <w:sz w:val="20"/>
                <w:szCs w:val="20"/>
              </w:rPr>
              <w:t>69495</w:t>
            </w:r>
          </w:p>
          <w:p w14:paraId="5A29B435" w14:textId="77777777" w:rsidR="00465DC4" w:rsidRPr="00465DC4" w:rsidRDefault="00465DC4" w:rsidP="00465DC4">
            <w:pPr>
              <w:rPr>
                <w:rFonts w:ascii="Arial Narrow" w:hAnsi="Arial Narrow"/>
                <w:sz w:val="20"/>
                <w:szCs w:val="20"/>
              </w:rPr>
            </w:pPr>
            <w:r w:rsidRPr="00465DC4">
              <w:rPr>
                <w:rFonts w:ascii="Arial Narrow" w:hAnsi="Arial Narrow"/>
                <w:sz w:val="20"/>
                <w:szCs w:val="20"/>
              </w:rPr>
              <w:t>2 tests described in 69494</w:t>
            </w:r>
          </w:p>
          <w:p w14:paraId="0CF33ED5" w14:textId="77777777" w:rsidR="00465DC4" w:rsidRPr="00465DC4" w:rsidRDefault="00465DC4" w:rsidP="00465DC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6ABE223B" w14:textId="77777777" w:rsidR="00465DC4" w:rsidRPr="00465DC4" w:rsidRDefault="00465DC4" w:rsidP="00465DC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65DC4">
              <w:rPr>
                <w:rFonts w:ascii="Arial Narrow" w:hAnsi="Arial Narrow"/>
                <w:sz w:val="20"/>
                <w:szCs w:val="20"/>
              </w:rPr>
              <w:t>MBS fee: $35.85</w:t>
            </w:r>
            <w:r w:rsidRPr="00465DC4">
              <w:rPr>
                <w:rFonts w:ascii="Arial Narrow" w:hAnsi="Arial Narrow"/>
                <w:sz w:val="20"/>
                <w:szCs w:val="20"/>
              </w:rPr>
              <w:br/>
              <w:t>Benefit: 75% = $26.90              85% = $30.50</w:t>
            </w:r>
          </w:p>
        </w:tc>
      </w:tr>
      <w:tr w:rsidR="00465DC4" w:rsidRPr="00465DC4" w14:paraId="1453C207" w14:textId="77777777" w:rsidTr="00465DC4">
        <w:tc>
          <w:tcPr>
            <w:tcW w:w="9060" w:type="dxa"/>
            <w:hideMark/>
          </w:tcPr>
          <w:p w14:paraId="3919B1A7" w14:textId="77777777" w:rsidR="00465DC4" w:rsidRPr="00465DC4" w:rsidRDefault="00465DC4" w:rsidP="00465DC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65DC4">
              <w:rPr>
                <w:rFonts w:ascii="Arial Narrow" w:hAnsi="Arial Narrow"/>
                <w:b/>
                <w:bCs/>
                <w:sz w:val="20"/>
                <w:szCs w:val="20"/>
              </w:rPr>
              <w:t>69496</w:t>
            </w:r>
          </w:p>
          <w:p w14:paraId="29C114C8" w14:textId="2D101201" w:rsidR="00465DC4" w:rsidRDefault="00465DC4" w:rsidP="00465DC4">
            <w:pPr>
              <w:rPr>
                <w:rFonts w:ascii="Arial Narrow" w:hAnsi="Arial Narrow"/>
                <w:sz w:val="20"/>
                <w:szCs w:val="20"/>
              </w:rPr>
            </w:pPr>
            <w:r w:rsidRPr="00465DC4">
              <w:rPr>
                <w:rFonts w:ascii="Arial Narrow" w:hAnsi="Arial Narrow"/>
                <w:sz w:val="20"/>
                <w:szCs w:val="20"/>
              </w:rPr>
              <w:t>3 or more tests described in 69494</w:t>
            </w:r>
          </w:p>
          <w:p w14:paraId="5C8F8901" w14:textId="77777777" w:rsidR="00465DC4" w:rsidRPr="00465DC4" w:rsidRDefault="00465DC4" w:rsidP="00465DC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F471093" w14:textId="77777777" w:rsidR="00465DC4" w:rsidRPr="00465DC4" w:rsidRDefault="00465DC4" w:rsidP="00465DC4">
            <w:pPr>
              <w:rPr>
                <w:rFonts w:ascii="Arial Narrow" w:hAnsi="Arial Narrow"/>
                <w:sz w:val="20"/>
                <w:szCs w:val="20"/>
              </w:rPr>
            </w:pPr>
            <w:r w:rsidRPr="00465DC4">
              <w:rPr>
                <w:rFonts w:ascii="Arial Narrow" w:hAnsi="Arial Narrow"/>
                <w:sz w:val="20"/>
                <w:szCs w:val="20"/>
              </w:rPr>
              <w:t>MBS Fee: $43.05</w:t>
            </w:r>
            <w:r w:rsidRPr="00465DC4">
              <w:rPr>
                <w:rFonts w:ascii="Arial Narrow" w:hAnsi="Arial Narrow"/>
                <w:sz w:val="20"/>
                <w:szCs w:val="20"/>
              </w:rPr>
              <w:br/>
              <w:t>Benefit: 75% = $32.30               85% = $36.60</w:t>
            </w:r>
          </w:p>
        </w:tc>
      </w:tr>
    </w:tbl>
    <w:p w14:paraId="69D3E873" w14:textId="77777777" w:rsidR="00465DC4" w:rsidRDefault="00465DC4" w:rsidP="00465DC4"/>
    <w:p w14:paraId="0C4849F6" w14:textId="77777777" w:rsidR="00465DC4" w:rsidRDefault="00465DC4" w:rsidP="00614643"/>
    <w:sectPr w:rsidR="00465DC4" w:rsidSect="00643251">
      <w:pgSz w:w="11906" w:h="16838"/>
      <w:pgMar w:top="1135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1FE37" w14:textId="77777777" w:rsidR="00A0160B" w:rsidRDefault="00A0160B" w:rsidP="005064F3">
      <w:pPr>
        <w:spacing w:after="0" w:line="240" w:lineRule="auto"/>
      </w:pPr>
      <w:r>
        <w:separator/>
      </w:r>
    </w:p>
  </w:endnote>
  <w:endnote w:type="continuationSeparator" w:id="0">
    <w:p w14:paraId="30E9A0E0" w14:textId="77777777" w:rsidR="00A0160B" w:rsidRDefault="00A0160B" w:rsidP="00506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3515F" w14:textId="77777777" w:rsidR="00A0160B" w:rsidRDefault="00A0160B" w:rsidP="005064F3">
      <w:pPr>
        <w:spacing w:after="0" w:line="240" w:lineRule="auto"/>
      </w:pPr>
      <w:r>
        <w:separator/>
      </w:r>
    </w:p>
  </w:footnote>
  <w:footnote w:type="continuationSeparator" w:id="0">
    <w:p w14:paraId="2A9641C0" w14:textId="77777777" w:rsidR="00A0160B" w:rsidRDefault="00A0160B" w:rsidP="00506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045C6F"/>
    <w:multiLevelType w:val="hybridMultilevel"/>
    <w:tmpl w:val="20E66F50"/>
    <w:lvl w:ilvl="0" w:tplc="5164C4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474D6"/>
    <w:multiLevelType w:val="multilevel"/>
    <w:tmpl w:val="F5F08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3B5EBD"/>
    <w:multiLevelType w:val="hybridMultilevel"/>
    <w:tmpl w:val="1E0AC75C"/>
    <w:lvl w:ilvl="0" w:tplc="F3A6BA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E3917"/>
    <w:multiLevelType w:val="hybridMultilevel"/>
    <w:tmpl w:val="CF1865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819D0"/>
    <w:multiLevelType w:val="hybridMultilevel"/>
    <w:tmpl w:val="DD0CAD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27DFB"/>
    <w:multiLevelType w:val="multilevel"/>
    <w:tmpl w:val="AFB8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4DD60A9"/>
    <w:multiLevelType w:val="hybridMultilevel"/>
    <w:tmpl w:val="05D2CC0E"/>
    <w:lvl w:ilvl="0" w:tplc="A43639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64682"/>
    <w:multiLevelType w:val="hybridMultilevel"/>
    <w:tmpl w:val="CDB64E0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F2"/>
    <w:rsid w:val="00004658"/>
    <w:rsid w:val="00012946"/>
    <w:rsid w:val="000337A3"/>
    <w:rsid w:val="000714C8"/>
    <w:rsid w:val="00094891"/>
    <w:rsid w:val="000C3351"/>
    <w:rsid w:val="000F3DA3"/>
    <w:rsid w:val="00134594"/>
    <w:rsid w:val="001554BC"/>
    <w:rsid w:val="001B38F7"/>
    <w:rsid w:val="001E6518"/>
    <w:rsid w:val="00243E1A"/>
    <w:rsid w:val="00316771"/>
    <w:rsid w:val="00327EF2"/>
    <w:rsid w:val="003332D3"/>
    <w:rsid w:val="003727D3"/>
    <w:rsid w:val="00373146"/>
    <w:rsid w:val="003862B3"/>
    <w:rsid w:val="003A6F5E"/>
    <w:rsid w:val="003B7D06"/>
    <w:rsid w:val="003D747F"/>
    <w:rsid w:val="003E7009"/>
    <w:rsid w:val="00435D41"/>
    <w:rsid w:val="0046518E"/>
    <w:rsid w:val="00465DC4"/>
    <w:rsid w:val="00495996"/>
    <w:rsid w:val="004A7B64"/>
    <w:rsid w:val="0050469A"/>
    <w:rsid w:val="005064F3"/>
    <w:rsid w:val="00534E77"/>
    <w:rsid w:val="00560A4D"/>
    <w:rsid w:val="005724DA"/>
    <w:rsid w:val="005B1C73"/>
    <w:rsid w:val="005C43FE"/>
    <w:rsid w:val="00602F1B"/>
    <w:rsid w:val="00614643"/>
    <w:rsid w:val="00643251"/>
    <w:rsid w:val="0068663C"/>
    <w:rsid w:val="00692933"/>
    <w:rsid w:val="006D3B0E"/>
    <w:rsid w:val="007133E7"/>
    <w:rsid w:val="007456B8"/>
    <w:rsid w:val="00790E5D"/>
    <w:rsid w:val="00807574"/>
    <w:rsid w:val="00841AA0"/>
    <w:rsid w:val="0088405A"/>
    <w:rsid w:val="008C4EA3"/>
    <w:rsid w:val="008D1D7E"/>
    <w:rsid w:val="00982E31"/>
    <w:rsid w:val="009C3C9D"/>
    <w:rsid w:val="00A0160B"/>
    <w:rsid w:val="00A54840"/>
    <w:rsid w:val="00AB4874"/>
    <w:rsid w:val="00AC09E6"/>
    <w:rsid w:val="00AC767F"/>
    <w:rsid w:val="00AE2987"/>
    <w:rsid w:val="00AF36FA"/>
    <w:rsid w:val="00B3286B"/>
    <w:rsid w:val="00B539C0"/>
    <w:rsid w:val="00B55712"/>
    <w:rsid w:val="00B558F0"/>
    <w:rsid w:val="00B8619F"/>
    <w:rsid w:val="00B94719"/>
    <w:rsid w:val="00C16746"/>
    <w:rsid w:val="00C320AA"/>
    <w:rsid w:val="00C95732"/>
    <w:rsid w:val="00C959EF"/>
    <w:rsid w:val="00CA36E8"/>
    <w:rsid w:val="00CB5F65"/>
    <w:rsid w:val="00CE5013"/>
    <w:rsid w:val="00D10567"/>
    <w:rsid w:val="00D209E7"/>
    <w:rsid w:val="00D70412"/>
    <w:rsid w:val="00D82652"/>
    <w:rsid w:val="00DD12C2"/>
    <w:rsid w:val="00DE2220"/>
    <w:rsid w:val="00E86FDF"/>
    <w:rsid w:val="00EC5B2A"/>
    <w:rsid w:val="00EE5ECA"/>
    <w:rsid w:val="00F10193"/>
    <w:rsid w:val="00F535CC"/>
    <w:rsid w:val="00F6715C"/>
    <w:rsid w:val="00F71F3B"/>
    <w:rsid w:val="00F938E8"/>
    <w:rsid w:val="00FC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5686771"/>
  <w15:chartTrackingRefBased/>
  <w15:docId w15:val="{4EAA367C-4EA0-4770-8C56-C033E808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7D3"/>
    <w:pPr>
      <w:keepNext/>
      <w:keepLines/>
      <w:tabs>
        <w:tab w:val="left" w:pos="1701"/>
      </w:tabs>
      <w:spacing w:before="360" w:after="120" w:line="240" w:lineRule="auto"/>
      <w:outlineLvl w:val="1"/>
    </w:pPr>
    <w:rPr>
      <w:rFonts w:ascii="Franklin Gothic Medium" w:eastAsiaTheme="majorEastAsia" w:hAnsi="Franklin Gothic Medium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7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5ECA"/>
    <w:pPr>
      <w:ind w:left="720"/>
      <w:contextualSpacing/>
    </w:pPr>
  </w:style>
  <w:style w:type="paragraph" w:customStyle="1" w:styleId="Default">
    <w:name w:val="Default"/>
    <w:rsid w:val="00EE5ECA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TableHeading">
    <w:name w:val="TableHeading"/>
    <w:basedOn w:val="Normal"/>
    <w:link w:val="TableHeadingChar"/>
    <w:qFormat/>
    <w:rsid w:val="00C320AA"/>
    <w:pPr>
      <w:keepNext/>
      <w:spacing w:before="40" w:after="40" w:line="240" w:lineRule="auto"/>
    </w:pPr>
    <w:rPr>
      <w:rFonts w:ascii="Arial Narrow" w:eastAsia="Times New Roman" w:hAnsi="Arial Narrow" w:cs="Tahoma"/>
      <w:b/>
      <w:sz w:val="20"/>
      <w:szCs w:val="20"/>
      <w:lang w:eastAsia="en-AU"/>
    </w:rPr>
  </w:style>
  <w:style w:type="character" w:customStyle="1" w:styleId="TableHeadingChar">
    <w:name w:val="TableHeading Char"/>
    <w:link w:val="TableHeading"/>
    <w:rsid w:val="00C320AA"/>
    <w:rPr>
      <w:rFonts w:ascii="Arial Narrow" w:eastAsia="Times New Roman" w:hAnsi="Arial Narrow" w:cs="Tahoma"/>
      <w:b/>
      <w:sz w:val="20"/>
      <w:szCs w:val="20"/>
      <w:lang w:eastAsia="en-AU"/>
    </w:rPr>
  </w:style>
  <w:style w:type="paragraph" w:styleId="Caption">
    <w:name w:val="caption"/>
    <w:basedOn w:val="Normal"/>
    <w:next w:val="Normal"/>
    <w:qFormat/>
    <w:rsid w:val="00C320AA"/>
    <w:pPr>
      <w:keepNext/>
      <w:spacing w:before="360" w:after="120" w:line="240" w:lineRule="auto"/>
      <w:ind w:left="709" w:hanging="709"/>
    </w:pPr>
    <w:rPr>
      <w:rFonts w:ascii="Arial Narrow" w:eastAsia="Times New Roman" w:hAnsi="Arial Narrow" w:cs="Tahoma"/>
      <w:b/>
      <w:sz w:val="20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3727D3"/>
    <w:rPr>
      <w:rFonts w:ascii="Franklin Gothic Medium" w:eastAsiaTheme="majorEastAsia" w:hAnsi="Franklin Gothic Medium" w:cstheme="majorBidi"/>
      <w:color w:val="000000" w:themeColor="text1"/>
      <w:sz w:val="32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046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46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46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6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6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LOCKETT, Gabrielle;EVEREST, Neil</dc:creator>
  <cp:keywords/>
  <dc:description/>
  <cp:lastModifiedBy>Maynard Gold</cp:lastModifiedBy>
  <cp:revision>3</cp:revision>
  <dcterms:created xsi:type="dcterms:W3CDTF">2023-02-16T03:45:00Z</dcterms:created>
  <dcterms:modified xsi:type="dcterms:W3CDTF">2023-02-16T03:48:00Z</dcterms:modified>
</cp:coreProperties>
</file>