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C371F"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43401386" wp14:editId="0C39E602">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BBB9766" w14:textId="77777777" w:rsidR="00BC1364" w:rsidRPr="008D5885" w:rsidRDefault="00BC1364" w:rsidP="008D5885"/>
    <w:p w14:paraId="06ABF6B4" w14:textId="77777777" w:rsidR="00C67DD2" w:rsidRPr="008D5885" w:rsidRDefault="00C67DD2" w:rsidP="008D5885"/>
    <w:p w14:paraId="0E241848"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19C4412C" w14:textId="77777777" w:rsidR="00BC1364" w:rsidRPr="007B32D1" w:rsidRDefault="00BC1364" w:rsidP="007B32D1"/>
    <w:p w14:paraId="1905059C" w14:textId="77777777" w:rsidR="00BC1364" w:rsidRDefault="00BC1364" w:rsidP="00CE1D7D">
      <w:pPr>
        <w:jc w:val="center"/>
        <w:rPr>
          <w:szCs w:val="24"/>
        </w:rPr>
      </w:pPr>
      <w:r w:rsidRPr="007B32D1">
        <w:rPr>
          <w:rFonts w:ascii="Arial" w:hAnsi="Arial" w:cs="Arial"/>
          <w:b/>
          <w:bCs/>
          <w:i/>
          <w:color w:val="000080"/>
          <w:sz w:val="28"/>
          <w:szCs w:val="28"/>
        </w:rPr>
        <w:t xml:space="preserve">Application No. </w:t>
      </w:r>
      <w:r w:rsidR="00CE1D7D">
        <w:rPr>
          <w:rFonts w:ascii="Arial" w:hAnsi="Arial" w:cs="Arial"/>
          <w:b/>
          <w:i/>
          <w:color w:val="000080"/>
          <w:sz w:val="28"/>
          <w:szCs w:val="28"/>
        </w:rPr>
        <w:t xml:space="preserve">1354 – </w:t>
      </w:r>
      <w:r w:rsidR="00CE1D7D" w:rsidRPr="00C74A06">
        <w:rPr>
          <w:rFonts w:ascii="Arial" w:hAnsi="Arial" w:cs="Arial"/>
          <w:b/>
          <w:i/>
          <w:color w:val="000099"/>
          <w:sz w:val="28"/>
          <w:szCs w:val="28"/>
        </w:rPr>
        <w:t>Intravascular Ultrasound</w:t>
      </w:r>
      <w:r w:rsidR="00CE1D7D">
        <w:rPr>
          <w:rFonts w:ascii="Arial" w:hAnsi="Arial" w:cs="Arial"/>
          <w:b/>
          <w:i/>
          <w:color w:val="000099"/>
          <w:sz w:val="28"/>
          <w:szCs w:val="28"/>
        </w:rPr>
        <w:t xml:space="preserve"> (IVUS) </w:t>
      </w:r>
      <w:r w:rsidR="00CE1D7D" w:rsidRPr="00C74A06">
        <w:rPr>
          <w:rFonts w:ascii="Arial" w:hAnsi="Arial" w:cs="Arial"/>
          <w:b/>
          <w:i/>
          <w:color w:val="000099"/>
          <w:sz w:val="28"/>
          <w:szCs w:val="28"/>
        </w:rPr>
        <w:t>Guided Coronary Stent Insertion</w:t>
      </w:r>
    </w:p>
    <w:p w14:paraId="70B4F63B" w14:textId="77777777" w:rsidR="00BC1364" w:rsidRPr="00707064" w:rsidRDefault="00BC1364" w:rsidP="00065623">
      <w:pPr>
        <w:tabs>
          <w:tab w:val="left" w:pos="3600"/>
        </w:tabs>
        <w:ind w:left="3600" w:hanging="3600"/>
        <w:rPr>
          <w:szCs w:val="24"/>
        </w:rPr>
      </w:pPr>
    </w:p>
    <w:p w14:paraId="695716FD" w14:textId="28134169" w:rsidR="00BC1364" w:rsidRPr="00D90A38" w:rsidRDefault="00B35595" w:rsidP="00BE47C3">
      <w:pPr>
        <w:ind w:left="3595" w:hanging="3595"/>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E47C3">
        <w:rPr>
          <w:rFonts w:ascii="Arial" w:hAnsi="Arial" w:cs="Arial"/>
          <w:b/>
          <w:szCs w:val="24"/>
        </w:rPr>
        <w:tab/>
      </w:r>
      <w:r w:rsidR="00CE1D7D">
        <w:rPr>
          <w:rFonts w:ascii="Arial" w:hAnsi="Arial" w:cs="Arial"/>
          <w:b/>
          <w:szCs w:val="24"/>
        </w:rPr>
        <w:t>Boston Scientific</w:t>
      </w:r>
    </w:p>
    <w:p w14:paraId="4D19D4EE" w14:textId="77777777" w:rsidR="00BC1364" w:rsidRPr="00D90A38" w:rsidRDefault="00BC1364" w:rsidP="00065623">
      <w:pPr>
        <w:tabs>
          <w:tab w:val="left" w:pos="2265"/>
          <w:tab w:val="left" w:pos="3420"/>
          <w:tab w:val="left" w:pos="4320"/>
        </w:tabs>
        <w:rPr>
          <w:rFonts w:ascii="Arial" w:hAnsi="Arial" w:cs="Arial"/>
          <w:b/>
        </w:rPr>
      </w:pPr>
    </w:p>
    <w:p w14:paraId="730A9350"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CE1D7D">
        <w:rPr>
          <w:rFonts w:ascii="Arial" w:hAnsi="Arial" w:cs="Arial"/>
          <w:b/>
          <w:szCs w:val="24"/>
        </w:rPr>
        <w:t>63</w:t>
      </w:r>
      <w:r w:rsidR="00CE1D7D" w:rsidRPr="00CE1D7D">
        <w:rPr>
          <w:rFonts w:ascii="Arial" w:hAnsi="Arial" w:cs="Arial"/>
          <w:b/>
          <w:szCs w:val="24"/>
          <w:vertAlign w:val="superscript"/>
        </w:rPr>
        <w:t>rd</w:t>
      </w:r>
      <w:r w:rsidR="00CE1D7D">
        <w:rPr>
          <w:rFonts w:ascii="Arial" w:hAnsi="Arial" w:cs="Arial"/>
          <w:b/>
          <w:szCs w:val="24"/>
        </w:rPr>
        <w:t xml:space="preserve"> </w:t>
      </w:r>
      <w:r w:rsidRPr="00D90A38">
        <w:rPr>
          <w:rFonts w:ascii="Arial" w:hAnsi="Arial" w:cs="Arial"/>
          <w:b/>
          <w:szCs w:val="24"/>
        </w:rPr>
        <w:t xml:space="preserve">Meeting, </w:t>
      </w:r>
      <w:r w:rsidR="00CE1D7D">
        <w:rPr>
          <w:rFonts w:ascii="Arial" w:hAnsi="Arial" w:cs="Arial"/>
          <w:b/>
          <w:szCs w:val="24"/>
        </w:rPr>
        <w:t>1-2 April 2015</w:t>
      </w:r>
    </w:p>
    <w:p w14:paraId="77C250A1" w14:textId="77777777" w:rsidR="00BC1364" w:rsidRDefault="00BC1364" w:rsidP="00065623">
      <w:pPr>
        <w:rPr>
          <w:szCs w:val="24"/>
        </w:rPr>
      </w:pPr>
    </w:p>
    <w:p w14:paraId="749C3855" w14:textId="7E67666A" w:rsidR="0041758C"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14:paraId="2829FADC" w14:textId="77777777" w:rsidR="0041758C" w:rsidRDefault="0041758C" w:rsidP="00065623">
      <w:pPr>
        <w:rPr>
          <w:szCs w:val="24"/>
        </w:rPr>
      </w:pPr>
    </w:p>
    <w:p w14:paraId="6D8985A3" w14:textId="77777777" w:rsidR="00F41812" w:rsidRDefault="00F41812" w:rsidP="00065623">
      <w:pPr>
        <w:rPr>
          <w:szCs w:val="24"/>
        </w:rPr>
      </w:pPr>
    </w:p>
    <w:p w14:paraId="4FD8B580"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47B7CFEF" w14:textId="77777777" w:rsidR="00CE1D7D" w:rsidRDefault="00CE1D7D" w:rsidP="00845042">
      <w:r w:rsidRPr="00696758">
        <w:t xml:space="preserve">An </w:t>
      </w:r>
      <w:r>
        <w:t xml:space="preserve">application </w:t>
      </w:r>
      <w:r w:rsidRPr="00696758">
        <w:t xml:space="preserve">requesting MBS listing of intravascular ultrasound (IVUS)-guided coronary stent insertion for patients undergoing percutaneous coronary intervention (PCI) was received from Boston Scientific Pty Ltd by the Department of Health in </w:t>
      </w:r>
      <w:r>
        <w:t>September</w:t>
      </w:r>
      <w:r w:rsidRPr="00696758">
        <w:t xml:space="preserve"> 201</w:t>
      </w:r>
      <w:r>
        <w:t>3</w:t>
      </w:r>
      <w:r w:rsidRPr="00696758">
        <w:t>.</w:t>
      </w:r>
    </w:p>
    <w:p w14:paraId="71B0D4E5" w14:textId="77777777" w:rsidR="003D7F29" w:rsidRPr="00D90A38" w:rsidRDefault="003D7F29" w:rsidP="003D7F29">
      <w:pPr>
        <w:rPr>
          <w:color w:val="FF0000"/>
          <w:szCs w:val="24"/>
        </w:rPr>
      </w:pPr>
    </w:p>
    <w:p w14:paraId="27E44390" w14:textId="77777777" w:rsidR="00E977EE" w:rsidRDefault="00E977EE" w:rsidP="00E977EE">
      <w:pPr>
        <w:pStyle w:val="Heading1"/>
        <w:numPr>
          <w:ilvl w:val="0"/>
          <w:numId w:val="23"/>
        </w:numPr>
        <w:ind w:hanging="720"/>
      </w:pPr>
      <w:r w:rsidRPr="008D5885">
        <w:t>MSAC’s advice to the Minister</w:t>
      </w:r>
    </w:p>
    <w:p w14:paraId="7B00B437" w14:textId="77777777" w:rsidR="00E977EE" w:rsidRDefault="00E977EE" w:rsidP="00E977EE">
      <w:pPr>
        <w:tabs>
          <w:tab w:val="left" w:pos="720"/>
        </w:tabs>
        <w:ind w:left="709" w:hanging="709"/>
        <w:rPr>
          <w:b/>
          <w:szCs w:val="24"/>
        </w:rPr>
      </w:pPr>
    </w:p>
    <w:p w14:paraId="650E9811" w14:textId="77777777" w:rsidR="00AE20AB" w:rsidRDefault="00AE20AB" w:rsidP="00AE20AB">
      <w:r>
        <w:t xml:space="preserve">After considering the available evidence presented in relation to safety, clinical effectiveness and cost-effectiveness of intravascular ultrasound (IVUS)-guided coronary stent insertion, </w:t>
      </w:r>
      <w:r w:rsidRPr="006E369E">
        <w:t xml:space="preserve">MSAC </w:t>
      </w:r>
      <w:r>
        <w:t>did not support public funding for IVUS-guided coronary stent insertion for patients undergoing percutaneous coronary intervention due to uncertain clinical effectiveness and uncertainty around the cost-effectiveness of the procedure.</w:t>
      </w:r>
    </w:p>
    <w:p w14:paraId="7BECA834" w14:textId="77777777" w:rsidR="00E977EE" w:rsidRPr="000F14B4" w:rsidRDefault="00E977EE" w:rsidP="00E977EE">
      <w:pPr>
        <w:pStyle w:val="Default"/>
        <w:ind w:left="720"/>
        <w:rPr>
          <w:color w:val="FF0000"/>
        </w:rPr>
      </w:pPr>
    </w:p>
    <w:p w14:paraId="40FDBF89" w14:textId="77777777" w:rsidR="00550354" w:rsidRDefault="00550354" w:rsidP="00550354">
      <w:pPr>
        <w:pStyle w:val="Heading1"/>
        <w:numPr>
          <w:ilvl w:val="0"/>
          <w:numId w:val="23"/>
        </w:numPr>
        <w:ind w:hanging="720"/>
      </w:pPr>
      <w:r w:rsidRPr="008D5885">
        <w:t>Summary of consideration and rationale for MSAC’s advice</w:t>
      </w:r>
      <w:r w:rsidRPr="00707064">
        <w:t xml:space="preserve"> </w:t>
      </w:r>
    </w:p>
    <w:p w14:paraId="61A9D34B" w14:textId="77777777" w:rsidR="00550354" w:rsidRDefault="00550354" w:rsidP="00550354">
      <w:pPr>
        <w:rPr>
          <w:szCs w:val="24"/>
        </w:rPr>
      </w:pPr>
    </w:p>
    <w:p w14:paraId="4B1BCCFF" w14:textId="77777777" w:rsidR="00AE20AB" w:rsidRDefault="00AE20AB" w:rsidP="00AE20AB">
      <w:r>
        <w:t>MSAC noted that compared to angiography, IVUS may provide physicians with a better understanding of atherosclerotic vessels to determine appropriate treatment strategy, stent selection and implantation, and adequate deployment to restore blood flow. IVUS plays multiple roles in coronary stenting including determining suitability for stenting, guidance of stent selection and placement, and ensuring adequate stent deployment.</w:t>
      </w:r>
    </w:p>
    <w:p w14:paraId="049429EF" w14:textId="77777777" w:rsidR="00AE20AB" w:rsidRDefault="00AE20AB" w:rsidP="00AE20AB"/>
    <w:p w14:paraId="43195A64" w14:textId="5DB4B33D" w:rsidR="008056F4" w:rsidRDefault="00AE20AB" w:rsidP="008056F4">
      <w:r>
        <w:t xml:space="preserve">MSAC was concerned with differences between the clinical algorithm in the final submission and the clinical algorithm in the protocol provided by the Protocol Advisory Sub Committee (PASC), which increased level of clinical uncertainty. It was noted that the algorithm in the submission allows 'low/medium risk' patients to receive IVUS guidance. However, in the protocol, IVUS guidance was restricted to only 'high-risk' patients. Additionally, in the submission, both 'low/medium-risk' and 'high-risk' patients can receive simultaneous stent insertions at a subsequent occasion under guidance of angiography alone. This was not an option in the protocol. Evidence is lacking on the benefit of IVUS for coronary stent insertion </w:t>
      </w:r>
      <w:r>
        <w:lastRenderedPageBreak/>
        <w:t>in 'low-risk' patients, which was acknowledged in the applicant</w:t>
      </w:r>
      <w:r w:rsidR="00AB74A4">
        <w:t>’</w:t>
      </w:r>
      <w:r>
        <w:t>s pre-MSAC response</w:t>
      </w:r>
      <w:r w:rsidR="00F662AC">
        <w:t xml:space="preserve"> and stated</w:t>
      </w:r>
      <w:r w:rsidR="008056F4">
        <w:t xml:space="preserve"> support for restriction </w:t>
      </w:r>
      <w:r w:rsidR="008056F4" w:rsidRPr="004E29E2">
        <w:t>to ‘high-risk’ patients</w:t>
      </w:r>
      <w:r w:rsidR="008056F4">
        <w:t>.</w:t>
      </w:r>
    </w:p>
    <w:p w14:paraId="3EAD7A61" w14:textId="77777777" w:rsidR="00AE20AB" w:rsidRDefault="00AE20AB" w:rsidP="00AE20AB"/>
    <w:p w14:paraId="203CC317" w14:textId="73F0B2A3" w:rsidR="00AE20AB" w:rsidRDefault="00AE20AB" w:rsidP="00AE20AB">
      <w:pPr>
        <w:rPr>
          <w:lang w:val="en-US"/>
        </w:rPr>
      </w:pPr>
      <w:r w:rsidRPr="00A23EB6">
        <w:rPr>
          <w:lang w:val="en-US"/>
        </w:rPr>
        <w:t xml:space="preserve">Due to lack of evidence no sub-group analysis was performed for the ‘high-risk’ patient groups, as defined in the protocol, in the submission. </w:t>
      </w:r>
      <w:r>
        <w:rPr>
          <w:lang w:val="en-US"/>
        </w:rPr>
        <w:t>The applicant instead</w:t>
      </w:r>
      <w:r w:rsidRPr="00A23EB6">
        <w:rPr>
          <w:lang w:val="en-US"/>
        </w:rPr>
        <w:t xml:space="preserve"> presented subgroup analysis for patients with acute coronary syndrome, diabetes and renal insufficiency</w:t>
      </w:r>
      <w:r>
        <w:rPr>
          <w:lang w:val="en-US"/>
        </w:rPr>
        <w:t>, however</w:t>
      </w:r>
      <w:r w:rsidR="00404FEA">
        <w:rPr>
          <w:lang w:val="en-US"/>
        </w:rPr>
        <w:t>;</w:t>
      </w:r>
      <w:r>
        <w:rPr>
          <w:lang w:val="en-US"/>
        </w:rPr>
        <w:t xml:space="preserve"> MSAC was concerned that this was not what the protocol mandated.</w:t>
      </w:r>
    </w:p>
    <w:p w14:paraId="561519C1" w14:textId="77777777" w:rsidR="00AE20AB" w:rsidRDefault="00AE20AB" w:rsidP="00AE20AB">
      <w:pPr>
        <w:rPr>
          <w:lang w:val="en-US"/>
        </w:rPr>
      </w:pPr>
    </w:p>
    <w:p w14:paraId="0289D723" w14:textId="7401FD90" w:rsidR="00AE20AB" w:rsidRDefault="00AE20AB" w:rsidP="00AE20AB">
      <w:pPr>
        <w:rPr>
          <w:lang w:val="en-US"/>
        </w:rPr>
      </w:pPr>
      <w:r>
        <w:rPr>
          <w:lang w:val="en-US"/>
        </w:rPr>
        <w:t xml:space="preserve">It was noted that there were no safety concerns identified, </w:t>
      </w:r>
      <w:r w:rsidR="00404FEA">
        <w:rPr>
          <w:lang w:val="en-US"/>
        </w:rPr>
        <w:t xml:space="preserve">although </w:t>
      </w:r>
      <w:r>
        <w:rPr>
          <w:lang w:val="en-US"/>
        </w:rPr>
        <w:t>MSAC was concerned that the safety analysis was not robust.</w:t>
      </w:r>
    </w:p>
    <w:p w14:paraId="7D0EFAE8" w14:textId="77777777" w:rsidR="00AE20AB" w:rsidRDefault="00AE20AB" w:rsidP="00AE20AB">
      <w:pPr>
        <w:rPr>
          <w:lang w:val="en-US"/>
        </w:rPr>
      </w:pPr>
    </w:p>
    <w:p w14:paraId="42BC8208" w14:textId="73E18613" w:rsidR="00AE20AB" w:rsidRDefault="00AE20AB" w:rsidP="00AE20AB">
      <w:pPr>
        <w:rPr>
          <w:lang w:val="en-US"/>
        </w:rPr>
      </w:pPr>
      <w:r>
        <w:rPr>
          <w:lang w:val="en-US"/>
        </w:rPr>
        <w:t xml:space="preserve">MSAC was concerned about the limited number of primary studies included in the analysis and the reliance on systematic reviews and meta-analyses, which do not allow assessment of the safety and efficacy of IVUS guidance for stent insertion of either bare metal stents (BMS) or drug-eluting stents (DES) for the types of 'high-risk' patients nominated in the protocol. </w:t>
      </w:r>
      <w:r w:rsidR="0012484E">
        <w:rPr>
          <w:lang w:val="en-US"/>
        </w:rPr>
        <w:t>F</w:t>
      </w:r>
      <w:r w:rsidR="00B110C4">
        <w:rPr>
          <w:lang w:val="en-US"/>
        </w:rPr>
        <w:t xml:space="preserve">urthermore, stent technology is evolving with incomplete stent deployment now being less of a problem compared with </w:t>
      </w:r>
      <w:r w:rsidR="00665764">
        <w:rPr>
          <w:lang w:val="en-US"/>
        </w:rPr>
        <w:t xml:space="preserve">earlier </w:t>
      </w:r>
      <w:r w:rsidR="00B110C4">
        <w:rPr>
          <w:lang w:val="en-US"/>
        </w:rPr>
        <w:t>generation</w:t>
      </w:r>
      <w:r w:rsidR="00665764">
        <w:rPr>
          <w:lang w:val="en-US"/>
        </w:rPr>
        <w:t xml:space="preserve"> stents</w:t>
      </w:r>
      <w:r w:rsidR="00B110C4">
        <w:rPr>
          <w:lang w:val="en-US"/>
        </w:rPr>
        <w:t xml:space="preserve">. </w:t>
      </w:r>
      <w:r>
        <w:rPr>
          <w:lang w:val="en-US"/>
        </w:rPr>
        <w:t>It remains unclear, due to lack of research evidence, whether there is benefit of IVUS in percutaneous coronary intervention (PCI) stent insertion for naive patient</w:t>
      </w:r>
      <w:r w:rsidR="00FE6C48">
        <w:rPr>
          <w:lang w:val="en-US"/>
        </w:rPr>
        <w:t>s</w:t>
      </w:r>
      <w:r>
        <w:rPr>
          <w:lang w:val="en-US"/>
        </w:rPr>
        <w:t xml:space="preserve"> compared to re-stenting procedures.</w:t>
      </w:r>
    </w:p>
    <w:p w14:paraId="54D53F1A" w14:textId="77777777" w:rsidR="00AE20AB" w:rsidRDefault="00AE20AB" w:rsidP="00AE20AB">
      <w:pPr>
        <w:rPr>
          <w:lang w:val="en-US"/>
        </w:rPr>
      </w:pPr>
    </w:p>
    <w:p w14:paraId="13E2AC41" w14:textId="7DDF439F" w:rsidR="00AE20AB" w:rsidRDefault="00AE20AB" w:rsidP="00AE20AB">
      <w:pPr>
        <w:rPr>
          <w:lang w:val="en-US"/>
        </w:rPr>
      </w:pPr>
      <w:r>
        <w:rPr>
          <w:lang w:val="en-US"/>
        </w:rPr>
        <w:t xml:space="preserve">MSAC noted that there were small differences </w:t>
      </w:r>
      <w:proofErr w:type="spellStart"/>
      <w:r>
        <w:rPr>
          <w:lang w:val="en-US"/>
        </w:rPr>
        <w:t>favouring</w:t>
      </w:r>
      <w:proofErr w:type="spellEnd"/>
      <w:r>
        <w:rPr>
          <w:lang w:val="en-US"/>
        </w:rPr>
        <w:t xml:space="preserve"> IVUS</w:t>
      </w:r>
      <w:r w:rsidR="0022259D">
        <w:rPr>
          <w:lang w:val="en-US"/>
        </w:rPr>
        <w:t>. H</w:t>
      </w:r>
      <w:r>
        <w:rPr>
          <w:lang w:val="en-US"/>
        </w:rPr>
        <w:t>owever the data w</w:t>
      </w:r>
      <w:r w:rsidR="00FE6C48">
        <w:rPr>
          <w:lang w:val="en-US"/>
        </w:rPr>
        <w:t>ere</w:t>
      </w:r>
      <w:r>
        <w:rPr>
          <w:lang w:val="en-US"/>
        </w:rPr>
        <w:t xml:space="preserve"> heterogeneous and therefore the 95% confidence intervals (CIs) approached 1. MSAC was concerned that there were no significant differences in </w:t>
      </w:r>
      <w:r w:rsidR="00E20705">
        <w:rPr>
          <w:lang w:val="en-US"/>
        </w:rPr>
        <w:t xml:space="preserve">important clinical </w:t>
      </w:r>
      <w:r>
        <w:rPr>
          <w:lang w:val="en-US"/>
        </w:rPr>
        <w:t xml:space="preserve">outcomes such as myocardial infarctions (MIs) and mortality and that pooling of major adverse cardiac events (MACE) may be inappropriate. In addition, due to the </w:t>
      </w:r>
      <w:r w:rsidR="00E20705">
        <w:rPr>
          <w:lang w:val="en-US"/>
        </w:rPr>
        <w:t xml:space="preserve">short </w:t>
      </w:r>
      <w:r>
        <w:rPr>
          <w:lang w:val="en-US"/>
        </w:rPr>
        <w:t>follow-up (2-3 year</w:t>
      </w:r>
      <w:r w:rsidR="00E20705">
        <w:rPr>
          <w:lang w:val="en-US"/>
        </w:rPr>
        <w:t>s</w:t>
      </w:r>
      <w:r>
        <w:rPr>
          <w:lang w:val="en-US"/>
        </w:rPr>
        <w:t>) in the clinical evidence base, it is not possible to assess whether the short-term benefits of IVUS are maintained over a longer period of time.</w:t>
      </w:r>
    </w:p>
    <w:p w14:paraId="79F6EAFD" w14:textId="77777777" w:rsidR="00AE20AB" w:rsidRDefault="00AE20AB" w:rsidP="00AE20AB">
      <w:pPr>
        <w:rPr>
          <w:lang w:val="en-US"/>
        </w:rPr>
      </w:pPr>
    </w:p>
    <w:p w14:paraId="10A1E0A7" w14:textId="0DE3BD4D" w:rsidR="00AE20AB" w:rsidRDefault="00AE20AB" w:rsidP="00AE20AB">
      <w:r>
        <w:t>MSAC noted that a cost utility and cost-effectiveness analysis was performed with the modelled economic evaluation developed in two major steps: a trial-based evaluation (year 1) and extrapolation to a lifetime time horizon. MSAC was concerned, however, with the lack of evidence to support the lifetime time horizon of the model as the published data do not exceed 3 years and therefore, the lifetime benefits remain unknown. It was noted that</w:t>
      </w:r>
      <w:r w:rsidR="00D94AC3">
        <w:t xml:space="preserve"> the trial-based evaluation (year 1) </w:t>
      </w:r>
      <w:r>
        <w:t>discounted cost per QALY gained is estimated to be $166,462 for BMS and $489,868 for DES.</w:t>
      </w:r>
    </w:p>
    <w:p w14:paraId="2D341A25" w14:textId="77777777" w:rsidR="00AE20AB" w:rsidRDefault="00AE20AB" w:rsidP="00AE20AB"/>
    <w:p w14:paraId="42DBCF1D" w14:textId="78D68C45" w:rsidR="00AE20AB" w:rsidRDefault="00AE20AB" w:rsidP="00AE20AB">
      <w:pPr>
        <w:rPr>
          <w:lang w:val="en-US"/>
        </w:rPr>
      </w:pPr>
      <w:r>
        <w:rPr>
          <w:lang w:val="en-US"/>
        </w:rPr>
        <w:t>MSAC noted that a</w:t>
      </w:r>
      <w:r w:rsidRPr="00395D74">
        <w:rPr>
          <w:lang w:val="en-US"/>
        </w:rPr>
        <w:t xml:space="preserve"> conservative uptake rate is assumed by the applicant, based on estimated procurement of IVU</w:t>
      </w:r>
      <w:r>
        <w:rPr>
          <w:lang w:val="en-US"/>
        </w:rPr>
        <w:t xml:space="preserve">S capital equipment by hospitals. In addition, no changes in PBS costs are expected, </w:t>
      </w:r>
      <w:r w:rsidR="0022259D">
        <w:rPr>
          <w:lang w:val="en-US"/>
        </w:rPr>
        <w:t>although</w:t>
      </w:r>
      <w:r>
        <w:rPr>
          <w:lang w:val="en-US"/>
        </w:rPr>
        <w:t xml:space="preserve"> reductions in adverse events such as </w:t>
      </w:r>
      <w:proofErr w:type="spellStart"/>
      <w:r>
        <w:rPr>
          <w:lang w:val="en-US"/>
        </w:rPr>
        <w:t>revascularisations</w:t>
      </w:r>
      <w:proofErr w:type="spellEnd"/>
      <w:r>
        <w:rPr>
          <w:lang w:val="en-US"/>
        </w:rPr>
        <w:t xml:space="preserve"> and MIs could result in possible cost savings to the PBS in the form of reduced medications. MSAC considered this claim was uncertain </w:t>
      </w:r>
      <w:r w:rsidR="00E20705">
        <w:rPr>
          <w:lang w:val="en-US"/>
        </w:rPr>
        <w:t>as it was</w:t>
      </w:r>
      <w:r>
        <w:rPr>
          <w:lang w:val="en-US"/>
        </w:rPr>
        <w:t xml:space="preserve"> support</w:t>
      </w:r>
      <w:r w:rsidR="00E20705">
        <w:rPr>
          <w:lang w:val="en-US"/>
        </w:rPr>
        <w:t>ed by</w:t>
      </w:r>
      <w:r>
        <w:rPr>
          <w:lang w:val="en-US"/>
        </w:rPr>
        <w:t xml:space="preserve"> evidence and </w:t>
      </w:r>
      <w:r w:rsidR="00E20705">
        <w:rPr>
          <w:lang w:val="en-US"/>
        </w:rPr>
        <w:t xml:space="preserve">thus </w:t>
      </w:r>
      <w:r>
        <w:rPr>
          <w:lang w:val="en-US"/>
        </w:rPr>
        <w:t>claimed PBS savings were unlikely to be realised.</w:t>
      </w:r>
    </w:p>
    <w:p w14:paraId="05A564EE" w14:textId="77777777" w:rsidR="00AE20AB" w:rsidRDefault="00AE20AB" w:rsidP="00AE20AB"/>
    <w:p w14:paraId="351DA653" w14:textId="77777777" w:rsidR="00BC1364" w:rsidRPr="00D90A38" w:rsidRDefault="00BC1364" w:rsidP="008056F4">
      <w:pPr>
        <w:pStyle w:val="Heading1"/>
        <w:numPr>
          <w:ilvl w:val="0"/>
          <w:numId w:val="23"/>
        </w:numPr>
        <w:ind w:hanging="720"/>
      </w:pPr>
      <w:r w:rsidRPr="00D90A38">
        <w:t>Background</w:t>
      </w:r>
    </w:p>
    <w:p w14:paraId="4D8289E8" w14:textId="77777777" w:rsidR="00BC1364" w:rsidRDefault="00BC1364" w:rsidP="008056F4">
      <w:pPr>
        <w:rPr>
          <w:b/>
          <w:szCs w:val="24"/>
        </w:rPr>
      </w:pPr>
    </w:p>
    <w:p w14:paraId="23F15543" w14:textId="77777777" w:rsidR="00CE1D7D" w:rsidRPr="003844EC" w:rsidRDefault="00CE1D7D" w:rsidP="008056F4">
      <w:pPr>
        <w:tabs>
          <w:tab w:val="left" w:pos="720"/>
          <w:tab w:val="left" w:pos="1140"/>
        </w:tabs>
        <w:rPr>
          <w:rFonts w:ascii="Arial" w:hAnsi="Arial" w:cs="Arial"/>
          <w:color w:val="FF0000"/>
        </w:rPr>
      </w:pPr>
      <w:r w:rsidRPr="00696758">
        <w:t>In December 2001, MSAC considered evidence for IVUS both as a diagnostic tool and a therapeutic tool adjunct for interventional coronary procedures. MSAC did not recommend public funding for the service in that instance due to insufficient evidence of effectiveness and cost-effectiveness. The current submission pertains to evidence for IVUS as a therapeutic tool to assist coronary stent insertion. Use of IVUS as a diagnostic tool is not an intended purpose of the current submission.</w:t>
      </w:r>
    </w:p>
    <w:p w14:paraId="7C60A5DB" w14:textId="77777777" w:rsidR="007B32D1" w:rsidRPr="007B32D1" w:rsidRDefault="007B32D1" w:rsidP="007B32D1"/>
    <w:p w14:paraId="22C7BD71" w14:textId="77777777" w:rsidR="00BC1364" w:rsidRPr="00D90A38" w:rsidRDefault="00BC1364" w:rsidP="007B32D1">
      <w:pPr>
        <w:pStyle w:val="Heading1"/>
        <w:numPr>
          <w:ilvl w:val="0"/>
          <w:numId w:val="23"/>
        </w:numPr>
        <w:ind w:hanging="720"/>
      </w:pPr>
      <w:r w:rsidRPr="00D90A38">
        <w:lastRenderedPageBreak/>
        <w:t>Prerequisites to implementation of any funding advice</w:t>
      </w:r>
    </w:p>
    <w:p w14:paraId="63BB6DB1" w14:textId="77777777" w:rsidR="00BC1364" w:rsidRPr="00707064" w:rsidRDefault="00BC1364" w:rsidP="00DD2858">
      <w:pPr>
        <w:tabs>
          <w:tab w:val="left" w:pos="720"/>
          <w:tab w:val="left" w:pos="1140"/>
        </w:tabs>
        <w:ind w:left="706"/>
        <w:rPr>
          <w:b/>
          <w:szCs w:val="24"/>
        </w:rPr>
      </w:pPr>
    </w:p>
    <w:p w14:paraId="286C10BE" w14:textId="77777777" w:rsidR="00CE1D7D" w:rsidRPr="008667B4" w:rsidRDefault="00CE1D7D" w:rsidP="00CE1D7D">
      <w:pPr>
        <w:autoSpaceDE w:val="0"/>
        <w:autoSpaceDN w:val="0"/>
        <w:adjustRightInd w:val="0"/>
        <w:ind w:right="-283"/>
        <w:rPr>
          <w:color w:val="FF0000"/>
        </w:rPr>
      </w:pPr>
      <w:r w:rsidRPr="008667B4">
        <w:rPr>
          <w:color w:val="000000"/>
        </w:rPr>
        <w:t>Several devices are currently listed on the Australian Register of Therapeutic Goods</w:t>
      </w:r>
      <w:r w:rsidRPr="008667B4">
        <w:t>.</w:t>
      </w:r>
    </w:p>
    <w:p w14:paraId="54CB2303" w14:textId="77777777" w:rsidR="00BC1364" w:rsidRPr="00707064" w:rsidRDefault="00BC1364" w:rsidP="009E0D98">
      <w:pPr>
        <w:tabs>
          <w:tab w:val="left" w:pos="720"/>
          <w:tab w:val="left" w:pos="1140"/>
        </w:tabs>
        <w:rPr>
          <w:color w:val="0070C0"/>
          <w:szCs w:val="24"/>
        </w:rPr>
      </w:pPr>
    </w:p>
    <w:p w14:paraId="100B09B4" w14:textId="77777777" w:rsidR="00BC1364" w:rsidRPr="007B32D1" w:rsidRDefault="00BC1364" w:rsidP="00845042">
      <w:pPr>
        <w:pStyle w:val="Heading1"/>
        <w:numPr>
          <w:ilvl w:val="0"/>
          <w:numId w:val="23"/>
        </w:numPr>
        <w:ind w:hanging="720"/>
      </w:pPr>
      <w:r w:rsidRPr="007B32D1">
        <w:t>Proposal for public funding</w:t>
      </w:r>
    </w:p>
    <w:p w14:paraId="127FE92E" w14:textId="77777777" w:rsidR="00BC1364" w:rsidRDefault="00BC1364" w:rsidP="00845042">
      <w:pPr>
        <w:tabs>
          <w:tab w:val="left" w:pos="720"/>
          <w:tab w:val="left" w:pos="1140"/>
        </w:tabs>
        <w:rPr>
          <w:sz w:val="23"/>
          <w:szCs w:val="23"/>
        </w:rPr>
      </w:pPr>
    </w:p>
    <w:p w14:paraId="50213252" w14:textId="53294A5F" w:rsidR="00CE1D7D" w:rsidRPr="008667B4" w:rsidRDefault="00CE1D7D" w:rsidP="00845042">
      <w:pPr>
        <w:tabs>
          <w:tab w:val="left" w:pos="720"/>
          <w:tab w:val="left" w:pos="1140"/>
        </w:tabs>
      </w:pPr>
      <w:r w:rsidRPr="008667B4">
        <w:t>The proposed schedule fee of $469.70 is based on MBS item 38241 – use of a coronary pressure wire during selective coronary angiography to measure fractional flow reserve and coronary flow reserve in one or more coronary artery or graft lesions (stenosis of 30–70%), to determine whether revascularisation should be performed where previous stress testing has either not been performed or the results are inconclusive.  It is proposed that this item most closely resembles IVUS in complexity and time.</w:t>
      </w:r>
    </w:p>
    <w:p w14:paraId="24945EDD" w14:textId="77777777" w:rsidR="00CE1D7D" w:rsidRPr="008667B4" w:rsidRDefault="00CE1D7D" w:rsidP="00CE1D7D">
      <w:pPr>
        <w:tabs>
          <w:tab w:val="num" w:pos="426"/>
        </w:tabs>
      </w:pPr>
    </w:p>
    <w:p w14:paraId="6B080D6A" w14:textId="77777777" w:rsidR="00CE1D7D" w:rsidRPr="008667B4" w:rsidRDefault="00CE1D7D" w:rsidP="00CE1D7D">
      <w:pPr>
        <w:tabs>
          <w:tab w:val="num" w:pos="426"/>
        </w:tabs>
      </w:pPr>
      <w:r w:rsidRPr="008667B4">
        <w:t>PASC suggest</w:t>
      </w:r>
      <w:r>
        <w:t>ed</w:t>
      </w:r>
      <w:r w:rsidRPr="008667B4">
        <w:t xml:space="preserve"> that the creation of two MBS items may be warranted:</w:t>
      </w:r>
    </w:p>
    <w:p w14:paraId="2EF78023" w14:textId="77777777" w:rsidR="00CE1D7D" w:rsidRPr="008667B4" w:rsidRDefault="00CE1D7D" w:rsidP="00CE1D7D">
      <w:pPr>
        <w:pStyle w:val="ListParagraph"/>
        <w:numPr>
          <w:ilvl w:val="0"/>
          <w:numId w:val="28"/>
        </w:numPr>
        <w:tabs>
          <w:tab w:val="num" w:pos="426"/>
        </w:tabs>
      </w:pPr>
      <w:r w:rsidRPr="008667B4">
        <w:t>one item for the initial insertion of a stent under guidance of IVUS; and</w:t>
      </w:r>
    </w:p>
    <w:p w14:paraId="67FB9674" w14:textId="77777777" w:rsidR="00CE1D7D" w:rsidRPr="00845042" w:rsidRDefault="00CE1D7D" w:rsidP="00845042">
      <w:pPr>
        <w:pStyle w:val="ListParagraph"/>
        <w:numPr>
          <w:ilvl w:val="0"/>
          <w:numId w:val="28"/>
        </w:numPr>
        <w:tabs>
          <w:tab w:val="num" w:pos="426"/>
        </w:tabs>
      </w:pPr>
      <w:proofErr w:type="gramStart"/>
      <w:r w:rsidRPr="008667B4">
        <w:t>a</w:t>
      </w:r>
      <w:proofErr w:type="gramEnd"/>
      <w:r w:rsidRPr="008667B4">
        <w:t xml:space="preserve"> second item for a subgroup of the population who will require insertion at a subsequent occasion under the guidance of IVUS.</w:t>
      </w:r>
    </w:p>
    <w:p w14:paraId="39C7D4E1" w14:textId="77777777" w:rsidR="00845042" w:rsidRDefault="00845042" w:rsidP="00845042">
      <w:pPr>
        <w:tabs>
          <w:tab w:val="left" w:pos="720"/>
          <w:tab w:val="left" w:pos="1140"/>
        </w:tabs>
      </w:pPr>
    </w:p>
    <w:p w14:paraId="423E956D" w14:textId="77777777" w:rsidR="00CE1D7D" w:rsidRPr="00845042" w:rsidRDefault="00CE1D7D" w:rsidP="00845042">
      <w:pPr>
        <w:tabs>
          <w:tab w:val="left" w:pos="720"/>
          <w:tab w:val="left" w:pos="1140"/>
        </w:tabs>
      </w:pPr>
      <w:r w:rsidRPr="00845042">
        <w:t>The applicant proposed MBS item is:</w:t>
      </w:r>
    </w:p>
    <w:tbl>
      <w:tblPr>
        <w:tblStyle w:val="TableGrid"/>
        <w:tblW w:w="4918" w:type="pct"/>
        <w:tblLook w:val="04A0" w:firstRow="1" w:lastRow="0" w:firstColumn="1" w:lastColumn="0" w:noHBand="0" w:noVBand="1"/>
        <w:tblCaption w:val="Proposed MBS item descriptor for Intravascular Ultrasound-guided PCI with stent insertion"/>
        <w:tblDescription w:val="Proposed MBS item descriptor. Source: Table A.3-1 of the assessment report"/>
      </w:tblPr>
      <w:tblGrid>
        <w:gridCol w:w="9090"/>
      </w:tblGrid>
      <w:tr w:rsidR="00CE1D7D" w:rsidRPr="008F7AA3" w14:paraId="2E456E4C" w14:textId="77777777" w:rsidTr="009D31FD">
        <w:trPr>
          <w:tblHeader/>
        </w:trPr>
        <w:tc>
          <w:tcPr>
            <w:tcW w:w="5000" w:type="pct"/>
          </w:tcPr>
          <w:p w14:paraId="75F760B1" w14:textId="77777777" w:rsidR="00CE1D7D" w:rsidRPr="008F7AA3" w:rsidRDefault="00CE1D7D" w:rsidP="00E72089">
            <w:pPr>
              <w:keepNext/>
              <w:jc w:val="right"/>
              <w:rPr>
                <w:rFonts w:ascii="Arial Narrow" w:hAnsi="Arial Narrow" w:cs="Arial"/>
              </w:rPr>
            </w:pPr>
            <w:r w:rsidRPr="008F7AA3">
              <w:rPr>
                <w:rFonts w:ascii="Arial Narrow" w:hAnsi="Arial Narrow" w:cs="Arial"/>
                <w:sz w:val="20"/>
              </w:rPr>
              <w:t>Category 3 – Therapeutic Procedures</w:t>
            </w:r>
          </w:p>
        </w:tc>
      </w:tr>
      <w:tr w:rsidR="00CE1D7D" w:rsidRPr="008F7AA3" w14:paraId="0C9E8900" w14:textId="77777777" w:rsidTr="009D31FD">
        <w:trPr>
          <w:tblHeader/>
        </w:trPr>
        <w:tc>
          <w:tcPr>
            <w:tcW w:w="5000" w:type="pct"/>
          </w:tcPr>
          <w:p w14:paraId="38A52729" w14:textId="77777777" w:rsidR="00CE1D7D" w:rsidRPr="008F7AA3" w:rsidRDefault="00CE1D7D" w:rsidP="00E72089">
            <w:pPr>
              <w:rPr>
                <w:rFonts w:ascii="Arial Narrow" w:hAnsi="Arial Narrow"/>
                <w:snapToGrid w:val="0"/>
                <w:sz w:val="20"/>
              </w:rPr>
            </w:pPr>
            <w:r w:rsidRPr="008F7AA3">
              <w:rPr>
                <w:rFonts w:ascii="Arial Narrow" w:hAnsi="Arial Narrow"/>
                <w:snapToGrid w:val="0"/>
                <w:sz w:val="20"/>
              </w:rPr>
              <w:t>MBS XXXXX</w:t>
            </w:r>
          </w:p>
          <w:p w14:paraId="32DC29A9" w14:textId="77777777" w:rsidR="00CE1D7D" w:rsidRPr="008F7AA3" w:rsidRDefault="00CE1D7D" w:rsidP="00E72089">
            <w:pPr>
              <w:rPr>
                <w:rFonts w:ascii="Arial Narrow" w:hAnsi="Arial Narrow"/>
                <w:snapToGrid w:val="0"/>
              </w:rPr>
            </w:pPr>
          </w:p>
          <w:p w14:paraId="43370319" w14:textId="77777777" w:rsidR="00CE1D7D" w:rsidRPr="008F7AA3" w:rsidRDefault="00CE1D7D" w:rsidP="00E72089">
            <w:pPr>
              <w:keepNext/>
              <w:spacing w:after="120"/>
              <w:rPr>
                <w:rFonts w:ascii="Arial Narrow" w:hAnsi="Arial Narrow" w:cs="Arial"/>
                <w:sz w:val="20"/>
                <w:lang w:eastAsia="ja-JP"/>
              </w:rPr>
            </w:pPr>
            <w:r w:rsidRPr="008F7AA3">
              <w:rPr>
                <w:rFonts w:ascii="Arial Narrow" w:hAnsi="Arial Narrow" w:cs="Arial"/>
                <w:sz w:val="20"/>
                <w:lang w:eastAsia="ja-JP"/>
              </w:rPr>
              <w:t>Selective Coronary Intravascular Ultrasound (IVUS), placement of IVUS catheter into the native coronary arteries, associated with the service to which item 38306 applies</w:t>
            </w:r>
          </w:p>
          <w:p w14:paraId="307EB398" w14:textId="77777777" w:rsidR="00CE1D7D" w:rsidRPr="008F7AA3" w:rsidRDefault="00CE1D7D" w:rsidP="00E72089">
            <w:pPr>
              <w:keepNext/>
              <w:spacing w:after="120"/>
              <w:rPr>
                <w:rFonts w:ascii="Arial Narrow" w:hAnsi="Arial Narrow" w:cs="Arial"/>
                <w:sz w:val="20"/>
                <w:lang w:eastAsia="ja-JP"/>
              </w:rPr>
            </w:pPr>
            <w:r w:rsidRPr="008F7AA3">
              <w:rPr>
                <w:rFonts w:ascii="Arial Narrow" w:hAnsi="Arial Narrow" w:cs="Arial"/>
                <w:sz w:val="20"/>
                <w:lang w:eastAsia="ja-JP"/>
              </w:rPr>
              <w:t>Multiple Services Rule</w:t>
            </w:r>
          </w:p>
          <w:p w14:paraId="07BC9C13" w14:textId="77777777" w:rsidR="00CE1D7D" w:rsidRPr="008F7AA3" w:rsidRDefault="00CE1D7D" w:rsidP="00E72089">
            <w:pPr>
              <w:spacing w:after="120"/>
              <w:rPr>
                <w:rFonts w:ascii="Arial Narrow" w:eastAsia="SimSun" w:hAnsi="Arial Narrow" w:cs="Tahoma"/>
                <w:sz w:val="20"/>
                <w:lang w:eastAsia="ja-JP"/>
              </w:rPr>
            </w:pPr>
            <w:r w:rsidRPr="008F7AA3">
              <w:rPr>
                <w:rFonts w:ascii="Arial Narrow" w:eastAsia="SimSun" w:hAnsi="Arial Narrow" w:cs="Tahoma"/>
                <w:sz w:val="20"/>
                <w:lang w:eastAsia="ja-JP"/>
              </w:rPr>
              <w:t>(</w:t>
            </w:r>
            <w:proofErr w:type="spellStart"/>
            <w:r w:rsidRPr="008F7AA3">
              <w:rPr>
                <w:rFonts w:ascii="Arial Narrow" w:eastAsia="SimSun" w:hAnsi="Arial Narrow" w:cs="Tahoma"/>
                <w:sz w:val="20"/>
                <w:lang w:eastAsia="ja-JP"/>
              </w:rPr>
              <w:t>Anaes</w:t>
            </w:r>
            <w:proofErr w:type="spellEnd"/>
            <w:r w:rsidRPr="008F7AA3">
              <w:rPr>
                <w:rFonts w:ascii="Arial Narrow" w:eastAsia="SimSun" w:hAnsi="Arial Narrow" w:cs="Tahoma"/>
                <w:sz w:val="20"/>
                <w:lang w:eastAsia="ja-JP"/>
              </w:rPr>
              <w:t>.)</w:t>
            </w:r>
          </w:p>
          <w:p w14:paraId="69BC2DD0" w14:textId="77777777" w:rsidR="00CE1D7D" w:rsidRPr="008F7AA3" w:rsidRDefault="00CE1D7D" w:rsidP="00E72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Batang" w:hAnsi="Calibri"/>
                <w:sz w:val="18"/>
                <w:lang w:eastAsia="ja-JP"/>
              </w:rPr>
            </w:pPr>
            <w:r w:rsidRPr="008F7AA3">
              <w:rPr>
                <w:rFonts w:ascii="Calibri" w:eastAsia="Batang" w:hAnsi="Calibri"/>
                <w:sz w:val="18"/>
                <w:lang w:eastAsia="ja-JP"/>
              </w:rPr>
              <w:t>Fee: $469.70 Benefit: 75% = $352.30 85% = $399.25</w:t>
            </w:r>
          </w:p>
          <w:p w14:paraId="73366524" w14:textId="77777777" w:rsidR="00CE1D7D" w:rsidRPr="008F7AA3" w:rsidRDefault="00CE1D7D" w:rsidP="00E72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Batang" w:hAnsi="Calibri"/>
                <w:sz w:val="18"/>
                <w:lang w:eastAsia="ja-JP"/>
              </w:rPr>
            </w:pPr>
          </w:p>
          <w:p w14:paraId="08D31B74" w14:textId="77777777" w:rsidR="00CE1D7D" w:rsidRPr="008F7AA3" w:rsidRDefault="00CE1D7D" w:rsidP="00E72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Batang" w:hAnsi="Calibri"/>
                <w:sz w:val="18"/>
                <w:lang w:eastAsia="ja-JP"/>
              </w:rPr>
            </w:pPr>
            <w:r w:rsidRPr="008F7AA3">
              <w:rPr>
                <w:rFonts w:ascii="Calibri" w:eastAsia="Batang" w:hAnsi="Calibri"/>
                <w:sz w:val="18"/>
                <w:lang w:eastAsia="ja-JP"/>
              </w:rPr>
              <w:t>[Relevant explanatory notes]</w:t>
            </w:r>
          </w:p>
          <w:p w14:paraId="25D0F0E8" w14:textId="77777777" w:rsidR="00CE1D7D" w:rsidRPr="008F7AA3" w:rsidRDefault="00CE1D7D" w:rsidP="00E72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Batang" w:hAnsi="Calibri"/>
                <w:sz w:val="18"/>
                <w:lang w:eastAsia="ja-JP"/>
              </w:rPr>
            </w:pPr>
          </w:p>
          <w:p w14:paraId="5BB6BDDC" w14:textId="77777777" w:rsidR="00CE1D7D" w:rsidRPr="008F7AA3" w:rsidRDefault="00CE1D7D" w:rsidP="00E72089">
            <w:pPr>
              <w:rPr>
                <w:rFonts w:ascii="Arial Narrow" w:hAnsi="Arial Narrow"/>
                <w:snapToGrid w:val="0"/>
              </w:rPr>
            </w:pPr>
            <w:r w:rsidRPr="008F7AA3">
              <w:rPr>
                <w:rFonts w:ascii="Calibri" w:eastAsia="Batang" w:hAnsi="Calibri"/>
                <w:sz w:val="18"/>
                <w:lang w:eastAsia="ja-JP"/>
              </w:rPr>
              <w:t>Fee only payable when the service is provided in association with insertion of coronary stent/s (item 38306)</w:t>
            </w:r>
          </w:p>
        </w:tc>
      </w:tr>
    </w:tbl>
    <w:p w14:paraId="38FA83F1" w14:textId="77777777" w:rsidR="00CE1D7D" w:rsidRPr="00340747" w:rsidRDefault="00CE1D7D" w:rsidP="00CE1D7D">
      <w:pPr>
        <w:rPr>
          <w:rFonts w:ascii="Arial" w:hAnsi="Arial" w:cs="Arial"/>
        </w:rPr>
      </w:pPr>
    </w:p>
    <w:p w14:paraId="7DA47E34" w14:textId="77777777" w:rsidR="00AB62C9" w:rsidRPr="00340747" w:rsidRDefault="00CE1D7D" w:rsidP="00CE1D7D">
      <w:r w:rsidRPr="00340747">
        <w:t>The proposed service is not expected to impact the natural growth in utilisation for coronary stent insertion.</w:t>
      </w:r>
    </w:p>
    <w:p w14:paraId="2A8A7FF0" w14:textId="77777777" w:rsidR="00AB62C9" w:rsidRPr="00707064" w:rsidRDefault="00AB62C9" w:rsidP="00AB3BFC">
      <w:pPr>
        <w:tabs>
          <w:tab w:val="left" w:pos="720"/>
          <w:tab w:val="left" w:pos="1140"/>
        </w:tabs>
        <w:rPr>
          <w:color w:val="0070C0"/>
          <w:szCs w:val="24"/>
        </w:rPr>
      </w:pPr>
    </w:p>
    <w:p w14:paraId="1E5AD529" w14:textId="77777777"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1DB03780" w14:textId="77777777" w:rsidR="00BC1364" w:rsidRDefault="00BC1364" w:rsidP="00DD2858">
      <w:pPr>
        <w:rPr>
          <w:b/>
          <w:szCs w:val="24"/>
        </w:rPr>
      </w:pPr>
    </w:p>
    <w:p w14:paraId="0C4DE66C" w14:textId="77777777" w:rsidR="00BC1364" w:rsidRDefault="00CE1D7D" w:rsidP="00DD2858">
      <w:pPr>
        <w:rPr>
          <w:szCs w:val="24"/>
        </w:rPr>
      </w:pPr>
      <w:r w:rsidRPr="00DE5392">
        <w:rPr>
          <w:szCs w:val="24"/>
        </w:rPr>
        <w:t>No consumer statement was provided in the assessment</w:t>
      </w:r>
      <w:r>
        <w:rPr>
          <w:szCs w:val="24"/>
        </w:rPr>
        <w:t>.</w:t>
      </w:r>
    </w:p>
    <w:p w14:paraId="238D6433" w14:textId="77777777" w:rsidR="00CE1D7D" w:rsidRPr="00707064" w:rsidRDefault="00CE1D7D" w:rsidP="00DD2858">
      <w:pPr>
        <w:rPr>
          <w:b/>
          <w:szCs w:val="24"/>
        </w:rPr>
      </w:pPr>
    </w:p>
    <w:p w14:paraId="0249BD64" w14:textId="77777777" w:rsidR="00BC1364" w:rsidRDefault="00BC1364" w:rsidP="007B32D1">
      <w:pPr>
        <w:pStyle w:val="Heading1"/>
        <w:numPr>
          <w:ilvl w:val="0"/>
          <w:numId w:val="23"/>
        </w:numPr>
        <w:ind w:hanging="720"/>
      </w:pPr>
      <w:r w:rsidRPr="00D90A38">
        <w:t>Proposed intervention’s place in clinical management</w:t>
      </w:r>
    </w:p>
    <w:p w14:paraId="61F35608" w14:textId="77777777" w:rsidR="00BC1364" w:rsidRDefault="00BC1364" w:rsidP="00DD2858">
      <w:pPr>
        <w:rPr>
          <w:color w:val="3366FF"/>
          <w:szCs w:val="24"/>
        </w:rPr>
      </w:pPr>
    </w:p>
    <w:p w14:paraId="4F384D4B" w14:textId="77777777" w:rsidR="00CE1D7D" w:rsidRPr="00340747" w:rsidRDefault="00CE1D7D" w:rsidP="00CE1D7D">
      <w:r w:rsidRPr="00340747">
        <w:t xml:space="preserve">Coronary angiography is well established in current Australian practice and is </w:t>
      </w:r>
      <w:r w:rsidRPr="00340747">
        <w:rPr>
          <w:rFonts w:eastAsia="SimSun"/>
          <w:lang w:eastAsia="zh-CN"/>
        </w:rPr>
        <w:t>the most commonly used imaging modality to guide percutaneous coronary procedures.</w:t>
      </w:r>
      <w:r w:rsidRPr="00340747">
        <w:t xml:space="preserve"> </w:t>
      </w:r>
    </w:p>
    <w:p w14:paraId="3DFA25AA" w14:textId="77777777" w:rsidR="00CE1D7D" w:rsidRPr="00340747" w:rsidRDefault="00CE1D7D" w:rsidP="00CE1D7D"/>
    <w:p w14:paraId="4083C86B" w14:textId="77777777" w:rsidR="00CE1D7D" w:rsidRPr="00340747" w:rsidRDefault="00CE1D7D" w:rsidP="00CE1D7D">
      <w:r w:rsidRPr="00340747">
        <w:t xml:space="preserve">The rationale for the use of IVUS at the time of stenting arises from limitations of coronary angiography in terms of assessing the severity of coronary stenosis in high-risk patients, as reflected in the final protocol. </w:t>
      </w:r>
    </w:p>
    <w:p w14:paraId="1AAC8CA9" w14:textId="77777777" w:rsidR="00CE1D7D" w:rsidRPr="00E47E6A" w:rsidRDefault="00CE1D7D" w:rsidP="00CE1D7D"/>
    <w:p w14:paraId="689CF66D" w14:textId="77777777" w:rsidR="00CE1D7D" w:rsidRPr="00E47E6A" w:rsidRDefault="00CE1D7D" w:rsidP="00CE1D7D">
      <w:r w:rsidRPr="00E47E6A">
        <w:t>The proposed clinical management algorithm in the submission differed from the final Protocol in the following areas:</w:t>
      </w:r>
    </w:p>
    <w:p w14:paraId="68A694ED" w14:textId="77777777" w:rsidR="00CE1D7D" w:rsidRPr="00E47E6A" w:rsidRDefault="00CE1D7D" w:rsidP="00CE1D7D">
      <w:pPr>
        <w:numPr>
          <w:ilvl w:val="0"/>
          <w:numId w:val="29"/>
        </w:numPr>
        <w:contextualSpacing/>
      </w:pPr>
      <w:r w:rsidRPr="00E47E6A">
        <w:t>It allows ‘low/medium-risk’ patients to receive IVUS guidance. However, the protocol restricted the use of IVUS guidance to ‘high-risk’ patients.</w:t>
      </w:r>
    </w:p>
    <w:p w14:paraId="59AC466D" w14:textId="77777777" w:rsidR="00CE1D7D" w:rsidRDefault="00CE1D7D" w:rsidP="00CE1D7D">
      <w:pPr>
        <w:pStyle w:val="ListParagraph"/>
        <w:numPr>
          <w:ilvl w:val="0"/>
          <w:numId w:val="29"/>
        </w:numPr>
      </w:pPr>
      <w:r w:rsidRPr="00E47E6A">
        <w:lastRenderedPageBreak/>
        <w:t>It allows both ‘low/medium-risk’ patients and ‘high-risk’ patients to receive ‘simultaneous stent insertion at a subsequent occasion under guidance of angiography alone’ following ‘simultaneous stent insertion under guidance of angiography and IVUS’.</w:t>
      </w:r>
    </w:p>
    <w:p w14:paraId="4116A6E1" w14:textId="77777777" w:rsidR="00F662AC" w:rsidRDefault="00F662AC" w:rsidP="00CE1D7D"/>
    <w:p w14:paraId="1D0CD311" w14:textId="77777777" w:rsidR="00CE1D7D" w:rsidRDefault="00CE1D7D" w:rsidP="00325C0F">
      <w:r>
        <w:t>These differences are illustrated below in figure 1.</w:t>
      </w:r>
    </w:p>
    <w:p w14:paraId="1009F80A" w14:textId="77777777" w:rsidR="00325C0F" w:rsidRPr="00325C0F" w:rsidRDefault="00325C0F" w:rsidP="00325C0F"/>
    <w:p w14:paraId="697D4856" w14:textId="77777777" w:rsidR="00CE1D7D" w:rsidRDefault="00CE1D7D" w:rsidP="00CE1D7D">
      <w:pPr>
        <w:tabs>
          <w:tab w:val="left" w:pos="720"/>
          <w:tab w:val="left" w:pos="1140"/>
        </w:tabs>
        <w:rPr>
          <w:rFonts w:ascii="Arial Narrow" w:hAnsi="Arial Narrow" w:cs="Arial"/>
          <w:b/>
        </w:rPr>
      </w:pPr>
      <w:r w:rsidRPr="00DE5392">
        <w:rPr>
          <w:rFonts w:ascii="Arial Narrow" w:hAnsi="Arial Narrow" w:cs="Arial"/>
          <w:b/>
        </w:rPr>
        <w:t>Figure 1 – Proposed clinical algorithm for patients indicated for coronary stent insertion</w:t>
      </w:r>
    </w:p>
    <w:p w14:paraId="064CE7A2" w14:textId="77777777" w:rsidR="00CE1D7D" w:rsidRPr="00DE5392" w:rsidRDefault="00CE1D7D" w:rsidP="00CE1D7D">
      <w:pPr>
        <w:tabs>
          <w:tab w:val="left" w:pos="720"/>
          <w:tab w:val="left" w:pos="1140"/>
        </w:tabs>
        <w:rPr>
          <w:rFonts w:ascii="Arial Narrow" w:hAnsi="Arial Narrow" w:cs="Arial"/>
          <w:b/>
        </w:rPr>
      </w:pPr>
    </w:p>
    <w:p w14:paraId="4F5EE3E7" w14:textId="77777777" w:rsidR="00CE1D7D" w:rsidRDefault="00CE1D7D" w:rsidP="00CE1D7D">
      <w:pPr>
        <w:spacing w:after="200" w:line="276" w:lineRule="auto"/>
        <w:rPr>
          <w:rFonts w:ascii="Arial" w:hAnsi="Arial" w:cs="Arial"/>
        </w:rPr>
      </w:pPr>
      <w:r w:rsidRPr="00ED6887">
        <w:rPr>
          <w:rFonts w:ascii="Georgia" w:eastAsia="Batang" w:hAnsi="Georgia"/>
          <w:noProof/>
        </w:rPr>
        <mc:AlternateContent>
          <mc:Choice Requires="wpg">
            <w:drawing>
              <wp:inline distT="0" distB="0" distL="0" distR="0" wp14:anchorId="2439848A" wp14:editId="4D9E633F">
                <wp:extent cx="5731510" cy="5572125"/>
                <wp:effectExtent l="0" t="0" r="21590" b="28575"/>
                <wp:docPr id="1" name="Group 146" descr="Displayed as a flowchart. Source: Figure A.5-2 in the submission" title="Proposed clinical algorithm for patients indicated for coronary stent insertion"/>
                <wp:cNvGraphicFramePr/>
                <a:graphic xmlns:a="http://schemas.openxmlformats.org/drawingml/2006/main">
                  <a:graphicData uri="http://schemas.microsoft.com/office/word/2010/wordprocessingGroup">
                    <wpg:wgp>
                      <wpg:cNvGrpSpPr/>
                      <wpg:grpSpPr>
                        <a:xfrm>
                          <a:off x="0" y="0"/>
                          <a:ext cx="5731510" cy="5572125"/>
                          <a:chOff x="0" y="0"/>
                          <a:chExt cx="6152516" cy="5248275"/>
                        </a:xfrm>
                      </wpg:grpSpPr>
                      <wps:wsp>
                        <wps:cNvPr id="3" name="Straight Arrow Connector 3"/>
                        <wps:cNvCnPr/>
                        <wps:spPr>
                          <a:xfrm>
                            <a:off x="2171700" y="4057650"/>
                            <a:ext cx="0" cy="377825"/>
                          </a:xfrm>
                          <a:prstGeom prst="straightConnector1">
                            <a:avLst/>
                          </a:prstGeom>
                          <a:noFill/>
                          <a:ln w="9525" cap="flat" cmpd="sng" algn="ctr">
                            <a:solidFill>
                              <a:srgbClr val="4F81BD">
                                <a:shade val="95000"/>
                                <a:satMod val="105000"/>
                              </a:srgbClr>
                            </a:solidFill>
                            <a:prstDash val="sysDash"/>
                            <a:tailEnd type="arrow"/>
                          </a:ln>
                          <a:effectLst/>
                        </wps:spPr>
                        <wps:bodyPr/>
                      </wps:wsp>
                      <wpg:grpSp>
                        <wpg:cNvPr id="4" name="Group 4"/>
                        <wpg:cNvGrpSpPr/>
                        <wpg:grpSpPr>
                          <a:xfrm>
                            <a:off x="0" y="0"/>
                            <a:ext cx="6152516" cy="5248275"/>
                            <a:chOff x="0" y="0"/>
                            <a:chExt cx="6152516" cy="5248275"/>
                          </a:xfrm>
                        </wpg:grpSpPr>
                        <wps:wsp>
                          <wps:cNvPr id="5" name="Straight Arrow Connector 5"/>
                          <wps:cNvCnPr/>
                          <wps:spPr>
                            <a:xfrm>
                              <a:off x="5410200" y="3209925"/>
                              <a:ext cx="0" cy="285750"/>
                            </a:xfrm>
                            <a:prstGeom prst="straightConnector1">
                              <a:avLst/>
                            </a:prstGeom>
                            <a:noFill/>
                            <a:ln w="9525" cap="flat" cmpd="sng" algn="ctr">
                              <a:solidFill>
                                <a:srgbClr val="4F81BD">
                                  <a:shade val="95000"/>
                                  <a:satMod val="105000"/>
                                </a:srgbClr>
                              </a:solidFill>
                              <a:prstDash val="sysDash"/>
                              <a:tailEnd type="arrow"/>
                            </a:ln>
                            <a:effectLst/>
                          </wps:spPr>
                          <wps:bodyPr/>
                        </wps:wsp>
                        <wps:wsp>
                          <wps:cNvPr id="6" name="Straight Arrow Connector 6"/>
                          <wps:cNvCnPr/>
                          <wps:spPr>
                            <a:xfrm>
                              <a:off x="4105275" y="4048125"/>
                              <a:ext cx="0" cy="377825"/>
                            </a:xfrm>
                            <a:prstGeom prst="straightConnector1">
                              <a:avLst/>
                            </a:prstGeom>
                            <a:noFill/>
                            <a:ln w="9525" cap="flat" cmpd="sng" algn="ctr">
                              <a:solidFill>
                                <a:srgbClr val="4F81BD">
                                  <a:shade val="95000"/>
                                  <a:satMod val="105000"/>
                                </a:srgbClr>
                              </a:solidFill>
                              <a:prstDash val="sysDash"/>
                              <a:tailEnd type="arrow"/>
                            </a:ln>
                            <a:effectLst/>
                          </wps:spPr>
                          <wps:bodyPr/>
                        </wps:wsp>
                        <wpg:grpSp>
                          <wpg:cNvPr id="7" name="Group 7"/>
                          <wpg:cNvGrpSpPr/>
                          <wpg:grpSpPr>
                            <a:xfrm>
                              <a:off x="0" y="0"/>
                              <a:ext cx="6152516" cy="5248275"/>
                              <a:chOff x="0" y="0"/>
                              <a:chExt cx="6152516" cy="5248275"/>
                            </a:xfrm>
                          </wpg:grpSpPr>
                          <wpg:grpSp>
                            <wpg:cNvPr id="8" name="Group 8"/>
                            <wpg:cNvGrpSpPr/>
                            <wpg:grpSpPr>
                              <a:xfrm>
                                <a:off x="57150" y="0"/>
                                <a:ext cx="6095366" cy="5248275"/>
                                <a:chOff x="57150" y="0"/>
                                <a:chExt cx="6095788" cy="3419933"/>
                              </a:xfrm>
                            </wpg:grpSpPr>
                            <wpg:grpSp>
                              <wpg:cNvPr id="9" name="Group 9"/>
                              <wpg:cNvGrpSpPr/>
                              <wpg:grpSpPr>
                                <a:xfrm>
                                  <a:off x="1504950" y="1989875"/>
                                  <a:ext cx="3318510" cy="1430058"/>
                                  <a:chOff x="1504950" y="1989875"/>
                                  <a:chExt cx="3318510" cy="1430058"/>
                                </a:xfrm>
                              </wpg:grpSpPr>
                              <wps:wsp>
                                <wps:cNvPr id="10" name="Rectangle 10"/>
                                <wps:cNvSpPr/>
                                <wps:spPr>
                                  <a:xfrm>
                                    <a:off x="3384550" y="2881105"/>
                                    <a:ext cx="1438910" cy="495381"/>
                                  </a:xfrm>
                                  <a:prstGeom prst="rect">
                                    <a:avLst/>
                                  </a:prstGeom>
                                  <a:solidFill>
                                    <a:sysClr val="window" lastClr="FFFFFF"/>
                                  </a:solidFill>
                                  <a:ln w="6350" cap="flat" cmpd="sng" algn="ctr">
                                    <a:solidFill>
                                      <a:sysClr val="windowText" lastClr="000000"/>
                                    </a:solidFill>
                                    <a:prstDash val="solid"/>
                                  </a:ln>
                                  <a:effectLst/>
                                </wps:spPr>
                                <wps:txbx>
                                  <w:txbxContent>
                                    <w:p w14:paraId="1589E93F" w14:textId="77777777" w:rsidR="00AB74A4" w:rsidRDefault="00AB74A4" w:rsidP="00CE1D7D">
                                      <w:pPr>
                                        <w:jc w:val="center"/>
                                        <w:rPr>
                                          <w:rFonts w:ascii="Calibri" w:hAnsi="Calibri"/>
                                          <w:sz w:val="18"/>
                                          <w:szCs w:val="18"/>
                                        </w:rPr>
                                      </w:pPr>
                                      <w:r w:rsidRPr="0053070E">
                                        <w:rPr>
                                          <w:rFonts w:ascii="Calibri" w:hAnsi="Calibri"/>
                                          <w:sz w:val="18"/>
                                          <w:szCs w:val="18"/>
                                          <w:highlight w:val="lightGray"/>
                                        </w:rPr>
                                        <w:t>Simultaneous</w:t>
                                      </w:r>
                                      <w:r>
                                        <w:rPr>
                                          <w:rFonts w:ascii="Calibri" w:hAnsi="Calibri"/>
                                          <w:sz w:val="18"/>
                                          <w:szCs w:val="18"/>
                                        </w:rPr>
                                        <w:t xml:space="preserve"> stent insertion at a subsequent occasion under guidance of angiography</w:t>
                                      </w:r>
                                    </w:p>
                                    <w:p w14:paraId="66C5C2C5" w14:textId="77777777" w:rsidR="00AB74A4" w:rsidRDefault="00AB74A4" w:rsidP="00CE1D7D">
                                      <w:pPr>
                                        <w:jc w:val="center"/>
                                        <w:rPr>
                                          <w:rFonts w:ascii="Calibri" w:hAnsi="Calibri"/>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4112683" y="1989875"/>
                                    <a:ext cx="0" cy="26318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Rectangle 12"/>
                                <wps:cNvSpPr/>
                                <wps:spPr>
                                  <a:xfrm>
                                    <a:off x="1504950" y="2887285"/>
                                    <a:ext cx="1329055" cy="532648"/>
                                  </a:xfrm>
                                  <a:prstGeom prst="rect">
                                    <a:avLst/>
                                  </a:prstGeom>
                                  <a:solidFill>
                                    <a:sysClr val="window" lastClr="FFFFFF"/>
                                  </a:solidFill>
                                  <a:ln w="6350" cap="flat" cmpd="sng" algn="ctr">
                                    <a:solidFill>
                                      <a:sysClr val="windowText" lastClr="000000"/>
                                    </a:solidFill>
                                    <a:prstDash val="solid"/>
                                  </a:ln>
                                  <a:effectLst/>
                                </wps:spPr>
                                <wps:txbx>
                                  <w:txbxContent>
                                    <w:p w14:paraId="33B125A1" w14:textId="77777777" w:rsidR="00AB74A4" w:rsidRDefault="00AB74A4" w:rsidP="00CE1D7D">
                                      <w:pPr>
                                        <w:jc w:val="center"/>
                                        <w:rPr>
                                          <w:rFonts w:ascii="Calibri" w:hAnsi="Calibri"/>
                                          <w:sz w:val="18"/>
                                          <w:szCs w:val="18"/>
                                        </w:rPr>
                                      </w:pPr>
                                      <w:r w:rsidRPr="0053070E">
                                        <w:rPr>
                                          <w:rFonts w:ascii="Calibri" w:hAnsi="Calibri"/>
                                          <w:sz w:val="18"/>
                                          <w:szCs w:val="18"/>
                                          <w:highlight w:val="lightGray"/>
                                        </w:rPr>
                                        <w:t>Simultaneous</w:t>
                                      </w:r>
                                      <w:r>
                                        <w:rPr>
                                          <w:rFonts w:ascii="Calibri" w:hAnsi="Calibri"/>
                                          <w:sz w:val="18"/>
                                          <w:szCs w:val="18"/>
                                        </w:rPr>
                                        <w:t xml:space="preserve"> stent insertion at a subsequent occasion under guidance of angiography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2165350" y="2006657"/>
                                    <a:ext cx="0" cy="246399"/>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14" name="Group 14"/>
                              <wpg:cNvGrpSpPr/>
                              <wpg:grpSpPr>
                                <a:xfrm>
                                  <a:off x="57150" y="0"/>
                                  <a:ext cx="6095788" cy="2088524"/>
                                  <a:chOff x="57150" y="0"/>
                                  <a:chExt cx="6095788" cy="2088524"/>
                                </a:xfrm>
                              </wpg:grpSpPr>
                              <wps:wsp>
                                <wps:cNvPr id="15" name="Rectangle 15"/>
                                <wps:cNvSpPr/>
                                <wps:spPr>
                                  <a:xfrm>
                                    <a:off x="4823883" y="1580524"/>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69C6F854" w14:textId="77777777" w:rsidR="00AB74A4" w:rsidRDefault="00AB74A4" w:rsidP="00CE1D7D">
                                      <w:pPr>
                                        <w:jc w:val="center"/>
                                        <w:rPr>
                                          <w:rFonts w:ascii="Calibri" w:hAnsi="Calibri"/>
                                          <w:sz w:val="18"/>
                                          <w:szCs w:val="18"/>
                                        </w:rPr>
                                      </w:pPr>
                                      <w:r>
                                        <w:rPr>
                                          <w:rFonts w:ascii="Calibri" w:hAnsi="Calibri"/>
                                          <w:sz w:val="18"/>
                                          <w:szCs w:val="18"/>
                                        </w:rPr>
                                        <w:t>Simultaneous stent insertion under guidance of angiography and IVUS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4112683" y="1374279"/>
                                    <a:ext cx="0" cy="2368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 name="Straight Arrow Connector 17"/>
                                <wps:cNvCnPr/>
                                <wps:spPr>
                                  <a:xfrm>
                                    <a:off x="4536017" y="1822654"/>
                                    <a:ext cx="28702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8" name="Rectangle 18"/>
                                <wps:cNvSpPr/>
                                <wps:spPr>
                                  <a:xfrm>
                                    <a:off x="3663950" y="1617765"/>
                                    <a:ext cx="870797" cy="372110"/>
                                  </a:xfrm>
                                  <a:prstGeom prst="rect">
                                    <a:avLst/>
                                  </a:prstGeom>
                                  <a:solidFill>
                                    <a:sysClr val="window" lastClr="FFFFFF"/>
                                  </a:solidFill>
                                  <a:ln w="6350" cap="flat" cmpd="sng" algn="ctr">
                                    <a:solidFill>
                                      <a:sysClr val="windowText" lastClr="000000"/>
                                    </a:solidFill>
                                    <a:prstDash val="solid"/>
                                  </a:ln>
                                  <a:effectLst/>
                                </wps:spPr>
                                <wps:txbx>
                                  <w:txbxContent>
                                    <w:p w14:paraId="38EEE731" w14:textId="77777777" w:rsidR="00AB74A4" w:rsidRDefault="00AB74A4" w:rsidP="00CE1D7D">
                                      <w:pPr>
                                        <w:jc w:val="center"/>
                                        <w:rPr>
                                          <w:rFonts w:ascii="Calibri" w:hAnsi="Calibri"/>
                                          <w:sz w:val="18"/>
                                          <w:szCs w:val="18"/>
                                        </w:rPr>
                                      </w:pPr>
                                      <w:r>
                                        <w:rPr>
                                          <w:rFonts w:ascii="Calibri" w:hAnsi="Calibri"/>
                                          <w:sz w:val="18"/>
                                          <w:szCs w:val="18"/>
                                        </w:rPr>
                                        <w:t>‘High-risk’ patients</w:t>
                                      </w:r>
                                      <w:r>
                                        <w:rPr>
                                          <w:rFonts w:ascii="Calibri" w:hAnsi="Calibri"/>
                                          <w:sz w:val="18"/>
                                          <w:szCs w:val="18"/>
                                          <w:vertAlign w:val="superscript"/>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2165350" y="0"/>
                                    <a:ext cx="1946910" cy="1374279"/>
                                    <a:chOff x="2165350" y="0"/>
                                    <a:chExt cx="1946910" cy="1374279"/>
                                  </a:xfrm>
                                </wpg:grpSpPr>
                                <wpg:grpSp>
                                  <wpg:cNvPr id="20" name="Group 20"/>
                                  <wpg:cNvGrpSpPr/>
                                  <wpg:grpSpPr>
                                    <a:xfrm>
                                      <a:off x="2292350" y="0"/>
                                      <a:ext cx="1675765" cy="713778"/>
                                      <a:chOff x="2292350" y="0"/>
                                      <a:chExt cx="1675765" cy="713778"/>
                                    </a:xfrm>
                                  </wpg:grpSpPr>
                                  <wps:wsp>
                                    <wps:cNvPr id="21" name="Rectangle 21"/>
                                    <wps:cNvSpPr/>
                                    <wps:spPr>
                                      <a:xfrm>
                                        <a:off x="2292350" y="0"/>
                                        <a:ext cx="1675765" cy="403440"/>
                                      </a:xfrm>
                                      <a:prstGeom prst="rect">
                                        <a:avLst/>
                                      </a:prstGeom>
                                      <a:solidFill>
                                        <a:sysClr val="window" lastClr="FFFFFF"/>
                                      </a:solidFill>
                                      <a:ln w="6350" cap="flat" cmpd="sng" algn="ctr">
                                        <a:solidFill>
                                          <a:sysClr val="windowText" lastClr="000000"/>
                                        </a:solidFill>
                                        <a:prstDash val="solid"/>
                                      </a:ln>
                                      <a:effectLst/>
                                    </wps:spPr>
                                    <wps:txbx>
                                      <w:txbxContent>
                                        <w:p w14:paraId="5B16B152" w14:textId="77777777" w:rsidR="00AB74A4" w:rsidRDefault="00AB74A4" w:rsidP="00CE1D7D">
                                          <w:pPr>
                                            <w:jc w:val="center"/>
                                            <w:rPr>
                                              <w:rFonts w:ascii="Calibri" w:hAnsi="Calibri"/>
                                              <w:sz w:val="18"/>
                                              <w:szCs w:val="18"/>
                                            </w:rPr>
                                          </w:pPr>
                                          <w:r>
                                            <w:rPr>
                                              <w:rFonts w:ascii="Calibri" w:hAnsi="Calibri"/>
                                              <w:sz w:val="18"/>
                                              <w:szCs w:val="18"/>
                                            </w:rPr>
                                            <w:t>Patients indicated for PCI with stent insertion</w:t>
                                          </w:r>
                                          <w:r>
                                            <w:rPr>
                                              <w:rFonts w:ascii="Calibri" w:hAnsi="Calibri"/>
                                              <w:sz w:val="18"/>
                                              <w:szCs w:val="18"/>
                                              <w:vertAlign w:val="superscript"/>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3130550" y="403440"/>
                                        <a:ext cx="0" cy="310338"/>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23" name="Group 23"/>
                                  <wpg:cNvGrpSpPr/>
                                  <wpg:grpSpPr>
                                    <a:xfrm>
                                      <a:off x="2165350" y="733176"/>
                                      <a:ext cx="1946910" cy="641103"/>
                                      <a:chOff x="2165350" y="733176"/>
                                      <a:chExt cx="1946910" cy="641103"/>
                                    </a:xfrm>
                                  </wpg:grpSpPr>
                                  <wps:wsp>
                                    <wps:cNvPr id="24" name="Rectangle 24"/>
                                    <wps:cNvSpPr/>
                                    <wps:spPr>
                                      <a:xfrm>
                                        <a:off x="2292350" y="733176"/>
                                        <a:ext cx="1675765" cy="381000"/>
                                      </a:xfrm>
                                      <a:prstGeom prst="rect">
                                        <a:avLst/>
                                      </a:prstGeom>
                                      <a:solidFill>
                                        <a:sysClr val="window" lastClr="FFFFFF"/>
                                      </a:solidFill>
                                      <a:ln w="6350" cap="flat" cmpd="sng" algn="ctr">
                                        <a:solidFill>
                                          <a:sysClr val="windowText" lastClr="000000"/>
                                        </a:solidFill>
                                        <a:prstDash val="solid"/>
                                      </a:ln>
                                      <a:effectLst/>
                                    </wps:spPr>
                                    <wps:txbx>
                                      <w:txbxContent>
                                        <w:p w14:paraId="06943885" w14:textId="77777777" w:rsidR="00AB74A4" w:rsidRDefault="00AB74A4" w:rsidP="00CE1D7D">
                                          <w:pPr>
                                            <w:jc w:val="center"/>
                                            <w:rPr>
                                              <w:rFonts w:ascii="Calibri" w:hAnsi="Calibri"/>
                                              <w:sz w:val="18"/>
                                              <w:szCs w:val="18"/>
                                            </w:rPr>
                                          </w:pPr>
                                          <w:r>
                                            <w:rPr>
                                              <w:rFonts w:ascii="Calibri" w:hAnsi="Calibri"/>
                                              <w:sz w:val="18"/>
                                              <w:szCs w:val="18"/>
                                            </w:rPr>
                                            <w:t>Diagnostic angiography</w:t>
                                          </w:r>
                                          <w:r>
                                            <w:rPr>
                                              <w:rFonts w:ascii="Calibri" w:hAnsi="Calibri"/>
                                              <w:sz w:val="18"/>
                                              <w:szCs w:val="18"/>
                                              <w:vertAlign w:val="superscript"/>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3146213" y="1121378"/>
                                        <a:ext cx="0" cy="236855"/>
                                      </a:xfrm>
                                      <a:prstGeom prst="line">
                                        <a:avLst/>
                                      </a:prstGeom>
                                      <a:noFill/>
                                      <a:ln w="9525" cap="flat" cmpd="sng" algn="ctr">
                                        <a:solidFill>
                                          <a:srgbClr val="4F81BD">
                                            <a:shade val="95000"/>
                                            <a:satMod val="105000"/>
                                          </a:srgbClr>
                                        </a:solidFill>
                                        <a:prstDash val="solid"/>
                                      </a:ln>
                                      <a:effectLst/>
                                    </wps:spPr>
                                    <wps:bodyPr/>
                                  </wps:wsp>
                                  <wps:wsp>
                                    <wps:cNvPr id="26" name="Straight Connector 26"/>
                                    <wps:cNvCnPr/>
                                    <wps:spPr>
                                      <a:xfrm>
                                        <a:off x="2165350" y="1366024"/>
                                        <a:ext cx="1946910" cy="8255"/>
                                      </a:xfrm>
                                      <a:prstGeom prst="line">
                                        <a:avLst/>
                                      </a:prstGeom>
                                      <a:noFill/>
                                      <a:ln w="9525" cap="flat" cmpd="sng" algn="ctr">
                                        <a:solidFill>
                                          <a:srgbClr val="4F81BD">
                                            <a:shade val="95000"/>
                                            <a:satMod val="105000"/>
                                          </a:srgbClr>
                                        </a:solidFill>
                                        <a:prstDash val="solid"/>
                                      </a:ln>
                                      <a:effectLst/>
                                    </wps:spPr>
                                    <wps:bodyPr/>
                                  </wps:wsp>
                                </wpg:grpSp>
                              </wpg:grpSp>
                              <wps:wsp>
                                <wps:cNvPr id="27" name="Straight Arrow Connector 27"/>
                                <wps:cNvCnPr/>
                                <wps:spPr>
                                  <a:xfrm>
                                    <a:off x="2165350" y="1374279"/>
                                    <a:ext cx="0" cy="2540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8" name="Rectangle 28"/>
                                <wps:cNvSpPr/>
                                <wps:spPr>
                                  <a:xfrm>
                                    <a:off x="1623483" y="1623972"/>
                                    <a:ext cx="1075055" cy="364067"/>
                                  </a:xfrm>
                                  <a:prstGeom prst="rect">
                                    <a:avLst/>
                                  </a:prstGeom>
                                  <a:solidFill>
                                    <a:sysClr val="window" lastClr="FFFFFF"/>
                                  </a:solidFill>
                                  <a:ln w="6350" cap="flat" cmpd="sng" algn="ctr">
                                    <a:solidFill>
                                      <a:sysClr val="windowText" lastClr="000000"/>
                                    </a:solidFill>
                                    <a:prstDash val="solid"/>
                                  </a:ln>
                                  <a:effectLst/>
                                </wps:spPr>
                                <wps:txbx>
                                  <w:txbxContent>
                                    <w:p w14:paraId="2FEE1809" w14:textId="77777777" w:rsidR="00AB74A4" w:rsidRDefault="00AB74A4" w:rsidP="00CE1D7D">
                                      <w:pPr>
                                        <w:jc w:val="center"/>
                                        <w:rPr>
                                          <w:rFonts w:ascii="Calibri" w:hAnsi="Calibri"/>
                                          <w:sz w:val="18"/>
                                          <w:szCs w:val="18"/>
                                        </w:rPr>
                                      </w:pPr>
                                      <w:r>
                                        <w:rPr>
                                          <w:rFonts w:ascii="Calibri" w:hAnsi="Calibri"/>
                                          <w:sz w:val="18"/>
                                          <w:szCs w:val="18"/>
                                        </w:rPr>
                                        <w:t>‘Low/medium risk’ patients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7150" y="1531409"/>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5CE75DAB" w14:textId="77777777" w:rsidR="00AB74A4" w:rsidRDefault="00AB74A4" w:rsidP="00CE1D7D">
                                      <w:pPr>
                                        <w:jc w:val="center"/>
                                        <w:rPr>
                                          <w:rFonts w:ascii="Calibri" w:hAnsi="Calibri"/>
                                          <w:sz w:val="18"/>
                                          <w:szCs w:val="18"/>
                                        </w:rPr>
                                      </w:pPr>
                                      <w:r>
                                        <w:rPr>
                                          <w:rFonts w:ascii="Calibri" w:hAnsi="Calibri"/>
                                          <w:sz w:val="18"/>
                                          <w:szCs w:val="18"/>
                                        </w:rPr>
                                        <w:t xml:space="preserve">Simultaneous stent insertion under guidance of angiography </w:t>
                                      </w:r>
                                      <w:r w:rsidRPr="0053070E">
                                        <w:rPr>
                                          <w:rFonts w:ascii="Calibri" w:hAnsi="Calibri"/>
                                          <w:sz w:val="18"/>
                                          <w:szCs w:val="18"/>
                                          <w:highlight w:val="lightGray"/>
                                        </w:rPr>
                                        <w:t>and IVUS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flipH="1">
                                    <a:off x="1386417" y="1828860"/>
                                    <a:ext cx="237490" cy="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s:wsp>
                            <wps:cNvPr id="31" name="Rectangle 31"/>
                            <wps:cNvSpPr/>
                            <wps:spPr>
                              <a:xfrm>
                                <a:off x="1514475" y="3476624"/>
                                <a:ext cx="1328420" cy="647701"/>
                              </a:xfrm>
                              <a:prstGeom prst="rect">
                                <a:avLst/>
                              </a:prstGeom>
                              <a:solidFill>
                                <a:sysClr val="window" lastClr="FFFFFF"/>
                              </a:solidFill>
                              <a:ln w="6350" cap="flat" cmpd="sng" algn="ctr">
                                <a:solidFill>
                                  <a:sysClr val="windowText" lastClr="000000"/>
                                </a:solidFill>
                                <a:prstDash val="solid"/>
                              </a:ln>
                              <a:effectLst/>
                            </wps:spPr>
                            <wps:txbx>
                              <w:txbxContent>
                                <w:p w14:paraId="566C3B42" w14:textId="77777777" w:rsidR="00AB74A4" w:rsidRDefault="00AB74A4" w:rsidP="00CE1D7D">
                                  <w:pPr>
                                    <w:jc w:val="center"/>
                                    <w:rPr>
                                      <w:rFonts w:ascii="Calibri" w:hAnsi="Calibri"/>
                                      <w:sz w:val="18"/>
                                      <w:szCs w:val="18"/>
                                    </w:rPr>
                                  </w:pPr>
                                  <w:r>
                                    <w:rPr>
                                      <w:rFonts w:ascii="Calibri" w:hAnsi="Calibri"/>
                                      <w:sz w:val="18"/>
                                      <w:szCs w:val="18"/>
                                    </w:rPr>
                                    <w:t>Simultaneous stent insertion under guidance of angiography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3505199"/>
                                <a:ext cx="1328420" cy="847727"/>
                              </a:xfrm>
                              <a:prstGeom prst="rect">
                                <a:avLst/>
                              </a:prstGeom>
                              <a:solidFill>
                                <a:sysClr val="window" lastClr="FFFFFF"/>
                              </a:solidFill>
                              <a:ln w="6350" cap="flat" cmpd="sng" algn="ctr">
                                <a:solidFill>
                                  <a:sysClr val="windowText" lastClr="000000"/>
                                </a:solidFill>
                                <a:prstDash val="solid"/>
                              </a:ln>
                              <a:effectLst/>
                            </wps:spPr>
                            <wps:txbx>
                              <w:txbxContent>
                                <w:p w14:paraId="19CCA230" w14:textId="77777777" w:rsidR="00AB74A4" w:rsidRDefault="00AB74A4" w:rsidP="00CE1D7D">
                                  <w:pPr>
                                    <w:jc w:val="center"/>
                                    <w:rPr>
                                      <w:rFonts w:ascii="Calibri" w:hAnsi="Calibri"/>
                                      <w:sz w:val="18"/>
                                      <w:szCs w:val="18"/>
                                    </w:rPr>
                                  </w:pPr>
                                  <w:r w:rsidRPr="0053070E">
                                    <w:rPr>
                                      <w:rFonts w:ascii="Calibri" w:hAnsi="Calibri"/>
                                      <w:sz w:val="18"/>
                                      <w:szCs w:val="18"/>
                                      <w:highlight w:val="lightGray"/>
                                    </w:rPr>
                                    <w:t>Simultaneous stent insertion at a subsequent occasion under guidance of angiography alone*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3409950" y="3486150"/>
                                <a:ext cx="1328420" cy="638176"/>
                              </a:xfrm>
                              <a:prstGeom prst="rect">
                                <a:avLst/>
                              </a:prstGeom>
                              <a:solidFill>
                                <a:sysClr val="window" lastClr="FFFFFF"/>
                              </a:solidFill>
                              <a:ln w="6350" cap="flat" cmpd="sng" algn="ctr">
                                <a:solidFill>
                                  <a:sysClr val="windowText" lastClr="000000"/>
                                </a:solidFill>
                                <a:prstDash val="solid"/>
                              </a:ln>
                              <a:effectLst/>
                            </wps:spPr>
                            <wps:txbx>
                              <w:txbxContent>
                                <w:p w14:paraId="19501FA1" w14:textId="77777777" w:rsidR="00AB74A4" w:rsidRDefault="00AB74A4" w:rsidP="00CE1D7D">
                                  <w:pPr>
                                    <w:jc w:val="center"/>
                                    <w:rPr>
                                      <w:rFonts w:ascii="Calibri" w:hAnsi="Calibri"/>
                                      <w:sz w:val="18"/>
                                      <w:szCs w:val="18"/>
                                    </w:rPr>
                                  </w:pPr>
                                  <w:r>
                                    <w:rPr>
                                      <w:rFonts w:ascii="Calibri" w:hAnsi="Calibri"/>
                                      <w:sz w:val="18"/>
                                      <w:szCs w:val="18"/>
                                    </w:rPr>
                                    <w:t>Simultaneous stent insertion under guidance of angiography</w:t>
                                  </w:r>
                                </w:p>
                                <w:p w14:paraId="31DA28F3" w14:textId="77777777" w:rsidR="00AB74A4" w:rsidRDefault="00AB74A4" w:rsidP="00CE1D7D">
                                  <w:pPr>
                                    <w:jc w:val="center"/>
                                    <w:rPr>
                                      <w:rFonts w:ascii="Calibri" w:hAnsi="Calibri"/>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628650" y="3133725"/>
                                <a:ext cx="0" cy="377825"/>
                              </a:xfrm>
                              <a:prstGeom prst="straightConnector1">
                                <a:avLst/>
                              </a:prstGeom>
                              <a:noFill/>
                              <a:ln w="9525" cap="flat" cmpd="sng" algn="ctr">
                                <a:solidFill>
                                  <a:srgbClr val="4F81BD">
                                    <a:shade val="95000"/>
                                    <a:satMod val="105000"/>
                                  </a:srgbClr>
                                </a:solidFill>
                                <a:prstDash val="sysDash"/>
                                <a:tailEnd type="arrow"/>
                              </a:ln>
                              <a:effectLst/>
                            </wps:spPr>
                            <wps:bodyPr/>
                          </wps:wsp>
                          <wps:wsp>
                            <wps:cNvPr id="35" name="Rectangle 35"/>
                            <wps:cNvSpPr/>
                            <wps:spPr>
                              <a:xfrm>
                                <a:off x="4819650" y="3495675"/>
                                <a:ext cx="1328420" cy="857251"/>
                              </a:xfrm>
                              <a:prstGeom prst="rect">
                                <a:avLst/>
                              </a:prstGeom>
                              <a:solidFill>
                                <a:sysClr val="window" lastClr="FFFFFF"/>
                              </a:solidFill>
                              <a:ln w="6350" cap="flat" cmpd="sng" algn="ctr">
                                <a:solidFill>
                                  <a:sysClr val="windowText" lastClr="000000"/>
                                </a:solidFill>
                                <a:prstDash val="solid"/>
                              </a:ln>
                              <a:effectLst/>
                            </wps:spPr>
                            <wps:txbx>
                              <w:txbxContent>
                                <w:p w14:paraId="54513591" w14:textId="77777777" w:rsidR="00AB74A4" w:rsidRDefault="00AB74A4" w:rsidP="00CE1D7D">
                                  <w:pPr>
                                    <w:jc w:val="center"/>
                                    <w:rPr>
                                      <w:rFonts w:ascii="Calibri" w:hAnsi="Calibri"/>
                                      <w:sz w:val="18"/>
                                      <w:szCs w:val="18"/>
                                    </w:rPr>
                                  </w:pPr>
                                  <w:r w:rsidRPr="0053070E">
                                    <w:rPr>
                                      <w:rFonts w:ascii="Calibri" w:hAnsi="Calibri"/>
                                      <w:sz w:val="18"/>
                                      <w:szCs w:val="18"/>
                                      <w:highlight w:val="lightGray"/>
                                    </w:rPr>
                                    <w:t>Simultaneous stent insertion at a subsequent occasion under guidance of angiography alone*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id="Group 146" o:spid="_x0000_s1026" alt="Title: Proposed clinical algorithm for patients indicated for coronary stent insertion - Description: Displayed as a flowchart. Source: Figure A.5-2 in the submission" style="width:451.3pt;height:438.75pt;mso-position-horizontal-relative:char;mso-position-vertical-relative:line" coordsize="61525,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">
                <v:shapetype id="_x0000_t32" coordsize="21600,21600" o:spt="32" o:oned="t" path="m,l21600,21600e" filled="f">
                  <v:path arrowok="t" fillok="f" o:connecttype="none"/>
                  <o:lock v:ext="edit" shapetype="t"/>
                </v:shapetype>
                <v:shape id="Straight Arrow Connector 3" o:spid="_x0000_s1027" type="#_x0000_t32" style="position:absolute;left:21717;top:40576;width:0;height:3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SxsMQAAADaAAAADwAAAGRycy9kb3ducmV2LnhtbESPQWvCQBSE7wX/w/IEb3WTWopEVykF&#10;G6WnqBR6e2SfSWj2bbq7JvHfdwsFj8PMfMOst6NpRU/ON5YVpPMEBHFpdcOVgvNp97gE4QOyxtYy&#10;KbiRh+1m8rDGTNuBC+qPoRIRwj5DBXUIXSalL2sy6Oe2I47exTqDIUpXSe1wiHDTyqckeZEGG44L&#10;NXb0VlP5fbwaBeE53X0cfprT55fzfC3eF2mZ50rNpuPrCkSgMdzD/+29VrCAvyvxBs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tLGwxAAAANoAAAAPAAAAAAAAAAAA&#10;AAAAAKECAABkcnMvZG93bnJldi54bWxQSwUGAAAAAAQABAD5AAAAkgMAAAAA&#10;" strokecolor="#4a7ebb">
                  <v:stroke dashstyle="3 1" endarrow="open"/>
                </v:shape>
                <v:group id="Group 4" o:spid="_x0000_s1028" style="position:absolute;width:61525;height:52482" coordsize="61525,5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Straight Arrow Connector 5" o:spid="_x0000_s1029" type="#_x0000_t32" style="position:absolute;left:54102;top:32099;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GMX8MAAADaAAAADwAAAGRycy9kb3ducmV2LnhtbESPT2vCQBTE70K/w/IK3nQTtaVEVykF&#10;/+HJWAreHtnXJDT7Nu6uGr+9KxQ8DjPzG2a26EwjLuR8bVlBOkxAEBdW11wq+D4sBx8gfEDW2Fgm&#10;BTfysJi/9GaYaXvlPV3yUIoIYZ+hgiqENpPSFxUZ9EPbEkfv1zqDIUpXSu3wGuGmkaMkeZcGa44L&#10;Fbb0VVHxl5+NgjBJl7vtqT78HJ3n8341Tov1Wqn+a/c5BRGoC8/wf3ujFbzB40q8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RjF/DAAAA2gAAAA8AAAAAAAAAAAAA&#10;AAAAoQIAAGRycy9kb3ducmV2LnhtbFBLBQYAAAAABAAEAPkAAACRAwAAAAA=&#10;" strokecolor="#4a7ebb">
                    <v:stroke dashstyle="3 1" endarrow="open"/>
                  </v:shape>
                  <v:shape id="Straight Arrow Connector 6" o:spid="_x0000_s1030" type="#_x0000_t32" style="position:absolute;left:41052;top:40481;width:0;height:3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SKMIAAADaAAAADwAAAGRycy9kb3ducmV2LnhtbESPT4vCMBTE7wv7HcJb2Nua1hVZqlFE&#10;8B+e1EXw9miebbF5qUnU+u2NIHgcZuY3zHDcmlpcyfnKsoK0k4Agzq2uuFDwv5v9/IHwAVljbZkU&#10;3MnDePT5McRM2xtv6LoNhYgQ9hkqKENoMil9XpJB37ENcfSO1hkMUbpCaoe3CDe17CZJXxqsOC6U&#10;2NC0pPy0vRgFoZfO1qtztdsfnOfLZv6b5ouFUt9f7WQAIlAb3uFXe6kV9OF5Jd4AO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MSKMIAAADaAAAADwAAAAAAAAAAAAAA&#10;AAChAgAAZHJzL2Rvd25yZXYueG1sUEsFBgAAAAAEAAQA+QAAAJADAAAAAA==&#10;" strokecolor="#4a7ebb">
                    <v:stroke dashstyle="3 1" endarrow="open"/>
                  </v:shape>
                  <v:group id="Group 7" o:spid="_x0000_s1031" style="position:absolute;width:61525;height:52482" coordsize="61525,5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32" style="position:absolute;left:571;width:60954;height:52482" coordorigin="571" coordsize="60957,34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33" style="position:absolute;left:15049;top:19898;width:33185;height:14301" coordorigin="15049,19898" coordsize="33185,1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34" style="position:absolute;left:33845;top:28811;width:1438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qRMMA&#10;AADbAAAADwAAAGRycy9kb3ducmV2LnhtbESPT2/CMAzF75P4DpGRuEwjhQOaOgIqSKBd+bO7abym&#10;onGqJJTu28+HSbvZes/v/bzejr5TA8XUBjawmBegiOtgW24MXC+Ht3dQKSNb7AKTgR9KsN1MXtZY&#10;2vDkEw3n3CgJ4VSiAZdzX2qdakce0zz0xKJ9h+gxyxobbSM+Jdx3elkUK+2xZWlw2NPeUX0/P7yB&#10;fKvcZRF31eNav55Wt+NhuO++jJlNx+oDVKYx/5v/rj+t4Au9/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jqRMMAAADbAAAADwAAAAAAAAAAAAAAAACYAgAAZHJzL2Rv&#10;d25yZXYueG1sUEsFBgAAAAAEAAQA9QAAAIgDAAAAAA==&#10;" fillcolor="window" strokecolor="windowText" strokeweight=".5pt">
                          <v:textbox>
                            <w:txbxContent>
                              <w:p w14:paraId="1589E93F" w14:textId="77777777" w:rsidR="00AB74A4" w:rsidRDefault="00AB74A4" w:rsidP="00CE1D7D">
                                <w:pPr>
                                  <w:jc w:val="center"/>
                                  <w:rPr>
                                    <w:rFonts w:ascii="Calibri" w:hAnsi="Calibri"/>
                                    <w:sz w:val="18"/>
                                    <w:szCs w:val="18"/>
                                  </w:rPr>
                                </w:pPr>
                                <w:r w:rsidRPr="0053070E">
                                  <w:rPr>
                                    <w:rFonts w:ascii="Calibri" w:hAnsi="Calibri"/>
                                    <w:sz w:val="18"/>
                                    <w:szCs w:val="18"/>
                                    <w:highlight w:val="lightGray"/>
                                  </w:rPr>
                                  <w:t>Simultaneous</w:t>
                                </w:r>
                                <w:r>
                                  <w:rPr>
                                    <w:rFonts w:ascii="Calibri" w:hAnsi="Calibri"/>
                                    <w:sz w:val="18"/>
                                    <w:szCs w:val="18"/>
                                  </w:rPr>
                                  <w:t xml:space="preserve"> stent insertion at a subsequent occasion under guidance of angiography</w:t>
                                </w:r>
                              </w:p>
                              <w:p w14:paraId="66C5C2C5" w14:textId="77777777" w:rsidR="00AB74A4" w:rsidRDefault="00AB74A4" w:rsidP="00CE1D7D">
                                <w:pPr>
                                  <w:jc w:val="center"/>
                                  <w:rPr>
                                    <w:rFonts w:ascii="Calibri" w:hAnsi="Calibri"/>
                                    <w:sz w:val="18"/>
                                    <w:szCs w:val="18"/>
                                  </w:rPr>
                                </w:pPr>
                              </w:p>
                            </w:txbxContent>
                          </v:textbox>
                        </v:rect>
                        <v:shape id="Straight Arrow Connector 11" o:spid="_x0000_s1035" type="#_x0000_t32" style="position:absolute;left:41126;top:19898;width:0;height:2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DZsIAAADbAAAADwAAAGRycy9kb3ducmV2LnhtbERPTYvCMBC9L/gfwgh709RFRKpRVBR6&#10;WUF3BY9jM7alzaQ2Wa3+eiMIe5vH+5zpvDWVuFLjCssKBv0IBHFqdcGZgt+fTW8MwnlkjZVlUnAn&#10;B/NZ52OKsbY33tF17zMRQtjFqCD3vo6ldGlOBl3f1sSBO9vGoA+wyaRu8BbCTSW/omgkDRYcGnKs&#10;aZVTWu7/jIJV8p0ky8243J4Ox3JtHsPLYTdU6rPbLiYgPLX+X/x2JzrMH8Drl3C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DZsIAAADbAAAADwAAAAAAAAAAAAAA&#10;AAChAgAAZHJzL2Rvd25yZXYueG1sUEsFBgAAAAAEAAQA+QAAAJADAAAAAA==&#10;" strokecolor="#4a7ebb">
                          <v:stroke endarrow="open"/>
                        </v:shape>
                        <v:rect id="Rectangle 12" o:spid="_x0000_s1036" style="position:absolute;left:15049;top:28872;width:13291;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RqL8A&#10;AADbAAAADwAAAGRycy9kb3ducmV2LnhtbERPS4vCMBC+L+x/CLOwl2VN9SBSjVIFxauv+7SZbYrN&#10;pCSx1n+/EQRv8/E9Z7EabCt68qFxrGA8ykAQV043XCs4n7a/MxAhImtsHZOCBwVYLT8/Fphrd+cD&#10;9cdYixTCIUcFJsYulzJUhiyGkeuIE/fnvMWYoK+l9nhP4baVkyybSosNpwaDHW0MVdfjzSqIZWFO&#10;Y78ubufq5zAtd9v+ur4o9f01FHMQkYb4Fr/ce53mT+D5Szp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BtGovwAAANsAAAAPAAAAAAAAAAAAAAAAAJgCAABkcnMvZG93bnJl&#10;di54bWxQSwUGAAAAAAQABAD1AAAAhAMAAAAA&#10;" fillcolor="window" strokecolor="windowText" strokeweight=".5pt">
                          <v:textbox>
                            <w:txbxContent>
                              <w:p w14:paraId="33B125A1" w14:textId="77777777" w:rsidR="00AB74A4" w:rsidRDefault="00AB74A4" w:rsidP="00CE1D7D">
                                <w:pPr>
                                  <w:jc w:val="center"/>
                                  <w:rPr>
                                    <w:rFonts w:ascii="Calibri" w:hAnsi="Calibri"/>
                                    <w:sz w:val="18"/>
                                    <w:szCs w:val="18"/>
                                  </w:rPr>
                                </w:pPr>
                                <w:r w:rsidRPr="0053070E">
                                  <w:rPr>
                                    <w:rFonts w:ascii="Calibri" w:hAnsi="Calibri"/>
                                    <w:sz w:val="18"/>
                                    <w:szCs w:val="18"/>
                                    <w:highlight w:val="lightGray"/>
                                  </w:rPr>
                                  <w:t>Simultaneous</w:t>
                                </w:r>
                                <w:r>
                                  <w:rPr>
                                    <w:rFonts w:ascii="Calibri" w:hAnsi="Calibri"/>
                                    <w:sz w:val="18"/>
                                    <w:szCs w:val="18"/>
                                  </w:rPr>
                                  <w:t xml:space="preserve"> stent insertion at a subsequent occasion under guidance of angiography</w:t>
                                </w:r>
                              </w:p>
                            </w:txbxContent>
                          </v:textbox>
                        </v:rect>
                        <v:shape id="Straight Arrow Connector 13" o:spid="_x0000_s1037" type="#_x0000_t32" style="position:absolute;left:21653;top:20066;width:0;height:2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4isQAAADbAAAADwAAAGRycy9kb3ducmV2LnhtbERPS2vCQBC+F/wPywi91U2tFE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iKxAAAANsAAAAPAAAAAAAAAAAA&#10;AAAAAKECAABkcnMvZG93bnJldi54bWxQSwUGAAAAAAQABAD5AAAAkgMAAAAA&#10;" strokecolor="#4a7ebb">
                          <v:stroke endarrow="open"/>
                        </v:shape>
                      </v:group>
                      <v:group id="Group 14" o:spid="_x0000_s1038" style="position:absolute;left:571;width:60958;height:20885" coordorigin="571" coordsize="60957,20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5" o:spid="_x0000_s1039" style="position:absolute;left:48238;top:15805;width:13291;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J3L8A&#10;AADbAAAADwAAAGRycy9kb3ducmV2LnhtbERPS4vCMBC+L/gfwix4WTRVUJZqlCooe/Wx97GZbYrN&#10;pCSx1n+/EQRv8/E9Z7nubSM68qF2rGAyzkAQl07XXCk4n3ajbxAhImtsHJOCBwVYrwYfS8y1u/OB&#10;umOsRArhkKMCE2ObSxlKQxbD2LXEiftz3mJM0FdSe7yncNvIaZbNpcWaU4PBlraGyuvxZhXES2FO&#10;E78pbufy6zC/7HfddfOr1PCzLxYgIvXxLX65f3SaP4PnL+k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ncvwAAANsAAAAPAAAAAAAAAAAAAAAAAJgCAABkcnMvZG93bnJl&#10;di54bWxQSwUGAAAAAAQABAD1AAAAhAMAAAAA&#10;" fillcolor="window" strokecolor="windowText" strokeweight=".5pt">
                          <v:textbox>
                            <w:txbxContent>
                              <w:p w14:paraId="69C6F854" w14:textId="77777777" w:rsidR="00AB74A4" w:rsidRDefault="00AB74A4" w:rsidP="00CE1D7D">
                                <w:pPr>
                                  <w:jc w:val="center"/>
                                  <w:rPr>
                                    <w:rFonts w:ascii="Calibri" w:hAnsi="Calibri"/>
                                    <w:sz w:val="18"/>
                                    <w:szCs w:val="18"/>
                                  </w:rPr>
                                </w:pPr>
                                <w:r>
                                  <w:rPr>
                                    <w:rFonts w:ascii="Calibri" w:hAnsi="Calibri"/>
                                    <w:sz w:val="18"/>
                                    <w:szCs w:val="18"/>
                                  </w:rPr>
                                  <w:t>Simultaneous stent insertion under guidance of angiography and IVUS</w:t>
                                </w:r>
                              </w:p>
                            </w:txbxContent>
                          </v:textbox>
                        </v:rect>
                        <v:shape id="Straight Arrow Connector 16" o:spid="_x0000_s1040" type="#_x0000_t32" style="position:absolute;left:41126;top:13742;width:0;height:2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bEsIAAADbAAAADwAAAGRycy9kb3ducmV2LnhtbERPTYvCMBC9C/6HMIK3NXURkWoUlRV6&#10;cUF3BY9jM7alzaQ2Uev+eiMseJvH+5zZojWVuFHjCssKhoMIBHFqdcGZgt+fzccEhPPIGivLpOBB&#10;DhbzbmeGsbZ33tFt7zMRQtjFqCD3vo6ldGlOBt3A1sSBO9vGoA+wyaRu8B7CTSU/o2gsDRYcGnKs&#10;aZ1TWu6vRsE62SbJajMpv0+HY/ll/kaXw26kVL/XLqcgPLX+Lf53JzrMH8Prl3C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SbEsIAAADbAAAADwAAAAAAAAAAAAAA&#10;AAChAgAAZHJzL2Rvd25yZXYueG1sUEsFBgAAAAAEAAQA+QAAAJADAAAAAA==&#10;" strokecolor="#4a7ebb">
                          <v:stroke endarrow="open"/>
                        </v:shape>
                        <v:shape id="Straight Arrow Connector 17" o:spid="_x0000_s1041" type="#_x0000_t32" style="position:absolute;left:45360;top:18226;width:2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icQAAADbAAAADwAAAGRycy9kb3ducmV2LnhtbERPS2vCQBC+F/wPywi91U1FWkndhCoV&#10;cqngI9DjmB2TkOxsmt1q2l/fFQRv8/E9Z5EOphVn6l1tWcHzJAJBXFhdc6ngsF8/zUE4j6yxtUwK&#10;fslBmoweFhhre+EtnXe+FCGEXYwKKu+7WEpXVGTQTWxHHLiT7Q36APtS6h4vIdy0chpFL9JgzaGh&#10;wo5WFRXN7scoWGWfWbZcz5vNMf9qPszf7DvfzpR6HA/vbyA8Df4uvrkzHea/wv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D6JxAAAANsAAAAPAAAAAAAAAAAA&#10;AAAAAKECAABkcnMvZG93bnJldi54bWxQSwUGAAAAAAQABAD5AAAAkgMAAAAA&#10;" strokecolor="#4a7ebb">
                          <v:stroke endarrow="open"/>
                        </v:shape>
                        <v:rect id="Rectangle 18" o:spid="_x0000_s1042" style="position:absolute;left:36639;top:16177;width:8708;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7mQsMA&#10;AADbAAAADwAAAGRycy9kb3ducmV2LnhtbESPT2/CMAzF75P4DpGRuEwjhQOaOgIqSKBd+bO7abym&#10;onGqJJTu28+HSbvZes/v/bzejr5TA8XUBjawmBegiOtgW24MXC+Ht3dQKSNb7AKTgR9KsN1MXtZY&#10;2vDkEw3n3CgJ4VSiAZdzX2qdakce0zz0xKJ9h+gxyxobbSM+Jdx3elkUK+2xZWlw2NPeUX0/P7yB&#10;fKvcZRF31eNav55Wt+NhuO++jJlNx+oDVKYx/5v/rj+t4Aus/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7mQsMAAADbAAAADwAAAAAAAAAAAAAAAACYAgAAZHJzL2Rv&#10;d25yZXYueG1sUEsFBgAAAAAEAAQA9QAAAIgDAAAAAA==&#10;" fillcolor="window" strokecolor="windowText" strokeweight=".5pt">
                          <v:textbox>
                            <w:txbxContent>
                              <w:p w14:paraId="38EEE731" w14:textId="77777777" w:rsidR="00AB74A4" w:rsidRDefault="00AB74A4" w:rsidP="00CE1D7D">
                                <w:pPr>
                                  <w:jc w:val="center"/>
                                  <w:rPr>
                                    <w:rFonts w:ascii="Calibri" w:hAnsi="Calibri"/>
                                    <w:sz w:val="18"/>
                                    <w:szCs w:val="18"/>
                                  </w:rPr>
                                </w:pPr>
                                <w:r>
                                  <w:rPr>
                                    <w:rFonts w:ascii="Calibri" w:hAnsi="Calibri"/>
                                    <w:sz w:val="18"/>
                                    <w:szCs w:val="18"/>
                                  </w:rPr>
                                  <w:t>‘High-risk’ patients</w:t>
                                </w:r>
                                <w:r>
                                  <w:rPr>
                                    <w:rFonts w:ascii="Calibri" w:hAnsi="Calibri"/>
                                    <w:sz w:val="18"/>
                                    <w:szCs w:val="18"/>
                                    <w:vertAlign w:val="superscript"/>
                                  </w:rPr>
                                  <w:t>§</w:t>
                                </w:r>
                              </w:p>
                            </w:txbxContent>
                          </v:textbox>
                        </v:rect>
                        <v:group id="Group 19" o:spid="_x0000_s1043" style="position:absolute;left:21653;width:19469;height:13742" coordorigin="21653" coordsize="19469,1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0" o:spid="_x0000_s1044" style="position:absolute;left:22923;width:16758;height:7137" coordorigin="22923" coordsize="16757,7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1" o:spid="_x0000_s1045" style="position:absolute;left:22923;width:16758;height:4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FYsEA&#10;AADbAAAADwAAAGRycy9kb3ducmV2LnhtbESPT4vCMBTE74LfITxhL7Km9SBSjVIXXPbqv/uzedsU&#10;m5eSxNr99htB8DjMzG+Y9XawrejJh8axgnyWgSCunG64VnA+7T+XIEJE1tg6JgV/FGC7GY/WWGj3&#10;4AP1x1iLBOFQoAITY1dIGSpDFsPMdcTJ+3XeYkzS11J7fCS4beU8yxbSYsNpwWBHX4aq2/FuFcRr&#10;aU6535X3czU9LK7f+/62uyj1MRnKFYhIQ3yHX+0frWCew/NL+g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4hWLBAAAA2wAAAA8AAAAAAAAAAAAAAAAAmAIAAGRycy9kb3du&#10;cmV2LnhtbFBLBQYAAAAABAAEAPUAAACGAwAAAAA=&#10;" fillcolor="window" strokecolor="windowText" strokeweight=".5pt">
                              <v:textbox>
                                <w:txbxContent>
                                  <w:p w14:paraId="5B16B152" w14:textId="77777777" w:rsidR="00AB74A4" w:rsidRDefault="00AB74A4" w:rsidP="00CE1D7D">
                                    <w:pPr>
                                      <w:jc w:val="center"/>
                                      <w:rPr>
                                        <w:rFonts w:ascii="Calibri" w:hAnsi="Calibri"/>
                                        <w:sz w:val="18"/>
                                        <w:szCs w:val="18"/>
                                      </w:rPr>
                                    </w:pPr>
                                    <w:r>
                                      <w:rPr>
                                        <w:rFonts w:ascii="Calibri" w:hAnsi="Calibri"/>
                                        <w:sz w:val="18"/>
                                        <w:szCs w:val="18"/>
                                      </w:rPr>
                                      <w:t>Patients indicated for PCI with stent insertion</w:t>
                                    </w:r>
                                    <w:r>
                                      <w:rPr>
                                        <w:rFonts w:ascii="Calibri" w:hAnsi="Calibri"/>
                                        <w:sz w:val="18"/>
                                        <w:szCs w:val="18"/>
                                        <w:vertAlign w:val="superscript"/>
                                      </w:rPr>
                                      <w:t>†</w:t>
                                    </w:r>
                                  </w:p>
                                </w:txbxContent>
                              </v:textbox>
                            </v:rect>
                            <v:shape id="Straight Arrow Connector 22" o:spid="_x0000_s1046" type="#_x0000_t32" style="position:absolute;left:31305;top:4034;width:0;height:3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NXrMYAAADbAAAADwAAAGRycy9kb3ducmV2LnhtbESPzWrDMBCE74W+g9hCbrFcE0pwrYQk&#10;NOBLCvkx9LixNraxtXItNXH79FUh0OMwM98w2XI0nbjS4BrLCp6jGARxaXXDlYLTcTudg3AeWWNn&#10;mRR8k4Pl4vEhw1TbG+/pevCVCBB2KSqove9TKV1Zk0EX2Z44eBc7GPRBDpXUA94C3HQyieMXabDh&#10;sFBjT5uayvbwZRRs8l2er7fz9v1cfLRv5mf2WexnSk2extUrCE+j/w/f27lWkCTw9yX8AL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DV6zGAAAA2wAAAA8AAAAAAAAA&#10;AAAAAAAAoQIAAGRycy9kb3ducmV2LnhtbFBLBQYAAAAABAAEAPkAAACUAwAAAAA=&#10;" strokecolor="#4a7ebb">
                              <v:stroke endarrow="open"/>
                            </v:shape>
                          </v:group>
                          <v:group id="Group 23" o:spid="_x0000_s1047" style="position:absolute;left:21653;top:7331;width:19469;height:6411" coordorigin="21653,7331" coordsize="19469,6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48" style="position:absolute;left:22923;top:7331;width:1675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m+sEA&#10;AADbAAAADwAAAGRycy9kb3ducmV2LnhtbESPT4vCMBTE7wt+h/CEvSxrqogs1Sh1wcWr/+7P5tkU&#10;m5eSxNr99kYQPA4z8xtmseptIzryoXasYDzKQBCXTtdcKTgeNt8/IEJE1tg4JgX/FGC1HHwsMNfu&#10;zjvq9rESCcIhRwUmxjaXMpSGLIaRa4mTd3HeYkzSV1J7vCe4beQky2bSYs1pwWBLv4bK6/5mFcRz&#10;YQ5jvy5ux/JrNzv/bbrr+qTU57Av5iAi9fEdfrW3WsFkCs8v6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PJvrBAAAA2wAAAA8AAAAAAAAAAAAAAAAAmAIAAGRycy9kb3du&#10;cmV2LnhtbFBLBQYAAAAABAAEAPUAAACGAwAAAAA=&#10;" fillcolor="window" strokecolor="windowText" strokeweight=".5pt">
                              <v:textbox>
                                <w:txbxContent>
                                  <w:p w14:paraId="06943885" w14:textId="77777777" w:rsidR="00AB74A4" w:rsidRDefault="00AB74A4" w:rsidP="00CE1D7D">
                                    <w:pPr>
                                      <w:jc w:val="center"/>
                                      <w:rPr>
                                        <w:rFonts w:ascii="Calibri" w:hAnsi="Calibri"/>
                                        <w:sz w:val="18"/>
                                        <w:szCs w:val="18"/>
                                      </w:rPr>
                                    </w:pPr>
                                    <w:r>
                                      <w:rPr>
                                        <w:rFonts w:ascii="Calibri" w:hAnsi="Calibri"/>
                                        <w:sz w:val="18"/>
                                        <w:szCs w:val="18"/>
                                      </w:rPr>
                                      <w:t>Diagnostic angiography</w:t>
                                    </w:r>
                                    <w:r>
                                      <w:rPr>
                                        <w:rFonts w:ascii="Calibri" w:hAnsi="Calibri"/>
                                        <w:sz w:val="18"/>
                                        <w:szCs w:val="18"/>
                                        <w:vertAlign w:val="superscript"/>
                                      </w:rPr>
                                      <w:t>‡</w:t>
                                    </w:r>
                                  </w:p>
                                </w:txbxContent>
                              </v:textbox>
                            </v:rect>
                            <v:line id="Straight Connector 25" o:spid="_x0000_s1049" style="position:absolute;visibility:visible;mso-wrap-style:square" from="31462,11213" to="31462,1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mscIAAADbAAAADwAAAGRycy9kb3ducmV2LnhtbESPQWsCMRSE7wX/Q3iCt5pVsditUUQQ&#10;PHiwKujxNXndLG5e1k3U9d83gtDjMDPfMNN56ypxoyaUnhUM+hkIYu1NyYWCw371PgERIrLByjMp&#10;eFCA+azzNsXc+Dt/020XC5EgHHJUYGOscymDtuQw9H1NnLxf3ziMSTaFNA3eE9xVcphlH9JhyWnB&#10;Yk1LS/q8uzoFR4ub7Vb/RPKj00Kbwhh/+VSq120XXyAitfE//GqvjYLhG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ImscIAAADbAAAADwAAAAAAAAAAAAAA&#10;AAChAgAAZHJzL2Rvd25yZXYueG1sUEsFBgAAAAAEAAQA+QAAAJADAAAAAA==&#10;" strokecolor="#4a7ebb"/>
                            <v:line id="Straight Connector 26" o:spid="_x0000_s1050" style="position:absolute;visibility:visible;mso-wrap-style:square" from="21653,13660" to="41122,1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4xsMAAADbAAAADwAAAGRycy9kb3ducmV2LnhtbESPQWvCQBSE70L/w/IKvemmFkKNriJC&#10;oYceohX0+Nx9ZkOzb2N2m6T/visUehxm5htmtRldI3rqQu1ZwfMsA0Gsvam5UnD8fJu+gggR2WDj&#10;mRT8UIDN+mGywsL4gffUH2IlEoRDgQpsjG0hZdCWHIaZb4mTd/Wdw5hkV0nT4ZDgrpHzLMulw5rT&#10;gsWWdpb01+HbKThZ/ChLfYnkX85bbSpj/G2h1NPjuF2CiDTG//Bf+90omO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wuMbDAAAA2wAAAA8AAAAAAAAAAAAA&#10;AAAAoQIAAGRycy9kb3ducmV2LnhtbFBLBQYAAAAABAAEAPkAAACRAwAAAAA=&#10;" strokecolor="#4a7ebb"/>
                          </v:group>
                        </v:group>
                        <v:shape id="Straight Arrow Connector 27" o:spid="_x0000_s1051" type="#_x0000_t32" style="position:absolute;left:21653;top:13742;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0NMUAAADbAAAADwAAAGRycy9kb3ducmV2LnhtbESPQWvCQBSE7wX/w/IEb3WjiJXUVVQU&#10;clFQK/T4mn0mIdm3Mbtq2l/fFQSPw8x8w0znranEjRpXWFYw6EcgiFOrC84UfB037xMQziNrrCyT&#10;gl9yMJ913qYYa3vnPd0OPhMBwi5GBbn3dSylS3My6Pq2Jg7e2TYGfZBNJnWD9wA3lRxG0VgaLDgs&#10;5FjTKqe0PFyNglWyTZLlZlLufk7f5dr8jS6n/UipXrddfILw1PpX+NlOtILhBz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T0NMUAAADbAAAADwAAAAAAAAAA&#10;AAAAAAChAgAAZHJzL2Rvd25yZXYueG1sUEsFBgAAAAAEAAQA+QAAAJMDAAAAAA==&#10;" strokecolor="#4a7ebb">
                          <v:stroke endarrow="open"/>
                        </v:shape>
                        <v:rect id="Rectangle 28" o:spid="_x0000_s1052" style="position:absolute;left:16234;top:16239;width:10751;height:3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Is/70A&#10;AADbAAAADwAAAGRycy9kb3ducmV2LnhtbERPy4rCMBTdC/MP4Q64EU11IVKNUgcUt7721+ZOU2xu&#10;ShJr/XuzEFweznu16W0jOvKhdqxgOslAEJdO11wpuJx34wWIEJE1No5JwYsCbNY/gxXm2j35SN0p&#10;ViKFcMhRgYmxzaUMpSGLYeJa4sT9O28xJugrqT0+U7ht5CzL5tJizanBYEt/hsr76WEVxFthzlO/&#10;LR6XcnSc3/a77r69KjX87YsliEh9/Io/7oNWMEtj05f0A+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IIs/70AAADbAAAADwAAAAAAAAAAAAAAAACYAgAAZHJzL2Rvd25yZXYu&#10;eG1sUEsFBgAAAAAEAAQA9QAAAIIDAAAAAA==&#10;" fillcolor="window" strokecolor="windowText" strokeweight=".5pt">
                          <v:textbox>
                            <w:txbxContent>
                              <w:p w14:paraId="2FEE1809" w14:textId="77777777" w:rsidR="00AB74A4" w:rsidRDefault="00AB74A4" w:rsidP="00CE1D7D">
                                <w:pPr>
                                  <w:jc w:val="center"/>
                                  <w:rPr>
                                    <w:rFonts w:ascii="Calibri" w:hAnsi="Calibri"/>
                                    <w:sz w:val="18"/>
                                    <w:szCs w:val="18"/>
                                  </w:rPr>
                                </w:pPr>
                                <w:r>
                                  <w:rPr>
                                    <w:rFonts w:ascii="Calibri" w:hAnsi="Calibri"/>
                                    <w:sz w:val="18"/>
                                    <w:szCs w:val="18"/>
                                  </w:rPr>
                                  <w:t>‘Low/medium risk’ patients</w:t>
                                </w:r>
                              </w:p>
                            </w:txbxContent>
                          </v:textbox>
                        </v:rect>
                        <v:rect id="Rectangle 29" o:spid="_x0000_s1053" style="position:absolute;left:571;top:15314;width:13291;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6JZMIA&#10;AADbAAAADwAAAGRycy9kb3ducmV2LnhtbESPT4vCMBTE74LfITxhL7KmehC3GqUuuHj13/3ZPJti&#10;81KSWLvf3iwseBxm5jfMatPbRnTkQ+1YwXSSgSAuna65UnA+7T4XIEJE1tg4JgW/FGCzHg5WmGv3&#10;5AN1x1iJBOGQowITY5tLGUpDFsPEtcTJuzlvMSbpK6k9PhPcNnKWZXNpsea0YLClb0Pl/fiwCuK1&#10;MKep3xaPczk+zK8/u+6+vSj1MeqLJYhIfXyH/9t7rWD2BX9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olkwgAAANsAAAAPAAAAAAAAAAAAAAAAAJgCAABkcnMvZG93&#10;bnJldi54bWxQSwUGAAAAAAQABAD1AAAAhwMAAAAA&#10;" fillcolor="window" strokecolor="windowText" strokeweight=".5pt">
                          <v:textbox>
                            <w:txbxContent>
                              <w:p w14:paraId="5CE75DAB" w14:textId="77777777" w:rsidR="00AB74A4" w:rsidRDefault="00AB74A4" w:rsidP="00CE1D7D">
                                <w:pPr>
                                  <w:jc w:val="center"/>
                                  <w:rPr>
                                    <w:rFonts w:ascii="Calibri" w:hAnsi="Calibri"/>
                                    <w:sz w:val="18"/>
                                    <w:szCs w:val="18"/>
                                  </w:rPr>
                                </w:pPr>
                                <w:r>
                                  <w:rPr>
                                    <w:rFonts w:ascii="Calibri" w:hAnsi="Calibri"/>
                                    <w:sz w:val="18"/>
                                    <w:szCs w:val="18"/>
                                  </w:rPr>
                                  <w:t xml:space="preserve">Simultaneous stent insertion under guidance of angiography </w:t>
                                </w:r>
                                <w:r w:rsidRPr="0053070E">
                                  <w:rPr>
                                    <w:rFonts w:ascii="Calibri" w:hAnsi="Calibri"/>
                                    <w:sz w:val="18"/>
                                    <w:szCs w:val="18"/>
                                    <w:highlight w:val="lightGray"/>
                                  </w:rPr>
                                  <w:t>and IVUS</w:t>
                                </w:r>
                              </w:p>
                            </w:txbxContent>
                          </v:textbox>
                        </v:rect>
                        <v:shape id="Straight Arrow Connector 30" o:spid="_x0000_s1054" type="#_x0000_t32" style="position:absolute;left:13864;top:18288;width:23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9k78AAADbAAAADwAAAGRycy9kb3ducmV2LnhtbERPzYrCMBC+C/sOYYS9aVoXRKqxiLCo&#10;oEKrDzA0s23ZZlKSWLtvvzkIHj++/00+mk4M5HxrWUE6T0AQV1a3XCu4375nKxA+IGvsLJOCP/KQ&#10;bz8mG8y0fXJBQxlqEUPYZ6igCaHPpPRVQwb93PbEkfuxzmCI0NVSO3zGcNPJRZIspcGWY0ODPe0b&#10;qn7Lh1FQnf3VXS6H0z4tFsWBb2X3GFqlPqfjbg0i0Bje4pf7qBV8xfXxS/wBcvs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zg9k78AAADbAAAADwAAAAAAAAAAAAAAAACh&#10;AgAAZHJzL2Rvd25yZXYueG1sUEsFBgAAAAAEAAQA+QAAAI0DAAAAAA==&#10;" strokecolor="#4a7ebb">
                          <v:stroke endarrow="open"/>
                        </v:shape>
                      </v:group>
                    </v:group>
                    <v:rect id="Rectangle 31" o:spid="_x0000_s1055" style="position:absolute;left:15144;top:34766;width:13284;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Tv8MA&#10;AADbAAAADwAAAGRycy9kb3ducmV2LnhtbESPwWrDMBBE74X+g9hAL6WWnUIobpTgFBJ6TeLeN9bG&#10;MrZWRlIc9++rQqHHYWbeMOvtbAcxkQ+dYwVFloMgbpzuuFVQn/cvbyBCRNY4OCYF3xRgu3l8WGOp&#10;3Z2PNJ1iKxKEQ4kKTIxjKWVoDFkMmRuJk3d13mJM0rdSe7wnuB3kMs9X0mLHacHgSB+Gmv50swri&#10;pTLnwu+qW908H1eXw37qd19KPS3m6h1EpDn+h//an1rBawG/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ETv8MAAADbAAAADwAAAAAAAAAAAAAAAACYAgAAZHJzL2Rv&#10;d25yZXYueG1sUEsFBgAAAAAEAAQA9QAAAIgDAAAAAA==&#10;" fillcolor="window" strokecolor="windowText" strokeweight=".5pt">
                      <v:textbox>
                        <w:txbxContent>
                          <w:p w14:paraId="566C3B42" w14:textId="77777777" w:rsidR="00AB74A4" w:rsidRDefault="00AB74A4" w:rsidP="00CE1D7D">
                            <w:pPr>
                              <w:jc w:val="center"/>
                              <w:rPr>
                                <w:rFonts w:ascii="Calibri" w:hAnsi="Calibri"/>
                                <w:sz w:val="18"/>
                                <w:szCs w:val="18"/>
                              </w:rPr>
                            </w:pPr>
                            <w:r>
                              <w:rPr>
                                <w:rFonts w:ascii="Calibri" w:hAnsi="Calibri"/>
                                <w:sz w:val="18"/>
                                <w:szCs w:val="18"/>
                              </w:rPr>
                              <w:t>Simultaneous stent insertion under guidance of angiography</w:t>
                            </w:r>
                          </w:p>
                        </w:txbxContent>
                      </v:textbox>
                    </v:rect>
                    <v:rect id="Rectangle 32" o:spid="_x0000_s1056" style="position:absolute;top:35051;width:13284;height:8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NyMEA&#10;AADbAAAADwAAAGRycy9kb3ducmV2LnhtbESPT4vCMBTE7wt+h/CEvSxrqoIs1Sh1wcWr/+7P5tkU&#10;m5eSxNr99kYQPA4z8xtmseptIzryoXasYDzKQBCXTtdcKTgeNt8/IEJE1tg4JgX/FGC1HHwsMNfu&#10;zjvq9rESCcIhRwUmxjaXMpSGLIaRa4mTd3HeYkzSV1J7vCe4beQky2bSYs1pwWBLv4bK6/5mFcRz&#10;YQ5jvy5ux/JrNzv/bbrr+qTU57Av5iAi9fEdfrW3WsF0As8v6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zjcjBAAAA2wAAAA8AAAAAAAAAAAAAAAAAmAIAAGRycy9kb3du&#10;cmV2LnhtbFBLBQYAAAAABAAEAPUAAACGAwAAAAA=&#10;" fillcolor="window" strokecolor="windowText" strokeweight=".5pt">
                      <v:textbox>
                        <w:txbxContent>
                          <w:p w14:paraId="19CCA230" w14:textId="77777777" w:rsidR="00AB74A4" w:rsidRDefault="00AB74A4" w:rsidP="00CE1D7D">
                            <w:pPr>
                              <w:jc w:val="center"/>
                              <w:rPr>
                                <w:rFonts w:ascii="Calibri" w:hAnsi="Calibri"/>
                                <w:sz w:val="18"/>
                                <w:szCs w:val="18"/>
                              </w:rPr>
                            </w:pPr>
                            <w:r w:rsidRPr="0053070E">
                              <w:rPr>
                                <w:rFonts w:ascii="Calibri" w:hAnsi="Calibri"/>
                                <w:sz w:val="18"/>
                                <w:szCs w:val="18"/>
                                <w:highlight w:val="lightGray"/>
                              </w:rPr>
                              <w:t>Simultaneous stent insertion at a subsequent occasion under guidance of angiography alone*</w:t>
                            </w:r>
                          </w:p>
                        </w:txbxContent>
                      </v:textbox>
                    </v:rect>
                    <v:rect id="Rectangle 33" o:spid="_x0000_s1057" style="position:absolute;left:34099;top:34861;width:13284;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U8EA&#10;AADbAAAADwAAAGRycy9kb3ducmV2LnhtbESPT4vCMBTE7wt+h/AEL8uaqiBL1yh1wcWr/+7P5m1T&#10;bF5KEmv99kYQPA4z8xtmseptIzryoXasYDLOQBCXTtdcKTgeNl/fIEJE1tg4JgV3CrBaDj4WmGt3&#10;4x11+1iJBOGQowITY5tLGUpDFsPYtcTJ+3feYkzSV1J7vCW4beQ0y+bSYs1pwWBLv4bKy/5qFcRz&#10;YQ4Tvy6ux/JzNz//bbrL+qTUaNgXPyAi9fEdfrW3WsFsBs8v6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FPBAAAA2wAAAA8AAAAAAAAAAAAAAAAAmAIAAGRycy9kb3du&#10;cmV2LnhtbFBLBQYAAAAABAAEAPUAAACGAwAAAAA=&#10;" fillcolor="window" strokecolor="windowText" strokeweight=".5pt">
                      <v:textbox>
                        <w:txbxContent>
                          <w:p w14:paraId="19501FA1" w14:textId="77777777" w:rsidR="00AB74A4" w:rsidRDefault="00AB74A4" w:rsidP="00CE1D7D">
                            <w:pPr>
                              <w:jc w:val="center"/>
                              <w:rPr>
                                <w:rFonts w:ascii="Calibri" w:hAnsi="Calibri"/>
                                <w:sz w:val="18"/>
                                <w:szCs w:val="18"/>
                              </w:rPr>
                            </w:pPr>
                            <w:r>
                              <w:rPr>
                                <w:rFonts w:ascii="Calibri" w:hAnsi="Calibri"/>
                                <w:sz w:val="18"/>
                                <w:szCs w:val="18"/>
                              </w:rPr>
                              <w:t>Simultaneous stent insertion under guidance of angiography</w:t>
                            </w:r>
                          </w:p>
                          <w:p w14:paraId="31DA28F3" w14:textId="77777777" w:rsidR="00AB74A4" w:rsidRDefault="00AB74A4" w:rsidP="00CE1D7D">
                            <w:pPr>
                              <w:jc w:val="center"/>
                              <w:rPr>
                                <w:rFonts w:ascii="Calibri" w:hAnsi="Calibri"/>
                                <w:sz w:val="18"/>
                                <w:szCs w:val="18"/>
                              </w:rPr>
                            </w:pPr>
                          </w:p>
                        </w:txbxContent>
                      </v:textbox>
                    </v:rect>
                    <v:shape id="Straight Arrow Connector 34" o:spid="_x0000_s1058" type="#_x0000_t32" style="position:absolute;left:6286;top:31337;width:0;height:3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RWhcMAAADbAAAADwAAAGRycy9kb3ducmV2LnhtbESPW4vCMBSE3xf8D+EIvq1pV1mWahQR&#10;vOGTFwTfDs2xLTYn3SRq/fdGWNjHYWa+YcbT1tTiTs5XlhWk/QQEcW51xYWC42Hx+QPCB2SNtWVS&#10;8CQP00nnY4yZtg/e0X0fChEh7DNUUIbQZFL6vCSDvm8b4uhdrDMYonSF1A4fEW5q+ZUk39JgxXGh&#10;xIbmJeXX/c0oCMN0sd38VofT2Xm+7ZaDNF+tlOp129kIRKA2/If/2mutYDCE95f4A+Tk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0VoXDAAAA2wAAAA8AAAAAAAAAAAAA&#10;AAAAoQIAAGRycy9kb3ducmV2LnhtbFBLBQYAAAAABAAEAPkAAACRAwAAAAA=&#10;" strokecolor="#4a7ebb">
                      <v:stroke dashstyle="3 1" endarrow="open"/>
                    </v:shape>
                    <v:rect id="Rectangle 35" o:spid="_x0000_s1059" style="position:absolute;left:48196;top:34956;width:13284;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oVvMIA&#10;AADbAAAADwAAAGRycy9kb3ducmV2LnhtbESPT2sCMRTE7wW/Q3hCL6VmrShlNcpaULz67/7cPDeL&#10;m5cliev225tCweMwM79hFqveNqIjH2rHCsajDARx6XTNlYLTcfP5DSJEZI2NY1LwSwFWy8HbAnPt&#10;Hryn7hArkSAcclRgYmxzKUNpyGIYuZY4eVfnLcYkfSW1x0eC20Z+ZdlMWqw5LRhs6cdQeTvcrYJ4&#10;Kcxx7NfF/VR+7GeX7aa7rc9KvQ/7Yg4iUh9f4f/2TiuYTOHvS/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hW8wgAAANsAAAAPAAAAAAAAAAAAAAAAAJgCAABkcnMvZG93&#10;bnJldi54bWxQSwUGAAAAAAQABAD1AAAAhwMAAAAA&#10;" fillcolor="window" strokecolor="windowText" strokeweight=".5pt">
                      <v:textbox>
                        <w:txbxContent>
                          <w:p w14:paraId="54513591" w14:textId="77777777" w:rsidR="00AB74A4" w:rsidRDefault="00AB74A4" w:rsidP="00CE1D7D">
                            <w:pPr>
                              <w:jc w:val="center"/>
                              <w:rPr>
                                <w:rFonts w:ascii="Calibri" w:hAnsi="Calibri"/>
                                <w:sz w:val="18"/>
                                <w:szCs w:val="18"/>
                              </w:rPr>
                            </w:pPr>
                            <w:r w:rsidRPr="0053070E">
                              <w:rPr>
                                <w:rFonts w:ascii="Calibri" w:hAnsi="Calibri"/>
                                <w:sz w:val="18"/>
                                <w:szCs w:val="18"/>
                                <w:highlight w:val="lightGray"/>
                              </w:rPr>
                              <w:t>Simultaneous stent insertion at a subsequent occasion under guidance of angiography alone*</w:t>
                            </w:r>
                          </w:p>
                        </w:txbxContent>
                      </v:textbox>
                    </v:rect>
                  </v:group>
                </v:group>
                <w10:anchorlock/>
              </v:group>
            </w:pict>
          </mc:Fallback>
        </mc:AlternateContent>
      </w:r>
    </w:p>
    <w:p w14:paraId="0659FBA6" w14:textId="77777777" w:rsidR="00CE1D7D" w:rsidRPr="00ED6887" w:rsidRDefault="00CE1D7D" w:rsidP="00CE1D7D">
      <w:pPr>
        <w:rPr>
          <w:rFonts w:ascii="Calibri" w:eastAsia="Batang" w:hAnsi="Calibri"/>
          <w:sz w:val="16"/>
          <w:szCs w:val="16"/>
          <w:lang w:val="en-GB" w:eastAsia="ja-JP"/>
        </w:rPr>
      </w:pPr>
      <w:r w:rsidRPr="00ED6887">
        <w:rPr>
          <w:rFonts w:ascii="Calibri" w:eastAsia="Batang" w:hAnsi="Calibri"/>
          <w:sz w:val="16"/>
          <w:szCs w:val="16"/>
          <w:lang w:val="en-GB" w:eastAsia="ja-JP"/>
        </w:rPr>
        <w:t xml:space="preserve">† Patients with acute coronary syndrome – </w:t>
      </w:r>
      <w:r w:rsidRPr="00712477">
        <w:rPr>
          <w:rFonts w:ascii="Calibri" w:eastAsia="Batang" w:hAnsi="Calibri"/>
          <w:sz w:val="16"/>
          <w:szCs w:val="16"/>
          <w:lang w:eastAsia="ja-JP"/>
        </w:rPr>
        <w:t>ST segment elevation myocardial infarction</w:t>
      </w:r>
      <w:r>
        <w:rPr>
          <w:rFonts w:ascii="Calibri" w:eastAsia="Batang" w:hAnsi="Calibri"/>
          <w:sz w:val="16"/>
          <w:szCs w:val="16"/>
          <w:lang w:val="en-GB" w:eastAsia="ja-JP"/>
        </w:rPr>
        <w:t xml:space="preserve"> (</w:t>
      </w:r>
      <w:r w:rsidRPr="00ED6887">
        <w:rPr>
          <w:rFonts w:ascii="Calibri" w:eastAsia="Batang" w:hAnsi="Calibri"/>
          <w:sz w:val="16"/>
          <w:szCs w:val="16"/>
          <w:lang w:val="en-GB" w:eastAsia="ja-JP"/>
        </w:rPr>
        <w:t>STEMI</w:t>
      </w:r>
      <w:r>
        <w:rPr>
          <w:rFonts w:ascii="Calibri" w:eastAsia="Batang" w:hAnsi="Calibri"/>
          <w:sz w:val="16"/>
          <w:szCs w:val="16"/>
          <w:lang w:val="en-GB" w:eastAsia="ja-JP"/>
        </w:rPr>
        <w:t>)</w:t>
      </w:r>
      <w:r w:rsidRPr="00ED6887">
        <w:rPr>
          <w:rFonts w:ascii="Calibri" w:eastAsia="Batang" w:hAnsi="Calibri"/>
          <w:sz w:val="16"/>
          <w:szCs w:val="16"/>
          <w:lang w:val="en-GB" w:eastAsia="ja-JP"/>
        </w:rPr>
        <w:t xml:space="preserve">, </w:t>
      </w:r>
      <w:r w:rsidRPr="00712477">
        <w:rPr>
          <w:rFonts w:ascii="Calibri" w:eastAsia="Batang" w:hAnsi="Calibri"/>
          <w:sz w:val="16"/>
          <w:szCs w:val="16"/>
          <w:lang w:eastAsia="ja-JP"/>
        </w:rPr>
        <w:t>non-ST segment elevation myocardial infarction</w:t>
      </w:r>
      <w:r w:rsidRPr="00712477">
        <w:rPr>
          <w:rFonts w:ascii="Calibri" w:eastAsia="Batang" w:hAnsi="Calibri"/>
          <w:sz w:val="16"/>
          <w:szCs w:val="16"/>
          <w:lang w:val="en-GB" w:eastAsia="ja-JP"/>
        </w:rPr>
        <w:t xml:space="preserve"> </w:t>
      </w:r>
      <w:r>
        <w:rPr>
          <w:rFonts w:ascii="Calibri" w:eastAsia="Batang" w:hAnsi="Calibri"/>
          <w:sz w:val="16"/>
          <w:szCs w:val="16"/>
          <w:lang w:val="en-GB" w:eastAsia="ja-JP"/>
        </w:rPr>
        <w:t>(</w:t>
      </w:r>
      <w:r w:rsidRPr="00ED6887">
        <w:rPr>
          <w:rFonts w:ascii="Calibri" w:eastAsia="Batang" w:hAnsi="Calibri"/>
          <w:sz w:val="16"/>
          <w:szCs w:val="16"/>
          <w:lang w:val="en-GB" w:eastAsia="ja-JP"/>
        </w:rPr>
        <w:t>NSTEMI</w:t>
      </w:r>
      <w:r>
        <w:rPr>
          <w:rFonts w:ascii="Calibri" w:eastAsia="Batang" w:hAnsi="Calibri"/>
          <w:sz w:val="16"/>
          <w:szCs w:val="16"/>
          <w:lang w:val="en-GB" w:eastAsia="ja-JP"/>
        </w:rPr>
        <w:t>)</w:t>
      </w:r>
      <w:r w:rsidRPr="00ED6887">
        <w:rPr>
          <w:rFonts w:ascii="Calibri" w:eastAsia="Batang" w:hAnsi="Calibri"/>
          <w:sz w:val="16"/>
          <w:szCs w:val="16"/>
          <w:lang w:val="en-GB" w:eastAsia="ja-JP"/>
        </w:rPr>
        <w:t xml:space="preserve"> with higher risk of a cardiac event, unstable angina, stable angina who fail medical therapy or who have silent myocardial ischemia may be indicated for PCI/stenting as an elective, ad hoc or emergency procedure.</w:t>
      </w:r>
    </w:p>
    <w:p w14:paraId="4517C3E8" w14:textId="77777777" w:rsidR="00CE1D7D" w:rsidRPr="00ED6887" w:rsidRDefault="00CE1D7D" w:rsidP="00CE1D7D">
      <w:pPr>
        <w:rPr>
          <w:rFonts w:ascii="Calibri" w:eastAsia="Batang" w:hAnsi="Calibri"/>
          <w:sz w:val="16"/>
          <w:szCs w:val="16"/>
          <w:lang w:val="en-GB" w:eastAsia="ja-JP"/>
        </w:rPr>
      </w:pPr>
      <w:r w:rsidRPr="00ED6887">
        <w:rPr>
          <w:rFonts w:ascii="Calibri" w:eastAsia="Batang" w:hAnsi="Calibri"/>
          <w:sz w:val="16"/>
          <w:szCs w:val="16"/>
          <w:lang w:val="en-GB" w:eastAsia="ja-JP"/>
        </w:rPr>
        <w:t>‡ Diagnostic angiography may be performed in addition to the functional assessments (e.g. fractional flow reserve) of coronary arteries.</w:t>
      </w:r>
    </w:p>
    <w:p w14:paraId="3BC36264" w14:textId="77777777" w:rsidR="00CE1D7D" w:rsidRPr="00ED6887" w:rsidRDefault="00CE1D7D" w:rsidP="00CE1D7D">
      <w:pPr>
        <w:rPr>
          <w:rFonts w:ascii="Calibri" w:eastAsia="Batang" w:hAnsi="Calibri"/>
          <w:sz w:val="16"/>
          <w:szCs w:val="16"/>
          <w:lang w:val="en-GB" w:eastAsia="ja-JP"/>
        </w:rPr>
      </w:pPr>
      <w:r w:rsidRPr="00ED6887">
        <w:rPr>
          <w:rFonts w:ascii="Calibri" w:eastAsia="Batang" w:hAnsi="Calibri"/>
          <w:sz w:val="16"/>
          <w:szCs w:val="16"/>
          <w:lang w:val="en-GB" w:eastAsia="ja-JP"/>
        </w:rPr>
        <w:t xml:space="preserve">§ </w:t>
      </w:r>
      <w:r>
        <w:rPr>
          <w:rFonts w:ascii="Calibri" w:eastAsia="Batang" w:hAnsi="Calibri"/>
          <w:sz w:val="16"/>
          <w:szCs w:val="16"/>
          <w:lang w:val="en-GB" w:eastAsia="ja-JP"/>
        </w:rPr>
        <w:t>‘</w:t>
      </w:r>
      <w:r w:rsidRPr="00ED6887">
        <w:rPr>
          <w:rFonts w:ascii="Calibri" w:eastAsia="Batang" w:hAnsi="Calibri"/>
          <w:sz w:val="16"/>
          <w:szCs w:val="16"/>
          <w:lang w:val="en-GB" w:eastAsia="ja-JP"/>
        </w:rPr>
        <w:t>High-risk</w:t>
      </w:r>
      <w:r>
        <w:rPr>
          <w:rFonts w:ascii="Calibri" w:eastAsia="Batang" w:hAnsi="Calibri"/>
          <w:sz w:val="16"/>
          <w:szCs w:val="16"/>
          <w:lang w:val="en-GB" w:eastAsia="ja-JP"/>
        </w:rPr>
        <w:t>’</w:t>
      </w:r>
      <w:r w:rsidRPr="00ED6887">
        <w:rPr>
          <w:rFonts w:ascii="Calibri" w:eastAsia="Batang" w:hAnsi="Calibri"/>
          <w:sz w:val="16"/>
          <w:szCs w:val="16"/>
          <w:lang w:val="en-GB" w:eastAsia="ja-JP"/>
        </w:rPr>
        <w:t xml:space="preserve"> patients are identified based on their coronary anatomy, and the type and complexity of coronary lesions. They may include patients with coronary lesions that are intermediate in severity, especially when located in the left main coronary stem, patients undergoing complex coronary interventional procedures of </w:t>
      </w:r>
      <w:proofErr w:type="spellStart"/>
      <w:r w:rsidRPr="00ED6887">
        <w:rPr>
          <w:rFonts w:ascii="Calibri" w:eastAsia="Batang" w:hAnsi="Calibri"/>
          <w:sz w:val="16"/>
          <w:szCs w:val="16"/>
          <w:lang w:val="en-GB" w:eastAsia="ja-JP"/>
        </w:rPr>
        <w:t>ostial</w:t>
      </w:r>
      <w:proofErr w:type="spellEnd"/>
      <w:r w:rsidRPr="00ED6887">
        <w:rPr>
          <w:rFonts w:ascii="Calibri" w:eastAsia="Batang" w:hAnsi="Calibri"/>
          <w:sz w:val="16"/>
          <w:szCs w:val="16"/>
          <w:lang w:val="en-GB" w:eastAsia="ja-JP"/>
        </w:rPr>
        <w:t xml:space="preserve">, coronary bifurcation, chronic total occlusions and lesions that are moderate to severely calcified, patients with challenging coronary anatomy, and patients who previously received a stent/s to identify underlying pathology for complications. </w:t>
      </w:r>
      <w:r>
        <w:rPr>
          <w:rFonts w:ascii="Calibri" w:eastAsia="Batang" w:hAnsi="Calibri"/>
          <w:sz w:val="16"/>
          <w:szCs w:val="16"/>
          <w:lang w:val="en-GB" w:eastAsia="ja-JP"/>
        </w:rPr>
        <w:t>‘</w:t>
      </w:r>
      <w:r w:rsidRPr="00ED6887">
        <w:rPr>
          <w:rFonts w:ascii="Calibri" w:eastAsia="Batang" w:hAnsi="Calibri"/>
          <w:sz w:val="16"/>
          <w:szCs w:val="16"/>
          <w:lang w:val="en-GB" w:eastAsia="ja-JP"/>
        </w:rPr>
        <w:t>High</w:t>
      </w:r>
      <w:r>
        <w:rPr>
          <w:rFonts w:ascii="Calibri" w:eastAsia="Batang" w:hAnsi="Calibri"/>
          <w:sz w:val="16"/>
          <w:szCs w:val="16"/>
          <w:lang w:val="en-GB" w:eastAsia="ja-JP"/>
        </w:rPr>
        <w:t>-</w:t>
      </w:r>
      <w:r w:rsidRPr="00ED6887">
        <w:rPr>
          <w:rFonts w:ascii="Calibri" w:eastAsia="Batang" w:hAnsi="Calibri"/>
          <w:sz w:val="16"/>
          <w:szCs w:val="16"/>
          <w:lang w:val="en-GB" w:eastAsia="ja-JP"/>
        </w:rPr>
        <w:t>risk</w:t>
      </w:r>
      <w:r>
        <w:rPr>
          <w:rFonts w:ascii="Calibri" w:eastAsia="Batang" w:hAnsi="Calibri"/>
          <w:sz w:val="16"/>
          <w:szCs w:val="16"/>
          <w:lang w:val="en-GB" w:eastAsia="ja-JP"/>
        </w:rPr>
        <w:t>’</w:t>
      </w:r>
      <w:r w:rsidRPr="00ED6887">
        <w:rPr>
          <w:rFonts w:ascii="Calibri" w:eastAsia="Batang" w:hAnsi="Calibri"/>
          <w:sz w:val="16"/>
          <w:szCs w:val="16"/>
          <w:lang w:val="en-GB" w:eastAsia="ja-JP"/>
        </w:rPr>
        <w:t xml:space="preserve"> patients may also include those with comorbidities such as diabetes, renal insufficiency and acute coronary syndromes. </w:t>
      </w:r>
    </w:p>
    <w:p w14:paraId="51A25844" w14:textId="77777777" w:rsidR="00CE1D7D" w:rsidRPr="00ED6887" w:rsidRDefault="00CE1D7D" w:rsidP="00CE1D7D">
      <w:pPr>
        <w:rPr>
          <w:rFonts w:ascii="Calibri" w:eastAsia="Batang" w:hAnsi="Calibri"/>
          <w:sz w:val="16"/>
          <w:szCs w:val="16"/>
          <w:lang w:val="en-GB" w:eastAsia="ja-JP"/>
        </w:rPr>
      </w:pPr>
      <w:r w:rsidRPr="00216ACB">
        <w:rPr>
          <w:rFonts w:ascii="Calibri" w:eastAsia="Batang" w:hAnsi="Calibri"/>
          <w:sz w:val="16"/>
          <w:szCs w:val="16"/>
          <w:highlight w:val="lightGray"/>
          <w:lang w:val="en-GB" w:eastAsia="ja-JP"/>
        </w:rPr>
        <w:t>*Subsequent stent insertion of a previously stented lesion will not include the use of IVUS.</w:t>
      </w:r>
    </w:p>
    <w:p w14:paraId="5C20FC8C" w14:textId="77777777" w:rsidR="00CE1D7D" w:rsidRDefault="00CE1D7D" w:rsidP="00CE1D7D">
      <w:pPr>
        <w:rPr>
          <w:rFonts w:ascii="Calibri" w:eastAsia="Batang" w:hAnsi="Calibri"/>
          <w:sz w:val="16"/>
          <w:szCs w:val="16"/>
          <w:lang w:val="en-GB" w:eastAsia="ja-JP"/>
        </w:rPr>
      </w:pPr>
      <w:r w:rsidRPr="00ED6887">
        <w:rPr>
          <w:rFonts w:ascii="Calibri" w:eastAsia="Batang" w:hAnsi="Calibri"/>
          <w:sz w:val="16"/>
          <w:szCs w:val="16"/>
          <w:lang w:val="en-GB" w:eastAsia="ja-JP"/>
        </w:rPr>
        <w:t>Source: Figure A.5-2 in the submission</w:t>
      </w:r>
      <w:r>
        <w:rPr>
          <w:rFonts w:ascii="Calibri" w:eastAsia="Batang" w:hAnsi="Calibri"/>
          <w:sz w:val="16"/>
          <w:szCs w:val="16"/>
          <w:lang w:val="en-GB" w:eastAsia="ja-JP"/>
        </w:rPr>
        <w:t xml:space="preserve">; subsequent changes made to the algorithm are highlighted. </w:t>
      </w:r>
    </w:p>
    <w:p w14:paraId="78856A83" w14:textId="77777777" w:rsidR="00AB62C9" w:rsidRDefault="00AB62C9" w:rsidP="00CE1D7D">
      <w:pPr>
        <w:rPr>
          <w:rFonts w:ascii="Calibri" w:eastAsia="Batang" w:hAnsi="Calibri"/>
          <w:sz w:val="16"/>
          <w:szCs w:val="16"/>
          <w:lang w:val="en-GB" w:eastAsia="ja-JP"/>
        </w:rPr>
      </w:pPr>
    </w:p>
    <w:p w14:paraId="6B0DF554" w14:textId="77777777" w:rsidR="003E1DDB" w:rsidRDefault="003E1DDB" w:rsidP="003E1DDB">
      <w:r>
        <w:lastRenderedPageBreak/>
        <w:t xml:space="preserve">In the applicant’s pre-MSAC response the applicant stated support for restriction </w:t>
      </w:r>
      <w:r w:rsidRPr="004E29E2">
        <w:t>to ‘high-risk’ patients</w:t>
      </w:r>
      <w:r>
        <w:t>.</w:t>
      </w:r>
    </w:p>
    <w:p w14:paraId="315413C2" w14:textId="77777777" w:rsidR="00AB62C9" w:rsidRDefault="00AB62C9" w:rsidP="00CE1D7D">
      <w:pPr>
        <w:rPr>
          <w:rFonts w:ascii="Calibri" w:eastAsia="Batang" w:hAnsi="Calibri"/>
          <w:sz w:val="16"/>
          <w:szCs w:val="16"/>
          <w:lang w:val="en-GB" w:eastAsia="ja-JP"/>
        </w:rPr>
      </w:pPr>
    </w:p>
    <w:p w14:paraId="0186D02C" w14:textId="77777777" w:rsidR="00AB62C9" w:rsidRDefault="00AB62C9" w:rsidP="00AB62C9">
      <w:pPr>
        <w:tabs>
          <w:tab w:val="left" w:pos="426"/>
          <w:tab w:val="left" w:pos="709"/>
        </w:tabs>
      </w:pPr>
      <w:r w:rsidRPr="00696758">
        <w:t>IVUS is the generic name for any ultrasound technology that is used to provide tomographic, 3-dimensional, 360-degree images from inside the lumen of a blood vessel. During PCI, IVUS may be used to assess the degree of narrowing in the coronary vessels in coronary artery disease (CAD). The technology may also be used to guide coronary stent insertion, particularly in cases of left main coronary artery stenting. IVUS guidance is used as an adjunct to angiography in performing stent insertion.</w:t>
      </w:r>
    </w:p>
    <w:p w14:paraId="2BECE188" w14:textId="77777777" w:rsidR="00AB62C9" w:rsidRDefault="00AB62C9" w:rsidP="00AB62C9">
      <w:pPr>
        <w:tabs>
          <w:tab w:val="left" w:pos="426"/>
          <w:tab w:val="left" w:pos="709"/>
        </w:tabs>
      </w:pPr>
    </w:p>
    <w:p w14:paraId="3994E511" w14:textId="77777777" w:rsidR="00AB62C9" w:rsidRDefault="00AB62C9" w:rsidP="00AB62C9">
      <w:pPr>
        <w:tabs>
          <w:tab w:val="left" w:pos="426"/>
          <w:tab w:val="left" w:pos="709"/>
        </w:tabs>
        <w:rPr>
          <w:rFonts w:ascii="Arial" w:hAnsi="Arial" w:cs="Arial"/>
          <w:color w:val="3366FF"/>
          <w:szCs w:val="24"/>
        </w:rPr>
      </w:pPr>
      <w:r w:rsidRPr="00696758">
        <w:t>IVUS is not routinely used in Australia during percutaneous coronary stent insertion and is not listed on the MBS.</w:t>
      </w:r>
    </w:p>
    <w:p w14:paraId="2024872B" w14:textId="77777777" w:rsidR="00AB62C9" w:rsidRDefault="00AB62C9" w:rsidP="00AB62C9"/>
    <w:p w14:paraId="34625171" w14:textId="77777777" w:rsidR="00AB62C9" w:rsidRPr="00696758" w:rsidRDefault="00AB62C9" w:rsidP="00AB62C9">
      <w:r w:rsidRPr="00696758">
        <w:t xml:space="preserve">The intervention is proposed for patients eligible for coronary revascularisation undergoing </w:t>
      </w:r>
      <w:r>
        <w:t>percutaneous coronary intervention (PCI)</w:t>
      </w:r>
      <w:r w:rsidRPr="00696758">
        <w:t xml:space="preserve"> with coronary stent insertion. Health Expert Standing Panel (HESP) clinical advice recommends limiting IVUS-guided percutaneous stent insertion to patients who are identified by their specialist as </w:t>
      </w:r>
      <w:r>
        <w:t>‘</w:t>
      </w:r>
      <w:r w:rsidRPr="00696758">
        <w:t>high-risk</w:t>
      </w:r>
      <w:r>
        <w:t>’</w:t>
      </w:r>
      <w:r w:rsidRPr="00696758">
        <w:t xml:space="preserve"> based on their coronary anatomy, lesion type and complexity, and underlying comorbidities.</w:t>
      </w:r>
    </w:p>
    <w:p w14:paraId="3ADB2734" w14:textId="77777777" w:rsidR="00AB62C9" w:rsidRPr="00696758" w:rsidRDefault="00AB62C9" w:rsidP="00AB62C9"/>
    <w:p w14:paraId="047BD6DA" w14:textId="77777777" w:rsidR="00AB62C9" w:rsidRPr="00696758" w:rsidRDefault="00AB62C9" w:rsidP="00AB62C9">
      <w:r w:rsidRPr="00696758">
        <w:t xml:space="preserve">The </w:t>
      </w:r>
      <w:r>
        <w:t>‘</w:t>
      </w:r>
      <w:r w:rsidRPr="00696758">
        <w:t>high-risk</w:t>
      </w:r>
      <w:r>
        <w:t>’</w:t>
      </w:r>
      <w:r w:rsidRPr="00696758">
        <w:t xml:space="preserve"> group may include patients with:</w:t>
      </w:r>
    </w:p>
    <w:p w14:paraId="1DEE1E52" w14:textId="77777777" w:rsidR="00AB62C9" w:rsidRPr="00696758" w:rsidRDefault="00AB62C9" w:rsidP="00AB62C9">
      <w:pPr>
        <w:numPr>
          <w:ilvl w:val="0"/>
          <w:numId w:val="27"/>
        </w:numPr>
        <w:spacing w:after="240"/>
        <w:contextualSpacing/>
      </w:pPr>
      <w:r w:rsidRPr="00696758">
        <w:t>intermediate left main coronary stenosis</w:t>
      </w:r>
    </w:p>
    <w:p w14:paraId="530E014F" w14:textId="77777777" w:rsidR="00AB62C9" w:rsidRPr="00696758" w:rsidRDefault="00AB62C9" w:rsidP="00AB62C9">
      <w:pPr>
        <w:numPr>
          <w:ilvl w:val="0"/>
          <w:numId w:val="27"/>
        </w:numPr>
        <w:spacing w:after="240"/>
        <w:contextualSpacing/>
      </w:pPr>
      <w:r w:rsidRPr="00696758">
        <w:t xml:space="preserve">complex coronary lesions (e.g. </w:t>
      </w:r>
      <w:proofErr w:type="spellStart"/>
      <w:r w:rsidRPr="00696758">
        <w:t>ostial</w:t>
      </w:r>
      <w:proofErr w:type="spellEnd"/>
      <w:r w:rsidRPr="00696758">
        <w:t xml:space="preserve"> or bifurcation lesions, calcified lesions, chronic total occlusions)</w:t>
      </w:r>
    </w:p>
    <w:p w14:paraId="5B552584" w14:textId="77777777" w:rsidR="00AB62C9" w:rsidRPr="00696758" w:rsidRDefault="00AB62C9" w:rsidP="00AB62C9">
      <w:pPr>
        <w:numPr>
          <w:ilvl w:val="0"/>
          <w:numId w:val="27"/>
        </w:numPr>
        <w:spacing w:after="240"/>
        <w:contextualSpacing/>
      </w:pPr>
      <w:r w:rsidRPr="00696758">
        <w:t xml:space="preserve">challenging coronary anatomy (e.g. coronary artery </w:t>
      </w:r>
      <w:proofErr w:type="spellStart"/>
      <w:r w:rsidRPr="00696758">
        <w:t>ectasia</w:t>
      </w:r>
      <w:proofErr w:type="spellEnd"/>
      <w:r w:rsidRPr="00696758">
        <w:t>, giant coronary arteries, hazy coronary lesions)</w:t>
      </w:r>
    </w:p>
    <w:p w14:paraId="6C8D0F6B" w14:textId="77777777" w:rsidR="00AB62C9" w:rsidRPr="00696758" w:rsidRDefault="00AB62C9" w:rsidP="00AB62C9">
      <w:pPr>
        <w:numPr>
          <w:ilvl w:val="0"/>
          <w:numId w:val="27"/>
        </w:numPr>
        <w:spacing w:after="240"/>
        <w:contextualSpacing/>
      </w:pPr>
      <w:r w:rsidRPr="00696758">
        <w:t>previous stents</w:t>
      </w:r>
    </w:p>
    <w:p w14:paraId="7A956D3C" w14:textId="77777777" w:rsidR="00AB62C9" w:rsidRPr="00696758" w:rsidRDefault="00AB62C9" w:rsidP="00AB62C9">
      <w:pPr>
        <w:numPr>
          <w:ilvl w:val="0"/>
          <w:numId w:val="27"/>
        </w:numPr>
        <w:spacing w:after="240"/>
        <w:contextualSpacing/>
      </w:pPr>
      <w:r w:rsidRPr="00696758">
        <w:t>previous myocardial infarction</w:t>
      </w:r>
      <w:r>
        <w:t xml:space="preserve"> (MI)</w:t>
      </w:r>
    </w:p>
    <w:p w14:paraId="518C9041" w14:textId="77777777" w:rsidR="00AB62C9" w:rsidRPr="00696758" w:rsidRDefault="00AB62C9" w:rsidP="00AB62C9">
      <w:pPr>
        <w:numPr>
          <w:ilvl w:val="0"/>
          <w:numId w:val="27"/>
        </w:numPr>
        <w:spacing w:after="240"/>
        <w:contextualSpacing/>
      </w:pPr>
      <w:r w:rsidRPr="00696758">
        <w:t>acute coronary syndrome</w:t>
      </w:r>
    </w:p>
    <w:p w14:paraId="1886F864" w14:textId="77777777" w:rsidR="00AB62C9" w:rsidRPr="00696758" w:rsidRDefault="00AB62C9" w:rsidP="00AB62C9">
      <w:pPr>
        <w:numPr>
          <w:ilvl w:val="0"/>
          <w:numId w:val="27"/>
        </w:numPr>
        <w:spacing w:after="240"/>
        <w:contextualSpacing/>
      </w:pPr>
      <w:r w:rsidRPr="00696758">
        <w:t>diabetes</w:t>
      </w:r>
    </w:p>
    <w:p w14:paraId="0CF3C197" w14:textId="77777777" w:rsidR="00AB62C9" w:rsidRPr="00696758" w:rsidRDefault="00AB62C9" w:rsidP="00AB62C9">
      <w:pPr>
        <w:numPr>
          <w:ilvl w:val="0"/>
          <w:numId w:val="27"/>
        </w:numPr>
        <w:spacing w:after="240"/>
        <w:contextualSpacing/>
      </w:pPr>
      <w:proofErr w:type="gramStart"/>
      <w:r w:rsidRPr="00696758">
        <w:t>renal</w:t>
      </w:r>
      <w:proofErr w:type="gramEnd"/>
      <w:r w:rsidRPr="00696758">
        <w:t xml:space="preserve"> insufficiency.</w:t>
      </w:r>
    </w:p>
    <w:p w14:paraId="7E56663D" w14:textId="77777777" w:rsidR="00AB62C9" w:rsidRDefault="00AB62C9" w:rsidP="00AB62C9"/>
    <w:p w14:paraId="539D2EB1" w14:textId="541991A7" w:rsidR="00AB62C9" w:rsidRPr="008667B4" w:rsidRDefault="00AB62C9" w:rsidP="00AB62C9">
      <w:r w:rsidRPr="008667B4">
        <w:t>Patients suitable for the procedure are identified through preliminary screening tests, such as an exercise stress test</w:t>
      </w:r>
      <w:r w:rsidR="00B110C4">
        <w:t>s</w:t>
      </w:r>
      <w:r w:rsidRPr="008667B4">
        <w:t xml:space="preserve"> and stress imaging studies. The majority of patients are diagnosed following an episode of angina and previous myocardial infarction. Coronary angiography is performed routinely in these patients to locate atherosclerotic lesions. It also provides guidance during percutaneous coronary intervention procedures. </w:t>
      </w:r>
    </w:p>
    <w:p w14:paraId="501511F1" w14:textId="77777777" w:rsidR="00AB62C9" w:rsidRPr="008667B4" w:rsidRDefault="00AB62C9" w:rsidP="00AB62C9">
      <w:pPr>
        <w:tabs>
          <w:tab w:val="left" w:pos="720"/>
          <w:tab w:val="left" w:pos="1140"/>
        </w:tabs>
      </w:pPr>
    </w:p>
    <w:p w14:paraId="535E3BFE" w14:textId="7216F859" w:rsidR="00AB62C9" w:rsidRDefault="00AB62C9" w:rsidP="00AB62C9">
      <w:pPr>
        <w:tabs>
          <w:tab w:val="left" w:pos="720"/>
          <w:tab w:val="left" w:pos="1140"/>
        </w:tabs>
      </w:pPr>
      <w:r w:rsidRPr="008667B4">
        <w:t xml:space="preserve">On finding a lesion or narrowed coronary artery during diagnostic angiography, the cardiologist may proceed immediately to </w:t>
      </w:r>
      <w:r w:rsidR="00B110C4">
        <w:t>PCI</w:t>
      </w:r>
      <w:r w:rsidRPr="008667B4">
        <w:t xml:space="preserve">. Procedural management involves balloon angioplasty, plaque modification procedures (such as cutting balloon or rotational </w:t>
      </w:r>
      <w:proofErr w:type="spellStart"/>
      <w:r w:rsidRPr="008667B4">
        <w:t>atherectomy</w:t>
      </w:r>
      <w:proofErr w:type="spellEnd"/>
      <w:r w:rsidRPr="008667B4">
        <w:t>), and/or stenting. Angioplasty is performed by inserting a balloon catheter, which is directed, at the site of the lesion. The cardiologist inflates the balloon several times to restore blood flow to the heart. The cardiologist may place a stent during the procedure to keep the blood vessel open.</w:t>
      </w:r>
    </w:p>
    <w:p w14:paraId="61305943" w14:textId="77777777" w:rsidR="00AB62C9" w:rsidRDefault="00AB62C9" w:rsidP="00AB62C9">
      <w:pPr>
        <w:tabs>
          <w:tab w:val="left" w:pos="720"/>
          <w:tab w:val="left" w:pos="1140"/>
        </w:tabs>
      </w:pPr>
    </w:p>
    <w:p w14:paraId="16DD3EF4" w14:textId="77777777" w:rsidR="00AB62C9" w:rsidRDefault="00AB62C9" w:rsidP="00AB62C9">
      <w:pPr>
        <w:tabs>
          <w:tab w:val="left" w:pos="720"/>
          <w:tab w:val="left" w:pos="1140"/>
        </w:tabs>
      </w:pPr>
      <w:r w:rsidRPr="00696758">
        <w:t xml:space="preserve">The rationale for the use of IVUS at the time of stenting arises from limitations of coronary angiography in terms of assessing the severity of coronary stenosis in </w:t>
      </w:r>
      <w:r>
        <w:t>‘</w:t>
      </w:r>
      <w:r w:rsidRPr="00696758">
        <w:t>high-risk</w:t>
      </w:r>
      <w:r>
        <w:t>’</w:t>
      </w:r>
      <w:r w:rsidRPr="00696758">
        <w:t xml:space="preserve"> patients</w:t>
      </w:r>
      <w:r>
        <w:t>.</w:t>
      </w:r>
    </w:p>
    <w:p w14:paraId="40C4C16D" w14:textId="77777777" w:rsidR="00AB62C9" w:rsidRDefault="00AB62C9" w:rsidP="00AB62C9">
      <w:pPr>
        <w:tabs>
          <w:tab w:val="left" w:pos="720"/>
          <w:tab w:val="left" w:pos="1140"/>
        </w:tabs>
        <w:rPr>
          <w:color w:val="0070C0"/>
          <w:szCs w:val="24"/>
        </w:rPr>
      </w:pPr>
    </w:p>
    <w:p w14:paraId="573D4192" w14:textId="77777777" w:rsidR="00BC1364" w:rsidRPr="008D5885" w:rsidRDefault="00BC1364" w:rsidP="007B32D1">
      <w:pPr>
        <w:pStyle w:val="Heading1"/>
        <w:numPr>
          <w:ilvl w:val="0"/>
          <w:numId w:val="23"/>
        </w:numPr>
        <w:ind w:hanging="720"/>
      </w:pPr>
      <w:r w:rsidRPr="008D5885">
        <w:t xml:space="preserve">Comparator </w:t>
      </w:r>
    </w:p>
    <w:p w14:paraId="6409691C" w14:textId="77777777" w:rsidR="00BC1364" w:rsidRDefault="00BC1364" w:rsidP="00DD2858">
      <w:pPr>
        <w:rPr>
          <w:b/>
          <w:szCs w:val="24"/>
        </w:rPr>
      </w:pPr>
    </w:p>
    <w:p w14:paraId="581246AA" w14:textId="4BC92302" w:rsidR="00CE1D7D" w:rsidRPr="00FE18E2" w:rsidRDefault="00CE1D7D" w:rsidP="00E72089">
      <w:pPr>
        <w:rPr>
          <w:i/>
          <w:szCs w:val="24"/>
          <w:lang w:eastAsia="en-US"/>
        </w:rPr>
      </w:pPr>
      <w:r w:rsidRPr="00FE18E2">
        <w:rPr>
          <w:szCs w:val="24"/>
          <w:lang w:eastAsia="en-US"/>
        </w:rPr>
        <w:t xml:space="preserve">The submission nominates coronary ‘angiography alone’ as the appropriate main comparator. However, the protocol is explicit that the comparator be coronary angiography without use of </w:t>
      </w:r>
      <w:r w:rsidRPr="00FE18E2">
        <w:rPr>
          <w:szCs w:val="24"/>
          <w:lang w:eastAsia="en-US"/>
        </w:rPr>
        <w:lastRenderedPageBreak/>
        <w:t>IVUS</w:t>
      </w:r>
      <w:r w:rsidR="00B110C4">
        <w:rPr>
          <w:szCs w:val="24"/>
          <w:lang w:eastAsia="en-US"/>
        </w:rPr>
        <w:t xml:space="preserve"> (which in practical terms is the same</w:t>
      </w:r>
      <w:r w:rsidR="00255E4B">
        <w:rPr>
          <w:szCs w:val="24"/>
          <w:lang w:eastAsia="en-US"/>
        </w:rPr>
        <w:t>, although may have allowed the use of other technologies such as optimal coherence tomography (OCT), which is only available in a few centres</w:t>
      </w:r>
      <w:r w:rsidR="00B110C4">
        <w:rPr>
          <w:szCs w:val="24"/>
          <w:lang w:eastAsia="en-US"/>
        </w:rPr>
        <w:t>)</w:t>
      </w:r>
      <w:r w:rsidRPr="00FE18E2">
        <w:rPr>
          <w:szCs w:val="24"/>
          <w:lang w:eastAsia="en-US"/>
        </w:rPr>
        <w:t xml:space="preserve">. </w:t>
      </w:r>
      <w:r w:rsidR="00255E4B">
        <w:rPr>
          <w:szCs w:val="24"/>
          <w:lang w:eastAsia="en-US"/>
        </w:rPr>
        <w:t>Therefore, coronary angiography alone is an appropriate comparator.</w:t>
      </w:r>
    </w:p>
    <w:p w14:paraId="502DCC63" w14:textId="77777777" w:rsidR="00CE1D7D" w:rsidRPr="00FE18E2" w:rsidRDefault="00CE1D7D" w:rsidP="00E72089">
      <w:pPr>
        <w:rPr>
          <w:i/>
          <w:szCs w:val="24"/>
          <w:lang w:eastAsia="en-US"/>
        </w:rPr>
      </w:pPr>
    </w:p>
    <w:p w14:paraId="0806C9A2" w14:textId="77777777" w:rsidR="00CE1D7D" w:rsidRPr="00FE18E2" w:rsidRDefault="00CE1D7D" w:rsidP="00E72089">
      <w:pPr>
        <w:rPr>
          <w:szCs w:val="24"/>
          <w:lang w:eastAsia="en-US"/>
        </w:rPr>
      </w:pPr>
      <w:r w:rsidRPr="00FE18E2">
        <w:rPr>
          <w:szCs w:val="24"/>
          <w:lang w:eastAsia="en-US"/>
        </w:rPr>
        <w:t xml:space="preserve">Coronary angiography is well established in current Australian practice and is </w:t>
      </w:r>
      <w:r w:rsidRPr="00FE18E2">
        <w:rPr>
          <w:rFonts w:eastAsia="SimSun"/>
          <w:szCs w:val="24"/>
          <w:lang w:eastAsia="zh-CN"/>
        </w:rPr>
        <w:t>the most commonly used imaging modality to guide percutaneous coronary procedures.</w:t>
      </w:r>
      <w:r w:rsidRPr="00FE18E2">
        <w:rPr>
          <w:szCs w:val="24"/>
          <w:lang w:eastAsia="en-US"/>
        </w:rPr>
        <w:t xml:space="preserve"> It is performed prior to percutaneous stent insertion to acquire diagnostic information to decide on the strategy for management. Patients who are indicated for, and consent to, PCI with stenting receive bare metal stents (BMS) or drug-eluting stents (DES) at the narrowed coronary artery segment to relieve the effects of myocardial ischemia and to improve symptoms and prognosis.</w:t>
      </w:r>
    </w:p>
    <w:p w14:paraId="07721343" w14:textId="77777777" w:rsidR="00CE1D7D" w:rsidRPr="00FE18E2" w:rsidRDefault="00CE1D7D" w:rsidP="00E72089">
      <w:pPr>
        <w:rPr>
          <w:szCs w:val="24"/>
          <w:lang w:eastAsia="en-US"/>
        </w:rPr>
      </w:pPr>
    </w:p>
    <w:p w14:paraId="3E59A8CA" w14:textId="77777777" w:rsidR="00BC1364" w:rsidRPr="00E72089" w:rsidRDefault="00CE1D7D" w:rsidP="004539DE">
      <w:pPr>
        <w:rPr>
          <w:szCs w:val="24"/>
          <w:lang w:eastAsia="en-US"/>
        </w:rPr>
      </w:pPr>
      <w:r w:rsidRPr="00FE18E2">
        <w:rPr>
          <w:szCs w:val="24"/>
          <w:lang w:eastAsia="en-US"/>
        </w:rPr>
        <w:t>Comparators from the previous MSAC submission, ‘PCI stent insertion without the use of IVUS (with or without another imaging modality)’, are inappropriate because other imaging modalities, for example fractional flow reserve (FFR) and optical coherence tomography (OCT), are not always used in Australia when conducting PCI.</w:t>
      </w:r>
      <w:r w:rsidR="00E72089" w:rsidRPr="00E72089">
        <w:rPr>
          <w:szCs w:val="24"/>
          <w:lang w:eastAsia="en-US"/>
        </w:rPr>
        <w:t xml:space="preserve"> </w:t>
      </w:r>
    </w:p>
    <w:p w14:paraId="10AD10BF" w14:textId="77777777" w:rsidR="00BC1364" w:rsidRPr="00707064" w:rsidRDefault="00BC1364" w:rsidP="00DD2858">
      <w:pPr>
        <w:rPr>
          <w:b/>
          <w:szCs w:val="24"/>
        </w:rPr>
      </w:pPr>
    </w:p>
    <w:p w14:paraId="5A682E2D" w14:textId="77777777" w:rsidR="00BC1364" w:rsidRPr="008D5885" w:rsidRDefault="00BC1364" w:rsidP="007B32D1">
      <w:pPr>
        <w:pStyle w:val="Heading1"/>
        <w:numPr>
          <w:ilvl w:val="0"/>
          <w:numId w:val="23"/>
        </w:numPr>
        <w:ind w:hanging="720"/>
      </w:pPr>
      <w:r w:rsidRPr="008D5885">
        <w:t>Comparative safety</w:t>
      </w:r>
    </w:p>
    <w:p w14:paraId="69C0566D" w14:textId="77777777" w:rsidR="00BC1364" w:rsidRDefault="00BC1364" w:rsidP="00DD2858">
      <w:pPr>
        <w:pStyle w:val="ListParagraph"/>
        <w:ind w:left="0"/>
        <w:rPr>
          <w:b/>
          <w:szCs w:val="24"/>
        </w:rPr>
      </w:pPr>
    </w:p>
    <w:p w14:paraId="12C08AE3" w14:textId="77777777" w:rsidR="00CE1D7D" w:rsidRPr="00810363" w:rsidRDefault="00CE1D7D" w:rsidP="00E72089">
      <w:pPr>
        <w:tabs>
          <w:tab w:val="num" w:pos="1080"/>
        </w:tabs>
      </w:pPr>
      <w:r w:rsidRPr="00810363">
        <w:t xml:space="preserve">No comparative harms of significance were identified in the Parise et al. (2011) or </w:t>
      </w:r>
      <w:proofErr w:type="spellStart"/>
      <w:r w:rsidRPr="00810363">
        <w:t>A</w:t>
      </w:r>
      <w:r>
        <w:t>hn</w:t>
      </w:r>
      <w:proofErr w:type="spellEnd"/>
      <w:r>
        <w:t xml:space="preserve"> et al. (2014) meta-analyses.</w:t>
      </w:r>
      <w:r w:rsidRPr="00810363">
        <w:t xml:space="preserve"> </w:t>
      </w:r>
    </w:p>
    <w:p w14:paraId="7F9CE088" w14:textId="77777777" w:rsidR="00CE1D7D" w:rsidRDefault="00CE1D7D" w:rsidP="00E72089">
      <w:pPr>
        <w:tabs>
          <w:tab w:val="num" w:pos="1080"/>
        </w:tabs>
        <w:rPr>
          <w:color w:val="FF0000"/>
        </w:rPr>
      </w:pPr>
    </w:p>
    <w:p w14:paraId="405EB8D8" w14:textId="77777777" w:rsidR="00DB5833" w:rsidRPr="00E72089" w:rsidRDefault="00CE1D7D" w:rsidP="00E72089">
      <w:pPr>
        <w:tabs>
          <w:tab w:val="num" w:pos="1080"/>
        </w:tabs>
        <w:rPr>
          <w:szCs w:val="24"/>
          <w:lang w:eastAsia="en-US"/>
        </w:rPr>
      </w:pPr>
      <w:r w:rsidRPr="00810363">
        <w:rPr>
          <w:szCs w:val="24"/>
          <w:lang w:eastAsia="en-US"/>
        </w:rPr>
        <w:t xml:space="preserve">Complications not reported as components of </w:t>
      </w:r>
      <w:r>
        <w:rPr>
          <w:szCs w:val="24"/>
          <w:lang w:eastAsia="en-US"/>
        </w:rPr>
        <w:t xml:space="preserve">major adverse cardiac events (MACE) </w:t>
      </w:r>
      <w:r w:rsidRPr="00810363">
        <w:rPr>
          <w:szCs w:val="24"/>
          <w:lang w:eastAsia="en-US"/>
        </w:rPr>
        <w:t xml:space="preserve">or mortality were infrequent and when they occurred were unlikely to be related to the additional use of the IVUS catheter. They were reported in five of the seven </w:t>
      </w:r>
      <w:r>
        <w:rPr>
          <w:szCs w:val="24"/>
          <w:lang w:eastAsia="en-US"/>
        </w:rPr>
        <w:t>randomised controlled trials</w:t>
      </w:r>
      <w:r w:rsidRPr="00810363">
        <w:rPr>
          <w:szCs w:val="24"/>
          <w:lang w:eastAsia="en-US"/>
        </w:rPr>
        <w:t xml:space="preserve"> of BMS studies and one of the three </w:t>
      </w:r>
      <w:r>
        <w:rPr>
          <w:szCs w:val="24"/>
          <w:lang w:eastAsia="en-US"/>
        </w:rPr>
        <w:t>randomised controlled trials</w:t>
      </w:r>
      <w:r w:rsidRPr="00810363">
        <w:rPr>
          <w:szCs w:val="24"/>
          <w:lang w:eastAsia="en-US"/>
        </w:rPr>
        <w:t xml:space="preserve"> of DES studies.</w:t>
      </w:r>
    </w:p>
    <w:p w14:paraId="0CE5FEA1" w14:textId="77777777" w:rsidR="00BC1364" w:rsidRPr="00707064" w:rsidRDefault="00BC1364" w:rsidP="00DD2858">
      <w:pPr>
        <w:pStyle w:val="ListParagraph"/>
        <w:ind w:left="0"/>
        <w:rPr>
          <w:b/>
          <w:szCs w:val="24"/>
        </w:rPr>
      </w:pPr>
    </w:p>
    <w:p w14:paraId="6E6616E4" w14:textId="77777777" w:rsidR="00BC1364" w:rsidRPr="008D5885" w:rsidRDefault="00BC1364" w:rsidP="007B32D1">
      <w:pPr>
        <w:pStyle w:val="Heading1"/>
        <w:numPr>
          <w:ilvl w:val="0"/>
          <w:numId w:val="23"/>
        </w:numPr>
        <w:ind w:hanging="720"/>
      </w:pPr>
      <w:r w:rsidRPr="008D5885">
        <w:t>Comparative effectiveness</w:t>
      </w:r>
    </w:p>
    <w:p w14:paraId="5D890FB4" w14:textId="77777777" w:rsidR="00CE1D7D" w:rsidRDefault="00CE1D7D" w:rsidP="00CE1D7D"/>
    <w:p w14:paraId="6E2C555D" w14:textId="77777777" w:rsidR="00F85FE3" w:rsidRPr="00FE18E2" w:rsidRDefault="00F85FE3" w:rsidP="00F85FE3">
      <w:pPr>
        <w:tabs>
          <w:tab w:val="left" w:pos="720"/>
          <w:tab w:val="left" w:pos="1140"/>
        </w:tabs>
      </w:pPr>
      <w:r w:rsidRPr="00E47E6A">
        <w:t xml:space="preserve">PASC agreed the Protocol should not pre-empt the restriction to subgroups before an analysis of the evidence is presented in the submission, but that where data permits, the clinical outcomes should be assessed separately for high risk subgroups, left main coronary artery (LMCA) disease and non LMCA disease.  Due to lack of evidence no sub-group analysis was performed for the ‘high-risk’ patient groups, as defined in the protocol, in the submission.  However, the applicant has presented subgroup analysis for patients with acute coronary syndrome, diabetes and renal insufficiency. </w:t>
      </w:r>
    </w:p>
    <w:p w14:paraId="35D3BCFC" w14:textId="77777777" w:rsidR="00F85FE3" w:rsidRDefault="00F85FE3" w:rsidP="00CE1D7D"/>
    <w:p w14:paraId="1705CE1D" w14:textId="77777777" w:rsidR="00CE1D7D" w:rsidRPr="003F6558" w:rsidRDefault="00CE1D7D" w:rsidP="00CE1D7D">
      <w:r w:rsidRPr="003F6558">
        <w:t xml:space="preserve">The clinical evidence presented in the assessment report is derived from two published meta-analyses, Parise et al. (2011) and </w:t>
      </w:r>
      <w:proofErr w:type="spellStart"/>
      <w:r w:rsidRPr="003F6558">
        <w:t>Ahn</w:t>
      </w:r>
      <w:proofErr w:type="spellEnd"/>
      <w:r w:rsidRPr="003F6558">
        <w:t xml:space="preserve"> et al. (2014). Overall, the meta-analyses report odds ratios in favour of IVUS guidance for rates of restenosis and revascularisation; however, the upper boundaries of the computed confidence intervals (CI) approach 1. The meta-analysis by </w:t>
      </w:r>
      <w:proofErr w:type="spellStart"/>
      <w:r w:rsidRPr="003F6558">
        <w:t>Ahn</w:t>
      </w:r>
      <w:proofErr w:type="spellEnd"/>
      <w:r w:rsidRPr="003F6558">
        <w:t xml:space="preserve"> et al. (2014) also found a favourable effect of IVUS in terms of major adverse cardiac events (MACE) and MI.</w:t>
      </w:r>
    </w:p>
    <w:p w14:paraId="54C0FBB6" w14:textId="77777777" w:rsidR="00CE1D7D" w:rsidRPr="003F6558" w:rsidRDefault="00CE1D7D" w:rsidP="00CE1D7D"/>
    <w:p w14:paraId="0A855268" w14:textId="77777777" w:rsidR="00CE1D7D" w:rsidRPr="003F6558" w:rsidRDefault="00CE1D7D" w:rsidP="00CE1D7D">
      <w:r w:rsidRPr="003F6558">
        <w:t xml:space="preserve">For studies included in the meta-analysis by </w:t>
      </w:r>
      <w:proofErr w:type="spellStart"/>
      <w:r w:rsidRPr="003F6558">
        <w:t>Ahn</w:t>
      </w:r>
      <w:proofErr w:type="spellEnd"/>
      <w:r w:rsidRPr="003F6558">
        <w:t xml:space="preserve"> et al. (2014), the patient populations would be considered ‘high-risk’ and therefore a subpopulation. Follow-up beyond six months was uncommon among the included studies and the durability of results beyond 2.5 years is unknown.</w:t>
      </w:r>
    </w:p>
    <w:p w14:paraId="37B718BA" w14:textId="77777777" w:rsidR="00CE1D7D" w:rsidRDefault="00CE1D7D" w:rsidP="00CE1D7D"/>
    <w:p w14:paraId="6C5DFD89" w14:textId="77777777" w:rsidR="00731039" w:rsidRDefault="00731039">
      <w:pPr>
        <w:rPr>
          <w:szCs w:val="24"/>
        </w:rPr>
      </w:pPr>
      <w:r>
        <w:rPr>
          <w:szCs w:val="24"/>
        </w:rPr>
        <w:br w:type="page"/>
      </w:r>
    </w:p>
    <w:p w14:paraId="063C7336" w14:textId="7642665D" w:rsidR="00CE1D7D" w:rsidRPr="00E72089" w:rsidRDefault="00CE1D7D" w:rsidP="00CE1D7D">
      <w:pPr>
        <w:rPr>
          <w:szCs w:val="24"/>
        </w:rPr>
      </w:pPr>
      <w:r w:rsidRPr="00E72089">
        <w:rPr>
          <w:szCs w:val="24"/>
        </w:rPr>
        <w:lastRenderedPageBreak/>
        <w:t>The clinical evidence base for BMS stents was based on the</w:t>
      </w:r>
      <w:r w:rsidRPr="00E72089">
        <w:rPr>
          <w:rFonts w:ascii="Calibri" w:eastAsia="Calibri" w:hAnsi="Calibri"/>
          <w:szCs w:val="24"/>
        </w:rPr>
        <w:t xml:space="preserve"> </w:t>
      </w:r>
      <w:r w:rsidRPr="00E72089">
        <w:rPr>
          <w:szCs w:val="24"/>
        </w:rPr>
        <w:t>meta-analyses published by Parise et al.</w:t>
      </w:r>
      <w:r w:rsidR="00E72089">
        <w:rPr>
          <w:szCs w:val="24"/>
        </w:rPr>
        <w:t xml:space="preserve"> (2011). The applicant stated</w:t>
      </w:r>
      <w:r w:rsidRPr="00E72089">
        <w:rPr>
          <w:szCs w:val="24"/>
        </w:rPr>
        <w:t xml:space="preserve"> that:</w:t>
      </w:r>
    </w:p>
    <w:p w14:paraId="581C97B6" w14:textId="77777777" w:rsidR="00CE1D7D" w:rsidRPr="00E72089" w:rsidRDefault="00CE1D7D" w:rsidP="00CE1D7D">
      <w:pPr>
        <w:ind w:left="567"/>
        <w:rPr>
          <w:szCs w:val="24"/>
        </w:rPr>
      </w:pPr>
      <w:r w:rsidRPr="00E72089">
        <w:rPr>
          <w:szCs w:val="24"/>
        </w:rPr>
        <w:t>The primary evidence obtained from the Parise meta-analysis showed that IVUS-guided PCI in the pre–DES era improved acute procedural results (angiographic MLD) and thereby significantly reduced 6-month angiographic restenosis, 12-month revascularisation and MACE rates, supporting the use of IVUS guidance with BMS in patients with CAD. In this analysis, there was a neutral effect (e.g. neither positive nor negative) of IVUS guidance on MI or death over the follow-up of 6 months to 2.5 years.</w:t>
      </w:r>
    </w:p>
    <w:p w14:paraId="5BF50AB1" w14:textId="77777777" w:rsidR="00CE1D7D" w:rsidRPr="00E72089" w:rsidRDefault="00CE1D7D" w:rsidP="00CE1D7D">
      <w:pPr>
        <w:ind w:left="567"/>
        <w:rPr>
          <w:szCs w:val="24"/>
        </w:rPr>
      </w:pPr>
    </w:p>
    <w:p w14:paraId="62A7FF84" w14:textId="77777777" w:rsidR="00E72089" w:rsidRPr="00E471FD" w:rsidRDefault="00325C0F" w:rsidP="00CE1D7D">
      <w:pPr>
        <w:rPr>
          <w:szCs w:val="24"/>
        </w:rPr>
      </w:pPr>
      <w:r>
        <w:rPr>
          <w:szCs w:val="24"/>
        </w:rPr>
        <w:t>The tables below</w:t>
      </w:r>
      <w:r w:rsidR="00CE1D7D" w:rsidRPr="00E72089">
        <w:rPr>
          <w:szCs w:val="24"/>
        </w:rPr>
        <w:t xml:space="preserve"> reproduce the comparative efficacy outcomes</w:t>
      </w:r>
      <w:bookmarkStart w:id="0" w:name="_Ref405302680"/>
      <w:r w:rsidR="00E471FD">
        <w:rPr>
          <w:szCs w:val="24"/>
        </w:rPr>
        <w:t>.</w:t>
      </w:r>
    </w:p>
    <w:p w14:paraId="62025546" w14:textId="77777777" w:rsidR="00325C0F" w:rsidRDefault="00325C0F">
      <w:pPr>
        <w:rPr>
          <w:rFonts w:ascii="Arial Narrow" w:hAnsi="Arial Narrow"/>
          <w:b/>
          <w:sz w:val="20"/>
        </w:rPr>
      </w:pPr>
    </w:p>
    <w:p w14:paraId="0E8E54F8" w14:textId="77777777" w:rsidR="00CE1D7D" w:rsidRPr="0053156E" w:rsidRDefault="00CE1D7D" w:rsidP="00CE1D7D">
      <w:pPr>
        <w:rPr>
          <w:rFonts w:ascii="Arial Narrow" w:hAnsi="Arial Narrow"/>
          <w:b/>
          <w:sz w:val="20"/>
        </w:rPr>
      </w:pPr>
      <w:r w:rsidRPr="0053156E">
        <w:rPr>
          <w:rFonts w:ascii="Arial Narrow" w:hAnsi="Arial Narrow"/>
          <w:b/>
          <w:sz w:val="20"/>
        </w:rPr>
        <w:t xml:space="preserve">Table </w:t>
      </w:r>
      <w:bookmarkEnd w:id="0"/>
      <w:r>
        <w:rPr>
          <w:rFonts w:ascii="Arial Narrow" w:hAnsi="Arial Narrow"/>
          <w:b/>
          <w:sz w:val="20"/>
        </w:rPr>
        <w:t>1</w:t>
      </w:r>
      <w:r w:rsidRPr="0053156E">
        <w:rPr>
          <w:rFonts w:ascii="Arial Narrow" w:hAnsi="Arial Narrow"/>
          <w:b/>
          <w:sz w:val="20"/>
        </w:rPr>
        <w:t xml:space="preserve">: Results of the meta-analysis (Parise </w:t>
      </w:r>
      <w:r>
        <w:rPr>
          <w:rFonts w:ascii="Arial Narrow" w:hAnsi="Arial Narrow"/>
          <w:b/>
          <w:sz w:val="20"/>
        </w:rPr>
        <w:t>et al.</w:t>
      </w:r>
      <w:r w:rsidRPr="0053156E">
        <w:rPr>
          <w:rFonts w:ascii="Arial Narrow" w:hAnsi="Arial Narrow"/>
          <w:b/>
          <w:sz w:val="20"/>
        </w:rPr>
        <w:t xml:space="preserve"> 2011) for angiographic restenosis and rates of repeat revascularisation</w:t>
      </w:r>
    </w:p>
    <w:tbl>
      <w:tblPr>
        <w:tblStyle w:val="TableGrid"/>
        <w:tblW w:w="4918" w:type="pct"/>
        <w:tblLook w:val="01E0" w:firstRow="1" w:lastRow="1" w:firstColumn="1" w:lastColumn="1" w:noHBand="0" w:noVBand="0"/>
        <w:tblCaption w:val="Results of the meta-analysis for angiographic restenosis and rates of repeat revascularisation"/>
        <w:tblDescription w:val="The Results of the meta-analysis -Parise et al. 2011- for angiographic restenosis and rates of repeat revascularisation. Source: Table B.6-1, p88 of the assessment report"/>
      </w:tblPr>
      <w:tblGrid>
        <w:gridCol w:w="1447"/>
        <w:gridCol w:w="1910"/>
        <w:gridCol w:w="1911"/>
        <w:gridCol w:w="1911"/>
        <w:gridCol w:w="1911"/>
      </w:tblGrid>
      <w:tr w:rsidR="00CE1D7D" w:rsidRPr="0099245B" w14:paraId="72EF2C63" w14:textId="77777777" w:rsidTr="009D31FD">
        <w:trPr>
          <w:tblHeader/>
        </w:trPr>
        <w:tc>
          <w:tcPr>
            <w:tcW w:w="796" w:type="pct"/>
          </w:tcPr>
          <w:p w14:paraId="055E6F36" w14:textId="77777777" w:rsidR="00CE1D7D" w:rsidRPr="0099245B" w:rsidRDefault="00CE1D7D" w:rsidP="00E72089">
            <w:pPr>
              <w:keepNext/>
              <w:rPr>
                <w:rFonts w:ascii="Arial Narrow" w:hAnsi="Arial Narrow" w:cs="Arial"/>
                <w:b/>
              </w:rPr>
            </w:pPr>
            <w:r w:rsidRPr="0099245B">
              <w:rPr>
                <w:rFonts w:ascii="Arial Narrow" w:hAnsi="Arial Narrow" w:cs="Arial"/>
                <w:b/>
                <w:sz w:val="20"/>
              </w:rPr>
              <w:t>Outcome</w:t>
            </w:r>
          </w:p>
        </w:tc>
        <w:tc>
          <w:tcPr>
            <w:tcW w:w="1051" w:type="pct"/>
          </w:tcPr>
          <w:p w14:paraId="12DD182D"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Intervention</w:t>
            </w:r>
          </w:p>
          <w:p w14:paraId="46F53A9B"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w:t>
            </w:r>
          </w:p>
        </w:tc>
        <w:tc>
          <w:tcPr>
            <w:tcW w:w="1051" w:type="pct"/>
          </w:tcPr>
          <w:p w14:paraId="48D6385B"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Comparator</w:t>
            </w:r>
          </w:p>
          <w:p w14:paraId="5D3CD20D"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w:t>
            </w:r>
          </w:p>
        </w:tc>
        <w:tc>
          <w:tcPr>
            <w:tcW w:w="1051" w:type="pct"/>
          </w:tcPr>
          <w:p w14:paraId="01531225"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Odds ratio (95% CI)</w:t>
            </w:r>
          </w:p>
        </w:tc>
        <w:tc>
          <w:tcPr>
            <w:tcW w:w="1052" w:type="pct"/>
          </w:tcPr>
          <w:p w14:paraId="6AEBCB9D"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Test of significance</w:t>
            </w:r>
          </w:p>
        </w:tc>
      </w:tr>
      <w:tr w:rsidR="00CE1D7D" w:rsidRPr="0099245B" w14:paraId="2C7F93A2" w14:textId="77777777" w:rsidTr="009D31FD">
        <w:trPr>
          <w:tblHeader/>
        </w:trPr>
        <w:tc>
          <w:tcPr>
            <w:tcW w:w="796" w:type="pct"/>
          </w:tcPr>
          <w:p w14:paraId="5C86BBFD" w14:textId="77777777" w:rsidR="00CE1D7D" w:rsidRPr="0099245B" w:rsidRDefault="00CE1D7D" w:rsidP="00E72089">
            <w:pPr>
              <w:rPr>
                <w:rFonts w:ascii="Arial Narrow" w:hAnsi="Arial Narrow"/>
              </w:rPr>
            </w:pPr>
            <w:r w:rsidRPr="0099245B">
              <w:rPr>
                <w:rFonts w:ascii="Arial Narrow" w:hAnsi="Arial Narrow"/>
                <w:sz w:val="20"/>
              </w:rPr>
              <w:t>Six month angiographic restenosis</w:t>
            </w:r>
          </w:p>
        </w:tc>
        <w:tc>
          <w:tcPr>
            <w:tcW w:w="1051" w:type="pct"/>
          </w:tcPr>
          <w:p w14:paraId="37E6B3A6" w14:textId="77777777" w:rsidR="00CE1D7D" w:rsidRPr="0099245B" w:rsidRDefault="00CE1D7D" w:rsidP="00E72089">
            <w:pPr>
              <w:jc w:val="center"/>
              <w:rPr>
                <w:rFonts w:ascii="Arial Narrow" w:hAnsi="Arial Narrow"/>
                <w:sz w:val="20"/>
              </w:rPr>
            </w:pPr>
            <w:r w:rsidRPr="0099245B">
              <w:rPr>
                <w:rFonts w:ascii="Arial Narrow" w:hAnsi="Arial Narrow"/>
                <w:sz w:val="20"/>
              </w:rPr>
              <w:t>12</w:t>
            </w:r>
          </w:p>
        </w:tc>
        <w:tc>
          <w:tcPr>
            <w:tcW w:w="1051" w:type="pct"/>
          </w:tcPr>
          <w:p w14:paraId="2886BFDF" w14:textId="77777777" w:rsidR="00CE1D7D" w:rsidRPr="0099245B" w:rsidRDefault="00CE1D7D" w:rsidP="00E72089">
            <w:pPr>
              <w:jc w:val="center"/>
              <w:rPr>
                <w:rFonts w:ascii="Arial Narrow" w:hAnsi="Arial Narrow"/>
                <w:sz w:val="20"/>
              </w:rPr>
            </w:pPr>
            <w:r w:rsidRPr="0099245B">
              <w:rPr>
                <w:rFonts w:ascii="Arial Narrow" w:hAnsi="Arial Narrow"/>
                <w:sz w:val="20"/>
              </w:rPr>
              <w:t>29</w:t>
            </w:r>
          </w:p>
        </w:tc>
        <w:tc>
          <w:tcPr>
            <w:tcW w:w="1051" w:type="pct"/>
          </w:tcPr>
          <w:p w14:paraId="547B9C50" w14:textId="77777777" w:rsidR="00CE1D7D" w:rsidRPr="0099245B" w:rsidRDefault="00CE1D7D" w:rsidP="00E72089">
            <w:pPr>
              <w:rPr>
                <w:rFonts w:ascii="Arial Narrow" w:hAnsi="Arial Narrow"/>
                <w:sz w:val="20"/>
              </w:rPr>
            </w:pPr>
            <w:r w:rsidRPr="0099245B">
              <w:rPr>
                <w:rFonts w:ascii="Arial Narrow" w:hAnsi="Arial Narrow"/>
                <w:sz w:val="20"/>
              </w:rPr>
              <w:t>0.64 (0.42–0.96)</w:t>
            </w:r>
          </w:p>
          <w:p w14:paraId="25287BC9" w14:textId="77777777" w:rsidR="00CE1D7D" w:rsidRPr="0099245B" w:rsidRDefault="00CE1D7D" w:rsidP="00E72089">
            <w:pPr>
              <w:rPr>
                <w:rFonts w:ascii="Arial Narrow" w:hAnsi="Arial Narrow"/>
                <w:sz w:val="20"/>
              </w:rPr>
            </w:pPr>
            <w:r w:rsidRPr="0099245B">
              <w:rPr>
                <w:rFonts w:ascii="Arial Narrow" w:hAnsi="Arial Narrow"/>
                <w:sz w:val="20"/>
              </w:rPr>
              <w:t>Favours IVUS</w:t>
            </w:r>
          </w:p>
        </w:tc>
        <w:tc>
          <w:tcPr>
            <w:tcW w:w="1052" w:type="pct"/>
          </w:tcPr>
          <w:p w14:paraId="1D2195E1" w14:textId="77777777" w:rsidR="00CE1D7D" w:rsidRPr="0099245B" w:rsidRDefault="00CE1D7D" w:rsidP="00E72089">
            <w:pPr>
              <w:rPr>
                <w:rFonts w:ascii="Arial Narrow" w:hAnsi="Arial Narrow"/>
                <w:sz w:val="20"/>
              </w:rPr>
            </w:pPr>
            <w:r w:rsidRPr="0099245B">
              <w:rPr>
                <w:rFonts w:ascii="Arial Narrow" w:hAnsi="Arial Narrow"/>
                <w:sz w:val="20"/>
              </w:rPr>
              <w:t>p=0.02</w:t>
            </w:r>
          </w:p>
        </w:tc>
      </w:tr>
      <w:tr w:rsidR="00CE1D7D" w:rsidRPr="0099245B" w14:paraId="4E3B864E" w14:textId="77777777" w:rsidTr="009D31FD">
        <w:trPr>
          <w:tblHeader/>
        </w:trPr>
        <w:tc>
          <w:tcPr>
            <w:tcW w:w="796" w:type="pct"/>
          </w:tcPr>
          <w:p w14:paraId="354F7EDA" w14:textId="77777777" w:rsidR="00CE1D7D" w:rsidRPr="0099245B" w:rsidRDefault="00CE1D7D" w:rsidP="00E72089">
            <w:pPr>
              <w:rPr>
                <w:rFonts w:ascii="Arial Narrow" w:hAnsi="Arial Narrow"/>
                <w:sz w:val="20"/>
              </w:rPr>
            </w:pPr>
            <w:r w:rsidRPr="0099245B">
              <w:rPr>
                <w:rFonts w:ascii="Arial Narrow" w:hAnsi="Arial Narrow"/>
                <w:sz w:val="20"/>
              </w:rPr>
              <w:t>Rates of repeat revascularisation (TLR/TVR)</w:t>
            </w:r>
          </w:p>
        </w:tc>
        <w:tc>
          <w:tcPr>
            <w:tcW w:w="1051" w:type="pct"/>
          </w:tcPr>
          <w:p w14:paraId="45C2323C" w14:textId="77777777" w:rsidR="00CE1D7D" w:rsidRPr="0099245B" w:rsidRDefault="00CE1D7D" w:rsidP="00E72089">
            <w:pPr>
              <w:jc w:val="center"/>
              <w:rPr>
                <w:rFonts w:ascii="Arial Narrow" w:hAnsi="Arial Narrow"/>
                <w:sz w:val="20"/>
              </w:rPr>
            </w:pPr>
            <w:r w:rsidRPr="0099245B">
              <w:rPr>
                <w:rFonts w:ascii="Arial Narrow" w:hAnsi="Arial Narrow"/>
                <w:sz w:val="20"/>
              </w:rPr>
              <w:t>13</w:t>
            </w:r>
          </w:p>
        </w:tc>
        <w:tc>
          <w:tcPr>
            <w:tcW w:w="1051" w:type="pct"/>
          </w:tcPr>
          <w:p w14:paraId="460DF4C0" w14:textId="77777777" w:rsidR="00CE1D7D" w:rsidRPr="0099245B" w:rsidRDefault="00CE1D7D" w:rsidP="00E72089">
            <w:pPr>
              <w:jc w:val="center"/>
              <w:rPr>
                <w:rFonts w:ascii="Arial Narrow" w:hAnsi="Arial Narrow"/>
                <w:sz w:val="20"/>
              </w:rPr>
            </w:pPr>
            <w:r w:rsidRPr="0099245B">
              <w:rPr>
                <w:rFonts w:ascii="Arial Narrow" w:hAnsi="Arial Narrow"/>
                <w:sz w:val="20"/>
              </w:rPr>
              <w:t>18</w:t>
            </w:r>
          </w:p>
        </w:tc>
        <w:tc>
          <w:tcPr>
            <w:tcW w:w="1051" w:type="pct"/>
          </w:tcPr>
          <w:p w14:paraId="20733222" w14:textId="77777777" w:rsidR="00CE1D7D" w:rsidRPr="0099245B" w:rsidRDefault="00CE1D7D" w:rsidP="00E72089">
            <w:pPr>
              <w:rPr>
                <w:rFonts w:ascii="Arial Narrow" w:hAnsi="Arial Narrow"/>
                <w:sz w:val="20"/>
              </w:rPr>
            </w:pPr>
            <w:r w:rsidRPr="0099245B">
              <w:rPr>
                <w:rFonts w:ascii="Arial Narrow" w:hAnsi="Arial Narrow"/>
                <w:sz w:val="20"/>
              </w:rPr>
              <w:t>0.66 (0.48–0.91)</w:t>
            </w:r>
          </w:p>
          <w:p w14:paraId="7E5707A8" w14:textId="77777777" w:rsidR="00CE1D7D" w:rsidRPr="0099245B" w:rsidRDefault="00CE1D7D" w:rsidP="00E72089">
            <w:pPr>
              <w:rPr>
                <w:rFonts w:ascii="Arial Narrow" w:hAnsi="Arial Narrow"/>
                <w:sz w:val="20"/>
              </w:rPr>
            </w:pPr>
            <w:r w:rsidRPr="0099245B">
              <w:rPr>
                <w:rFonts w:ascii="Arial Narrow" w:hAnsi="Arial Narrow"/>
                <w:sz w:val="20"/>
              </w:rPr>
              <w:t>Favours IVUS</w:t>
            </w:r>
          </w:p>
        </w:tc>
        <w:tc>
          <w:tcPr>
            <w:tcW w:w="1052" w:type="pct"/>
          </w:tcPr>
          <w:p w14:paraId="6BCDB8E8" w14:textId="77777777" w:rsidR="00CE1D7D" w:rsidRPr="0099245B" w:rsidRDefault="00CE1D7D" w:rsidP="00E72089">
            <w:pPr>
              <w:rPr>
                <w:rFonts w:ascii="Arial Narrow" w:hAnsi="Arial Narrow"/>
                <w:sz w:val="20"/>
              </w:rPr>
            </w:pPr>
            <w:r w:rsidRPr="0099245B">
              <w:rPr>
                <w:rFonts w:ascii="Arial Narrow" w:hAnsi="Arial Narrow"/>
                <w:sz w:val="20"/>
              </w:rPr>
              <w:t>p=0.004</w:t>
            </w:r>
          </w:p>
        </w:tc>
      </w:tr>
    </w:tbl>
    <w:p w14:paraId="5C9C3913" w14:textId="77777777" w:rsidR="00CE1D7D" w:rsidRPr="0099245B" w:rsidRDefault="00CE1D7D" w:rsidP="00CE1D7D">
      <w:pPr>
        <w:keepNext/>
        <w:keepLines/>
        <w:rPr>
          <w:rFonts w:ascii="Arial Narrow" w:hAnsi="Arial Narrow" w:cs="Arial"/>
          <w:sz w:val="20"/>
        </w:rPr>
      </w:pPr>
      <w:r w:rsidRPr="0099245B">
        <w:rPr>
          <w:rFonts w:ascii="Arial Narrow" w:hAnsi="Arial Narrow" w:cs="Arial"/>
          <w:sz w:val="20"/>
        </w:rPr>
        <w:t>Source: Table B.6-1, p</w:t>
      </w:r>
      <w:r>
        <w:rPr>
          <w:rFonts w:ascii="Arial Narrow" w:hAnsi="Arial Narrow" w:cs="Arial"/>
          <w:sz w:val="20"/>
        </w:rPr>
        <w:t xml:space="preserve">. </w:t>
      </w:r>
      <w:r w:rsidRPr="0099245B">
        <w:rPr>
          <w:rFonts w:ascii="Arial Narrow" w:hAnsi="Arial Narrow" w:cs="Arial"/>
          <w:sz w:val="20"/>
        </w:rPr>
        <w:t>88 of the assessment report</w:t>
      </w:r>
      <w:r>
        <w:rPr>
          <w:rFonts w:ascii="Arial Narrow" w:hAnsi="Arial Narrow" w:cs="Arial"/>
          <w:sz w:val="20"/>
        </w:rPr>
        <w:t>.</w:t>
      </w:r>
    </w:p>
    <w:p w14:paraId="70466677" w14:textId="77777777" w:rsidR="00CE1D7D" w:rsidRPr="0099245B" w:rsidRDefault="00CE1D7D" w:rsidP="00CE1D7D">
      <w:pPr>
        <w:keepNext/>
        <w:keepLines/>
        <w:rPr>
          <w:rFonts w:ascii="Arial Narrow" w:hAnsi="Arial Narrow" w:cs="Arial"/>
          <w:sz w:val="20"/>
        </w:rPr>
      </w:pPr>
      <w:r w:rsidRPr="0099245B">
        <w:rPr>
          <w:rFonts w:ascii="Arial Narrow" w:hAnsi="Arial Narrow" w:cs="Arial"/>
          <w:sz w:val="20"/>
        </w:rPr>
        <w:t xml:space="preserve">CI=confidence interval; </w:t>
      </w:r>
      <w:r>
        <w:rPr>
          <w:rFonts w:ascii="Arial Narrow" w:hAnsi="Arial Narrow" w:cs="Arial"/>
          <w:sz w:val="20"/>
        </w:rPr>
        <w:t>IVUS=</w:t>
      </w:r>
      <w:r w:rsidRPr="00BF61AC">
        <w:rPr>
          <w:rFonts w:ascii="Arial Narrow" w:hAnsi="Arial Narrow" w:cs="Arial"/>
          <w:sz w:val="20"/>
        </w:rPr>
        <w:t>intravascular ultrasound</w:t>
      </w:r>
      <w:r>
        <w:rPr>
          <w:rFonts w:ascii="Arial Narrow" w:hAnsi="Arial Narrow" w:cs="Arial"/>
          <w:sz w:val="20"/>
        </w:rPr>
        <w:t xml:space="preserve">; </w:t>
      </w:r>
      <w:r w:rsidRPr="0099245B">
        <w:rPr>
          <w:rFonts w:ascii="Arial Narrow" w:hAnsi="Arial Narrow" w:cs="Arial"/>
          <w:sz w:val="20"/>
        </w:rPr>
        <w:t>TLR=target lesion revascularisation; TVR=target vessel revascularisation</w:t>
      </w:r>
      <w:r>
        <w:rPr>
          <w:rFonts w:ascii="Arial Narrow" w:hAnsi="Arial Narrow" w:cs="Arial"/>
          <w:sz w:val="20"/>
        </w:rPr>
        <w:t>.</w:t>
      </w:r>
    </w:p>
    <w:p w14:paraId="57D5D7E5" w14:textId="77777777" w:rsidR="00CE1D7D" w:rsidRPr="0099245B" w:rsidRDefault="00CE1D7D" w:rsidP="00CE1D7D">
      <w:pPr>
        <w:rPr>
          <w:i/>
        </w:rPr>
      </w:pPr>
    </w:p>
    <w:p w14:paraId="41C83EFD" w14:textId="77777777" w:rsidR="00CE1D7D" w:rsidRPr="0053156E" w:rsidRDefault="00CE1D7D" w:rsidP="00CE1D7D">
      <w:pPr>
        <w:rPr>
          <w:rFonts w:ascii="Arial Narrow" w:hAnsi="Arial Narrow"/>
          <w:b/>
          <w:sz w:val="20"/>
        </w:rPr>
      </w:pPr>
      <w:bookmarkStart w:id="1" w:name="_Ref405302692"/>
      <w:r w:rsidRPr="0053156E">
        <w:rPr>
          <w:rFonts w:ascii="Arial Narrow" w:hAnsi="Arial Narrow"/>
          <w:b/>
          <w:sz w:val="20"/>
        </w:rPr>
        <w:t xml:space="preserve">Table </w:t>
      </w:r>
      <w:bookmarkEnd w:id="1"/>
      <w:r>
        <w:rPr>
          <w:rFonts w:ascii="Arial Narrow" w:hAnsi="Arial Narrow"/>
          <w:b/>
          <w:sz w:val="20"/>
        </w:rPr>
        <w:t>2</w:t>
      </w:r>
      <w:r w:rsidRPr="0053156E">
        <w:rPr>
          <w:rFonts w:ascii="Arial Narrow" w:hAnsi="Arial Narrow"/>
          <w:b/>
          <w:sz w:val="20"/>
        </w:rPr>
        <w:t xml:space="preserve">: Results of the meta-analysis (Parise </w:t>
      </w:r>
      <w:r>
        <w:rPr>
          <w:rFonts w:ascii="Arial Narrow" w:hAnsi="Arial Narrow"/>
          <w:b/>
          <w:sz w:val="20"/>
        </w:rPr>
        <w:t>et al.</w:t>
      </w:r>
      <w:r w:rsidRPr="0053156E">
        <w:rPr>
          <w:rFonts w:ascii="Arial Narrow" w:hAnsi="Arial Narrow"/>
          <w:b/>
          <w:sz w:val="20"/>
        </w:rPr>
        <w:t xml:space="preserve"> 2011) for MACE, MI and mortality</w:t>
      </w:r>
    </w:p>
    <w:tbl>
      <w:tblPr>
        <w:tblStyle w:val="TableGrid"/>
        <w:tblW w:w="4918" w:type="pct"/>
        <w:tblLook w:val="01E0" w:firstRow="1" w:lastRow="1" w:firstColumn="1" w:lastColumn="1" w:noHBand="0" w:noVBand="0"/>
        <w:tblCaption w:val="Results of the meta-analysis for MACE, MI and mortality"/>
        <w:tblDescription w:val="The Results of the meta-analysis -Parise et al. 2011- for MACE, MI and mortality. Source: Table B.6-1, p88 of the assessment report/populated during the evaluation"/>
      </w:tblPr>
      <w:tblGrid>
        <w:gridCol w:w="1446"/>
        <w:gridCol w:w="1911"/>
        <w:gridCol w:w="1911"/>
        <w:gridCol w:w="1911"/>
        <w:gridCol w:w="1911"/>
      </w:tblGrid>
      <w:tr w:rsidR="00CE1D7D" w:rsidRPr="0099245B" w14:paraId="1853E88E" w14:textId="77777777" w:rsidTr="009D31FD">
        <w:trPr>
          <w:tblHeader/>
        </w:trPr>
        <w:tc>
          <w:tcPr>
            <w:tcW w:w="795" w:type="pct"/>
          </w:tcPr>
          <w:p w14:paraId="3A253EBC" w14:textId="77777777" w:rsidR="00CE1D7D" w:rsidRPr="0099245B" w:rsidRDefault="00CE1D7D" w:rsidP="00E72089">
            <w:pPr>
              <w:keepNext/>
              <w:rPr>
                <w:rFonts w:ascii="Arial Narrow" w:hAnsi="Arial Narrow" w:cs="Arial"/>
                <w:b/>
              </w:rPr>
            </w:pPr>
            <w:r w:rsidRPr="0099245B">
              <w:rPr>
                <w:rFonts w:ascii="Arial Narrow" w:hAnsi="Arial Narrow" w:cs="Arial"/>
                <w:b/>
                <w:sz w:val="20"/>
              </w:rPr>
              <w:t>Outcome</w:t>
            </w:r>
          </w:p>
        </w:tc>
        <w:tc>
          <w:tcPr>
            <w:tcW w:w="1051" w:type="pct"/>
          </w:tcPr>
          <w:p w14:paraId="41E48F6F"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Intervention</w:t>
            </w:r>
          </w:p>
          <w:p w14:paraId="785F66B1"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w:t>
            </w:r>
          </w:p>
        </w:tc>
        <w:tc>
          <w:tcPr>
            <w:tcW w:w="1051" w:type="pct"/>
          </w:tcPr>
          <w:p w14:paraId="7EF39E8A"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Comparator</w:t>
            </w:r>
          </w:p>
          <w:p w14:paraId="63161947"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w:t>
            </w:r>
          </w:p>
        </w:tc>
        <w:tc>
          <w:tcPr>
            <w:tcW w:w="1051" w:type="pct"/>
          </w:tcPr>
          <w:p w14:paraId="61D4B074"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Odds ratio (95% CI)</w:t>
            </w:r>
          </w:p>
        </w:tc>
        <w:tc>
          <w:tcPr>
            <w:tcW w:w="1051" w:type="pct"/>
          </w:tcPr>
          <w:p w14:paraId="37822F0D"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Test of significance</w:t>
            </w:r>
          </w:p>
        </w:tc>
      </w:tr>
      <w:tr w:rsidR="00CE1D7D" w:rsidRPr="0099245B" w14:paraId="051DB5D8" w14:textId="77777777" w:rsidTr="009D31FD">
        <w:trPr>
          <w:tblHeader/>
        </w:trPr>
        <w:tc>
          <w:tcPr>
            <w:tcW w:w="795" w:type="pct"/>
          </w:tcPr>
          <w:p w14:paraId="660D5977" w14:textId="77777777" w:rsidR="00CE1D7D" w:rsidRPr="0099245B" w:rsidRDefault="00CE1D7D" w:rsidP="00E72089">
            <w:pPr>
              <w:rPr>
                <w:rFonts w:ascii="Arial Narrow" w:hAnsi="Arial Narrow"/>
              </w:rPr>
            </w:pPr>
            <w:r w:rsidRPr="0099245B">
              <w:rPr>
                <w:rFonts w:ascii="Arial Narrow" w:hAnsi="Arial Narrow"/>
                <w:sz w:val="20"/>
              </w:rPr>
              <w:t>MACE*</w:t>
            </w:r>
          </w:p>
        </w:tc>
        <w:tc>
          <w:tcPr>
            <w:tcW w:w="1051" w:type="pct"/>
          </w:tcPr>
          <w:p w14:paraId="292E07D1" w14:textId="77777777" w:rsidR="00CE1D7D" w:rsidRPr="0099245B" w:rsidRDefault="00CE1D7D" w:rsidP="00E72089">
            <w:pPr>
              <w:rPr>
                <w:rFonts w:ascii="Arial Narrow" w:hAnsi="Arial Narrow"/>
                <w:sz w:val="20"/>
              </w:rPr>
            </w:pPr>
            <w:r w:rsidRPr="0099245B">
              <w:rPr>
                <w:rFonts w:ascii="Arial Narrow" w:hAnsi="Arial Narrow"/>
                <w:sz w:val="20"/>
              </w:rPr>
              <w:t>19</w:t>
            </w:r>
          </w:p>
        </w:tc>
        <w:tc>
          <w:tcPr>
            <w:tcW w:w="1051" w:type="pct"/>
          </w:tcPr>
          <w:p w14:paraId="65EEB1BE" w14:textId="77777777" w:rsidR="00CE1D7D" w:rsidRPr="0099245B" w:rsidRDefault="00CE1D7D" w:rsidP="00E72089">
            <w:pPr>
              <w:rPr>
                <w:rFonts w:ascii="Arial Narrow" w:hAnsi="Arial Narrow"/>
                <w:sz w:val="20"/>
              </w:rPr>
            </w:pPr>
            <w:r w:rsidRPr="0099245B">
              <w:rPr>
                <w:rFonts w:ascii="Arial Narrow" w:hAnsi="Arial Narrow"/>
                <w:sz w:val="20"/>
              </w:rPr>
              <w:t>23</w:t>
            </w:r>
          </w:p>
        </w:tc>
        <w:tc>
          <w:tcPr>
            <w:tcW w:w="1051" w:type="pct"/>
          </w:tcPr>
          <w:p w14:paraId="1125B78B" w14:textId="77777777" w:rsidR="00CE1D7D" w:rsidRPr="0099245B" w:rsidRDefault="00CE1D7D" w:rsidP="00E72089">
            <w:pPr>
              <w:rPr>
                <w:rFonts w:ascii="Arial Narrow" w:hAnsi="Arial Narrow"/>
                <w:i/>
                <w:sz w:val="20"/>
              </w:rPr>
            </w:pPr>
            <w:r w:rsidRPr="0099245B">
              <w:rPr>
                <w:rFonts w:ascii="Arial Narrow" w:hAnsi="Arial Narrow"/>
                <w:i/>
                <w:sz w:val="20"/>
              </w:rPr>
              <w:t>0.69 (0.49–0.97)</w:t>
            </w:r>
          </w:p>
          <w:p w14:paraId="6EFF0A16" w14:textId="77777777" w:rsidR="00CE1D7D" w:rsidRPr="0099245B" w:rsidRDefault="00CE1D7D" w:rsidP="00E72089">
            <w:pPr>
              <w:rPr>
                <w:rFonts w:ascii="Arial Narrow" w:hAnsi="Arial Narrow"/>
                <w:i/>
                <w:sz w:val="20"/>
              </w:rPr>
            </w:pPr>
            <w:r w:rsidRPr="0099245B">
              <w:rPr>
                <w:rFonts w:ascii="Arial Narrow" w:hAnsi="Arial Narrow"/>
                <w:i/>
                <w:sz w:val="20"/>
              </w:rPr>
              <w:t>favours IVUS</w:t>
            </w:r>
          </w:p>
          <w:p w14:paraId="4932EFD8" w14:textId="77777777" w:rsidR="00CE1D7D" w:rsidRPr="0099245B" w:rsidRDefault="00CE1D7D" w:rsidP="00E72089">
            <w:pPr>
              <w:rPr>
                <w:rFonts w:ascii="Arial Narrow" w:hAnsi="Arial Narrow"/>
                <w:i/>
                <w:sz w:val="20"/>
              </w:rPr>
            </w:pPr>
            <w:r w:rsidRPr="0099245B">
              <w:rPr>
                <w:rFonts w:ascii="Arial Narrow" w:hAnsi="Arial Narrow"/>
                <w:i/>
                <w:sz w:val="20"/>
              </w:rPr>
              <w:t>or</w:t>
            </w:r>
          </w:p>
          <w:p w14:paraId="42280311" w14:textId="77777777" w:rsidR="00CE1D7D" w:rsidRPr="0099245B" w:rsidRDefault="00CE1D7D" w:rsidP="00E72089">
            <w:pPr>
              <w:rPr>
                <w:rFonts w:ascii="Arial Narrow" w:hAnsi="Arial Narrow"/>
                <w:i/>
                <w:sz w:val="20"/>
              </w:rPr>
            </w:pPr>
            <w:r w:rsidRPr="0099245B">
              <w:rPr>
                <w:rFonts w:ascii="Arial Narrow" w:hAnsi="Arial Narrow"/>
                <w:i/>
                <w:sz w:val="20"/>
              </w:rPr>
              <w:t>0.72 (0.52–0.99)</w:t>
            </w:r>
          </w:p>
          <w:p w14:paraId="140A759A" w14:textId="77777777" w:rsidR="00CE1D7D" w:rsidRPr="0099245B" w:rsidRDefault="00CE1D7D" w:rsidP="00E72089">
            <w:pPr>
              <w:rPr>
                <w:rFonts w:ascii="Arial Narrow" w:hAnsi="Arial Narrow"/>
                <w:i/>
                <w:sz w:val="20"/>
              </w:rPr>
            </w:pPr>
            <w:r w:rsidRPr="0099245B">
              <w:rPr>
                <w:rFonts w:ascii="Arial Narrow" w:hAnsi="Arial Narrow"/>
                <w:i/>
                <w:sz w:val="20"/>
              </w:rPr>
              <w:t xml:space="preserve">Favours IVUS) </w:t>
            </w:r>
          </w:p>
        </w:tc>
        <w:tc>
          <w:tcPr>
            <w:tcW w:w="1051" w:type="pct"/>
          </w:tcPr>
          <w:p w14:paraId="704E40ED" w14:textId="77777777" w:rsidR="00CE1D7D" w:rsidRPr="0099245B" w:rsidRDefault="00CE1D7D" w:rsidP="00E72089">
            <w:pPr>
              <w:rPr>
                <w:rFonts w:ascii="Arial Narrow" w:hAnsi="Arial Narrow"/>
                <w:i/>
                <w:sz w:val="20"/>
              </w:rPr>
            </w:pPr>
            <w:r w:rsidRPr="0099245B">
              <w:rPr>
                <w:rFonts w:ascii="Arial Narrow" w:hAnsi="Arial Narrow"/>
                <w:i/>
                <w:sz w:val="20"/>
              </w:rPr>
              <w:t>p=0.044 or p=0.004</w:t>
            </w:r>
          </w:p>
        </w:tc>
      </w:tr>
      <w:tr w:rsidR="00CE1D7D" w:rsidRPr="0099245B" w14:paraId="79626BC4" w14:textId="77777777" w:rsidTr="009D31FD">
        <w:trPr>
          <w:tblHeader/>
        </w:trPr>
        <w:tc>
          <w:tcPr>
            <w:tcW w:w="795" w:type="pct"/>
          </w:tcPr>
          <w:p w14:paraId="5FD5C8C1" w14:textId="77777777" w:rsidR="00CE1D7D" w:rsidRPr="0099245B" w:rsidRDefault="00CE1D7D" w:rsidP="00E72089">
            <w:pPr>
              <w:rPr>
                <w:rFonts w:ascii="Arial Narrow" w:hAnsi="Arial Narrow"/>
                <w:sz w:val="20"/>
              </w:rPr>
            </w:pPr>
            <w:r w:rsidRPr="0099245B">
              <w:rPr>
                <w:rFonts w:ascii="Arial Narrow" w:hAnsi="Arial Narrow"/>
                <w:sz w:val="20"/>
              </w:rPr>
              <w:t>MI</w:t>
            </w:r>
          </w:p>
        </w:tc>
        <w:tc>
          <w:tcPr>
            <w:tcW w:w="1051" w:type="pct"/>
          </w:tcPr>
          <w:p w14:paraId="2783712D" w14:textId="77777777" w:rsidR="00CE1D7D" w:rsidRPr="0099245B" w:rsidRDefault="00CE1D7D" w:rsidP="00E72089">
            <w:pPr>
              <w:rPr>
                <w:rFonts w:ascii="Arial Narrow" w:hAnsi="Arial Narrow"/>
                <w:sz w:val="20"/>
              </w:rPr>
            </w:pPr>
            <w:r w:rsidRPr="0099245B">
              <w:rPr>
                <w:rFonts w:ascii="Arial Narrow" w:hAnsi="Arial Narrow"/>
                <w:sz w:val="20"/>
              </w:rPr>
              <w:t>13</w:t>
            </w:r>
          </w:p>
        </w:tc>
        <w:tc>
          <w:tcPr>
            <w:tcW w:w="1051" w:type="pct"/>
          </w:tcPr>
          <w:p w14:paraId="789995C0" w14:textId="77777777" w:rsidR="00CE1D7D" w:rsidRPr="0099245B" w:rsidRDefault="00CE1D7D" w:rsidP="00E72089">
            <w:pPr>
              <w:rPr>
                <w:rFonts w:ascii="Arial Narrow" w:hAnsi="Arial Narrow"/>
                <w:sz w:val="20"/>
              </w:rPr>
            </w:pPr>
            <w:r w:rsidRPr="0099245B">
              <w:rPr>
                <w:rFonts w:ascii="Arial Narrow" w:hAnsi="Arial Narrow"/>
                <w:sz w:val="20"/>
              </w:rPr>
              <w:t>18</w:t>
            </w:r>
          </w:p>
        </w:tc>
        <w:tc>
          <w:tcPr>
            <w:tcW w:w="1051" w:type="pct"/>
          </w:tcPr>
          <w:p w14:paraId="3712CEC0" w14:textId="77777777" w:rsidR="00CE1D7D" w:rsidRPr="0099245B" w:rsidRDefault="00CE1D7D" w:rsidP="00E72089">
            <w:pPr>
              <w:rPr>
                <w:rFonts w:ascii="Arial Narrow" w:hAnsi="Arial Narrow"/>
                <w:i/>
                <w:sz w:val="20"/>
              </w:rPr>
            </w:pPr>
            <w:r w:rsidRPr="0099245B">
              <w:rPr>
                <w:rFonts w:ascii="Arial Narrow" w:hAnsi="Arial Narrow"/>
                <w:i/>
                <w:sz w:val="20"/>
              </w:rPr>
              <w:t>0.67 (0.34–1.34)</w:t>
            </w:r>
          </w:p>
        </w:tc>
        <w:tc>
          <w:tcPr>
            <w:tcW w:w="1051" w:type="pct"/>
          </w:tcPr>
          <w:p w14:paraId="67927A15" w14:textId="77777777" w:rsidR="00CE1D7D" w:rsidRPr="0099245B" w:rsidRDefault="00CE1D7D" w:rsidP="00E72089">
            <w:pPr>
              <w:rPr>
                <w:rFonts w:ascii="Arial Narrow" w:hAnsi="Arial Narrow"/>
                <w:i/>
                <w:sz w:val="20"/>
              </w:rPr>
            </w:pPr>
            <w:r w:rsidRPr="0099245B">
              <w:rPr>
                <w:rFonts w:ascii="Arial Narrow" w:hAnsi="Arial Narrow"/>
                <w:i/>
                <w:sz w:val="20"/>
              </w:rPr>
              <w:t>p=0.51</w:t>
            </w:r>
          </w:p>
        </w:tc>
      </w:tr>
      <w:tr w:rsidR="00CE1D7D" w:rsidRPr="0099245B" w14:paraId="4D0EFEE8" w14:textId="77777777" w:rsidTr="009D31FD">
        <w:trPr>
          <w:tblHeader/>
        </w:trPr>
        <w:tc>
          <w:tcPr>
            <w:tcW w:w="795" w:type="pct"/>
          </w:tcPr>
          <w:p w14:paraId="4FCD2CDF" w14:textId="77777777" w:rsidR="00CE1D7D" w:rsidRPr="0099245B" w:rsidRDefault="00CE1D7D" w:rsidP="00E72089">
            <w:pPr>
              <w:rPr>
                <w:rFonts w:ascii="Arial Narrow" w:hAnsi="Arial Narrow"/>
                <w:sz w:val="20"/>
              </w:rPr>
            </w:pPr>
            <w:r w:rsidRPr="0099245B">
              <w:rPr>
                <w:rFonts w:ascii="Arial Narrow" w:hAnsi="Arial Narrow"/>
                <w:sz w:val="20"/>
              </w:rPr>
              <w:t>Mortality</w:t>
            </w:r>
          </w:p>
        </w:tc>
        <w:tc>
          <w:tcPr>
            <w:tcW w:w="1051" w:type="pct"/>
          </w:tcPr>
          <w:p w14:paraId="0D3F4BCB" w14:textId="77777777" w:rsidR="00CE1D7D" w:rsidRPr="0099245B" w:rsidRDefault="00CE1D7D" w:rsidP="00E72089">
            <w:pPr>
              <w:rPr>
                <w:rFonts w:ascii="Arial Narrow" w:hAnsi="Arial Narrow"/>
                <w:sz w:val="20"/>
              </w:rPr>
            </w:pPr>
            <w:r w:rsidRPr="0099245B">
              <w:rPr>
                <w:rFonts w:ascii="Arial Narrow" w:hAnsi="Arial Narrow"/>
                <w:sz w:val="20"/>
              </w:rPr>
              <w:t>2.4</w:t>
            </w:r>
          </w:p>
        </w:tc>
        <w:tc>
          <w:tcPr>
            <w:tcW w:w="1051" w:type="pct"/>
          </w:tcPr>
          <w:p w14:paraId="504B69FC" w14:textId="77777777" w:rsidR="00CE1D7D" w:rsidRPr="0099245B" w:rsidRDefault="00CE1D7D" w:rsidP="00E72089">
            <w:pPr>
              <w:rPr>
                <w:rFonts w:ascii="Arial Narrow" w:hAnsi="Arial Narrow"/>
                <w:sz w:val="20"/>
              </w:rPr>
            </w:pPr>
            <w:r w:rsidRPr="0099245B">
              <w:rPr>
                <w:rFonts w:ascii="Arial Narrow" w:hAnsi="Arial Narrow"/>
                <w:sz w:val="20"/>
              </w:rPr>
              <w:t>1.6</w:t>
            </w:r>
          </w:p>
        </w:tc>
        <w:tc>
          <w:tcPr>
            <w:tcW w:w="1051" w:type="pct"/>
          </w:tcPr>
          <w:p w14:paraId="782DCE12" w14:textId="77777777" w:rsidR="00CE1D7D" w:rsidRPr="0099245B" w:rsidRDefault="00CE1D7D" w:rsidP="00E72089">
            <w:pPr>
              <w:rPr>
                <w:rFonts w:ascii="Arial Narrow" w:hAnsi="Arial Narrow"/>
                <w:i/>
                <w:sz w:val="20"/>
              </w:rPr>
            </w:pPr>
            <w:r w:rsidRPr="0099245B">
              <w:rPr>
                <w:rFonts w:ascii="Arial Narrow" w:hAnsi="Arial Narrow"/>
                <w:i/>
                <w:sz w:val="20"/>
              </w:rPr>
              <w:t>1.48 ( 0.81-2.69)</w:t>
            </w:r>
          </w:p>
          <w:p w14:paraId="10478D77" w14:textId="77777777" w:rsidR="00CE1D7D" w:rsidRPr="0099245B" w:rsidRDefault="00CE1D7D" w:rsidP="00E72089">
            <w:pPr>
              <w:rPr>
                <w:rFonts w:ascii="Arial Narrow" w:hAnsi="Arial Narrow"/>
                <w:sz w:val="20"/>
              </w:rPr>
            </w:pPr>
          </w:p>
        </w:tc>
        <w:tc>
          <w:tcPr>
            <w:tcW w:w="1051" w:type="pct"/>
          </w:tcPr>
          <w:p w14:paraId="240ACAB3" w14:textId="77777777" w:rsidR="00CE1D7D" w:rsidRPr="0099245B" w:rsidRDefault="00CE1D7D" w:rsidP="00E72089">
            <w:pPr>
              <w:rPr>
                <w:rFonts w:ascii="Arial Narrow" w:hAnsi="Arial Narrow"/>
                <w:i/>
                <w:sz w:val="20"/>
              </w:rPr>
            </w:pPr>
            <w:r w:rsidRPr="0099245B">
              <w:rPr>
                <w:rFonts w:ascii="Arial Narrow" w:hAnsi="Arial Narrow"/>
                <w:i/>
                <w:sz w:val="20"/>
              </w:rPr>
              <w:t>p=0.18</w:t>
            </w:r>
          </w:p>
        </w:tc>
      </w:tr>
    </w:tbl>
    <w:p w14:paraId="5355E7DE" w14:textId="77777777" w:rsidR="00CE1D7D" w:rsidRPr="0099245B" w:rsidRDefault="00CE1D7D" w:rsidP="00CE1D7D">
      <w:pPr>
        <w:keepNext/>
        <w:keepLines/>
        <w:rPr>
          <w:rFonts w:ascii="Arial Narrow" w:hAnsi="Arial Narrow" w:cs="Arial"/>
          <w:i/>
          <w:sz w:val="20"/>
        </w:rPr>
      </w:pPr>
      <w:r w:rsidRPr="0099245B">
        <w:rPr>
          <w:rFonts w:ascii="Arial Narrow" w:hAnsi="Arial Narrow" w:cs="Arial"/>
          <w:sz w:val="20"/>
        </w:rPr>
        <w:t>Source: Table B.6-1, p</w:t>
      </w:r>
      <w:r>
        <w:rPr>
          <w:rFonts w:ascii="Arial Narrow" w:hAnsi="Arial Narrow" w:cs="Arial"/>
          <w:sz w:val="20"/>
        </w:rPr>
        <w:t xml:space="preserve">. </w:t>
      </w:r>
      <w:r w:rsidRPr="0099245B">
        <w:rPr>
          <w:rFonts w:ascii="Arial Narrow" w:hAnsi="Arial Narrow" w:cs="Arial"/>
          <w:sz w:val="20"/>
        </w:rPr>
        <w:t>88 of the assessment report/</w:t>
      </w:r>
      <w:r w:rsidRPr="0099245B">
        <w:rPr>
          <w:rFonts w:ascii="Arial Narrow" w:hAnsi="Arial Narrow" w:cs="Arial"/>
          <w:i/>
          <w:sz w:val="20"/>
        </w:rPr>
        <w:t>populated during the evaluation</w:t>
      </w:r>
      <w:r>
        <w:rPr>
          <w:rFonts w:ascii="Arial Narrow" w:hAnsi="Arial Narrow" w:cs="Arial"/>
          <w:i/>
          <w:sz w:val="20"/>
        </w:rPr>
        <w:t>.</w:t>
      </w:r>
    </w:p>
    <w:p w14:paraId="21AD0478" w14:textId="77777777" w:rsidR="00CE1D7D" w:rsidRPr="0099245B" w:rsidRDefault="00CE1D7D" w:rsidP="00CE1D7D">
      <w:pPr>
        <w:keepNext/>
        <w:keepLines/>
        <w:rPr>
          <w:rFonts w:ascii="Arial Narrow" w:hAnsi="Arial Narrow" w:cs="Arial"/>
          <w:sz w:val="20"/>
        </w:rPr>
      </w:pPr>
      <w:r>
        <w:rPr>
          <w:rFonts w:ascii="Arial Narrow" w:hAnsi="Arial Narrow" w:cs="Arial"/>
          <w:sz w:val="20"/>
        </w:rPr>
        <w:t>CI=</w:t>
      </w:r>
      <w:r w:rsidRPr="0099245B">
        <w:rPr>
          <w:rFonts w:ascii="Arial Narrow" w:hAnsi="Arial Narrow" w:cs="Arial"/>
          <w:sz w:val="20"/>
        </w:rPr>
        <w:t>confidence interval;</w:t>
      </w:r>
      <w:r>
        <w:rPr>
          <w:rFonts w:ascii="Arial Narrow" w:hAnsi="Arial Narrow" w:cs="Arial"/>
          <w:sz w:val="20"/>
        </w:rPr>
        <w:t xml:space="preserve"> MACE=</w:t>
      </w:r>
      <w:r w:rsidRPr="0099245B">
        <w:rPr>
          <w:rFonts w:ascii="Arial Narrow" w:hAnsi="Arial Narrow" w:cs="Arial"/>
          <w:sz w:val="20"/>
        </w:rPr>
        <w:t>major adverse cardiac event</w:t>
      </w:r>
      <w:r>
        <w:rPr>
          <w:rFonts w:ascii="Arial Narrow" w:hAnsi="Arial Narrow" w:cs="Arial"/>
          <w:sz w:val="20"/>
        </w:rPr>
        <w:t>s; MI=myocardial infarction.</w:t>
      </w:r>
    </w:p>
    <w:p w14:paraId="05913AC0" w14:textId="77777777" w:rsidR="00CE1D7D" w:rsidRPr="0099245B" w:rsidRDefault="00CE1D7D" w:rsidP="00CE1D7D">
      <w:pPr>
        <w:keepNext/>
        <w:keepLines/>
        <w:rPr>
          <w:rFonts w:ascii="Arial Narrow" w:hAnsi="Arial Narrow" w:cs="Arial"/>
          <w:sz w:val="20"/>
        </w:rPr>
      </w:pPr>
      <w:r w:rsidRPr="0099245B">
        <w:rPr>
          <w:rFonts w:ascii="Arial Narrow" w:hAnsi="Arial Narrow" w:cs="Arial"/>
          <w:sz w:val="20"/>
        </w:rPr>
        <w:t>*</w:t>
      </w:r>
      <w:r w:rsidRPr="0099245B">
        <w:rPr>
          <w:rFonts w:ascii="Arial Narrow" w:hAnsi="Arial Narrow" w:cs="Arial"/>
          <w:i/>
          <w:sz w:val="20"/>
        </w:rPr>
        <w:t xml:space="preserve">The odds ratio for MACE rate was presented differently in text and tables within the original publication and could not be verified; </w:t>
      </w:r>
      <w:r>
        <w:rPr>
          <w:rFonts w:ascii="Arial Narrow" w:hAnsi="Arial Narrow" w:cs="Arial"/>
          <w:i/>
          <w:sz w:val="20"/>
        </w:rPr>
        <w:t>therefore</w:t>
      </w:r>
      <w:r w:rsidRPr="0099245B">
        <w:rPr>
          <w:rFonts w:ascii="Arial Narrow" w:hAnsi="Arial Narrow" w:cs="Arial"/>
          <w:i/>
          <w:sz w:val="20"/>
        </w:rPr>
        <w:t>, both estimates are presented.</w:t>
      </w:r>
    </w:p>
    <w:p w14:paraId="2F879258" w14:textId="77777777" w:rsidR="00CE1D7D" w:rsidRPr="0099245B" w:rsidRDefault="00CE1D7D" w:rsidP="00CE1D7D">
      <w:pPr>
        <w:rPr>
          <w:i/>
        </w:rPr>
      </w:pPr>
    </w:p>
    <w:p w14:paraId="7F061574" w14:textId="77777777" w:rsidR="00CE1D7D" w:rsidRPr="00810363" w:rsidRDefault="00CE1D7D" w:rsidP="00325C0F">
      <w:r w:rsidRPr="00810363">
        <w:t xml:space="preserve">The assessment report does not address discrepancies in reporting within the meta-analysis or note that confidence intervals associated with the odds ratios generated by random and fixed effects models are wide with upper boundaries approaching 1 for several outcomes. </w:t>
      </w:r>
    </w:p>
    <w:p w14:paraId="2771FB07" w14:textId="77777777" w:rsidR="00CE1D7D" w:rsidRPr="00810363" w:rsidRDefault="00CE1D7D" w:rsidP="00325C0F"/>
    <w:p w14:paraId="5AB806FF" w14:textId="77777777" w:rsidR="00CE1D7D" w:rsidRPr="00810363" w:rsidRDefault="00CE1D7D" w:rsidP="00325C0F">
      <w:r w:rsidRPr="00810363">
        <w:t>The results of the Parise et al. (2011) meta-analysis as they pertain to statements in the assessment report are as follows:</w:t>
      </w:r>
    </w:p>
    <w:p w14:paraId="60F13B1A" w14:textId="77777777" w:rsidR="00CE1D7D" w:rsidRPr="00810363" w:rsidRDefault="00CE1D7D" w:rsidP="00325C0F">
      <w:pPr>
        <w:numPr>
          <w:ilvl w:val="0"/>
          <w:numId w:val="30"/>
        </w:numPr>
        <w:spacing w:after="200"/>
        <w:contextualSpacing/>
      </w:pPr>
      <w:r w:rsidRPr="00810363">
        <w:t xml:space="preserve">For the protocol-specified primary endpoint of late stent thrombosis/restenosis, the meta-analysis found the odds ratio for 6-month angiographic restenosis, among six studies reporting this outcome, to be 0.64 (95% CI: 0.42-0.96) in favour of IVUS guidance. This supports the claim of improved 6-month angiographic restenosis with IVUS; however, it should be noted that the confidence interval approaches 1, indicating that the true population effect could be as much as patients with IVUS guidance being 58 per cent less likely to show 6-month angiographic restenosis or as little as 4 per cent less likely to show 6-month angiographic restenosis. </w:t>
      </w:r>
    </w:p>
    <w:p w14:paraId="217545D0" w14:textId="77777777" w:rsidR="00CE1D7D" w:rsidRPr="00810363" w:rsidRDefault="00CE1D7D" w:rsidP="00325C0F">
      <w:pPr>
        <w:numPr>
          <w:ilvl w:val="0"/>
          <w:numId w:val="30"/>
        </w:numPr>
        <w:spacing w:after="200"/>
        <w:contextualSpacing/>
      </w:pPr>
      <w:r w:rsidRPr="00810363">
        <w:lastRenderedPageBreak/>
        <w:t xml:space="preserve">The statement that 12-month revascularisation rates were significantly reduced with IVUS guidance as compared to angiography could not be validated. The included studies with follow-up ranging from 6 months to 2.5 years, and the majority of included studies, reported results at less than 1 year; therefore, no odds ratio for 12-month revascularisation rates was reported. Rather, the Parise et al. (2011) analysis largely utilised imputed 12-month repeat revascularisation rates based on the shape of Kaplan-Meier curves. The reported/imputed 12-month revascularisation rate odds ratio was given as 0.66 (95% CI: 0.48-0.91) in favour of IVUS. The odds ratio for revascularisation (reported not imputed) was presented differently in text and tables within the original publication and therefore could not be verified. The direction of effect associated with both reported odds ratios was in favour of IVUS guidance, and confidence intervals reported had lower and upper boundaries of between 0.46 and 0.91 respectively. </w:t>
      </w:r>
    </w:p>
    <w:p w14:paraId="2B040F96" w14:textId="77777777" w:rsidR="00CE1D7D" w:rsidRPr="00810363" w:rsidRDefault="00CE1D7D" w:rsidP="00325C0F">
      <w:pPr>
        <w:numPr>
          <w:ilvl w:val="0"/>
          <w:numId w:val="30"/>
        </w:numPr>
        <w:spacing w:after="200"/>
        <w:contextualSpacing/>
      </w:pPr>
      <w:r w:rsidRPr="00810363">
        <w:t xml:space="preserve">The odds ratio for MACE rate was presented differently in text and tables within the original publication and therefore could not be verified. The direction of effect associated with both reported odds ratios was in favour of IVUS guidance. The odds ratio was reported as both 0.72 and 0.69 with confidence intervals with lower and upper boundaries of 0.52 to 0.99 and 0.49 and 0.97 respectively. </w:t>
      </w:r>
    </w:p>
    <w:p w14:paraId="55D6AADC" w14:textId="77777777" w:rsidR="00CE1D7D" w:rsidRPr="00810363" w:rsidRDefault="00CE1D7D" w:rsidP="00325C0F">
      <w:pPr>
        <w:numPr>
          <w:ilvl w:val="0"/>
          <w:numId w:val="30"/>
        </w:numPr>
        <w:spacing w:after="200"/>
        <w:contextualSpacing/>
      </w:pPr>
      <w:r w:rsidRPr="00810363">
        <w:t xml:space="preserve">The odds ratio for MI was 0.67 (95% CI: 0.34-1.34) and therefore is inconclusive. </w:t>
      </w:r>
    </w:p>
    <w:p w14:paraId="27658AB2" w14:textId="77777777" w:rsidR="00CE1D7D" w:rsidRPr="00810363" w:rsidRDefault="00CE1D7D" w:rsidP="00325C0F">
      <w:pPr>
        <w:numPr>
          <w:ilvl w:val="0"/>
          <w:numId w:val="30"/>
        </w:numPr>
        <w:spacing w:after="200"/>
        <w:contextualSpacing/>
      </w:pPr>
      <w:r w:rsidRPr="00810363">
        <w:t xml:space="preserve">The odds ratio for death was 1.48 (95% CI: 0.81-2.69) and therefore is inconclusive. </w:t>
      </w:r>
    </w:p>
    <w:p w14:paraId="7D86A128" w14:textId="77777777" w:rsidR="00CE1D7D" w:rsidRPr="00810363" w:rsidRDefault="00CE1D7D" w:rsidP="00CE1D7D"/>
    <w:p w14:paraId="30E17B36" w14:textId="77777777" w:rsidR="00CE1D7D" w:rsidRPr="00D03709" w:rsidRDefault="00CE1D7D" w:rsidP="00CE1D7D">
      <w:r w:rsidRPr="00810363">
        <w:t>The Parise et al. (2011) meta-analysis also conducted a sensitivity analysis by removing the SIPS trial because this trial contained patients who did not receive stenting as a therapy. No change in direction of effect was observed.</w:t>
      </w:r>
      <w:r w:rsidRPr="00D03709">
        <w:rPr>
          <w:i/>
        </w:rPr>
        <w:t xml:space="preserve"> </w:t>
      </w:r>
    </w:p>
    <w:p w14:paraId="55408DDF" w14:textId="77777777" w:rsidR="00CE1D7D" w:rsidRPr="0099245B" w:rsidRDefault="00CE1D7D" w:rsidP="00CE1D7D"/>
    <w:p w14:paraId="288F9A40" w14:textId="77777777" w:rsidR="00CE1D7D" w:rsidRPr="0099245B" w:rsidRDefault="00CE1D7D" w:rsidP="00CE1D7D">
      <w:r w:rsidRPr="0099245B">
        <w:t xml:space="preserve">The assessment report presents the results of meta-analyses published by </w:t>
      </w:r>
      <w:proofErr w:type="spellStart"/>
      <w:r w:rsidRPr="0099245B">
        <w:t>Ahn</w:t>
      </w:r>
      <w:proofErr w:type="spellEnd"/>
      <w:r w:rsidRPr="0099245B">
        <w:t xml:space="preserve"> </w:t>
      </w:r>
      <w:r>
        <w:t>et al.</w:t>
      </w:r>
      <w:r w:rsidRPr="0099245B">
        <w:t xml:space="preserve"> (2014) of IVUS guidance compared to angiography for DES. Additionally</w:t>
      </w:r>
      <w:r>
        <w:t>,</w:t>
      </w:r>
      <w:r w:rsidRPr="0099245B">
        <w:t xml:space="preserve"> the assessment report presents results of a meta-analysis conducted by the applicant using only the RCT evidence for studies using DES. </w:t>
      </w:r>
    </w:p>
    <w:p w14:paraId="281D54DB" w14:textId="77777777" w:rsidR="00CE1D7D" w:rsidRPr="0099245B" w:rsidRDefault="00CE1D7D" w:rsidP="00CE1D7D"/>
    <w:p w14:paraId="084D139A" w14:textId="77777777" w:rsidR="00CE1D7D" w:rsidRDefault="00CE1D7D" w:rsidP="00CE1D7D">
      <w:r w:rsidRPr="0099245B">
        <w:t>The assessment report states that</w:t>
      </w:r>
      <w:r>
        <w:t>:</w:t>
      </w:r>
      <w:r w:rsidRPr="0099245B">
        <w:t xml:space="preserve"> </w:t>
      </w:r>
    </w:p>
    <w:p w14:paraId="0FF5BDB6" w14:textId="77777777" w:rsidR="00CE1D7D" w:rsidRPr="0076369D" w:rsidRDefault="00CE1D7D" w:rsidP="00CE1D7D">
      <w:pPr>
        <w:ind w:left="567"/>
        <w:rPr>
          <w:sz w:val="22"/>
          <w:szCs w:val="22"/>
        </w:rPr>
      </w:pPr>
      <w:r w:rsidRPr="0076369D">
        <w:rPr>
          <w:sz w:val="22"/>
          <w:szCs w:val="22"/>
        </w:rPr>
        <w:t xml:space="preserve">The meta-analyses by </w:t>
      </w:r>
      <w:proofErr w:type="spellStart"/>
      <w:r w:rsidRPr="0076369D">
        <w:rPr>
          <w:sz w:val="22"/>
          <w:szCs w:val="22"/>
        </w:rPr>
        <w:t>Ahn</w:t>
      </w:r>
      <w:proofErr w:type="spellEnd"/>
      <w:r w:rsidRPr="0076369D">
        <w:rPr>
          <w:sz w:val="22"/>
          <w:szCs w:val="22"/>
        </w:rPr>
        <w:t xml:space="preserve"> and colleagues showed that IVUS guidance for PCI was associated with a significantly reduced risk of death, MI, ST, and target lesion revascularisation (TLR) – as well as a lower risk of the composite of death, MI, or repeated revascularisation (MACE) – over a follow-up period of 12 months to 4 years. </w:t>
      </w:r>
    </w:p>
    <w:p w14:paraId="617B9C86" w14:textId="77777777" w:rsidR="00CE1D7D" w:rsidRPr="0099245B" w:rsidRDefault="00CE1D7D" w:rsidP="00CE1D7D">
      <w:pPr>
        <w:ind w:left="720"/>
        <w:contextualSpacing/>
      </w:pPr>
    </w:p>
    <w:p w14:paraId="5E309D5D" w14:textId="77777777" w:rsidR="00CE1D7D" w:rsidRPr="0099245B" w:rsidRDefault="00CE1D7D" w:rsidP="00CE1D7D">
      <w:pPr>
        <w:contextualSpacing/>
        <w:rPr>
          <w:i/>
        </w:rPr>
      </w:pPr>
      <w:r w:rsidRPr="0099245B">
        <w:t>The assessment report also presents the results of a meta-analysis done using only data from the three RCTs. In the summary of these meta-analyses</w:t>
      </w:r>
      <w:r>
        <w:t>,</w:t>
      </w:r>
      <w:r w:rsidRPr="0099245B">
        <w:t xml:space="preserve"> the assessment report concludes that</w:t>
      </w:r>
      <w:r>
        <w:t xml:space="preserve">, compared to angiographic-guided PCI, </w:t>
      </w:r>
      <w:r w:rsidRPr="0099245B">
        <w:t xml:space="preserve">IVUS-guided PCI was associated with a reduced risk of mortality, TLR and </w:t>
      </w:r>
      <w:r w:rsidRPr="00285C54">
        <w:t xml:space="preserve">target </w:t>
      </w:r>
      <w:r>
        <w:t>vessel</w:t>
      </w:r>
      <w:r w:rsidRPr="00285C54">
        <w:t xml:space="preserve"> revascularisation </w:t>
      </w:r>
      <w:r>
        <w:t>(</w:t>
      </w:r>
      <w:r w:rsidRPr="0099245B">
        <w:t>TVR</w:t>
      </w:r>
      <w:r>
        <w:t>),</w:t>
      </w:r>
      <w:r w:rsidRPr="0099245B">
        <w:t xml:space="preserve"> and MI. </w:t>
      </w:r>
    </w:p>
    <w:p w14:paraId="0A11ED14" w14:textId="77777777" w:rsidR="00CE1D7D" w:rsidRPr="0099245B" w:rsidRDefault="00CE1D7D" w:rsidP="00CE1D7D">
      <w:pPr>
        <w:rPr>
          <w:i/>
        </w:rPr>
      </w:pPr>
    </w:p>
    <w:p w14:paraId="6CC0C824" w14:textId="77777777" w:rsidR="00CE1D7D" w:rsidRDefault="00CE1D7D" w:rsidP="00CE1D7D">
      <w:r w:rsidRPr="0099245B">
        <w:t xml:space="preserve">The results of the meta-analyses as they pertain to outcomes specified in the protocol are presented in the </w:t>
      </w:r>
      <w:r w:rsidRPr="00782CD9">
        <w:t>tables</w:t>
      </w:r>
      <w:r w:rsidRPr="0099245B">
        <w:t xml:space="preserve"> below. </w:t>
      </w:r>
    </w:p>
    <w:p w14:paraId="3ACB0FE7" w14:textId="77777777" w:rsidR="00CE1D7D" w:rsidRDefault="00CE1D7D" w:rsidP="00CE1D7D"/>
    <w:p w14:paraId="55A7E005" w14:textId="77777777" w:rsidR="00F60DF2" w:rsidRDefault="00F60DF2">
      <w:pPr>
        <w:rPr>
          <w:rFonts w:ascii="Arial Narrow" w:hAnsi="Arial Narrow"/>
          <w:b/>
          <w:sz w:val="20"/>
        </w:rPr>
      </w:pPr>
      <w:r>
        <w:rPr>
          <w:rFonts w:ascii="Arial Narrow" w:hAnsi="Arial Narrow"/>
          <w:b/>
          <w:sz w:val="20"/>
        </w:rPr>
        <w:br w:type="page"/>
      </w:r>
    </w:p>
    <w:p w14:paraId="1B2DF074" w14:textId="334E15D2" w:rsidR="00CE1D7D" w:rsidRPr="0053156E" w:rsidRDefault="00CE1D7D" w:rsidP="00CE1D7D">
      <w:pPr>
        <w:rPr>
          <w:rFonts w:ascii="Arial Narrow" w:hAnsi="Arial Narrow"/>
          <w:b/>
          <w:sz w:val="20"/>
        </w:rPr>
      </w:pPr>
      <w:r>
        <w:rPr>
          <w:rFonts w:ascii="Arial Narrow" w:hAnsi="Arial Narrow"/>
          <w:b/>
          <w:sz w:val="20"/>
        </w:rPr>
        <w:lastRenderedPageBreak/>
        <w:t>Table 3</w:t>
      </w:r>
      <w:r w:rsidRPr="0053156E">
        <w:rPr>
          <w:rFonts w:ascii="Arial Narrow" w:hAnsi="Arial Narrow"/>
          <w:b/>
          <w:sz w:val="20"/>
        </w:rPr>
        <w:t>: Results of the meta-analyses (</w:t>
      </w:r>
      <w:proofErr w:type="spellStart"/>
      <w:r w:rsidRPr="0053156E">
        <w:rPr>
          <w:rFonts w:ascii="Arial Narrow" w:hAnsi="Arial Narrow"/>
          <w:b/>
          <w:sz w:val="20"/>
        </w:rPr>
        <w:t>Ahn</w:t>
      </w:r>
      <w:proofErr w:type="spellEnd"/>
      <w:r w:rsidRPr="0053156E">
        <w:rPr>
          <w:rFonts w:ascii="Arial Narrow" w:hAnsi="Arial Narrow"/>
          <w:b/>
          <w:sz w:val="20"/>
        </w:rPr>
        <w:t xml:space="preserve"> </w:t>
      </w:r>
      <w:r>
        <w:rPr>
          <w:rFonts w:ascii="Arial Narrow" w:hAnsi="Arial Narrow"/>
          <w:b/>
          <w:sz w:val="20"/>
        </w:rPr>
        <w:t>et al.</w:t>
      </w:r>
      <w:r w:rsidRPr="0053156E">
        <w:rPr>
          <w:rFonts w:ascii="Arial Narrow" w:hAnsi="Arial Narrow"/>
          <w:b/>
          <w:sz w:val="20"/>
        </w:rPr>
        <w:t xml:space="preserve"> 2014 and the assessment report) for angiographic restenosis and rates of repeat revascularisation</w:t>
      </w:r>
    </w:p>
    <w:tbl>
      <w:tblPr>
        <w:tblStyle w:val="TableGrid"/>
        <w:tblW w:w="5000" w:type="pct"/>
        <w:tblLook w:val="01E0" w:firstRow="1" w:lastRow="1" w:firstColumn="1" w:lastColumn="1" w:noHBand="0" w:noVBand="0"/>
        <w:tblCaption w:val="Results of the meta-analyses for angiographic restenosis and rates of repeat revascularisation"/>
        <w:tblDescription w:val="The Results of the meta-analyses -Ahn et al. 2014 and the assessment report- for angiographic restenosis and rates of repeat revascularisation. Source: Table B.6-1, p88 of the assessment report/Figures B.6-1 to B.6-3 of the assessment report, p89-91"/>
      </w:tblPr>
      <w:tblGrid>
        <w:gridCol w:w="2538"/>
        <w:gridCol w:w="3353"/>
        <w:gridCol w:w="3351"/>
      </w:tblGrid>
      <w:tr w:rsidR="00CE1D7D" w:rsidRPr="0099245B" w14:paraId="2B44F520" w14:textId="77777777" w:rsidTr="009D31FD">
        <w:trPr>
          <w:tblHeader/>
        </w:trPr>
        <w:tc>
          <w:tcPr>
            <w:tcW w:w="1373" w:type="pct"/>
          </w:tcPr>
          <w:p w14:paraId="4C6E5C52" w14:textId="77777777" w:rsidR="00CE1D7D" w:rsidRPr="0099245B" w:rsidRDefault="00CE1D7D" w:rsidP="00E72089">
            <w:pPr>
              <w:keepNext/>
              <w:rPr>
                <w:rFonts w:ascii="Arial Narrow" w:hAnsi="Arial Narrow" w:cs="Arial"/>
                <w:b/>
              </w:rPr>
            </w:pPr>
            <w:r w:rsidRPr="0099245B">
              <w:rPr>
                <w:rFonts w:ascii="Arial Narrow" w:hAnsi="Arial Narrow" w:cs="Arial"/>
                <w:b/>
                <w:sz w:val="20"/>
              </w:rPr>
              <w:t>Outcome</w:t>
            </w:r>
          </w:p>
        </w:tc>
        <w:tc>
          <w:tcPr>
            <w:tcW w:w="1814" w:type="pct"/>
          </w:tcPr>
          <w:p w14:paraId="40D888E3"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Odds ratio (95% CI)</w:t>
            </w:r>
          </w:p>
        </w:tc>
        <w:tc>
          <w:tcPr>
            <w:tcW w:w="1813" w:type="pct"/>
          </w:tcPr>
          <w:p w14:paraId="4E0830CD"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Test of significance</w:t>
            </w:r>
          </w:p>
        </w:tc>
      </w:tr>
      <w:tr w:rsidR="00CE1D7D" w:rsidRPr="0099245B" w14:paraId="3603D99C" w14:textId="77777777" w:rsidTr="009D31FD">
        <w:trPr>
          <w:tblHeader/>
        </w:trPr>
        <w:tc>
          <w:tcPr>
            <w:tcW w:w="1373" w:type="pct"/>
          </w:tcPr>
          <w:p w14:paraId="0F7C9F80" w14:textId="77777777" w:rsidR="00CE1D7D" w:rsidRPr="0099245B" w:rsidRDefault="00CE1D7D" w:rsidP="00E72089">
            <w:pPr>
              <w:rPr>
                <w:rFonts w:ascii="Arial Narrow" w:hAnsi="Arial Narrow"/>
                <w:sz w:val="20"/>
                <w:u w:val="single"/>
              </w:rPr>
            </w:pPr>
            <w:proofErr w:type="spellStart"/>
            <w:r w:rsidRPr="0099245B">
              <w:rPr>
                <w:rFonts w:ascii="Arial Narrow" w:hAnsi="Arial Narrow"/>
                <w:sz w:val="20"/>
                <w:u w:val="single"/>
              </w:rPr>
              <w:t>Ahn</w:t>
            </w:r>
            <w:proofErr w:type="spellEnd"/>
            <w:r w:rsidRPr="0099245B">
              <w:rPr>
                <w:rFonts w:ascii="Arial Narrow" w:hAnsi="Arial Narrow"/>
                <w:sz w:val="20"/>
                <w:u w:val="single"/>
              </w:rPr>
              <w:t xml:space="preserve"> </w:t>
            </w:r>
            <w:r>
              <w:rPr>
                <w:rFonts w:ascii="Arial Narrow" w:hAnsi="Arial Narrow"/>
                <w:sz w:val="20"/>
                <w:u w:val="single"/>
              </w:rPr>
              <w:t>et al.</w:t>
            </w:r>
            <w:r w:rsidRPr="0099245B">
              <w:rPr>
                <w:rFonts w:ascii="Arial Narrow" w:hAnsi="Arial Narrow"/>
                <w:sz w:val="20"/>
                <w:u w:val="single"/>
              </w:rPr>
              <w:t xml:space="preserve"> </w:t>
            </w:r>
            <w:r>
              <w:rPr>
                <w:rFonts w:ascii="Arial Narrow" w:hAnsi="Arial Narrow"/>
                <w:sz w:val="20"/>
                <w:u w:val="single"/>
              </w:rPr>
              <w:t>(</w:t>
            </w:r>
            <w:r w:rsidRPr="0099245B">
              <w:rPr>
                <w:rFonts w:ascii="Arial Narrow" w:hAnsi="Arial Narrow"/>
                <w:sz w:val="20"/>
                <w:u w:val="single"/>
              </w:rPr>
              <w:t>2014</w:t>
            </w:r>
            <w:r>
              <w:rPr>
                <w:rFonts w:ascii="Arial Narrow" w:hAnsi="Arial Narrow"/>
                <w:sz w:val="20"/>
                <w:u w:val="single"/>
              </w:rPr>
              <w:t>)</w:t>
            </w:r>
          </w:p>
          <w:p w14:paraId="3AFFA0EE" w14:textId="77777777" w:rsidR="00CE1D7D" w:rsidRPr="0099245B" w:rsidRDefault="00CE1D7D" w:rsidP="00E72089">
            <w:pPr>
              <w:rPr>
                <w:rFonts w:ascii="Arial Narrow" w:hAnsi="Arial Narrow"/>
                <w:sz w:val="20"/>
              </w:rPr>
            </w:pPr>
            <w:r>
              <w:rPr>
                <w:rFonts w:ascii="Arial Narrow" w:hAnsi="Arial Narrow"/>
                <w:sz w:val="20"/>
              </w:rPr>
              <w:t>Rates of repeat TLR</w:t>
            </w:r>
          </w:p>
        </w:tc>
        <w:tc>
          <w:tcPr>
            <w:tcW w:w="1814" w:type="pct"/>
          </w:tcPr>
          <w:p w14:paraId="7BCDA379" w14:textId="77777777" w:rsidR="00CE1D7D" w:rsidRPr="0099245B" w:rsidRDefault="00CE1D7D" w:rsidP="00E72089">
            <w:pPr>
              <w:rPr>
                <w:rFonts w:ascii="Arial Narrow" w:hAnsi="Arial Narrow"/>
                <w:sz w:val="20"/>
              </w:rPr>
            </w:pPr>
            <w:r w:rsidRPr="0099245B">
              <w:rPr>
                <w:rFonts w:ascii="Arial Narrow" w:hAnsi="Arial Narrow"/>
                <w:sz w:val="20"/>
              </w:rPr>
              <w:t>0.81 (0.66-1.0)</w:t>
            </w:r>
          </w:p>
        </w:tc>
        <w:tc>
          <w:tcPr>
            <w:tcW w:w="1813" w:type="pct"/>
          </w:tcPr>
          <w:p w14:paraId="1B055112" w14:textId="77777777" w:rsidR="00CE1D7D" w:rsidRPr="0099245B" w:rsidRDefault="00CE1D7D" w:rsidP="00E72089">
            <w:pPr>
              <w:rPr>
                <w:rFonts w:ascii="Arial Narrow" w:hAnsi="Arial Narrow"/>
                <w:sz w:val="20"/>
              </w:rPr>
            </w:pPr>
            <w:r w:rsidRPr="0099245B">
              <w:rPr>
                <w:rFonts w:ascii="Arial Narrow" w:hAnsi="Arial Narrow"/>
                <w:sz w:val="20"/>
              </w:rPr>
              <w:t>p=0.046</w:t>
            </w:r>
          </w:p>
        </w:tc>
      </w:tr>
      <w:tr w:rsidR="00CE1D7D" w:rsidRPr="0099245B" w14:paraId="2DDBF13B" w14:textId="77777777" w:rsidTr="009D31FD">
        <w:trPr>
          <w:tblHeader/>
        </w:trPr>
        <w:tc>
          <w:tcPr>
            <w:tcW w:w="1373" w:type="pct"/>
          </w:tcPr>
          <w:p w14:paraId="4CC006BE" w14:textId="77777777" w:rsidR="00CE1D7D" w:rsidRPr="0099245B" w:rsidRDefault="00CE1D7D" w:rsidP="00E72089">
            <w:pPr>
              <w:rPr>
                <w:rFonts w:ascii="Arial Narrow" w:hAnsi="Arial Narrow"/>
                <w:sz w:val="20"/>
                <w:u w:val="single"/>
              </w:rPr>
            </w:pPr>
            <w:proofErr w:type="spellStart"/>
            <w:r w:rsidRPr="0099245B">
              <w:rPr>
                <w:rFonts w:ascii="Arial Narrow" w:hAnsi="Arial Narrow"/>
                <w:sz w:val="20"/>
                <w:u w:val="single"/>
              </w:rPr>
              <w:t>Ahn</w:t>
            </w:r>
            <w:proofErr w:type="spellEnd"/>
            <w:r w:rsidRPr="0099245B">
              <w:rPr>
                <w:rFonts w:ascii="Arial Narrow" w:hAnsi="Arial Narrow"/>
                <w:sz w:val="20"/>
                <w:u w:val="single"/>
              </w:rPr>
              <w:t xml:space="preserve"> </w:t>
            </w:r>
            <w:r>
              <w:rPr>
                <w:rFonts w:ascii="Arial Narrow" w:hAnsi="Arial Narrow"/>
                <w:sz w:val="20"/>
                <w:u w:val="single"/>
              </w:rPr>
              <w:t>et al.</w:t>
            </w:r>
            <w:r w:rsidRPr="0099245B">
              <w:rPr>
                <w:rFonts w:ascii="Arial Narrow" w:hAnsi="Arial Narrow"/>
                <w:sz w:val="20"/>
                <w:u w:val="single"/>
              </w:rPr>
              <w:t xml:space="preserve"> </w:t>
            </w:r>
            <w:r>
              <w:rPr>
                <w:rFonts w:ascii="Arial Narrow" w:hAnsi="Arial Narrow"/>
                <w:sz w:val="20"/>
                <w:u w:val="single"/>
              </w:rPr>
              <w:t>(</w:t>
            </w:r>
            <w:r w:rsidRPr="0099245B">
              <w:rPr>
                <w:rFonts w:ascii="Arial Narrow" w:hAnsi="Arial Narrow"/>
                <w:sz w:val="20"/>
                <w:u w:val="single"/>
              </w:rPr>
              <w:t>2014</w:t>
            </w:r>
            <w:r>
              <w:rPr>
                <w:rFonts w:ascii="Arial Narrow" w:hAnsi="Arial Narrow"/>
                <w:sz w:val="20"/>
                <w:u w:val="single"/>
              </w:rPr>
              <w:t>)</w:t>
            </w:r>
          </w:p>
          <w:p w14:paraId="7DCF9564" w14:textId="77777777" w:rsidR="00CE1D7D" w:rsidRPr="0099245B" w:rsidRDefault="00CE1D7D" w:rsidP="00E72089">
            <w:pPr>
              <w:rPr>
                <w:rFonts w:ascii="Arial Narrow" w:hAnsi="Arial Narrow"/>
                <w:sz w:val="20"/>
              </w:rPr>
            </w:pPr>
            <w:r w:rsidRPr="0099245B">
              <w:rPr>
                <w:rFonts w:ascii="Arial Narrow" w:hAnsi="Arial Narrow"/>
                <w:sz w:val="20"/>
              </w:rPr>
              <w:t>Rat</w:t>
            </w:r>
            <w:r>
              <w:rPr>
                <w:rFonts w:ascii="Arial Narrow" w:hAnsi="Arial Narrow"/>
                <w:sz w:val="20"/>
              </w:rPr>
              <w:t>es of repeat revascularisation TVR</w:t>
            </w:r>
          </w:p>
        </w:tc>
        <w:tc>
          <w:tcPr>
            <w:tcW w:w="1814" w:type="pct"/>
          </w:tcPr>
          <w:p w14:paraId="1FA30C86" w14:textId="77777777" w:rsidR="00CE1D7D" w:rsidRPr="0099245B" w:rsidRDefault="00CE1D7D" w:rsidP="00E72089">
            <w:pPr>
              <w:rPr>
                <w:rFonts w:ascii="Arial Narrow" w:hAnsi="Arial Narrow"/>
                <w:sz w:val="20"/>
              </w:rPr>
            </w:pPr>
            <w:r w:rsidRPr="0099245B">
              <w:rPr>
                <w:rFonts w:ascii="Arial Narrow" w:hAnsi="Arial Narrow"/>
                <w:sz w:val="20"/>
              </w:rPr>
              <w:t>0.82 (0.70-0.97)</w:t>
            </w:r>
          </w:p>
          <w:p w14:paraId="4D24396F" w14:textId="77777777" w:rsidR="00CE1D7D" w:rsidRPr="0099245B" w:rsidRDefault="00CE1D7D" w:rsidP="00E72089">
            <w:pPr>
              <w:rPr>
                <w:rFonts w:ascii="Arial Narrow" w:hAnsi="Arial Narrow"/>
                <w:sz w:val="20"/>
              </w:rPr>
            </w:pPr>
            <w:r w:rsidRPr="0099245B">
              <w:rPr>
                <w:rFonts w:ascii="Arial Narrow" w:hAnsi="Arial Narrow"/>
                <w:sz w:val="20"/>
              </w:rPr>
              <w:t>Favours IVUS</w:t>
            </w:r>
          </w:p>
        </w:tc>
        <w:tc>
          <w:tcPr>
            <w:tcW w:w="1813" w:type="pct"/>
          </w:tcPr>
          <w:p w14:paraId="01BC3F7B" w14:textId="77777777" w:rsidR="00CE1D7D" w:rsidRPr="0099245B" w:rsidRDefault="00CE1D7D" w:rsidP="00E72089">
            <w:pPr>
              <w:rPr>
                <w:rFonts w:ascii="Arial Narrow" w:hAnsi="Arial Narrow"/>
                <w:sz w:val="20"/>
              </w:rPr>
            </w:pPr>
            <w:r w:rsidRPr="0099245B">
              <w:rPr>
                <w:rFonts w:ascii="Arial Narrow" w:hAnsi="Arial Narrow"/>
                <w:sz w:val="20"/>
              </w:rPr>
              <w:t>p=0.022</w:t>
            </w:r>
          </w:p>
        </w:tc>
      </w:tr>
      <w:tr w:rsidR="00CE1D7D" w:rsidRPr="0099245B" w14:paraId="54207672" w14:textId="77777777" w:rsidTr="009D31FD">
        <w:trPr>
          <w:tblHeader/>
        </w:trPr>
        <w:tc>
          <w:tcPr>
            <w:tcW w:w="1373" w:type="pct"/>
          </w:tcPr>
          <w:p w14:paraId="69C229F8" w14:textId="77777777" w:rsidR="00CE1D7D" w:rsidRPr="0099245B" w:rsidRDefault="00CE1D7D" w:rsidP="00E72089">
            <w:pPr>
              <w:rPr>
                <w:rFonts w:ascii="Arial Narrow" w:hAnsi="Arial Narrow"/>
                <w:sz w:val="20"/>
                <w:u w:val="single"/>
              </w:rPr>
            </w:pPr>
            <w:proofErr w:type="spellStart"/>
            <w:r w:rsidRPr="0099245B">
              <w:rPr>
                <w:rFonts w:ascii="Arial Narrow" w:hAnsi="Arial Narrow"/>
                <w:sz w:val="20"/>
                <w:u w:val="single"/>
              </w:rPr>
              <w:t>Ahn</w:t>
            </w:r>
            <w:proofErr w:type="spellEnd"/>
            <w:r w:rsidRPr="0099245B">
              <w:rPr>
                <w:rFonts w:ascii="Arial Narrow" w:hAnsi="Arial Narrow"/>
                <w:sz w:val="20"/>
                <w:u w:val="single"/>
              </w:rPr>
              <w:t xml:space="preserve"> </w:t>
            </w:r>
            <w:r>
              <w:rPr>
                <w:rFonts w:ascii="Arial Narrow" w:hAnsi="Arial Narrow"/>
                <w:sz w:val="20"/>
                <w:u w:val="single"/>
              </w:rPr>
              <w:t>et al.</w:t>
            </w:r>
            <w:r w:rsidRPr="0099245B">
              <w:rPr>
                <w:rFonts w:ascii="Arial Narrow" w:hAnsi="Arial Narrow"/>
                <w:sz w:val="20"/>
                <w:u w:val="single"/>
              </w:rPr>
              <w:t xml:space="preserve"> </w:t>
            </w:r>
            <w:r>
              <w:rPr>
                <w:rFonts w:ascii="Arial Narrow" w:hAnsi="Arial Narrow"/>
                <w:sz w:val="20"/>
                <w:u w:val="single"/>
              </w:rPr>
              <w:t>(</w:t>
            </w:r>
            <w:r w:rsidRPr="0099245B">
              <w:rPr>
                <w:rFonts w:ascii="Arial Narrow" w:hAnsi="Arial Narrow"/>
                <w:sz w:val="20"/>
                <w:u w:val="single"/>
              </w:rPr>
              <w:t>2014</w:t>
            </w:r>
            <w:r>
              <w:rPr>
                <w:rFonts w:ascii="Arial Narrow" w:hAnsi="Arial Narrow"/>
                <w:sz w:val="20"/>
                <w:u w:val="single"/>
              </w:rPr>
              <w:t>)</w:t>
            </w:r>
          </w:p>
          <w:p w14:paraId="58D0EF27" w14:textId="77777777" w:rsidR="00CE1D7D" w:rsidRPr="0099245B" w:rsidRDefault="00CE1D7D" w:rsidP="00E72089">
            <w:pPr>
              <w:rPr>
                <w:rFonts w:ascii="Arial Narrow" w:hAnsi="Arial Narrow"/>
                <w:sz w:val="20"/>
              </w:rPr>
            </w:pPr>
            <w:r w:rsidRPr="0099245B">
              <w:rPr>
                <w:rFonts w:ascii="Arial Narrow" w:hAnsi="Arial Narrow"/>
                <w:sz w:val="20"/>
              </w:rPr>
              <w:t>Stent thrombosis</w:t>
            </w:r>
          </w:p>
        </w:tc>
        <w:tc>
          <w:tcPr>
            <w:tcW w:w="1814" w:type="pct"/>
          </w:tcPr>
          <w:p w14:paraId="62737FC3" w14:textId="77777777" w:rsidR="00CE1D7D" w:rsidRPr="0099245B" w:rsidRDefault="00CE1D7D" w:rsidP="00E72089">
            <w:pPr>
              <w:rPr>
                <w:rFonts w:ascii="Arial Narrow" w:hAnsi="Arial Narrow"/>
                <w:i/>
                <w:sz w:val="20"/>
              </w:rPr>
            </w:pPr>
            <w:r w:rsidRPr="0099245B">
              <w:rPr>
                <w:rFonts w:ascii="Arial Narrow" w:hAnsi="Arial Narrow"/>
                <w:sz w:val="20"/>
              </w:rPr>
              <w:t>0.59 (0.47</w:t>
            </w:r>
            <w:r w:rsidRPr="0099245B">
              <w:rPr>
                <w:rFonts w:ascii="Arial Narrow" w:hAnsi="Arial Narrow"/>
                <w:i/>
                <w:sz w:val="20"/>
              </w:rPr>
              <w:t>–0.75)</w:t>
            </w:r>
          </w:p>
          <w:p w14:paraId="03F93875" w14:textId="77777777" w:rsidR="00CE1D7D" w:rsidRPr="0099245B" w:rsidRDefault="00CE1D7D" w:rsidP="00E72089">
            <w:pPr>
              <w:rPr>
                <w:rFonts w:ascii="Arial Narrow" w:hAnsi="Arial Narrow"/>
                <w:sz w:val="20"/>
              </w:rPr>
            </w:pPr>
            <w:r w:rsidRPr="0099245B">
              <w:rPr>
                <w:rFonts w:ascii="Arial Narrow" w:hAnsi="Arial Narrow"/>
                <w:sz w:val="20"/>
              </w:rPr>
              <w:t>Favours IVUS</w:t>
            </w:r>
          </w:p>
        </w:tc>
        <w:tc>
          <w:tcPr>
            <w:tcW w:w="1813" w:type="pct"/>
          </w:tcPr>
          <w:p w14:paraId="0AF7811A" w14:textId="77777777" w:rsidR="00CE1D7D" w:rsidRPr="0099245B" w:rsidRDefault="00CE1D7D" w:rsidP="00E72089">
            <w:pPr>
              <w:rPr>
                <w:rFonts w:ascii="Arial Narrow" w:hAnsi="Arial Narrow"/>
                <w:sz w:val="20"/>
              </w:rPr>
            </w:pPr>
            <w:r w:rsidRPr="0099245B">
              <w:rPr>
                <w:rFonts w:ascii="Arial Narrow" w:hAnsi="Arial Narrow"/>
                <w:sz w:val="20"/>
              </w:rPr>
              <w:t>p&lt;0.001</w:t>
            </w:r>
          </w:p>
        </w:tc>
      </w:tr>
      <w:tr w:rsidR="00CE1D7D" w:rsidRPr="0099245B" w14:paraId="6241F743" w14:textId="77777777" w:rsidTr="009D31FD">
        <w:trPr>
          <w:tblHeader/>
        </w:trPr>
        <w:tc>
          <w:tcPr>
            <w:tcW w:w="1373" w:type="pct"/>
          </w:tcPr>
          <w:p w14:paraId="7C6CCF7F" w14:textId="2B44261F" w:rsidR="00CE1D7D" w:rsidRPr="0099245B" w:rsidRDefault="003E1DDB" w:rsidP="00E72089">
            <w:pPr>
              <w:rPr>
                <w:rFonts w:ascii="Arial Narrow" w:hAnsi="Arial Narrow"/>
                <w:sz w:val="20"/>
                <w:u w:val="single"/>
              </w:rPr>
            </w:pPr>
            <w:r>
              <w:rPr>
                <w:rFonts w:ascii="Arial Narrow" w:hAnsi="Arial Narrow"/>
                <w:sz w:val="20"/>
                <w:u w:val="single"/>
              </w:rPr>
              <w:t>RCTs only</w:t>
            </w:r>
          </w:p>
          <w:p w14:paraId="75614467" w14:textId="77777777" w:rsidR="00CE1D7D" w:rsidRPr="0099245B" w:rsidRDefault="00CE1D7D" w:rsidP="00E72089">
            <w:pPr>
              <w:rPr>
                <w:rFonts w:ascii="Arial Narrow" w:hAnsi="Arial Narrow"/>
                <w:sz w:val="20"/>
              </w:rPr>
            </w:pPr>
            <w:r w:rsidRPr="0099245B">
              <w:rPr>
                <w:rFonts w:ascii="Arial Narrow" w:hAnsi="Arial Narrow"/>
                <w:sz w:val="20"/>
              </w:rPr>
              <w:t>TLR/TVR</w:t>
            </w:r>
          </w:p>
        </w:tc>
        <w:tc>
          <w:tcPr>
            <w:tcW w:w="1814" w:type="pct"/>
          </w:tcPr>
          <w:p w14:paraId="2F8A1AA1" w14:textId="77777777" w:rsidR="00CE1D7D" w:rsidRPr="0099245B" w:rsidRDefault="00CE1D7D" w:rsidP="00E72089">
            <w:pPr>
              <w:rPr>
                <w:rFonts w:ascii="Arial Narrow" w:hAnsi="Arial Narrow"/>
                <w:sz w:val="20"/>
              </w:rPr>
            </w:pPr>
            <w:r w:rsidRPr="0099245B">
              <w:rPr>
                <w:rFonts w:ascii="Arial Narrow" w:hAnsi="Arial Narrow"/>
                <w:sz w:val="20"/>
              </w:rPr>
              <w:t>0.62 (0.39-1.00)</w:t>
            </w:r>
          </w:p>
          <w:p w14:paraId="602C6C07" w14:textId="77777777" w:rsidR="00CE1D7D" w:rsidRPr="0099245B" w:rsidRDefault="00CE1D7D" w:rsidP="00E72089">
            <w:pPr>
              <w:rPr>
                <w:rFonts w:ascii="Arial Narrow" w:hAnsi="Arial Narrow"/>
                <w:sz w:val="20"/>
              </w:rPr>
            </w:pPr>
          </w:p>
        </w:tc>
        <w:tc>
          <w:tcPr>
            <w:tcW w:w="1813" w:type="pct"/>
          </w:tcPr>
          <w:p w14:paraId="233924B5" w14:textId="77777777" w:rsidR="00CE1D7D" w:rsidRPr="0099245B" w:rsidRDefault="00CE1D7D" w:rsidP="00E72089">
            <w:pPr>
              <w:rPr>
                <w:rFonts w:ascii="Arial Narrow" w:hAnsi="Arial Narrow"/>
                <w:sz w:val="20"/>
              </w:rPr>
            </w:pPr>
            <w:r w:rsidRPr="0099245B">
              <w:rPr>
                <w:rFonts w:ascii="Arial Narrow" w:hAnsi="Arial Narrow"/>
                <w:sz w:val="20"/>
              </w:rPr>
              <w:t>NR</w:t>
            </w:r>
          </w:p>
        </w:tc>
      </w:tr>
    </w:tbl>
    <w:p w14:paraId="17B7B86F" w14:textId="77777777" w:rsidR="00CE1D7D" w:rsidRPr="0099245B" w:rsidRDefault="00CE1D7D" w:rsidP="00CE1D7D">
      <w:pPr>
        <w:keepNext/>
        <w:keepLines/>
        <w:rPr>
          <w:rFonts w:ascii="Arial Narrow" w:hAnsi="Arial Narrow" w:cs="Arial"/>
          <w:sz w:val="20"/>
        </w:rPr>
      </w:pPr>
      <w:r w:rsidRPr="0099245B">
        <w:rPr>
          <w:rFonts w:ascii="Arial Narrow" w:hAnsi="Arial Narrow" w:cs="Arial"/>
          <w:sz w:val="20"/>
        </w:rPr>
        <w:t>Source: Table B.6-1, p</w:t>
      </w:r>
      <w:r>
        <w:rPr>
          <w:rFonts w:ascii="Arial Narrow" w:hAnsi="Arial Narrow" w:cs="Arial"/>
          <w:sz w:val="20"/>
        </w:rPr>
        <w:t>.</w:t>
      </w:r>
      <w:r w:rsidRPr="0099245B">
        <w:rPr>
          <w:rFonts w:ascii="Arial Narrow" w:hAnsi="Arial Narrow" w:cs="Arial"/>
          <w:sz w:val="20"/>
        </w:rPr>
        <w:t>88 of the assessment report/Figures B.6-1 to B.6-3 of the assessment report, p</w:t>
      </w:r>
      <w:r>
        <w:rPr>
          <w:rFonts w:ascii="Arial Narrow" w:hAnsi="Arial Narrow" w:cs="Arial"/>
          <w:sz w:val="20"/>
        </w:rPr>
        <w:t>p.</w:t>
      </w:r>
      <w:r w:rsidRPr="0099245B">
        <w:rPr>
          <w:rFonts w:ascii="Arial Narrow" w:hAnsi="Arial Narrow" w:cs="Arial"/>
          <w:sz w:val="20"/>
        </w:rPr>
        <w:t>89</w:t>
      </w:r>
      <w:r w:rsidRPr="004A2352">
        <w:rPr>
          <w:rFonts w:ascii="Arial Narrow" w:hAnsi="Arial Narrow" w:cs="Arial"/>
          <w:sz w:val="20"/>
        </w:rPr>
        <w:t>–</w:t>
      </w:r>
      <w:r w:rsidRPr="0099245B">
        <w:rPr>
          <w:rFonts w:ascii="Arial Narrow" w:hAnsi="Arial Narrow" w:cs="Arial"/>
          <w:sz w:val="20"/>
        </w:rPr>
        <w:t>91</w:t>
      </w:r>
      <w:r>
        <w:rPr>
          <w:rFonts w:ascii="Arial Narrow" w:hAnsi="Arial Narrow" w:cs="Arial"/>
          <w:sz w:val="20"/>
        </w:rPr>
        <w:t>.</w:t>
      </w:r>
    </w:p>
    <w:p w14:paraId="7E2B2DCC" w14:textId="77777777" w:rsidR="00CE1D7D" w:rsidRPr="0099245B" w:rsidRDefault="00CE1D7D" w:rsidP="00CE1D7D">
      <w:pPr>
        <w:keepNext/>
        <w:keepLines/>
        <w:rPr>
          <w:rFonts w:ascii="Arial Narrow" w:hAnsi="Arial Narrow" w:cs="Arial"/>
          <w:sz w:val="20"/>
        </w:rPr>
      </w:pPr>
      <w:r w:rsidRPr="0099245B">
        <w:rPr>
          <w:rFonts w:ascii="Arial Narrow" w:hAnsi="Arial Narrow" w:cs="Arial"/>
          <w:sz w:val="20"/>
        </w:rPr>
        <w:t xml:space="preserve">CI=confidence interval; </w:t>
      </w:r>
      <w:r>
        <w:rPr>
          <w:rFonts w:ascii="Arial Narrow" w:hAnsi="Arial Narrow" w:cs="Arial"/>
          <w:sz w:val="20"/>
        </w:rPr>
        <w:t>IVUS=</w:t>
      </w:r>
      <w:r w:rsidRPr="00D03709">
        <w:rPr>
          <w:rFonts w:ascii="Arial Narrow" w:hAnsi="Arial Narrow" w:cs="Arial"/>
          <w:sz w:val="20"/>
        </w:rPr>
        <w:t>intravascular ultrasound</w:t>
      </w:r>
      <w:r>
        <w:rPr>
          <w:rFonts w:ascii="Arial Narrow" w:hAnsi="Arial Narrow" w:cs="Arial"/>
          <w:sz w:val="20"/>
        </w:rPr>
        <w:t>;</w:t>
      </w:r>
      <w:r w:rsidRPr="00D03709">
        <w:rPr>
          <w:rFonts w:ascii="Arial Narrow" w:hAnsi="Arial Narrow" w:cs="Arial"/>
          <w:sz w:val="20"/>
        </w:rPr>
        <w:t xml:space="preserve"> </w:t>
      </w:r>
      <w:r w:rsidRPr="0099245B">
        <w:rPr>
          <w:rFonts w:ascii="Arial Narrow" w:hAnsi="Arial Narrow" w:cs="Arial"/>
          <w:sz w:val="20"/>
        </w:rPr>
        <w:t>NR=not reported</w:t>
      </w:r>
      <w:r>
        <w:rPr>
          <w:rFonts w:ascii="Arial Narrow" w:hAnsi="Arial Narrow" w:cs="Arial"/>
          <w:sz w:val="20"/>
        </w:rPr>
        <w:t>; TLR=</w:t>
      </w:r>
      <w:r w:rsidRPr="00FC5B65">
        <w:rPr>
          <w:rFonts w:ascii="Arial Narrow" w:hAnsi="Arial Narrow" w:cs="Arial"/>
          <w:sz w:val="20"/>
        </w:rPr>
        <w:t>target lesion revascularisation</w:t>
      </w:r>
      <w:r>
        <w:rPr>
          <w:rFonts w:ascii="Arial Narrow" w:hAnsi="Arial Narrow" w:cs="Arial"/>
          <w:sz w:val="20"/>
        </w:rPr>
        <w:t>; TVR=target vessel</w:t>
      </w:r>
      <w:r w:rsidRPr="00FC5B65">
        <w:rPr>
          <w:rFonts w:ascii="Arial Narrow" w:hAnsi="Arial Narrow" w:cs="Arial"/>
          <w:sz w:val="20"/>
        </w:rPr>
        <w:t xml:space="preserve"> revascularisation</w:t>
      </w:r>
      <w:r>
        <w:rPr>
          <w:rFonts w:ascii="Arial Narrow" w:hAnsi="Arial Narrow" w:cs="Arial"/>
          <w:sz w:val="20"/>
        </w:rPr>
        <w:t>.</w:t>
      </w:r>
    </w:p>
    <w:p w14:paraId="737EDBFA" w14:textId="70774229" w:rsidR="00E471FD" w:rsidRDefault="00E471FD">
      <w:pPr>
        <w:rPr>
          <w:rFonts w:ascii="Arial Narrow" w:hAnsi="Arial Narrow"/>
          <w:b/>
          <w:sz w:val="20"/>
        </w:rPr>
      </w:pPr>
    </w:p>
    <w:p w14:paraId="64CA0858" w14:textId="77777777" w:rsidR="00CE1D7D" w:rsidRPr="0053156E" w:rsidRDefault="00CE1D7D" w:rsidP="00CE1D7D">
      <w:pPr>
        <w:rPr>
          <w:rFonts w:ascii="Arial Narrow" w:hAnsi="Arial Narrow"/>
          <w:b/>
          <w:sz w:val="20"/>
        </w:rPr>
      </w:pPr>
      <w:r>
        <w:rPr>
          <w:rFonts w:ascii="Arial Narrow" w:hAnsi="Arial Narrow"/>
          <w:b/>
          <w:sz w:val="20"/>
        </w:rPr>
        <w:t>Table 4</w:t>
      </w:r>
      <w:r w:rsidRPr="0053156E">
        <w:rPr>
          <w:rFonts w:ascii="Arial Narrow" w:hAnsi="Arial Narrow"/>
          <w:b/>
          <w:sz w:val="20"/>
        </w:rPr>
        <w:t>: Results of the meta-analysis (</w:t>
      </w:r>
      <w:proofErr w:type="spellStart"/>
      <w:r w:rsidRPr="0053156E">
        <w:rPr>
          <w:rFonts w:ascii="Arial Narrow" w:hAnsi="Arial Narrow"/>
          <w:b/>
          <w:sz w:val="20"/>
        </w:rPr>
        <w:t>Ahn</w:t>
      </w:r>
      <w:proofErr w:type="spellEnd"/>
      <w:r w:rsidRPr="0053156E">
        <w:rPr>
          <w:rFonts w:ascii="Arial Narrow" w:hAnsi="Arial Narrow"/>
          <w:b/>
          <w:sz w:val="20"/>
        </w:rPr>
        <w:t xml:space="preserve"> </w:t>
      </w:r>
      <w:r>
        <w:rPr>
          <w:rFonts w:ascii="Arial Narrow" w:hAnsi="Arial Narrow"/>
          <w:b/>
          <w:sz w:val="20"/>
        </w:rPr>
        <w:t>et al.</w:t>
      </w:r>
      <w:r w:rsidRPr="0053156E">
        <w:rPr>
          <w:rFonts w:ascii="Arial Narrow" w:hAnsi="Arial Narrow"/>
          <w:b/>
          <w:sz w:val="20"/>
        </w:rPr>
        <w:t xml:space="preserve"> 2014 and the assessment report) for MACE, MI and Mortality</w:t>
      </w:r>
    </w:p>
    <w:tbl>
      <w:tblPr>
        <w:tblStyle w:val="TableGrid"/>
        <w:tblW w:w="5000" w:type="pct"/>
        <w:tblLook w:val="01E0" w:firstRow="1" w:lastRow="1" w:firstColumn="1" w:lastColumn="1" w:noHBand="0" w:noVBand="0"/>
        <w:tblCaption w:val="Results of the meta-analysis for MACE, MI and Mortality"/>
        <w:tblDescription w:val="The Results of the meta-analysis -Ahn et al. 2014 and the assessment report- for MACE, MI and Mortality. Source: Table B.6-1, p88 of the assessment report/Figures B.6-1 to B.6-3 of the assessment report, p89-91"/>
      </w:tblPr>
      <w:tblGrid>
        <w:gridCol w:w="2536"/>
        <w:gridCol w:w="3353"/>
        <w:gridCol w:w="3353"/>
      </w:tblGrid>
      <w:tr w:rsidR="00CE1D7D" w:rsidRPr="0099245B" w14:paraId="59825870" w14:textId="77777777" w:rsidTr="009D31FD">
        <w:trPr>
          <w:tblHeader/>
        </w:trPr>
        <w:tc>
          <w:tcPr>
            <w:tcW w:w="1372" w:type="pct"/>
          </w:tcPr>
          <w:p w14:paraId="35AF01FE" w14:textId="77777777" w:rsidR="00CE1D7D" w:rsidRPr="0099245B" w:rsidRDefault="00CE1D7D" w:rsidP="00E72089">
            <w:pPr>
              <w:keepNext/>
              <w:rPr>
                <w:rFonts w:ascii="Arial Narrow" w:hAnsi="Arial Narrow" w:cs="Arial"/>
                <w:b/>
              </w:rPr>
            </w:pPr>
            <w:r w:rsidRPr="0099245B">
              <w:rPr>
                <w:rFonts w:ascii="Arial Narrow" w:hAnsi="Arial Narrow" w:cs="Arial"/>
                <w:b/>
                <w:sz w:val="20"/>
              </w:rPr>
              <w:t>Outcome</w:t>
            </w:r>
          </w:p>
        </w:tc>
        <w:tc>
          <w:tcPr>
            <w:tcW w:w="1814" w:type="pct"/>
          </w:tcPr>
          <w:p w14:paraId="15EC47F1"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Odds ratio (95% CI)</w:t>
            </w:r>
          </w:p>
        </w:tc>
        <w:tc>
          <w:tcPr>
            <w:tcW w:w="1814" w:type="pct"/>
          </w:tcPr>
          <w:p w14:paraId="249093C9" w14:textId="77777777" w:rsidR="00CE1D7D" w:rsidRPr="0099245B" w:rsidRDefault="00CE1D7D" w:rsidP="00E72089">
            <w:pPr>
              <w:keepNext/>
              <w:jc w:val="center"/>
              <w:rPr>
                <w:rFonts w:ascii="Arial Narrow" w:hAnsi="Arial Narrow" w:cs="Arial"/>
                <w:b/>
              </w:rPr>
            </w:pPr>
            <w:r w:rsidRPr="0099245B">
              <w:rPr>
                <w:rFonts w:ascii="Arial Narrow" w:hAnsi="Arial Narrow" w:cs="Arial"/>
                <w:b/>
                <w:sz w:val="20"/>
              </w:rPr>
              <w:t>Test of significance</w:t>
            </w:r>
          </w:p>
        </w:tc>
      </w:tr>
      <w:tr w:rsidR="00CE1D7D" w:rsidRPr="0099245B" w14:paraId="62553595" w14:textId="77777777" w:rsidTr="009D31FD">
        <w:trPr>
          <w:tblHeader/>
        </w:trPr>
        <w:tc>
          <w:tcPr>
            <w:tcW w:w="1372" w:type="pct"/>
          </w:tcPr>
          <w:p w14:paraId="7887B965" w14:textId="77777777" w:rsidR="00CE1D7D" w:rsidRPr="0099245B" w:rsidRDefault="00CE1D7D" w:rsidP="00E72089">
            <w:pPr>
              <w:rPr>
                <w:rFonts w:ascii="Arial Narrow" w:hAnsi="Arial Narrow"/>
                <w:sz w:val="20"/>
                <w:u w:val="single"/>
              </w:rPr>
            </w:pPr>
            <w:proofErr w:type="spellStart"/>
            <w:r w:rsidRPr="0099245B">
              <w:rPr>
                <w:rFonts w:ascii="Arial Narrow" w:hAnsi="Arial Narrow"/>
                <w:sz w:val="20"/>
                <w:u w:val="single"/>
              </w:rPr>
              <w:t>Ahn</w:t>
            </w:r>
            <w:proofErr w:type="spellEnd"/>
            <w:r w:rsidRPr="0099245B">
              <w:rPr>
                <w:rFonts w:ascii="Arial Narrow" w:hAnsi="Arial Narrow"/>
                <w:sz w:val="20"/>
                <w:u w:val="single"/>
              </w:rPr>
              <w:t xml:space="preserve"> </w:t>
            </w:r>
            <w:r>
              <w:rPr>
                <w:rFonts w:ascii="Arial Narrow" w:hAnsi="Arial Narrow"/>
                <w:sz w:val="20"/>
                <w:u w:val="single"/>
              </w:rPr>
              <w:t>et al.</w:t>
            </w:r>
            <w:r w:rsidRPr="0099245B">
              <w:rPr>
                <w:rFonts w:ascii="Arial Narrow" w:hAnsi="Arial Narrow"/>
                <w:sz w:val="20"/>
                <w:u w:val="single"/>
              </w:rPr>
              <w:t xml:space="preserve"> </w:t>
            </w:r>
            <w:r>
              <w:rPr>
                <w:rFonts w:ascii="Arial Narrow" w:hAnsi="Arial Narrow"/>
                <w:sz w:val="20"/>
                <w:u w:val="single"/>
              </w:rPr>
              <w:t>(</w:t>
            </w:r>
            <w:r w:rsidRPr="0099245B">
              <w:rPr>
                <w:rFonts w:ascii="Arial Narrow" w:hAnsi="Arial Narrow"/>
                <w:sz w:val="20"/>
                <w:u w:val="single"/>
              </w:rPr>
              <w:t>2014</w:t>
            </w:r>
            <w:r>
              <w:rPr>
                <w:rFonts w:ascii="Arial Narrow" w:hAnsi="Arial Narrow"/>
                <w:sz w:val="20"/>
                <w:u w:val="single"/>
              </w:rPr>
              <w:t>)</w:t>
            </w:r>
          </w:p>
          <w:p w14:paraId="09E04970" w14:textId="77777777" w:rsidR="00CE1D7D" w:rsidRPr="0099245B" w:rsidRDefault="00CE1D7D" w:rsidP="00E72089">
            <w:pPr>
              <w:rPr>
                <w:rFonts w:ascii="Arial Narrow" w:hAnsi="Arial Narrow"/>
              </w:rPr>
            </w:pPr>
            <w:r w:rsidRPr="0099245B">
              <w:rPr>
                <w:rFonts w:ascii="Arial Narrow" w:hAnsi="Arial Narrow"/>
                <w:sz w:val="20"/>
              </w:rPr>
              <w:t>MACE</w:t>
            </w:r>
          </w:p>
        </w:tc>
        <w:tc>
          <w:tcPr>
            <w:tcW w:w="1814" w:type="pct"/>
          </w:tcPr>
          <w:p w14:paraId="7C6DF6F8" w14:textId="77777777" w:rsidR="00CE1D7D" w:rsidRPr="0099245B" w:rsidRDefault="00CE1D7D" w:rsidP="00E72089">
            <w:pPr>
              <w:rPr>
                <w:rFonts w:ascii="Arial Narrow" w:hAnsi="Arial Narrow"/>
                <w:sz w:val="20"/>
              </w:rPr>
            </w:pPr>
            <w:r w:rsidRPr="0099245B">
              <w:rPr>
                <w:rFonts w:ascii="Arial Narrow" w:hAnsi="Arial Narrow"/>
                <w:sz w:val="20"/>
              </w:rPr>
              <w:t xml:space="preserve">0.74 (0.64-0.85) </w:t>
            </w:r>
          </w:p>
          <w:p w14:paraId="21A88B85" w14:textId="77777777" w:rsidR="00CE1D7D" w:rsidRPr="0099245B" w:rsidRDefault="00CE1D7D" w:rsidP="00E72089">
            <w:pPr>
              <w:rPr>
                <w:rFonts w:ascii="Arial Narrow" w:hAnsi="Arial Narrow"/>
                <w:sz w:val="20"/>
              </w:rPr>
            </w:pPr>
            <w:r w:rsidRPr="0099245B">
              <w:rPr>
                <w:rFonts w:ascii="Arial Narrow" w:hAnsi="Arial Narrow"/>
                <w:sz w:val="20"/>
              </w:rPr>
              <w:t>Favours IVUS</w:t>
            </w:r>
          </w:p>
        </w:tc>
        <w:tc>
          <w:tcPr>
            <w:tcW w:w="1814" w:type="pct"/>
          </w:tcPr>
          <w:p w14:paraId="59FD37DE" w14:textId="77777777" w:rsidR="00CE1D7D" w:rsidRPr="0099245B" w:rsidRDefault="00CE1D7D" w:rsidP="00E72089">
            <w:pPr>
              <w:rPr>
                <w:rFonts w:ascii="Arial Narrow" w:hAnsi="Arial Narrow"/>
                <w:sz w:val="20"/>
              </w:rPr>
            </w:pPr>
            <w:r w:rsidRPr="0099245B">
              <w:rPr>
                <w:rFonts w:ascii="Arial Narrow" w:hAnsi="Arial Narrow"/>
                <w:sz w:val="20"/>
              </w:rPr>
              <w:t>p&lt;0.001</w:t>
            </w:r>
          </w:p>
        </w:tc>
      </w:tr>
      <w:tr w:rsidR="00CE1D7D" w:rsidRPr="0099245B" w14:paraId="029E5BCC" w14:textId="77777777" w:rsidTr="009D31FD">
        <w:trPr>
          <w:tblHeader/>
        </w:trPr>
        <w:tc>
          <w:tcPr>
            <w:tcW w:w="1372" w:type="pct"/>
          </w:tcPr>
          <w:p w14:paraId="79F59195" w14:textId="2A320300" w:rsidR="00CE1D7D" w:rsidRPr="0099245B" w:rsidRDefault="003E1DDB" w:rsidP="00E72089">
            <w:pPr>
              <w:rPr>
                <w:rFonts w:ascii="Arial Narrow" w:hAnsi="Arial Narrow"/>
                <w:sz w:val="20"/>
                <w:u w:val="single"/>
              </w:rPr>
            </w:pPr>
            <w:r>
              <w:rPr>
                <w:rFonts w:ascii="Arial Narrow" w:hAnsi="Arial Narrow"/>
                <w:sz w:val="20"/>
                <w:u w:val="single"/>
              </w:rPr>
              <w:t>RCTs only</w:t>
            </w:r>
          </w:p>
          <w:p w14:paraId="5CDEF604" w14:textId="77777777" w:rsidR="00CE1D7D" w:rsidRPr="0099245B" w:rsidRDefault="00CE1D7D" w:rsidP="00E72089">
            <w:pPr>
              <w:rPr>
                <w:rFonts w:ascii="Arial Narrow" w:hAnsi="Arial Narrow"/>
                <w:sz w:val="20"/>
              </w:rPr>
            </w:pPr>
            <w:r w:rsidRPr="0099245B">
              <w:rPr>
                <w:rFonts w:ascii="Arial Narrow" w:hAnsi="Arial Narrow"/>
                <w:sz w:val="20"/>
              </w:rPr>
              <w:t>MACE</w:t>
            </w:r>
          </w:p>
        </w:tc>
        <w:tc>
          <w:tcPr>
            <w:tcW w:w="1814" w:type="pct"/>
          </w:tcPr>
          <w:p w14:paraId="7090DF14" w14:textId="77777777" w:rsidR="00CE1D7D" w:rsidRPr="0099245B" w:rsidRDefault="00CE1D7D" w:rsidP="00E72089">
            <w:pPr>
              <w:rPr>
                <w:rFonts w:ascii="Arial Narrow" w:hAnsi="Arial Narrow"/>
                <w:sz w:val="20"/>
              </w:rPr>
            </w:pPr>
            <w:r w:rsidRPr="0099245B">
              <w:rPr>
                <w:rFonts w:ascii="Arial Narrow" w:hAnsi="Arial Narrow"/>
                <w:sz w:val="20"/>
              </w:rPr>
              <w:t>NR</w:t>
            </w:r>
          </w:p>
        </w:tc>
        <w:tc>
          <w:tcPr>
            <w:tcW w:w="1814" w:type="pct"/>
          </w:tcPr>
          <w:p w14:paraId="00CAE420" w14:textId="77777777" w:rsidR="00CE1D7D" w:rsidRPr="0099245B" w:rsidRDefault="00CE1D7D" w:rsidP="00E72089">
            <w:pPr>
              <w:rPr>
                <w:rFonts w:ascii="Arial Narrow" w:hAnsi="Arial Narrow"/>
                <w:sz w:val="20"/>
              </w:rPr>
            </w:pPr>
            <w:r w:rsidRPr="0099245B">
              <w:rPr>
                <w:rFonts w:ascii="Arial Narrow" w:hAnsi="Arial Narrow"/>
                <w:sz w:val="20"/>
              </w:rPr>
              <w:t>NR</w:t>
            </w:r>
          </w:p>
        </w:tc>
      </w:tr>
      <w:tr w:rsidR="00CE1D7D" w:rsidRPr="0099245B" w14:paraId="76C7819C" w14:textId="77777777" w:rsidTr="009D31FD">
        <w:trPr>
          <w:tblHeader/>
        </w:trPr>
        <w:tc>
          <w:tcPr>
            <w:tcW w:w="1372" w:type="pct"/>
          </w:tcPr>
          <w:p w14:paraId="10344F1F" w14:textId="77777777" w:rsidR="00CE1D7D" w:rsidRPr="0099245B" w:rsidRDefault="00CE1D7D" w:rsidP="00E72089">
            <w:pPr>
              <w:rPr>
                <w:rFonts w:ascii="Arial Narrow" w:hAnsi="Arial Narrow"/>
                <w:sz w:val="20"/>
                <w:u w:val="single"/>
              </w:rPr>
            </w:pPr>
            <w:proofErr w:type="spellStart"/>
            <w:r w:rsidRPr="0099245B">
              <w:rPr>
                <w:rFonts w:ascii="Arial Narrow" w:hAnsi="Arial Narrow"/>
                <w:sz w:val="20"/>
                <w:u w:val="single"/>
              </w:rPr>
              <w:t>Ahn</w:t>
            </w:r>
            <w:proofErr w:type="spellEnd"/>
            <w:r w:rsidRPr="0099245B">
              <w:rPr>
                <w:rFonts w:ascii="Arial Narrow" w:hAnsi="Arial Narrow"/>
                <w:sz w:val="20"/>
                <w:u w:val="single"/>
              </w:rPr>
              <w:t xml:space="preserve"> </w:t>
            </w:r>
            <w:r>
              <w:rPr>
                <w:rFonts w:ascii="Arial Narrow" w:hAnsi="Arial Narrow"/>
                <w:sz w:val="20"/>
                <w:u w:val="single"/>
              </w:rPr>
              <w:t>et al.</w:t>
            </w:r>
            <w:r w:rsidRPr="0099245B">
              <w:rPr>
                <w:rFonts w:ascii="Arial Narrow" w:hAnsi="Arial Narrow"/>
                <w:sz w:val="20"/>
                <w:u w:val="single"/>
              </w:rPr>
              <w:t xml:space="preserve"> </w:t>
            </w:r>
            <w:r>
              <w:rPr>
                <w:rFonts w:ascii="Arial Narrow" w:hAnsi="Arial Narrow"/>
                <w:sz w:val="20"/>
                <w:u w:val="single"/>
              </w:rPr>
              <w:t>(</w:t>
            </w:r>
            <w:r w:rsidRPr="0099245B">
              <w:rPr>
                <w:rFonts w:ascii="Arial Narrow" w:hAnsi="Arial Narrow"/>
                <w:sz w:val="20"/>
                <w:u w:val="single"/>
              </w:rPr>
              <w:t>2014</w:t>
            </w:r>
            <w:r>
              <w:rPr>
                <w:rFonts w:ascii="Arial Narrow" w:hAnsi="Arial Narrow"/>
                <w:sz w:val="20"/>
                <w:u w:val="single"/>
              </w:rPr>
              <w:t>)</w:t>
            </w:r>
          </w:p>
          <w:p w14:paraId="41CC051B" w14:textId="77777777" w:rsidR="00CE1D7D" w:rsidRPr="0099245B" w:rsidRDefault="00CE1D7D" w:rsidP="00E72089">
            <w:pPr>
              <w:rPr>
                <w:rFonts w:ascii="Arial Narrow" w:hAnsi="Arial Narrow"/>
                <w:sz w:val="20"/>
              </w:rPr>
            </w:pPr>
            <w:r w:rsidRPr="0099245B">
              <w:rPr>
                <w:rFonts w:ascii="Arial Narrow" w:hAnsi="Arial Narrow"/>
                <w:sz w:val="20"/>
              </w:rPr>
              <w:t>MI</w:t>
            </w:r>
          </w:p>
        </w:tc>
        <w:tc>
          <w:tcPr>
            <w:tcW w:w="1814" w:type="pct"/>
          </w:tcPr>
          <w:p w14:paraId="4AECA7C6" w14:textId="77777777" w:rsidR="00CE1D7D" w:rsidRPr="0099245B" w:rsidRDefault="00CE1D7D" w:rsidP="00E72089">
            <w:pPr>
              <w:rPr>
                <w:rFonts w:ascii="Arial Narrow" w:hAnsi="Arial Narrow"/>
                <w:sz w:val="20"/>
              </w:rPr>
            </w:pPr>
            <w:r w:rsidRPr="0099245B">
              <w:rPr>
                <w:rFonts w:ascii="Arial Narrow" w:hAnsi="Arial Narrow"/>
                <w:sz w:val="20"/>
              </w:rPr>
              <w:t>0.57 (0.44–0.75)</w:t>
            </w:r>
          </w:p>
          <w:p w14:paraId="73ED39AF" w14:textId="77777777" w:rsidR="00CE1D7D" w:rsidRPr="0099245B" w:rsidRDefault="00CE1D7D" w:rsidP="00E72089">
            <w:pPr>
              <w:rPr>
                <w:rFonts w:ascii="Arial Narrow" w:hAnsi="Arial Narrow"/>
                <w:sz w:val="20"/>
              </w:rPr>
            </w:pPr>
            <w:r w:rsidRPr="0099245B">
              <w:rPr>
                <w:rFonts w:ascii="Arial Narrow" w:hAnsi="Arial Narrow"/>
                <w:sz w:val="20"/>
              </w:rPr>
              <w:t>Favours IVUS</w:t>
            </w:r>
          </w:p>
        </w:tc>
        <w:tc>
          <w:tcPr>
            <w:tcW w:w="1814" w:type="pct"/>
          </w:tcPr>
          <w:p w14:paraId="6ECAD7D9" w14:textId="77777777" w:rsidR="00CE1D7D" w:rsidRPr="0099245B" w:rsidRDefault="00CE1D7D" w:rsidP="00E72089">
            <w:pPr>
              <w:rPr>
                <w:rFonts w:ascii="Arial Narrow" w:hAnsi="Arial Narrow"/>
                <w:sz w:val="20"/>
              </w:rPr>
            </w:pPr>
            <w:r w:rsidRPr="0099245B">
              <w:rPr>
                <w:rFonts w:ascii="Arial Narrow" w:hAnsi="Arial Narrow"/>
                <w:sz w:val="20"/>
              </w:rPr>
              <w:t>p&lt;0.001</w:t>
            </w:r>
          </w:p>
        </w:tc>
      </w:tr>
      <w:tr w:rsidR="00CE1D7D" w:rsidRPr="0099245B" w14:paraId="348EC4E5" w14:textId="77777777" w:rsidTr="009D31FD">
        <w:trPr>
          <w:tblHeader/>
        </w:trPr>
        <w:tc>
          <w:tcPr>
            <w:tcW w:w="1372" w:type="pct"/>
          </w:tcPr>
          <w:p w14:paraId="5EC43F85" w14:textId="77777777" w:rsidR="00CE1D7D" w:rsidRPr="0099245B" w:rsidRDefault="00CE1D7D" w:rsidP="00E72089">
            <w:pPr>
              <w:rPr>
                <w:rFonts w:ascii="Arial Narrow" w:hAnsi="Arial Narrow"/>
                <w:sz w:val="20"/>
                <w:u w:val="single"/>
              </w:rPr>
            </w:pPr>
            <w:r w:rsidRPr="0099245B">
              <w:rPr>
                <w:rFonts w:ascii="Arial Narrow" w:hAnsi="Arial Narrow"/>
                <w:sz w:val="20"/>
                <w:u w:val="single"/>
              </w:rPr>
              <w:t>The assessment report</w:t>
            </w:r>
          </w:p>
          <w:p w14:paraId="29C5C947" w14:textId="77777777" w:rsidR="00CE1D7D" w:rsidRPr="0099245B" w:rsidRDefault="00CE1D7D" w:rsidP="00E72089">
            <w:pPr>
              <w:rPr>
                <w:rFonts w:ascii="Arial Narrow" w:hAnsi="Arial Narrow"/>
                <w:sz w:val="20"/>
              </w:rPr>
            </w:pPr>
            <w:r w:rsidRPr="0099245B">
              <w:rPr>
                <w:rFonts w:ascii="Arial Narrow" w:hAnsi="Arial Narrow"/>
                <w:sz w:val="20"/>
              </w:rPr>
              <w:t>MI</w:t>
            </w:r>
          </w:p>
        </w:tc>
        <w:tc>
          <w:tcPr>
            <w:tcW w:w="1814" w:type="pct"/>
          </w:tcPr>
          <w:p w14:paraId="23C77B37" w14:textId="77777777" w:rsidR="00CE1D7D" w:rsidRPr="0099245B" w:rsidRDefault="00CE1D7D" w:rsidP="00E72089">
            <w:pPr>
              <w:rPr>
                <w:rFonts w:ascii="Arial Narrow" w:hAnsi="Arial Narrow"/>
                <w:sz w:val="20"/>
              </w:rPr>
            </w:pPr>
            <w:r w:rsidRPr="0099245B">
              <w:rPr>
                <w:rFonts w:ascii="Arial Narrow" w:hAnsi="Arial Narrow"/>
                <w:sz w:val="20"/>
              </w:rPr>
              <w:t>0.63 (0.29–1.39)</w:t>
            </w:r>
          </w:p>
        </w:tc>
        <w:tc>
          <w:tcPr>
            <w:tcW w:w="1814" w:type="pct"/>
          </w:tcPr>
          <w:p w14:paraId="36CEBF54" w14:textId="77777777" w:rsidR="00CE1D7D" w:rsidRPr="0099245B" w:rsidRDefault="00CE1D7D" w:rsidP="00E72089">
            <w:pPr>
              <w:rPr>
                <w:rFonts w:ascii="Arial Narrow" w:hAnsi="Arial Narrow"/>
                <w:sz w:val="20"/>
              </w:rPr>
            </w:pPr>
            <w:r w:rsidRPr="0099245B">
              <w:rPr>
                <w:rFonts w:ascii="Arial Narrow" w:hAnsi="Arial Narrow"/>
                <w:sz w:val="20"/>
              </w:rPr>
              <w:t>NR</w:t>
            </w:r>
          </w:p>
        </w:tc>
      </w:tr>
      <w:tr w:rsidR="00CE1D7D" w:rsidRPr="0099245B" w14:paraId="431C0E7E" w14:textId="77777777" w:rsidTr="009D31FD">
        <w:trPr>
          <w:tblHeader/>
        </w:trPr>
        <w:tc>
          <w:tcPr>
            <w:tcW w:w="1372" w:type="pct"/>
          </w:tcPr>
          <w:p w14:paraId="642454B0" w14:textId="77777777" w:rsidR="00CE1D7D" w:rsidRPr="0099245B" w:rsidRDefault="00CE1D7D" w:rsidP="00E72089">
            <w:pPr>
              <w:rPr>
                <w:rFonts w:ascii="Arial Narrow" w:hAnsi="Arial Narrow"/>
                <w:sz w:val="20"/>
                <w:u w:val="single"/>
              </w:rPr>
            </w:pPr>
            <w:proofErr w:type="spellStart"/>
            <w:r w:rsidRPr="0099245B">
              <w:rPr>
                <w:rFonts w:ascii="Arial Narrow" w:hAnsi="Arial Narrow"/>
                <w:sz w:val="20"/>
                <w:u w:val="single"/>
              </w:rPr>
              <w:t>Ahn</w:t>
            </w:r>
            <w:proofErr w:type="spellEnd"/>
            <w:r w:rsidRPr="0099245B">
              <w:rPr>
                <w:rFonts w:ascii="Arial Narrow" w:hAnsi="Arial Narrow"/>
                <w:sz w:val="20"/>
                <w:u w:val="single"/>
              </w:rPr>
              <w:t xml:space="preserve"> </w:t>
            </w:r>
            <w:r>
              <w:rPr>
                <w:rFonts w:ascii="Arial Narrow" w:hAnsi="Arial Narrow"/>
                <w:sz w:val="20"/>
                <w:u w:val="single"/>
              </w:rPr>
              <w:t>et al.</w:t>
            </w:r>
            <w:r w:rsidRPr="0099245B">
              <w:rPr>
                <w:rFonts w:ascii="Arial Narrow" w:hAnsi="Arial Narrow"/>
                <w:sz w:val="20"/>
                <w:u w:val="single"/>
              </w:rPr>
              <w:t xml:space="preserve"> </w:t>
            </w:r>
            <w:r>
              <w:rPr>
                <w:rFonts w:ascii="Arial Narrow" w:hAnsi="Arial Narrow"/>
                <w:sz w:val="20"/>
                <w:u w:val="single"/>
              </w:rPr>
              <w:t>(</w:t>
            </w:r>
            <w:r w:rsidRPr="0099245B">
              <w:rPr>
                <w:rFonts w:ascii="Arial Narrow" w:hAnsi="Arial Narrow"/>
                <w:sz w:val="20"/>
                <w:u w:val="single"/>
              </w:rPr>
              <w:t>2014</w:t>
            </w:r>
            <w:r>
              <w:rPr>
                <w:rFonts w:ascii="Arial Narrow" w:hAnsi="Arial Narrow"/>
                <w:sz w:val="20"/>
                <w:u w:val="single"/>
              </w:rPr>
              <w:t>)</w:t>
            </w:r>
          </w:p>
          <w:p w14:paraId="60D1D96C" w14:textId="77777777" w:rsidR="00CE1D7D" w:rsidRPr="0099245B" w:rsidRDefault="00CE1D7D" w:rsidP="00E72089">
            <w:pPr>
              <w:rPr>
                <w:rFonts w:ascii="Arial Narrow" w:hAnsi="Arial Narrow"/>
                <w:sz w:val="20"/>
              </w:rPr>
            </w:pPr>
            <w:r w:rsidRPr="0099245B">
              <w:rPr>
                <w:rFonts w:ascii="Arial Narrow" w:hAnsi="Arial Narrow"/>
                <w:sz w:val="20"/>
              </w:rPr>
              <w:t>Mortality</w:t>
            </w:r>
          </w:p>
        </w:tc>
        <w:tc>
          <w:tcPr>
            <w:tcW w:w="1814" w:type="pct"/>
          </w:tcPr>
          <w:p w14:paraId="6D8EFD3E" w14:textId="77777777" w:rsidR="00CE1D7D" w:rsidRPr="0099245B" w:rsidRDefault="00CE1D7D" w:rsidP="00E72089">
            <w:pPr>
              <w:rPr>
                <w:rFonts w:ascii="Arial Narrow" w:hAnsi="Arial Narrow"/>
                <w:sz w:val="20"/>
              </w:rPr>
            </w:pPr>
            <w:r w:rsidRPr="0099245B">
              <w:rPr>
                <w:rFonts w:ascii="Arial Narrow" w:hAnsi="Arial Narrow"/>
                <w:sz w:val="20"/>
              </w:rPr>
              <w:t>0.61 (0.48-0.79)</w:t>
            </w:r>
          </w:p>
          <w:p w14:paraId="21961AC7" w14:textId="77777777" w:rsidR="00CE1D7D" w:rsidRPr="0099245B" w:rsidRDefault="00CE1D7D" w:rsidP="00E72089">
            <w:pPr>
              <w:rPr>
                <w:rFonts w:ascii="Arial Narrow" w:hAnsi="Arial Narrow"/>
                <w:sz w:val="20"/>
              </w:rPr>
            </w:pPr>
            <w:r w:rsidRPr="0099245B">
              <w:rPr>
                <w:rFonts w:ascii="Arial Narrow" w:hAnsi="Arial Narrow"/>
                <w:sz w:val="20"/>
              </w:rPr>
              <w:t>Favours IVUS</w:t>
            </w:r>
          </w:p>
          <w:p w14:paraId="168E0376" w14:textId="77777777" w:rsidR="00CE1D7D" w:rsidRPr="0099245B" w:rsidRDefault="00CE1D7D" w:rsidP="00E72089">
            <w:pPr>
              <w:rPr>
                <w:rFonts w:ascii="Arial Narrow" w:hAnsi="Arial Narrow"/>
                <w:sz w:val="20"/>
              </w:rPr>
            </w:pPr>
          </w:p>
        </w:tc>
        <w:tc>
          <w:tcPr>
            <w:tcW w:w="1814" w:type="pct"/>
          </w:tcPr>
          <w:p w14:paraId="61277E10" w14:textId="77777777" w:rsidR="00CE1D7D" w:rsidRPr="0099245B" w:rsidRDefault="00CE1D7D" w:rsidP="00E72089">
            <w:pPr>
              <w:rPr>
                <w:rFonts w:ascii="Arial Narrow" w:hAnsi="Arial Narrow"/>
                <w:sz w:val="20"/>
              </w:rPr>
            </w:pPr>
            <w:r w:rsidRPr="0099245B">
              <w:rPr>
                <w:rFonts w:ascii="Arial Narrow" w:hAnsi="Arial Narrow"/>
                <w:sz w:val="20"/>
              </w:rPr>
              <w:t>p&lt;0.001</w:t>
            </w:r>
          </w:p>
        </w:tc>
      </w:tr>
      <w:tr w:rsidR="00CE1D7D" w:rsidRPr="0099245B" w14:paraId="3018AB92" w14:textId="77777777" w:rsidTr="009D31FD">
        <w:trPr>
          <w:tblHeader/>
        </w:trPr>
        <w:tc>
          <w:tcPr>
            <w:tcW w:w="1372" w:type="pct"/>
          </w:tcPr>
          <w:p w14:paraId="2664DA15" w14:textId="77777777" w:rsidR="00CE1D7D" w:rsidRPr="0099245B" w:rsidRDefault="00CE1D7D" w:rsidP="00E72089">
            <w:pPr>
              <w:rPr>
                <w:rFonts w:ascii="Arial Narrow" w:hAnsi="Arial Narrow"/>
                <w:sz w:val="20"/>
                <w:u w:val="single"/>
              </w:rPr>
            </w:pPr>
            <w:r w:rsidRPr="0099245B">
              <w:rPr>
                <w:rFonts w:ascii="Arial Narrow" w:hAnsi="Arial Narrow"/>
                <w:sz w:val="20"/>
                <w:u w:val="single"/>
              </w:rPr>
              <w:t>The assessment report</w:t>
            </w:r>
          </w:p>
          <w:p w14:paraId="060F1719" w14:textId="77777777" w:rsidR="00CE1D7D" w:rsidRPr="0099245B" w:rsidRDefault="00CE1D7D" w:rsidP="00E72089">
            <w:pPr>
              <w:rPr>
                <w:rFonts w:ascii="Arial Narrow" w:hAnsi="Arial Narrow"/>
                <w:sz w:val="20"/>
              </w:rPr>
            </w:pPr>
            <w:r w:rsidRPr="0099245B">
              <w:rPr>
                <w:rFonts w:ascii="Arial Narrow" w:hAnsi="Arial Narrow"/>
                <w:sz w:val="20"/>
              </w:rPr>
              <w:t>Mortality</w:t>
            </w:r>
          </w:p>
        </w:tc>
        <w:tc>
          <w:tcPr>
            <w:tcW w:w="1814" w:type="pct"/>
          </w:tcPr>
          <w:p w14:paraId="0BF5C7CB" w14:textId="77777777" w:rsidR="00CE1D7D" w:rsidRPr="0099245B" w:rsidRDefault="00CE1D7D" w:rsidP="00E72089">
            <w:pPr>
              <w:rPr>
                <w:rFonts w:ascii="Arial Narrow" w:hAnsi="Arial Narrow"/>
                <w:sz w:val="20"/>
              </w:rPr>
            </w:pPr>
            <w:r w:rsidRPr="0099245B">
              <w:rPr>
                <w:rFonts w:ascii="Arial Narrow" w:hAnsi="Arial Narrow"/>
                <w:sz w:val="20"/>
              </w:rPr>
              <w:t>0.71 (0.18–2.88)</w:t>
            </w:r>
          </w:p>
        </w:tc>
        <w:tc>
          <w:tcPr>
            <w:tcW w:w="1814" w:type="pct"/>
          </w:tcPr>
          <w:p w14:paraId="6EFE6294" w14:textId="77777777" w:rsidR="00CE1D7D" w:rsidRPr="0099245B" w:rsidRDefault="00CE1D7D" w:rsidP="00E72089">
            <w:pPr>
              <w:rPr>
                <w:rFonts w:ascii="Arial Narrow" w:hAnsi="Arial Narrow"/>
                <w:sz w:val="20"/>
              </w:rPr>
            </w:pPr>
            <w:r w:rsidRPr="0099245B">
              <w:rPr>
                <w:rFonts w:ascii="Arial Narrow" w:hAnsi="Arial Narrow"/>
                <w:sz w:val="20"/>
              </w:rPr>
              <w:t>NR</w:t>
            </w:r>
          </w:p>
        </w:tc>
      </w:tr>
    </w:tbl>
    <w:p w14:paraId="3D7AD7C8" w14:textId="77777777" w:rsidR="00CE1D7D" w:rsidRPr="0099245B" w:rsidRDefault="00CE1D7D" w:rsidP="00CE1D7D">
      <w:pPr>
        <w:keepNext/>
        <w:keepLines/>
        <w:rPr>
          <w:rFonts w:ascii="Arial Narrow" w:hAnsi="Arial Narrow" w:cs="Arial"/>
          <w:sz w:val="20"/>
        </w:rPr>
      </w:pPr>
      <w:r w:rsidRPr="0099245B">
        <w:rPr>
          <w:rFonts w:ascii="Arial Narrow" w:hAnsi="Arial Narrow" w:cs="Arial"/>
          <w:sz w:val="20"/>
        </w:rPr>
        <w:t>Source: Table B.6-1, p</w:t>
      </w:r>
      <w:r>
        <w:rPr>
          <w:rFonts w:ascii="Arial Narrow" w:hAnsi="Arial Narrow" w:cs="Arial"/>
          <w:sz w:val="20"/>
        </w:rPr>
        <w:t>.</w:t>
      </w:r>
      <w:r w:rsidRPr="0099245B">
        <w:rPr>
          <w:rFonts w:ascii="Arial Narrow" w:hAnsi="Arial Narrow" w:cs="Arial"/>
          <w:sz w:val="20"/>
        </w:rPr>
        <w:t>88 of the assessment report/Figures B.6-1 to B.6-3 of the assessment report, p</w:t>
      </w:r>
      <w:r>
        <w:rPr>
          <w:rFonts w:ascii="Arial Narrow" w:hAnsi="Arial Narrow" w:cs="Arial"/>
          <w:sz w:val="20"/>
        </w:rPr>
        <w:t>p.</w:t>
      </w:r>
      <w:r w:rsidRPr="0099245B">
        <w:rPr>
          <w:rFonts w:ascii="Arial Narrow" w:hAnsi="Arial Narrow" w:cs="Arial"/>
          <w:sz w:val="20"/>
        </w:rPr>
        <w:t>89</w:t>
      </w:r>
      <w:r w:rsidRPr="004A2352">
        <w:rPr>
          <w:rFonts w:ascii="Arial Narrow" w:hAnsi="Arial Narrow" w:cs="Arial"/>
          <w:sz w:val="20"/>
        </w:rPr>
        <w:t>–</w:t>
      </w:r>
      <w:r w:rsidRPr="0099245B">
        <w:rPr>
          <w:rFonts w:ascii="Arial Narrow" w:hAnsi="Arial Narrow" w:cs="Arial"/>
          <w:sz w:val="20"/>
        </w:rPr>
        <w:t>91</w:t>
      </w:r>
      <w:r>
        <w:rPr>
          <w:rFonts w:ascii="Arial Narrow" w:hAnsi="Arial Narrow" w:cs="Arial"/>
          <w:sz w:val="20"/>
        </w:rPr>
        <w:t>.</w:t>
      </w:r>
    </w:p>
    <w:p w14:paraId="2CB4E208" w14:textId="77777777" w:rsidR="00DB5833" w:rsidRPr="00325C0F" w:rsidRDefault="00CE1D7D" w:rsidP="00325C0F">
      <w:pPr>
        <w:keepNext/>
        <w:keepLines/>
        <w:rPr>
          <w:rFonts w:ascii="Arial Narrow" w:hAnsi="Arial Narrow" w:cs="Arial"/>
          <w:sz w:val="20"/>
        </w:rPr>
      </w:pPr>
      <w:r>
        <w:rPr>
          <w:rFonts w:ascii="Arial Narrow" w:hAnsi="Arial Narrow" w:cs="Arial"/>
          <w:sz w:val="20"/>
        </w:rPr>
        <w:t>IVUS=</w:t>
      </w:r>
      <w:r w:rsidRPr="00D03709">
        <w:rPr>
          <w:rFonts w:ascii="Arial Narrow" w:hAnsi="Arial Narrow" w:cs="Arial"/>
          <w:sz w:val="20"/>
        </w:rPr>
        <w:t>intravascular ultrasound</w:t>
      </w:r>
      <w:r>
        <w:rPr>
          <w:rFonts w:ascii="Arial Narrow" w:hAnsi="Arial Narrow" w:cs="Arial"/>
          <w:sz w:val="20"/>
        </w:rPr>
        <w:t xml:space="preserve">; </w:t>
      </w:r>
      <w:r w:rsidRPr="0099245B">
        <w:rPr>
          <w:rFonts w:ascii="Arial Narrow" w:hAnsi="Arial Narrow" w:cs="Arial"/>
          <w:sz w:val="20"/>
        </w:rPr>
        <w:t>MACE=major adverse cardiac event</w:t>
      </w:r>
      <w:r>
        <w:rPr>
          <w:rFonts w:ascii="Arial Narrow" w:hAnsi="Arial Narrow" w:cs="Arial"/>
          <w:sz w:val="20"/>
        </w:rPr>
        <w:t>s</w:t>
      </w:r>
      <w:r w:rsidRPr="0099245B">
        <w:rPr>
          <w:rFonts w:ascii="Arial Narrow" w:hAnsi="Arial Narrow" w:cs="Arial"/>
          <w:sz w:val="20"/>
        </w:rPr>
        <w:t>; MI=myocardial infarction</w:t>
      </w:r>
      <w:r>
        <w:rPr>
          <w:rFonts w:ascii="Arial Narrow" w:hAnsi="Arial Narrow" w:cs="Arial"/>
          <w:sz w:val="20"/>
        </w:rPr>
        <w:t>;</w:t>
      </w:r>
      <w:r w:rsidRPr="00FC5B65">
        <w:rPr>
          <w:rFonts w:ascii="Arial Narrow" w:hAnsi="Arial Narrow" w:cs="Arial"/>
          <w:sz w:val="20"/>
        </w:rPr>
        <w:t xml:space="preserve"> </w:t>
      </w:r>
      <w:r w:rsidRPr="0099245B">
        <w:rPr>
          <w:rFonts w:ascii="Arial Narrow" w:hAnsi="Arial Narrow" w:cs="Arial"/>
          <w:sz w:val="20"/>
        </w:rPr>
        <w:t>NR=not reported</w:t>
      </w:r>
      <w:r>
        <w:rPr>
          <w:rFonts w:ascii="Arial Narrow" w:hAnsi="Arial Narrow" w:cs="Arial"/>
          <w:sz w:val="20"/>
        </w:rPr>
        <w:t>.</w:t>
      </w:r>
    </w:p>
    <w:p w14:paraId="32502699" w14:textId="77777777" w:rsidR="00BC1364" w:rsidRPr="000F14B4" w:rsidRDefault="00BC1364" w:rsidP="00DD2858">
      <w:pPr>
        <w:rPr>
          <w:b/>
          <w:color w:val="FF0000"/>
          <w:szCs w:val="24"/>
        </w:rPr>
      </w:pPr>
    </w:p>
    <w:p w14:paraId="47E57F51" w14:textId="77777777" w:rsidR="00BC1364" w:rsidRDefault="00BC1364" w:rsidP="007B32D1">
      <w:pPr>
        <w:pStyle w:val="Heading1"/>
        <w:numPr>
          <w:ilvl w:val="0"/>
          <w:numId w:val="23"/>
        </w:numPr>
        <w:ind w:hanging="720"/>
      </w:pPr>
      <w:r w:rsidRPr="008D5885">
        <w:t>Economic evaluation</w:t>
      </w:r>
    </w:p>
    <w:p w14:paraId="4A52280F" w14:textId="77777777" w:rsidR="00BC1364" w:rsidRDefault="00BC1364" w:rsidP="00DD2858">
      <w:pPr>
        <w:rPr>
          <w:b/>
          <w:szCs w:val="24"/>
        </w:rPr>
      </w:pPr>
    </w:p>
    <w:p w14:paraId="4CD794ED" w14:textId="77777777" w:rsidR="004138A0" w:rsidRPr="008E4738" w:rsidRDefault="004138A0" w:rsidP="00325C0F">
      <w:pPr>
        <w:widowControl w:val="0"/>
        <w:rPr>
          <w:spacing w:val="-1"/>
        </w:rPr>
      </w:pPr>
      <w:r w:rsidRPr="0099245B">
        <w:rPr>
          <w:rFonts w:eastAsia="Calibri"/>
          <w:spacing w:val="-1"/>
        </w:rPr>
        <w:t>The</w:t>
      </w:r>
      <w:r w:rsidRPr="0099245B">
        <w:rPr>
          <w:rFonts w:eastAsia="Calibri"/>
          <w:spacing w:val="-6"/>
        </w:rPr>
        <w:t xml:space="preserve"> </w:t>
      </w:r>
      <w:r w:rsidRPr="0099245B">
        <w:rPr>
          <w:rFonts w:eastAsia="Calibri"/>
          <w:spacing w:val="-1"/>
        </w:rPr>
        <w:t>assessment</w:t>
      </w:r>
      <w:r w:rsidRPr="0099245B">
        <w:rPr>
          <w:rFonts w:eastAsia="Calibri"/>
          <w:spacing w:val="-6"/>
        </w:rPr>
        <w:t xml:space="preserve"> </w:t>
      </w:r>
      <w:r w:rsidRPr="0099245B">
        <w:rPr>
          <w:rFonts w:eastAsia="Calibri"/>
          <w:spacing w:val="-1"/>
        </w:rPr>
        <w:t>report</w:t>
      </w:r>
      <w:r w:rsidRPr="0099245B">
        <w:rPr>
          <w:rFonts w:eastAsia="Calibri"/>
          <w:spacing w:val="-5"/>
        </w:rPr>
        <w:t xml:space="preserve"> </w:t>
      </w:r>
      <w:r w:rsidRPr="0099245B">
        <w:rPr>
          <w:rFonts w:eastAsia="Calibri"/>
        </w:rPr>
        <w:t>presents</w:t>
      </w:r>
      <w:r w:rsidRPr="0099245B">
        <w:rPr>
          <w:rFonts w:eastAsia="Calibri"/>
          <w:spacing w:val="-5"/>
        </w:rPr>
        <w:t xml:space="preserve"> </w:t>
      </w:r>
      <w:r w:rsidRPr="0099245B">
        <w:rPr>
          <w:rFonts w:eastAsia="Calibri"/>
        </w:rPr>
        <w:t>a</w:t>
      </w:r>
      <w:r w:rsidRPr="0099245B">
        <w:rPr>
          <w:rFonts w:eastAsia="Calibri"/>
          <w:spacing w:val="-5"/>
        </w:rPr>
        <w:t xml:space="preserve"> </w:t>
      </w:r>
      <w:r w:rsidRPr="0099245B">
        <w:rPr>
          <w:rFonts w:eastAsia="Calibri"/>
          <w:spacing w:val="-1"/>
        </w:rPr>
        <w:t>stepped</w:t>
      </w:r>
      <w:r w:rsidRPr="0099245B">
        <w:rPr>
          <w:rFonts w:eastAsia="Calibri"/>
          <w:spacing w:val="-5"/>
        </w:rPr>
        <w:t xml:space="preserve"> </w:t>
      </w:r>
      <w:r w:rsidRPr="0099245B">
        <w:rPr>
          <w:rFonts w:eastAsia="Calibri"/>
          <w:spacing w:val="-1"/>
        </w:rPr>
        <w:t>economic</w:t>
      </w:r>
      <w:r w:rsidRPr="0099245B">
        <w:rPr>
          <w:rFonts w:eastAsia="Calibri"/>
          <w:spacing w:val="-6"/>
        </w:rPr>
        <w:t xml:space="preserve"> </w:t>
      </w:r>
      <w:r w:rsidRPr="0099245B">
        <w:rPr>
          <w:rFonts w:eastAsia="Calibri"/>
        </w:rPr>
        <w:t>evaluation,</w:t>
      </w:r>
      <w:r w:rsidRPr="0099245B">
        <w:rPr>
          <w:rFonts w:eastAsia="Calibri"/>
          <w:spacing w:val="-7"/>
        </w:rPr>
        <w:t xml:space="preserve"> </w:t>
      </w:r>
      <w:r w:rsidRPr="0099245B">
        <w:rPr>
          <w:rFonts w:eastAsia="Calibri"/>
          <w:spacing w:val="-1"/>
        </w:rPr>
        <w:t>based</w:t>
      </w:r>
      <w:r w:rsidRPr="0099245B">
        <w:rPr>
          <w:rFonts w:eastAsia="Calibri"/>
          <w:spacing w:val="-5"/>
        </w:rPr>
        <w:t xml:space="preserve"> </w:t>
      </w:r>
      <w:r w:rsidRPr="0099245B">
        <w:rPr>
          <w:rFonts w:eastAsia="Calibri"/>
          <w:spacing w:val="-1"/>
        </w:rPr>
        <w:t>on</w:t>
      </w:r>
      <w:r w:rsidRPr="0099245B">
        <w:rPr>
          <w:rFonts w:eastAsia="Calibri"/>
          <w:spacing w:val="-5"/>
        </w:rPr>
        <w:t xml:space="preserve"> </w:t>
      </w:r>
      <w:r w:rsidRPr="0099245B">
        <w:rPr>
          <w:rFonts w:eastAsia="Calibri"/>
          <w:spacing w:val="-1"/>
        </w:rPr>
        <w:t>systematic reviews</w:t>
      </w:r>
      <w:r w:rsidRPr="0099245B">
        <w:rPr>
          <w:rFonts w:eastAsia="Calibri"/>
          <w:spacing w:val="47"/>
          <w:w w:val="99"/>
        </w:rPr>
        <w:t xml:space="preserve"> </w:t>
      </w:r>
      <w:r w:rsidRPr="0099245B">
        <w:rPr>
          <w:rFonts w:eastAsia="Calibri"/>
          <w:spacing w:val="-1"/>
        </w:rPr>
        <w:t>and</w:t>
      </w:r>
      <w:r w:rsidRPr="0099245B">
        <w:rPr>
          <w:rFonts w:eastAsia="Calibri"/>
          <w:spacing w:val="-5"/>
        </w:rPr>
        <w:t xml:space="preserve"> </w:t>
      </w:r>
      <w:r w:rsidRPr="0099245B">
        <w:rPr>
          <w:rFonts w:eastAsia="Calibri"/>
        </w:rPr>
        <w:t>implementing</w:t>
      </w:r>
      <w:r w:rsidRPr="0099245B">
        <w:rPr>
          <w:rFonts w:eastAsia="Calibri"/>
          <w:spacing w:val="-5"/>
        </w:rPr>
        <w:t xml:space="preserve"> </w:t>
      </w:r>
      <w:r w:rsidRPr="0099245B">
        <w:rPr>
          <w:rFonts w:eastAsia="Calibri"/>
        </w:rPr>
        <w:t>a</w:t>
      </w:r>
      <w:r w:rsidRPr="0099245B">
        <w:rPr>
          <w:rFonts w:eastAsia="Calibri"/>
          <w:spacing w:val="-5"/>
        </w:rPr>
        <w:t xml:space="preserve"> </w:t>
      </w:r>
      <w:r w:rsidRPr="0099245B">
        <w:rPr>
          <w:rFonts w:eastAsia="Calibri"/>
        </w:rPr>
        <w:t>modelled</w:t>
      </w:r>
      <w:r w:rsidRPr="0099245B">
        <w:rPr>
          <w:rFonts w:eastAsia="Calibri"/>
          <w:spacing w:val="-5"/>
        </w:rPr>
        <w:t xml:space="preserve"> </w:t>
      </w:r>
      <w:r w:rsidRPr="0099245B">
        <w:rPr>
          <w:rFonts w:eastAsia="Calibri"/>
        </w:rPr>
        <w:t>evaluation</w:t>
      </w:r>
      <w:r w:rsidRPr="0099245B">
        <w:rPr>
          <w:rFonts w:eastAsia="Calibri"/>
          <w:spacing w:val="-7"/>
        </w:rPr>
        <w:t xml:space="preserve"> </w:t>
      </w:r>
      <w:r w:rsidRPr="0099245B">
        <w:rPr>
          <w:rFonts w:eastAsia="Calibri"/>
        </w:rPr>
        <w:t>using</w:t>
      </w:r>
      <w:r w:rsidRPr="0099245B">
        <w:rPr>
          <w:rFonts w:eastAsia="Calibri"/>
          <w:spacing w:val="-4"/>
        </w:rPr>
        <w:t xml:space="preserve"> </w:t>
      </w:r>
      <w:r w:rsidRPr="0099245B">
        <w:rPr>
          <w:rFonts w:eastAsia="Calibri"/>
        </w:rPr>
        <w:t>variables</w:t>
      </w:r>
      <w:r w:rsidRPr="0099245B">
        <w:rPr>
          <w:rFonts w:eastAsia="Calibri"/>
          <w:spacing w:val="-7"/>
        </w:rPr>
        <w:t xml:space="preserve"> </w:t>
      </w:r>
      <w:r w:rsidRPr="0099245B">
        <w:rPr>
          <w:rFonts w:eastAsia="Calibri"/>
          <w:spacing w:val="-1"/>
        </w:rPr>
        <w:t>reported</w:t>
      </w:r>
      <w:r w:rsidRPr="0099245B">
        <w:rPr>
          <w:rFonts w:eastAsia="Calibri"/>
          <w:spacing w:val="-4"/>
        </w:rPr>
        <w:t xml:space="preserve"> </w:t>
      </w:r>
      <w:r w:rsidRPr="0099245B">
        <w:rPr>
          <w:rFonts w:eastAsia="Calibri"/>
          <w:spacing w:val="-1"/>
        </w:rPr>
        <w:t>in</w:t>
      </w:r>
      <w:r w:rsidRPr="0099245B">
        <w:rPr>
          <w:rFonts w:eastAsia="Calibri"/>
          <w:spacing w:val="-5"/>
        </w:rPr>
        <w:t xml:space="preserve"> </w:t>
      </w:r>
      <w:r w:rsidRPr="0099245B">
        <w:rPr>
          <w:rFonts w:eastAsia="Calibri"/>
          <w:spacing w:val="-1"/>
        </w:rPr>
        <w:t>Section</w:t>
      </w:r>
      <w:r w:rsidRPr="0099245B">
        <w:rPr>
          <w:rFonts w:eastAsia="Calibri"/>
          <w:spacing w:val="-5"/>
        </w:rPr>
        <w:t xml:space="preserve"> </w:t>
      </w:r>
      <w:r w:rsidRPr="0099245B">
        <w:rPr>
          <w:rFonts w:eastAsia="Calibri"/>
        </w:rPr>
        <w:t>C</w:t>
      </w:r>
      <w:r w:rsidRPr="0099245B">
        <w:rPr>
          <w:rFonts w:eastAsia="Calibri"/>
          <w:spacing w:val="-5"/>
        </w:rPr>
        <w:t xml:space="preserve"> </w:t>
      </w:r>
      <w:r w:rsidRPr="0099245B">
        <w:rPr>
          <w:rFonts w:eastAsia="Calibri"/>
        </w:rPr>
        <w:t xml:space="preserve">studies. </w:t>
      </w:r>
      <w:r w:rsidRPr="008E4738">
        <w:rPr>
          <w:spacing w:val="-1"/>
        </w:rPr>
        <w:t>The</w:t>
      </w:r>
      <w:r w:rsidRPr="008E4738">
        <w:rPr>
          <w:spacing w:val="-3"/>
        </w:rPr>
        <w:t xml:space="preserve"> </w:t>
      </w:r>
      <w:r w:rsidRPr="008E4738">
        <w:rPr>
          <w:spacing w:val="-1"/>
        </w:rPr>
        <w:t>economic</w:t>
      </w:r>
      <w:r w:rsidRPr="008E4738">
        <w:rPr>
          <w:spacing w:val="-2"/>
        </w:rPr>
        <w:t xml:space="preserve"> </w:t>
      </w:r>
      <w:r w:rsidRPr="008E4738">
        <w:t>evaluation</w:t>
      </w:r>
      <w:r w:rsidRPr="008E4738">
        <w:rPr>
          <w:spacing w:val="-6"/>
        </w:rPr>
        <w:t xml:space="preserve"> </w:t>
      </w:r>
      <w:r w:rsidRPr="008E4738">
        <w:rPr>
          <w:spacing w:val="-1"/>
        </w:rPr>
        <w:t>presented</w:t>
      </w:r>
      <w:r w:rsidRPr="008E4738">
        <w:rPr>
          <w:spacing w:val="-3"/>
        </w:rPr>
        <w:t xml:space="preserve"> </w:t>
      </w:r>
      <w:r w:rsidRPr="008E4738">
        <w:t>in</w:t>
      </w:r>
      <w:r w:rsidRPr="008E4738">
        <w:rPr>
          <w:spacing w:val="-4"/>
        </w:rPr>
        <w:t xml:space="preserve"> </w:t>
      </w:r>
      <w:r w:rsidRPr="008E4738">
        <w:t>the</w:t>
      </w:r>
      <w:r w:rsidRPr="008E4738">
        <w:rPr>
          <w:spacing w:val="-2"/>
        </w:rPr>
        <w:t xml:space="preserve"> </w:t>
      </w:r>
      <w:r w:rsidRPr="008E4738">
        <w:rPr>
          <w:spacing w:val="-1"/>
        </w:rPr>
        <w:t>assessment does not follow</w:t>
      </w:r>
      <w:r w:rsidRPr="008E4738">
        <w:rPr>
          <w:spacing w:val="-2"/>
        </w:rPr>
        <w:t xml:space="preserve"> </w:t>
      </w:r>
      <w:r w:rsidRPr="008E4738">
        <w:t>the PICO</w:t>
      </w:r>
      <w:r w:rsidRPr="008E4738">
        <w:rPr>
          <w:spacing w:val="-2"/>
        </w:rPr>
        <w:t xml:space="preserve"> </w:t>
      </w:r>
      <w:r w:rsidRPr="008E4738">
        <w:t>outlined</w:t>
      </w:r>
      <w:r w:rsidRPr="008E4738">
        <w:rPr>
          <w:spacing w:val="-3"/>
        </w:rPr>
        <w:t xml:space="preserve"> </w:t>
      </w:r>
      <w:r w:rsidRPr="008E4738">
        <w:t>in</w:t>
      </w:r>
      <w:r w:rsidRPr="008E4738">
        <w:rPr>
          <w:spacing w:val="-2"/>
        </w:rPr>
        <w:t xml:space="preserve"> </w:t>
      </w:r>
      <w:r w:rsidRPr="008E4738">
        <w:t>the</w:t>
      </w:r>
      <w:r w:rsidRPr="008E4738">
        <w:rPr>
          <w:spacing w:val="-3"/>
        </w:rPr>
        <w:t xml:space="preserve"> </w:t>
      </w:r>
      <w:r w:rsidRPr="008E4738">
        <w:t>protocol.</w:t>
      </w:r>
      <w:r w:rsidRPr="008E4738">
        <w:rPr>
          <w:spacing w:val="-2"/>
        </w:rPr>
        <w:t xml:space="preserve"> </w:t>
      </w:r>
    </w:p>
    <w:p w14:paraId="05791AE6" w14:textId="77777777" w:rsidR="00325C0F" w:rsidRDefault="00325C0F" w:rsidP="00325C0F">
      <w:pPr>
        <w:widowControl w:val="0"/>
        <w:rPr>
          <w:spacing w:val="-1"/>
        </w:rPr>
      </w:pPr>
    </w:p>
    <w:p w14:paraId="12099205" w14:textId="77777777" w:rsidR="004138A0" w:rsidRPr="00166984" w:rsidRDefault="004138A0" w:rsidP="00325C0F">
      <w:pPr>
        <w:widowControl w:val="0"/>
        <w:rPr>
          <w:spacing w:val="-1"/>
          <w:szCs w:val="24"/>
        </w:rPr>
      </w:pPr>
      <w:r w:rsidRPr="00166984">
        <w:rPr>
          <w:spacing w:val="-1"/>
          <w:szCs w:val="24"/>
        </w:rPr>
        <w:t>The protocol noted that given the chronic nature of the condition under study and the impact of patient attributes on the model output, an individual-based model is recommended. Two extended PICOs [were] proposed: the first for patients undergoing initial stent placement; the second for patients requiring re-stenting or other interventions following a complication or failure of the initial stent.</w:t>
      </w:r>
    </w:p>
    <w:p w14:paraId="14338098" w14:textId="77777777" w:rsidR="004138A0" w:rsidRPr="00FE18E2" w:rsidRDefault="004138A0" w:rsidP="00325C0F">
      <w:pPr>
        <w:widowControl w:val="0"/>
        <w:rPr>
          <w:i/>
          <w:spacing w:val="-1"/>
          <w:szCs w:val="24"/>
        </w:rPr>
      </w:pPr>
      <w:r w:rsidRPr="00FE18E2">
        <w:rPr>
          <w:i/>
          <w:spacing w:val="-1"/>
          <w:szCs w:val="24"/>
        </w:rPr>
        <w:t xml:space="preserve"> </w:t>
      </w:r>
    </w:p>
    <w:p w14:paraId="16D8F23B" w14:textId="77777777" w:rsidR="004138A0" w:rsidRPr="00FE18E2" w:rsidRDefault="004138A0" w:rsidP="00325C0F">
      <w:pPr>
        <w:rPr>
          <w:rFonts w:hAnsi="Calibri"/>
          <w:i/>
          <w:spacing w:val="-1"/>
          <w:szCs w:val="24"/>
        </w:rPr>
      </w:pPr>
      <w:r w:rsidRPr="00FE18E2">
        <w:rPr>
          <w:rFonts w:eastAsia="Calibri" w:cs="Garamond"/>
          <w:szCs w:val="24"/>
        </w:rPr>
        <w:t xml:space="preserve">The applicant noted in the assessment report that patients who have been previously stented are at a higher risk of adverse events, therefore it is necessary for results of the economic evaluation to be interpreted separately for this patient group. However, none of the clinical studies included in the systematic reviews in section B presented results comparing the efficacy of IVUS for treatment naïve or repeat stent insertion patients. </w:t>
      </w:r>
    </w:p>
    <w:p w14:paraId="1BD17EF4" w14:textId="77777777" w:rsidR="00325C0F" w:rsidRDefault="00325C0F" w:rsidP="00325C0F">
      <w:pPr>
        <w:widowControl w:val="0"/>
        <w:rPr>
          <w:rFonts w:hAnsi="Calibri"/>
          <w:szCs w:val="24"/>
          <w:lang w:val="en-US"/>
        </w:rPr>
      </w:pPr>
    </w:p>
    <w:p w14:paraId="4F000EFC" w14:textId="77777777" w:rsidR="004138A0" w:rsidRPr="00FE18E2" w:rsidRDefault="004138A0" w:rsidP="00325C0F">
      <w:pPr>
        <w:widowControl w:val="0"/>
        <w:rPr>
          <w:rFonts w:eastAsia="Calibri" w:cs="Garamond"/>
          <w:i/>
          <w:szCs w:val="24"/>
          <w:lang w:val="en-US"/>
        </w:rPr>
      </w:pPr>
      <w:r w:rsidRPr="00FE18E2">
        <w:rPr>
          <w:rFonts w:hAnsi="Calibri"/>
          <w:szCs w:val="24"/>
          <w:lang w:val="en-US"/>
        </w:rPr>
        <w:t>The assessment report details five</w:t>
      </w:r>
      <w:r w:rsidRPr="00FE18E2">
        <w:rPr>
          <w:rFonts w:hAnsi="Calibri"/>
          <w:spacing w:val="21"/>
          <w:w w:val="99"/>
          <w:szCs w:val="24"/>
          <w:lang w:val="en-US"/>
        </w:rPr>
        <w:t xml:space="preserve"> </w:t>
      </w:r>
      <w:r w:rsidRPr="00FE18E2">
        <w:rPr>
          <w:rFonts w:hAnsi="Calibri"/>
          <w:szCs w:val="24"/>
          <w:lang w:val="en-US"/>
        </w:rPr>
        <w:t>economic</w:t>
      </w:r>
      <w:r w:rsidRPr="00FE18E2">
        <w:rPr>
          <w:rFonts w:hAnsi="Calibri"/>
          <w:spacing w:val="22"/>
          <w:szCs w:val="24"/>
          <w:lang w:val="en-US"/>
        </w:rPr>
        <w:t xml:space="preserve"> </w:t>
      </w:r>
      <w:r w:rsidRPr="00FE18E2">
        <w:rPr>
          <w:rFonts w:hAnsi="Calibri"/>
          <w:szCs w:val="24"/>
          <w:lang w:val="en-US"/>
        </w:rPr>
        <w:t xml:space="preserve">evaluations, but deems them inappropriate for use in the current evaluation. </w:t>
      </w:r>
      <w:r w:rsidRPr="00FE18E2">
        <w:rPr>
          <w:rFonts w:hAnsi="Calibri"/>
          <w:spacing w:val="4"/>
          <w:szCs w:val="24"/>
          <w:lang w:val="en-US"/>
        </w:rPr>
        <w:t xml:space="preserve">No cost-effectiveness studies were reported as presenting a lifetime time horizon to evaluate the overall cost-effectiveness of IVUS use in the population. </w:t>
      </w:r>
    </w:p>
    <w:p w14:paraId="06978753" w14:textId="77777777" w:rsidR="004138A0" w:rsidRPr="00FE18E2" w:rsidRDefault="004138A0" w:rsidP="00325C0F">
      <w:pPr>
        <w:widowControl w:val="0"/>
        <w:rPr>
          <w:rFonts w:eastAsia="Calibri" w:cs="Garamond"/>
          <w:szCs w:val="24"/>
        </w:rPr>
      </w:pPr>
      <w:r w:rsidRPr="00FE18E2">
        <w:rPr>
          <w:szCs w:val="24"/>
        </w:rPr>
        <w:lastRenderedPageBreak/>
        <w:t>A cost-utility and cost-effectiveness analysis was performed to assess the incremental cost of coronary stent insertion guided by IVUS and angiography compared to the insertion guided by angiography alone per extra unit of health outcome achieved (e.g. life year gained (LYG) and quality adjusted life years (QALY) gained)</w:t>
      </w:r>
      <w:r w:rsidRPr="00FE18E2">
        <w:rPr>
          <w:spacing w:val="-1"/>
          <w:szCs w:val="24"/>
        </w:rPr>
        <w:t>.</w:t>
      </w:r>
      <w:r w:rsidRPr="00FE18E2">
        <w:rPr>
          <w:spacing w:val="-4"/>
          <w:szCs w:val="24"/>
        </w:rPr>
        <w:t xml:space="preserve"> </w:t>
      </w:r>
      <w:r w:rsidRPr="00FE18E2">
        <w:rPr>
          <w:rFonts w:eastAsia="Calibri"/>
          <w:szCs w:val="24"/>
        </w:rPr>
        <w:t xml:space="preserve">The economic evaluation was conducted using Excel 2010. Markov models for IVUS-guided BMS and DES using systematic reviews by </w:t>
      </w:r>
      <w:r w:rsidRPr="00FE18E2">
        <w:rPr>
          <w:rFonts w:eastAsia="Calibri" w:cs="Garamond"/>
          <w:szCs w:val="24"/>
        </w:rPr>
        <w:t xml:space="preserve">Parise et al. (2011) for BMS and </w:t>
      </w:r>
      <w:proofErr w:type="spellStart"/>
      <w:r w:rsidRPr="00FE18E2">
        <w:rPr>
          <w:rFonts w:eastAsia="Calibri" w:cs="Garamond"/>
          <w:szCs w:val="24"/>
        </w:rPr>
        <w:t>Ahn</w:t>
      </w:r>
      <w:proofErr w:type="spellEnd"/>
      <w:r w:rsidRPr="00FE18E2">
        <w:rPr>
          <w:rFonts w:eastAsia="Calibri" w:cs="Garamond"/>
          <w:szCs w:val="24"/>
        </w:rPr>
        <w:t xml:space="preserve"> et al. (2014) for DES. These publications provide the OR estimates for revascularisation (TLR/TVR) and MI. The models include event-free, MI, TLR/TVR, and background mortality (referred to as normal mortality). </w:t>
      </w:r>
    </w:p>
    <w:p w14:paraId="7E2F3B5D" w14:textId="77777777" w:rsidR="004138A0" w:rsidRPr="00FE18E2" w:rsidRDefault="004138A0" w:rsidP="00325C0F">
      <w:pPr>
        <w:widowControl w:val="0"/>
        <w:rPr>
          <w:rFonts w:eastAsia="Calibri" w:cs="Garamond"/>
          <w:i/>
          <w:szCs w:val="24"/>
          <w:lang w:val="en-US"/>
        </w:rPr>
      </w:pPr>
    </w:p>
    <w:p w14:paraId="7505522C" w14:textId="77777777" w:rsidR="004138A0" w:rsidRPr="0099245B" w:rsidRDefault="004138A0" w:rsidP="00325C0F">
      <w:pPr>
        <w:spacing w:after="200"/>
        <w:rPr>
          <w:rFonts w:ascii="Arial Narrow" w:eastAsia="Calibri" w:hAnsi="Arial Narrow"/>
          <w:sz w:val="20"/>
        </w:rPr>
      </w:pPr>
      <w:r w:rsidRPr="00FE18E2">
        <w:rPr>
          <w:rFonts w:eastAsia="Calibri"/>
          <w:szCs w:val="24"/>
        </w:rPr>
        <w:t xml:space="preserve">The modelled economic evaluation has been developed in two major steps: a trial-based evaluation (Year 1), and extrapolation to a lifetime time horizon. Each step presents an incremental cost-effectiveness ratio (ICER) of the insertion guided by IVUS plus angiography relative to that by angiography alone. Table 5 and Table 6 below summarise the results of the economic evaluation of the proposed intervention. </w:t>
      </w:r>
      <w:r w:rsidRPr="00FE18E2">
        <w:rPr>
          <w:rFonts w:hAnsi="Calibri"/>
          <w:szCs w:val="24"/>
        </w:rPr>
        <w:t>Table 5</w:t>
      </w:r>
      <w:r w:rsidRPr="00FE18E2">
        <w:rPr>
          <w:rFonts w:hAnsi="Calibri"/>
          <w:spacing w:val="15"/>
          <w:szCs w:val="24"/>
        </w:rPr>
        <w:t xml:space="preserve"> </w:t>
      </w:r>
      <w:r w:rsidRPr="00FE18E2">
        <w:rPr>
          <w:rFonts w:hAnsi="Calibri"/>
          <w:spacing w:val="-1"/>
          <w:szCs w:val="24"/>
        </w:rPr>
        <w:t>provides</w:t>
      </w:r>
      <w:r w:rsidRPr="00FE18E2">
        <w:rPr>
          <w:rFonts w:hAnsi="Calibri"/>
          <w:spacing w:val="17"/>
          <w:szCs w:val="24"/>
        </w:rPr>
        <w:t xml:space="preserve"> </w:t>
      </w:r>
      <w:r w:rsidRPr="00FE18E2">
        <w:rPr>
          <w:rFonts w:hAnsi="Calibri"/>
          <w:szCs w:val="24"/>
        </w:rPr>
        <w:t>the</w:t>
      </w:r>
      <w:r w:rsidRPr="00FE18E2">
        <w:rPr>
          <w:rFonts w:hAnsi="Calibri"/>
          <w:spacing w:val="16"/>
          <w:szCs w:val="24"/>
        </w:rPr>
        <w:t xml:space="preserve"> </w:t>
      </w:r>
      <w:r w:rsidRPr="00FE18E2">
        <w:rPr>
          <w:rFonts w:hAnsi="Calibri"/>
          <w:spacing w:val="-1"/>
          <w:szCs w:val="24"/>
        </w:rPr>
        <w:t>results</w:t>
      </w:r>
      <w:r w:rsidRPr="00FE18E2">
        <w:rPr>
          <w:rFonts w:hAnsi="Calibri"/>
          <w:spacing w:val="17"/>
          <w:szCs w:val="24"/>
        </w:rPr>
        <w:t xml:space="preserve"> </w:t>
      </w:r>
      <w:r w:rsidRPr="00FE18E2">
        <w:rPr>
          <w:rFonts w:hAnsi="Calibri"/>
          <w:spacing w:val="-1"/>
          <w:szCs w:val="24"/>
        </w:rPr>
        <w:t>of</w:t>
      </w:r>
      <w:r w:rsidRPr="00FE18E2">
        <w:rPr>
          <w:rFonts w:hAnsi="Calibri"/>
          <w:spacing w:val="17"/>
          <w:szCs w:val="24"/>
        </w:rPr>
        <w:t xml:space="preserve"> </w:t>
      </w:r>
      <w:r w:rsidRPr="00FE18E2">
        <w:rPr>
          <w:rFonts w:hAnsi="Calibri"/>
          <w:spacing w:val="-1"/>
          <w:szCs w:val="24"/>
        </w:rPr>
        <w:t>the</w:t>
      </w:r>
      <w:r w:rsidRPr="00FE18E2">
        <w:rPr>
          <w:rFonts w:hAnsi="Calibri"/>
          <w:spacing w:val="16"/>
          <w:szCs w:val="24"/>
        </w:rPr>
        <w:t xml:space="preserve"> </w:t>
      </w:r>
      <w:r w:rsidRPr="00FE18E2">
        <w:rPr>
          <w:rFonts w:hAnsi="Calibri"/>
          <w:szCs w:val="24"/>
        </w:rPr>
        <w:t>Step 1</w:t>
      </w:r>
      <w:r w:rsidRPr="00FE18E2">
        <w:rPr>
          <w:rFonts w:hAnsi="Calibri"/>
          <w:spacing w:val="16"/>
          <w:szCs w:val="24"/>
        </w:rPr>
        <w:t xml:space="preserve"> </w:t>
      </w:r>
      <w:r w:rsidRPr="00FE18E2">
        <w:rPr>
          <w:rFonts w:hAnsi="Calibri"/>
          <w:szCs w:val="24"/>
        </w:rPr>
        <w:t>economic</w:t>
      </w:r>
      <w:r w:rsidRPr="00FE18E2">
        <w:rPr>
          <w:rFonts w:hAnsi="Calibri"/>
          <w:spacing w:val="14"/>
          <w:szCs w:val="24"/>
        </w:rPr>
        <w:t xml:space="preserve"> </w:t>
      </w:r>
      <w:r w:rsidRPr="00FE18E2">
        <w:rPr>
          <w:rFonts w:hAnsi="Calibri"/>
          <w:szCs w:val="24"/>
        </w:rPr>
        <w:t>evaluation.</w:t>
      </w:r>
      <w:r w:rsidRPr="00FE18E2">
        <w:rPr>
          <w:rFonts w:hAnsi="Calibri"/>
          <w:spacing w:val="31"/>
          <w:szCs w:val="24"/>
        </w:rPr>
        <w:t xml:space="preserve"> </w:t>
      </w:r>
      <w:r w:rsidRPr="00FE18E2">
        <w:rPr>
          <w:spacing w:val="-1"/>
          <w:szCs w:val="24"/>
        </w:rPr>
        <w:t>T</w:t>
      </w:r>
      <w:r w:rsidRPr="00FE18E2">
        <w:rPr>
          <w:szCs w:val="24"/>
        </w:rPr>
        <w:t>he</w:t>
      </w:r>
      <w:r w:rsidRPr="00FE18E2">
        <w:rPr>
          <w:spacing w:val="1"/>
          <w:szCs w:val="24"/>
        </w:rPr>
        <w:t xml:space="preserve"> </w:t>
      </w:r>
      <w:r w:rsidRPr="00FE18E2">
        <w:rPr>
          <w:spacing w:val="-1"/>
          <w:szCs w:val="24"/>
        </w:rPr>
        <w:t>results</w:t>
      </w:r>
      <w:r w:rsidRPr="00FE18E2">
        <w:rPr>
          <w:spacing w:val="3"/>
          <w:szCs w:val="24"/>
        </w:rPr>
        <w:t xml:space="preserve"> </w:t>
      </w:r>
      <w:r w:rsidRPr="00FE18E2">
        <w:rPr>
          <w:spacing w:val="-1"/>
          <w:szCs w:val="24"/>
        </w:rPr>
        <w:t>are</w:t>
      </w:r>
      <w:r w:rsidRPr="00FE18E2">
        <w:rPr>
          <w:spacing w:val="1"/>
          <w:szCs w:val="24"/>
        </w:rPr>
        <w:t xml:space="preserve"> </w:t>
      </w:r>
      <w:r w:rsidRPr="00FE18E2">
        <w:rPr>
          <w:spacing w:val="-1"/>
          <w:szCs w:val="24"/>
        </w:rPr>
        <w:t>presented</w:t>
      </w:r>
      <w:r w:rsidRPr="00FE18E2">
        <w:rPr>
          <w:spacing w:val="2"/>
          <w:szCs w:val="24"/>
        </w:rPr>
        <w:t xml:space="preserve"> </w:t>
      </w:r>
      <w:r w:rsidRPr="00FE18E2">
        <w:rPr>
          <w:spacing w:val="-1"/>
          <w:szCs w:val="24"/>
        </w:rPr>
        <w:t>as</w:t>
      </w:r>
      <w:r w:rsidRPr="00FE18E2">
        <w:rPr>
          <w:spacing w:val="1"/>
          <w:szCs w:val="24"/>
        </w:rPr>
        <w:t xml:space="preserve"> </w:t>
      </w:r>
      <w:r w:rsidRPr="00FE18E2">
        <w:rPr>
          <w:szCs w:val="24"/>
        </w:rPr>
        <w:t xml:space="preserve">the </w:t>
      </w:r>
      <w:r w:rsidRPr="00FE18E2">
        <w:rPr>
          <w:spacing w:val="-1"/>
          <w:szCs w:val="24"/>
        </w:rPr>
        <w:t>incremental</w:t>
      </w:r>
      <w:r w:rsidRPr="00FE18E2">
        <w:rPr>
          <w:spacing w:val="1"/>
          <w:szCs w:val="24"/>
        </w:rPr>
        <w:t xml:space="preserve"> </w:t>
      </w:r>
      <w:r w:rsidRPr="00FE18E2">
        <w:rPr>
          <w:szCs w:val="24"/>
        </w:rPr>
        <w:t>cost</w:t>
      </w:r>
      <w:r w:rsidRPr="00FE18E2">
        <w:rPr>
          <w:spacing w:val="1"/>
          <w:szCs w:val="24"/>
        </w:rPr>
        <w:t xml:space="preserve"> </w:t>
      </w:r>
      <w:r w:rsidRPr="00FE18E2">
        <w:rPr>
          <w:spacing w:val="-1"/>
          <w:szCs w:val="24"/>
        </w:rPr>
        <w:t>per</w:t>
      </w:r>
      <w:r w:rsidRPr="00FE18E2">
        <w:rPr>
          <w:spacing w:val="1"/>
          <w:szCs w:val="24"/>
        </w:rPr>
        <w:t xml:space="preserve"> </w:t>
      </w:r>
      <w:r w:rsidRPr="00FE18E2">
        <w:rPr>
          <w:spacing w:val="-1"/>
          <w:szCs w:val="24"/>
        </w:rPr>
        <w:t>QALY</w:t>
      </w:r>
      <w:r w:rsidRPr="00FE18E2">
        <w:rPr>
          <w:spacing w:val="1"/>
          <w:szCs w:val="24"/>
        </w:rPr>
        <w:t xml:space="preserve"> </w:t>
      </w:r>
      <w:r w:rsidRPr="00FE18E2">
        <w:rPr>
          <w:szCs w:val="24"/>
        </w:rPr>
        <w:t>gained,</w:t>
      </w:r>
      <w:r w:rsidRPr="00FE18E2">
        <w:rPr>
          <w:spacing w:val="1"/>
          <w:szCs w:val="24"/>
        </w:rPr>
        <w:t xml:space="preserve"> </w:t>
      </w:r>
      <w:r w:rsidRPr="00FE18E2">
        <w:rPr>
          <w:spacing w:val="-1"/>
          <w:szCs w:val="24"/>
        </w:rPr>
        <w:t>and</w:t>
      </w:r>
      <w:r w:rsidRPr="00FE18E2">
        <w:rPr>
          <w:spacing w:val="1"/>
          <w:szCs w:val="24"/>
        </w:rPr>
        <w:t xml:space="preserve"> </w:t>
      </w:r>
      <w:r w:rsidRPr="00FE18E2">
        <w:rPr>
          <w:szCs w:val="24"/>
        </w:rPr>
        <w:t>the</w:t>
      </w:r>
      <w:r w:rsidRPr="00FE18E2">
        <w:rPr>
          <w:spacing w:val="1"/>
          <w:szCs w:val="24"/>
        </w:rPr>
        <w:t xml:space="preserve"> </w:t>
      </w:r>
      <w:r w:rsidRPr="00FE18E2">
        <w:rPr>
          <w:szCs w:val="24"/>
        </w:rPr>
        <w:t>costs</w:t>
      </w:r>
      <w:r w:rsidRPr="00FE18E2">
        <w:rPr>
          <w:spacing w:val="1"/>
          <w:szCs w:val="24"/>
        </w:rPr>
        <w:t xml:space="preserve"> </w:t>
      </w:r>
      <w:r w:rsidRPr="00FE18E2">
        <w:rPr>
          <w:spacing w:val="-1"/>
          <w:szCs w:val="24"/>
        </w:rPr>
        <w:t>and</w:t>
      </w:r>
      <w:r w:rsidRPr="00FE18E2">
        <w:rPr>
          <w:spacing w:val="20"/>
          <w:szCs w:val="24"/>
        </w:rPr>
        <w:t xml:space="preserve"> </w:t>
      </w:r>
      <w:r w:rsidRPr="00FE18E2">
        <w:rPr>
          <w:spacing w:val="-1"/>
          <w:szCs w:val="24"/>
        </w:rPr>
        <w:t>benefits</w:t>
      </w:r>
      <w:r w:rsidRPr="00FE18E2">
        <w:rPr>
          <w:spacing w:val="14"/>
          <w:szCs w:val="24"/>
        </w:rPr>
        <w:t xml:space="preserve"> </w:t>
      </w:r>
      <w:r w:rsidRPr="00FE18E2">
        <w:rPr>
          <w:spacing w:val="-1"/>
          <w:szCs w:val="24"/>
        </w:rPr>
        <w:t>are</w:t>
      </w:r>
      <w:r w:rsidRPr="00FE18E2">
        <w:rPr>
          <w:spacing w:val="13"/>
          <w:szCs w:val="24"/>
        </w:rPr>
        <w:t xml:space="preserve"> </w:t>
      </w:r>
      <w:r w:rsidRPr="00FE18E2">
        <w:rPr>
          <w:spacing w:val="-1"/>
          <w:szCs w:val="24"/>
        </w:rPr>
        <w:t>discounted.</w:t>
      </w:r>
      <w:r w:rsidRPr="00FE18E2">
        <w:rPr>
          <w:spacing w:val="27"/>
          <w:szCs w:val="24"/>
        </w:rPr>
        <w:t xml:space="preserve"> </w:t>
      </w:r>
      <w:r w:rsidRPr="00FE18E2">
        <w:rPr>
          <w:szCs w:val="24"/>
        </w:rPr>
        <w:t>The</w:t>
      </w:r>
      <w:r w:rsidRPr="00FE18E2">
        <w:rPr>
          <w:spacing w:val="12"/>
          <w:szCs w:val="24"/>
        </w:rPr>
        <w:t xml:space="preserve"> </w:t>
      </w:r>
      <w:r w:rsidRPr="00FE18E2">
        <w:rPr>
          <w:spacing w:val="-1"/>
          <w:szCs w:val="24"/>
        </w:rPr>
        <w:t>discounted</w:t>
      </w:r>
      <w:r w:rsidRPr="00FE18E2">
        <w:rPr>
          <w:spacing w:val="13"/>
          <w:szCs w:val="24"/>
        </w:rPr>
        <w:t xml:space="preserve"> </w:t>
      </w:r>
      <w:r w:rsidRPr="00FE18E2">
        <w:rPr>
          <w:szCs w:val="24"/>
        </w:rPr>
        <w:t>cost</w:t>
      </w:r>
      <w:r w:rsidRPr="00FE18E2">
        <w:rPr>
          <w:spacing w:val="12"/>
          <w:szCs w:val="24"/>
        </w:rPr>
        <w:t xml:space="preserve"> </w:t>
      </w:r>
      <w:r w:rsidRPr="00FE18E2">
        <w:rPr>
          <w:szCs w:val="24"/>
        </w:rPr>
        <w:t>per</w:t>
      </w:r>
      <w:r w:rsidRPr="00FE18E2">
        <w:rPr>
          <w:spacing w:val="15"/>
          <w:szCs w:val="24"/>
        </w:rPr>
        <w:t xml:space="preserve"> </w:t>
      </w:r>
      <w:r w:rsidRPr="00FE18E2">
        <w:rPr>
          <w:szCs w:val="24"/>
        </w:rPr>
        <w:t>QALY</w:t>
      </w:r>
      <w:r w:rsidRPr="00FE18E2">
        <w:rPr>
          <w:spacing w:val="12"/>
          <w:szCs w:val="24"/>
        </w:rPr>
        <w:t xml:space="preserve"> </w:t>
      </w:r>
      <w:r w:rsidRPr="00FE18E2">
        <w:rPr>
          <w:szCs w:val="24"/>
        </w:rPr>
        <w:t>gained</w:t>
      </w:r>
      <w:r w:rsidRPr="00FE18E2">
        <w:rPr>
          <w:spacing w:val="12"/>
          <w:szCs w:val="24"/>
        </w:rPr>
        <w:t xml:space="preserve"> </w:t>
      </w:r>
      <w:r w:rsidRPr="00FE18E2">
        <w:rPr>
          <w:szCs w:val="24"/>
        </w:rPr>
        <w:t>is</w:t>
      </w:r>
      <w:r w:rsidRPr="00FE18E2">
        <w:rPr>
          <w:spacing w:val="14"/>
          <w:szCs w:val="24"/>
        </w:rPr>
        <w:t xml:space="preserve"> </w:t>
      </w:r>
      <w:r w:rsidRPr="00FE18E2">
        <w:rPr>
          <w:szCs w:val="24"/>
        </w:rPr>
        <w:t>estimated</w:t>
      </w:r>
      <w:r w:rsidRPr="00FE18E2">
        <w:rPr>
          <w:spacing w:val="12"/>
          <w:szCs w:val="24"/>
        </w:rPr>
        <w:t xml:space="preserve"> </w:t>
      </w:r>
      <w:r w:rsidRPr="00FE18E2">
        <w:rPr>
          <w:szCs w:val="24"/>
        </w:rPr>
        <w:t>to</w:t>
      </w:r>
      <w:r w:rsidRPr="00FE18E2">
        <w:rPr>
          <w:spacing w:val="13"/>
          <w:szCs w:val="24"/>
        </w:rPr>
        <w:t xml:space="preserve"> </w:t>
      </w:r>
      <w:r w:rsidRPr="00FE18E2">
        <w:rPr>
          <w:szCs w:val="24"/>
        </w:rPr>
        <w:t>be</w:t>
      </w:r>
      <w:r w:rsidRPr="00FE18E2">
        <w:rPr>
          <w:spacing w:val="12"/>
          <w:szCs w:val="24"/>
        </w:rPr>
        <w:t xml:space="preserve"> </w:t>
      </w:r>
      <w:r w:rsidRPr="00FE18E2">
        <w:rPr>
          <w:szCs w:val="24"/>
        </w:rPr>
        <w:t>$</w:t>
      </w:r>
      <w:r w:rsidR="00325C0F">
        <w:rPr>
          <w:szCs w:val="24"/>
        </w:rPr>
        <w:t>166,462</w:t>
      </w:r>
      <w:r w:rsidRPr="00FE18E2">
        <w:rPr>
          <w:szCs w:val="24"/>
        </w:rPr>
        <w:t xml:space="preserve"> in the case of BMS, and $489,868 for DES.</w:t>
      </w:r>
      <w:r w:rsidRPr="00FE18E2">
        <w:rPr>
          <w:spacing w:val="25"/>
          <w:szCs w:val="24"/>
        </w:rPr>
        <w:t xml:space="preserve"> </w:t>
      </w:r>
      <w:r w:rsidRPr="00FE18E2">
        <w:rPr>
          <w:szCs w:val="24"/>
        </w:rPr>
        <w:t>T</w:t>
      </w:r>
      <w:r w:rsidRPr="00FE18E2">
        <w:rPr>
          <w:rFonts w:eastAsia="Calibri"/>
          <w:szCs w:val="24"/>
          <w:lang w:eastAsia="en-GB"/>
        </w:rPr>
        <w:t xml:space="preserve">he ICERs are higher in Step 1 than those obtained in the life cycle (Step 2) scenario, since the costs </w:t>
      </w:r>
      <w:r w:rsidRPr="0099245B">
        <w:rPr>
          <w:rFonts w:eastAsia="Calibri"/>
          <w:szCs w:val="22"/>
          <w:lang w:eastAsia="en-GB"/>
        </w:rPr>
        <w:t>associated with IVUS all occur in the initial cycle.</w:t>
      </w:r>
    </w:p>
    <w:p w14:paraId="682E57B2" w14:textId="77777777" w:rsidR="004138A0" w:rsidRDefault="004138A0" w:rsidP="004138A0">
      <w:pPr>
        <w:spacing w:after="200"/>
        <w:rPr>
          <w:rFonts w:ascii="Arial Narrow" w:eastAsia="MS Mincho" w:hAnsi="Arial Narrow" w:cs="Arial"/>
          <w:b/>
          <w:iCs/>
          <w:sz w:val="20"/>
          <w:lang w:eastAsia="ja-JP"/>
        </w:rPr>
      </w:pPr>
      <w:r>
        <w:rPr>
          <w:rFonts w:ascii="Arial Narrow" w:eastAsia="MS Mincho" w:hAnsi="Arial Narrow" w:cs="Arial"/>
          <w:b/>
          <w:iCs/>
          <w:sz w:val="20"/>
          <w:lang w:eastAsia="ja-JP"/>
        </w:rPr>
        <w:t>Table 5</w:t>
      </w:r>
      <w:r w:rsidRPr="00BF61AC">
        <w:rPr>
          <w:rFonts w:ascii="Arial Narrow" w:eastAsia="MS Mincho" w:hAnsi="Arial Narrow" w:cs="Arial"/>
          <w:b/>
          <w:iCs/>
          <w:sz w:val="20"/>
          <w:lang w:eastAsia="ja-JP"/>
        </w:rPr>
        <w:t>: Step 1 - Year 1 (trial) results of the economic evaluation</w:t>
      </w:r>
    </w:p>
    <w:tbl>
      <w:tblPr>
        <w:tblStyle w:val="TableGrid"/>
        <w:tblW w:w="0" w:type="auto"/>
        <w:tblLook w:val="04A0" w:firstRow="1" w:lastRow="0" w:firstColumn="1" w:lastColumn="0" w:noHBand="0" w:noVBand="1"/>
        <w:tblCaption w:val="Table 5: Step 1 - Year 1 (trial) results of the economic evaluation"/>
        <w:tblDescription w:val="Table 5: Step 1 - Year 1 (trial) results of the economic evaluation"/>
      </w:tblPr>
      <w:tblGrid>
        <w:gridCol w:w="2943"/>
        <w:gridCol w:w="1677"/>
        <w:gridCol w:w="2576"/>
        <w:gridCol w:w="2046"/>
      </w:tblGrid>
      <w:tr w:rsidR="00171DAC" w14:paraId="744AB810" w14:textId="77777777" w:rsidTr="0091355A">
        <w:trPr>
          <w:tblHeader/>
        </w:trPr>
        <w:tc>
          <w:tcPr>
            <w:tcW w:w="2943" w:type="dxa"/>
          </w:tcPr>
          <w:p w14:paraId="55696A12" w14:textId="50CA1AC0"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Resource item description</w:t>
            </w:r>
          </w:p>
        </w:tc>
        <w:tc>
          <w:tcPr>
            <w:tcW w:w="1677" w:type="dxa"/>
            <w:tcBorders>
              <w:bottom w:val="single" w:sz="4" w:space="0" w:color="auto"/>
            </w:tcBorders>
          </w:tcPr>
          <w:p w14:paraId="48171306" w14:textId="74711183"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IVUS</w:t>
            </w:r>
          </w:p>
        </w:tc>
        <w:tc>
          <w:tcPr>
            <w:tcW w:w="2576" w:type="dxa"/>
            <w:tcBorders>
              <w:bottom w:val="single" w:sz="4" w:space="0" w:color="auto"/>
            </w:tcBorders>
          </w:tcPr>
          <w:p w14:paraId="3841A8E5" w14:textId="30B9BFA8" w:rsidR="00171DAC" w:rsidRDefault="00171DAC" w:rsidP="00171DAC">
            <w:pPr>
              <w:spacing w:after="200"/>
              <w:jc w:val="center"/>
              <w:rPr>
                <w:rFonts w:ascii="Arial Narrow" w:eastAsia="MS Mincho" w:hAnsi="Arial Narrow" w:cs="Arial"/>
                <w:b/>
                <w:iCs/>
                <w:sz w:val="20"/>
                <w:lang w:eastAsia="ja-JP"/>
              </w:rPr>
            </w:pPr>
            <w:proofErr w:type="spellStart"/>
            <w:r w:rsidRPr="0099245B">
              <w:rPr>
                <w:rFonts w:ascii="Arial Narrow" w:hAnsi="Arial Narrow" w:cs="Tahoma"/>
                <w:b/>
                <w:sz w:val="20"/>
              </w:rPr>
              <w:t>Angio</w:t>
            </w:r>
            <w:proofErr w:type="spellEnd"/>
            <w:r w:rsidRPr="0099245B">
              <w:rPr>
                <w:rFonts w:ascii="Arial Narrow" w:hAnsi="Arial Narrow" w:cs="Tahoma"/>
                <w:b/>
                <w:sz w:val="20"/>
              </w:rPr>
              <w:t>.</w:t>
            </w:r>
          </w:p>
        </w:tc>
        <w:tc>
          <w:tcPr>
            <w:tcW w:w="2046" w:type="dxa"/>
            <w:tcBorders>
              <w:bottom w:val="single" w:sz="4" w:space="0" w:color="auto"/>
            </w:tcBorders>
          </w:tcPr>
          <w:p w14:paraId="49F91941" w14:textId="60FA6D9D"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Incremental</w:t>
            </w:r>
          </w:p>
        </w:tc>
      </w:tr>
      <w:tr w:rsidR="00171DAC" w14:paraId="4F7AE8DB" w14:textId="77777777" w:rsidTr="0091355A">
        <w:trPr>
          <w:trHeight w:val="490"/>
        </w:trPr>
        <w:tc>
          <w:tcPr>
            <w:tcW w:w="2943" w:type="dxa"/>
          </w:tcPr>
          <w:p w14:paraId="71843BC4" w14:textId="14A5E8D6"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Step 1: Trial-based model evaluation</w:t>
            </w:r>
          </w:p>
        </w:tc>
        <w:tc>
          <w:tcPr>
            <w:tcW w:w="1677" w:type="dxa"/>
            <w:tcBorders>
              <w:bottom w:val="nil"/>
              <w:right w:val="nil"/>
            </w:tcBorders>
          </w:tcPr>
          <w:p w14:paraId="78F5B514" w14:textId="77777777" w:rsidR="00171DAC" w:rsidRDefault="00171DAC" w:rsidP="00171DAC">
            <w:pPr>
              <w:spacing w:after="200"/>
              <w:rPr>
                <w:rFonts w:ascii="Arial Narrow" w:eastAsia="MS Mincho" w:hAnsi="Arial Narrow" w:cs="Arial"/>
                <w:b/>
                <w:iCs/>
                <w:sz w:val="20"/>
                <w:lang w:eastAsia="ja-JP"/>
              </w:rPr>
            </w:pPr>
          </w:p>
        </w:tc>
        <w:tc>
          <w:tcPr>
            <w:tcW w:w="2576" w:type="dxa"/>
            <w:tcBorders>
              <w:left w:val="nil"/>
              <w:bottom w:val="nil"/>
              <w:right w:val="nil"/>
            </w:tcBorders>
          </w:tcPr>
          <w:p w14:paraId="0530A93E" w14:textId="77777777" w:rsidR="00171DAC" w:rsidRDefault="00171DAC" w:rsidP="00171DAC">
            <w:pPr>
              <w:spacing w:after="200"/>
              <w:rPr>
                <w:rFonts w:ascii="Arial Narrow" w:eastAsia="MS Mincho" w:hAnsi="Arial Narrow" w:cs="Arial"/>
                <w:b/>
                <w:iCs/>
                <w:sz w:val="20"/>
                <w:lang w:eastAsia="ja-JP"/>
              </w:rPr>
            </w:pPr>
          </w:p>
        </w:tc>
        <w:tc>
          <w:tcPr>
            <w:tcW w:w="2046" w:type="dxa"/>
            <w:tcBorders>
              <w:left w:val="nil"/>
              <w:bottom w:val="nil"/>
            </w:tcBorders>
          </w:tcPr>
          <w:p w14:paraId="36D9756F" w14:textId="77777777" w:rsidR="00171DAC" w:rsidRDefault="00171DAC" w:rsidP="00171DAC">
            <w:pPr>
              <w:spacing w:after="200"/>
              <w:rPr>
                <w:rFonts w:ascii="Arial Narrow" w:eastAsia="MS Mincho" w:hAnsi="Arial Narrow" w:cs="Arial"/>
                <w:b/>
                <w:iCs/>
                <w:sz w:val="20"/>
                <w:lang w:eastAsia="ja-JP"/>
              </w:rPr>
            </w:pPr>
          </w:p>
        </w:tc>
      </w:tr>
      <w:tr w:rsidR="00171DAC" w14:paraId="5C6E703E" w14:textId="77777777" w:rsidTr="0091355A">
        <w:trPr>
          <w:trHeight w:val="527"/>
        </w:trPr>
        <w:tc>
          <w:tcPr>
            <w:tcW w:w="2943" w:type="dxa"/>
          </w:tcPr>
          <w:p w14:paraId="394408FA" w14:textId="3BE2184F"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IVUS-guided BMS implantation analysis</w:t>
            </w:r>
          </w:p>
        </w:tc>
        <w:tc>
          <w:tcPr>
            <w:tcW w:w="1677" w:type="dxa"/>
            <w:tcBorders>
              <w:top w:val="nil"/>
              <w:right w:val="nil"/>
            </w:tcBorders>
          </w:tcPr>
          <w:p w14:paraId="02193C7C" w14:textId="77777777" w:rsidR="00171DAC" w:rsidRDefault="00171DAC" w:rsidP="00171DAC">
            <w:pPr>
              <w:spacing w:after="200"/>
              <w:rPr>
                <w:rFonts w:ascii="Arial Narrow" w:eastAsia="MS Mincho" w:hAnsi="Arial Narrow" w:cs="Arial"/>
                <w:b/>
                <w:iCs/>
                <w:sz w:val="20"/>
                <w:lang w:eastAsia="ja-JP"/>
              </w:rPr>
            </w:pPr>
          </w:p>
        </w:tc>
        <w:tc>
          <w:tcPr>
            <w:tcW w:w="2576" w:type="dxa"/>
            <w:tcBorders>
              <w:top w:val="nil"/>
              <w:left w:val="nil"/>
              <w:right w:val="nil"/>
            </w:tcBorders>
          </w:tcPr>
          <w:p w14:paraId="1D321679" w14:textId="77777777" w:rsidR="00171DAC" w:rsidRDefault="00171DAC" w:rsidP="00171DAC">
            <w:pPr>
              <w:spacing w:after="200"/>
              <w:rPr>
                <w:rFonts w:ascii="Arial Narrow" w:eastAsia="MS Mincho" w:hAnsi="Arial Narrow" w:cs="Arial"/>
                <w:b/>
                <w:iCs/>
                <w:sz w:val="20"/>
                <w:lang w:eastAsia="ja-JP"/>
              </w:rPr>
            </w:pPr>
          </w:p>
        </w:tc>
        <w:tc>
          <w:tcPr>
            <w:tcW w:w="2046" w:type="dxa"/>
            <w:tcBorders>
              <w:top w:val="nil"/>
              <w:left w:val="nil"/>
            </w:tcBorders>
          </w:tcPr>
          <w:p w14:paraId="2594E6FE" w14:textId="77777777" w:rsidR="00171DAC" w:rsidRDefault="00171DAC" w:rsidP="00171DAC">
            <w:pPr>
              <w:spacing w:after="200"/>
              <w:rPr>
                <w:rFonts w:ascii="Arial Narrow" w:eastAsia="MS Mincho" w:hAnsi="Arial Narrow" w:cs="Arial"/>
                <w:b/>
                <w:iCs/>
                <w:sz w:val="20"/>
                <w:lang w:eastAsia="ja-JP"/>
              </w:rPr>
            </w:pPr>
          </w:p>
        </w:tc>
      </w:tr>
      <w:tr w:rsidR="00171DAC" w14:paraId="5E9DE29F" w14:textId="77777777" w:rsidTr="0091355A">
        <w:tc>
          <w:tcPr>
            <w:tcW w:w="2943" w:type="dxa"/>
          </w:tcPr>
          <w:p w14:paraId="13D4EFCA" w14:textId="7A1DEF3E"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sz w:val="20"/>
              </w:rPr>
              <w:t>Cost</w:t>
            </w:r>
          </w:p>
        </w:tc>
        <w:tc>
          <w:tcPr>
            <w:tcW w:w="1677" w:type="dxa"/>
          </w:tcPr>
          <w:p w14:paraId="6AFFD61F" w14:textId="69700C31"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$15,606.78</w:t>
            </w:r>
          </w:p>
        </w:tc>
        <w:tc>
          <w:tcPr>
            <w:tcW w:w="2576" w:type="dxa"/>
          </w:tcPr>
          <w:p w14:paraId="73C656E0" w14:textId="0A909895"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$14,717.21</w:t>
            </w:r>
          </w:p>
        </w:tc>
        <w:tc>
          <w:tcPr>
            <w:tcW w:w="2046" w:type="dxa"/>
          </w:tcPr>
          <w:p w14:paraId="1AFFB3B5" w14:textId="683A4B5E"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$925.83</w:t>
            </w:r>
          </w:p>
        </w:tc>
      </w:tr>
      <w:tr w:rsidR="00171DAC" w14:paraId="5D999725" w14:textId="77777777" w:rsidTr="0091355A">
        <w:tc>
          <w:tcPr>
            <w:tcW w:w="2943" w:type="dxa"/>
            <w:tcBorders>
              <w:bottom w:val="single" w:sz="4" w:space="0" w:color="auto"/>
            </w:tcBorders>
          </w:tcPr>
          <w:p w14:paraId="6A0BCC9E" w14:textId="1F6A3AAE"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sz w:val="20"/>
              </w:rPr>
              <w:t>Effect (LYs)</w:t>
            </w:r>
          </w:p>
        </w:tc>
        <w:tc>
          <w:tcPr>
            <w:tcW w:w="1677" w:type="dxa"/>
            <w:tcBorders>
              <w:bottom w:val="single" w:sz="4" w:space="0" w:color="auto"/>
            </w:tcBorders>
          </w:tcPr>
          <w:p w14:paraId="61B5C7F3" w14:textId="4959DD68"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0.968</w:t>
            </w:r>
          </w:p>
        </w:tc>
        <w:tc>
          <w:tcPr>
            <w:tcW w:w="2576" w:type="dxa"/>
          </w:tcPr>
          <w:p w14:paraId="15C4AD77" w14:textId="178FC177"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0.966</w:t>
            </w:r>
          </w:p>
        </w:tc>
        <w:tc>
          <w:tcPr>
            <w:tcW w:w="2046" w:type="dxa"/>
          </w:tcPr>
          <w:p w14:paraId="353F6F32" w14:textId="00FDAE2D"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0.002</w:t>
            </w:r>
          </w:p>
        </w:tc>
      </w:tr>
      <w:tr w:rsidR="00171DAC" w14:paraId="6806BEB9" w14:textId="77777777" w:rsidTr="0091355A">
        <w:tc>
          <w:tcPr>
            <w:tcW w:w="2943" w:type="dxa"/>
            <w:tcBorders>
              <w:right w:val="nil"/>
            </w:tcBorders>
          </w:tcPr>
          <w:p w14:paraId="6848594E" w14:textId="77777777" w:rsidR="00171DAC" w:rsidRDefault="00171DAC" w:rsidP="00171DAC">
            <w:pPr>
              <w:spacing w:after="200"/>
              <w:rPr>
                <w:rFonts w:ascii="Arial Narrow" w:eastAsia="MS Mincho" w:hAnsi="Arial Narrow" w:cs="Arial"/>
                <w:b/>
                <w:iCs/>
                <w:sz w:val="20"/>
                <w:lang w:eastAsia="ja-JP"/>
              </w:rPr>
            </w:pPr>
          </w:p>
        </w:tc>
        <w:tc>
          <w:tcPr>
            <w:tcW w:w="1677" w:type="dxa"/>
            <w:tcBorders>
              <w:left w:val="nil"/>
            </w:tcBorders>
          </w:tcPr>
          <w:p w14:paraId="3A96F0A2" w14:textId="77777777" w:rsidR="00171DAC" w:rsidRDefault="00171DAC" w:rsidP="00171DAC">
            <w:pPr>
              <w:spacing w:after="200"/>
              <w:rPr>
                <w:rFonts w:ascii="Arial Narrow" w:eastAsia="MS Mincho" w:hAnsi="Arial Narrow" w:cs="Arial"/>
                <w:b/>
                <w:iCs/>
                <w:sz w:val="20"/>
                <w:lang w:eastAsia="ja-JP"/>
              </w:rPr>
            </w:pPr>
          </w:p>
        </w:tc>
        <w:tc>
          <w:tcPr>
            <w:tcW w:w="2576" w:type="dxa"/>
          </w:tcPr>
          <w:p w14:paraId="4B9A54E3" w14:textId="5DD341EA"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Cost per LYG</w:t>
            </w:r>
          </w:p>
        </w:tc>
        <w:tc>
          <w:tcPr>
            <w:tcW w:w="2046" w:type="dxa"/>
          </w:tcPr>
          <w:p w14:paraId="7AB760BA" w14:textId="0C94A3F3"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
                <w:bCs/>
                <w:sz w:val="20"/>
              </w:rPr>
              <w:t>$411,792.45</w:t>
            </w:r>
          </w:p>
        </w:tc>
      </w:tr>
      <w:tr w:rsidR="00171DAC" w14:paraId="500E15FD" w14:textId="77777777" w:rsidTr="0091355A">
        <w:tc>
          <w:tcPr>
            <w:tcW w:w="2943" w:type="dxa"/>
            <w:tcBorders>
              <w:bottom w:val="single" w:sz="4" w:space="0" w:color="auto"/>
            </w:tcBorders>
          </w:tcPr>
          <w:p w14:paraId="65CFA27C" w14:textId="3D625102"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sz w:val="20"/>
              </w:rPr>
              <w:t>Effect (QALYs)</w:t>
            </w:r>
          </w:p>
        </w:tc>
        <w:tc>
          <w:tcPr>
            <w:tcW w:w="1677" w:type="dxa"/>
            <w:tcBorders>
              <w:bottom w:val="single" w:sz="4" w:space="0" w:color="auto"/>
            </w:tcBorders>
          </w:tcPr>
          <w:p w14:paraId="699962BC" w14:textId="7FCA883F"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0.801</w:t>
            </w:r>
          </w:p>
        </w:tc>
        <w:tc>
          <w:tcPr>
            <w:tcW w:w="2576" w:type="dxa"/>
          </w:tcPr>
          <w:p w14:paraId="3C6DB185" w14:textId="17D9E6E1"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0.795</w:t>
            </w:r>
          </w:p>
        </w:tc>
        <w:tc>
          <w:tcPr>
            <w:tcW w:w="2046" w:type="dxa"/>
          </w:tcPr>
          <w:p w14:paraId="57401262" w14:textId="1D7B014F"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0.005</w:t>
            </w:r>
          </w:p>
        </w:tc>
      </w:tr>
      <w:tr w:rsidR="00171DAC" w14:paraId="5613932D" w14:textId="77777777" w:rsidTr="0091355A">
        <w:tc>
          <w:tcPr>
            <w:tcW w:w="2943" w:type="dxa"/>
            <w:tcBorders>
              <w:bottom w:val="nil"/>
              <w:right w:val="nil"/>
            </w:tcBorders>
          </w:tcPr>
          <w:p w14:paraId="476E6353" w14:textId="77777777" w:rsidR="00171DAC" w:rsidRDefault="00171DAC" w:rsidP="00171DAC">
            <w:pPr>
              <w:spacing w:after="200"/>
              <w:jc w:val="center"/>
              <w:rPr>
                <w:rFonts w:ascii="Arial Narrow" w:eastAsia="MS Mincho" w:hAnsi="Arial Narrow" w:cs="Arial"/>
                <w:b/>
                <w:iCs/>
                <w:sz w:val="20"/>
                <w:lang w:eastAsia="ja-JP"/>
              </w:rPr>
            </w:pPr>
          </w:p>
        </w:tc>
        <w:tc>
          <w:tcPr>
            <w:tcW w:w="1677" w:type="dxa"/>
            <w:tcBorders>
              <w:left w:val="nil"/>
              <w:bottom w:val="nil"/>
            </w:tcBorders>
          </w:tcPr>
          <w:p w14:paraId="70E54DE0" w14:textId="77777777" w:rsidR="00171DAC" w:rsidRDefault="00171DAC" w:rsidP="00171DAC">
            <w:pPr>
              <w:spacing w:after="200"/>
              <w:jc w:val="center"/>
              <w:rPr>
                <w:rFonts w:ascii="Arial Narrow" w:eastAsia="MS Mincho" w:hAnsi="Arial Narrow" w:cs="Arial"/>
                <w:b/>
                <w:iCs/>
                <w:sz w:val="20"/>
                <w:lang w:eastAsia="ja-JP"/>
              </w:rPr>
            </w:pPr>
          </w:p>
        </w:tc>
        <w:tc>
          <w:tcPr>
            <w:tcW w:w="2576" w:type="dxa"/>
          </w:tcPr>
          <w:p w14:paraId="27E98BB4" w14:textId="12EDF6B0"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Cost per QALY gained</w:t>
            </w:r>
          </w:p>
        </w:tc>
        <w:tc>
          <w:tcPr>
            <w:tcW w:w="2046" w:type="dxa"/>
          </w:tcPr>
          <w:p w14:paraId="45A13FA6" w14:textId="4E1D8040"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SimSun" w:hAnsi="Arial Narrow" w:cs="Tahoma"/>
                <w:b/>
                <w:sz w:val="20"/>
                <w:lang w:eastAsia="zh-CN"/>
              </w:rPr>
              <w:t>$166,462.01</w:t>
            </w:r>
          </w:p>
        </w:tc>
      </w:tr>
      <w:tr w:rsidR="00171DAC" w14:paraId="0BF0D9B5" w14:textId="77777777" w:rsidTr="0091355A">
        <w:tc>
          <w:tcPr>
            <w:tcW w:w="2943" w:type="dxa"/>
            <w:tcBorders>
              <w:top w:val="nil"/>
              <w:bottom w:val="nil"/>
              <w:right w:val="nil"/>
            </w:tcBorders>
          </w:tcPr>
          <w:p w14:paraId="48021750" w14:textId="77777777" w:rsidR="00171DAC" w:rsidRDefault="00171DAC" w:rsidP="00171DAC">
            <w:pPr>
              <w:spacing w:after="200"/>
              <w:jc w:val="center"/>
              <w:rPr>
                <w:rFonts w:ascii="Arial Narrow" w:eastAsia="MS Mincho" w:hAnsi="Arial Narrow" w:cs="Arial"/>
                <w:b/>
                <w:iCs/>
                <w:sz w:val="20"/>
                <w:lang w:eastAsia="ja-JP"/>
              </w:rPr>
            </w:pPr>
          </w:p>
        </w:tc>
        <w:tc>
          <w:tcPr>
            <w:tcW w:w="1677" w:type="dxa"/>
            <w:tcBorders>
              <w:top w:val="nil"/>
              <w:left w:val="nil"/>
              <w:bottom w:val="nil"/>
            </w:tcBorders>
          </w:tcPr>
          <w:p w14:paraId="13453C78" w14:textId="77777777" w:rsidR="00171DAC" w:rsidRDefault="00171DAC" w:rsidP="00171DAC">
            <w:pPr>
              <w:spacing w:after="200"/>
              <w:jc w:val="center"/>
              <w:rPr>
                <w:rFonts w:ascii="Arial Narrow" w:eastAsia="MS Mincho" w:hAnsi="Arial Narrow" w:cs="Arial"/>
                <w:b/>
                <w:iCs/>
                <w:sz w:val="20"/>
                <w:lang w:eastAsia="ja-JP"/>
              </w:rPr>
            </w:pPr>
          </w:p>
        </w:tc>
        <w:tc>
          <w:tcPr>
            <w:tcW w:w="2576" w:type="dxa"/>
          </w:tcPr>
          <w:p w14:paraId="622D8A5A" w14:textId="5CCDE792"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Arial"/>
                <w:b/>
                <w:i/>
                <w:sz w:val="20"/>
              </w:rPr>
              <w:t>Upper 95% CL of differences in outcome</w:t>
            </w:r>
          </w:p>
        </w:tc>
        <w:tc>
          <w:tcPr>
            <w:tcW w:w="2046" w:type="dxa"/>
          </w:tcPr>
          <w:p w14:paraId="082198D5" w14:textId="6239C173"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SimSun" w:hAnsi="Arial Narrow" w:cs="Tahoma"/>
                <w:b/>
                <w:i/>
                <w:sz w:val="20"/>
                <w:lang w:eastAsia="zh-CN"/>
              </w:rPr>
              <w:t>Dominated</w:t>
            </w:r>
          </w:p>
        </w:tc>
      </w:tr>
      <w:tr w:rsidR="00171DAC" w14:paraId="2C295FF0" w14:textId="77777777" w:rsidTr="0091355A">
        <w:tc>
          <w:tcPr>
            <w:tcW w:w="2943" w:type="dxa"/>
            <w:tcBorders>
              <w:top w:val="nil"/>
              <w:right w:val="nil"/>
            </w:tcBorders>
          </w:tcPr>
          <w:p w14:paraId="31DC9C51" w14:textId="77777777" w:rsidR="00171DAC" w:rsidRDefault="00171DAC" w:rsidP="00171DAC">
            <w:pPr>
              <w:spacing w:after="200"/>
              <w:jc w:val="center"/>
              <w:rPr>
                <w:rFonts w:ascii="Arial Narrow" w:eastAsia="MS Mincho" w:hAnsi="Arial Narrow" w:cs="Arial"/>
                <w:b/>
                <w:iCs/>
                <w:sz w:val="20"/>
                <w:lang w:eastAsia="ja-JP"/>
              </w:rPr>
            </w:pPr>
          </w:p>
        </w:tc>
        <w:tc>
          <w:tcPr>
            <w:tcW w:w="1677" w:type="dxa"/>
            <w:tcBorders>
              <w:top w:val="nil"/>
              <w:left w:val="nil"/>
              <w:bottom w:val="single" w:sz="4" w:space="0" w:color="auto"/>
            </w:tcBorders>
          </w:tcPr>
          <w:p w14:paraId="7765A5AA" w14:textId="77777777" w:rsidR="00171DAC" w:rsidRDefault="00171DAC" w:rsidP="00171DAC">
            <w:pPr>
              <w:spacing w:after="200"/>
              <w:jc w:val="center"/>
              <w:rPr>
                <w:rFonts w:ascii="Arial Narrow" w:eastAsia="MS Mincho" w:hAnsi="Arial Narrow" w:cs="Arial"/>
                <w:b/>
                <w:iCs/>
                <w:sz w:val="20"/>
                <w:lang w:eastAsia="ja-JP"/>
              </w:rPr>
            </w:pPr>
          </w:p>
        </w:tc>
        <w:tc>
          <w:tcPr>
            <w:tcW w:w="2576" w:type="dxa"/>
            <w:tcBorders>
              <w:bottom w:val="single" w:sz="4" w:space="0" w:color="auto"/>
            </w:tcBorders>
          </w:tcPr>
          <w:p w14:paraId="11916D96" w14:textId="5CBF4AD1"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Arial"/>
                <w:b/>
                <w:i/>
                <w:sz w:val="20"/>
              </w:rPr>
              <w:t>Lower 95% CL of differences in outcome</w:t>
            </w:r>
          </w:p>
        </w:tc>
        <w:tc>
          <w:tcPr>
            <w:tcW w:w="2046" w:type="dxa"/>
            <w:tcBorders>
              <w:bottom w:val="single" w:sz="4" w:space="0" w:color="auto"/>
            </w:tcBorders>
          </w:tcPr>
          <w:p w14:paraId="1325CCAA" w14:textId="31A61F4D"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SimSun" w:hAnsi="Arial Narrow" w:cs="Tahoma"/>
                <w:b/>
                <w:i/>
                <w:sz w:val="20"/>
                <w:lang w:eastAsia="zh-CN"/>
              </w:rPr>
              <w:t>$49,990.14</w:t>
            </w:r>
          </w:p>
        </w:tc>
      </w:tr>
      <w:tr w:rsidR="00171DAC" w14:paraId="452E0234" w14:textId="77777777" w:rsidTr="0091355A">
        <w:tc>
          <w:tcPr>
            <w:tcW w:w="2943" w:type="dxa"/>
          </w:tcPr>
          <w:p w14:paraId="4A524D48" w14:textId="4D0B8B9D"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IVUS-guided DES implantation analysis</w:t>
            </w:r>
          </w:p>
        </w:tc>
        <w:tc>
          <w:tcPr>
            <w:tcW w:w="1677" w:type="dxa"/>
            <w:tcBorders>
              <w:right w:val="nil"/>
            </w:tcBorders>
          </w:tcPr>
          <w:p w14:paraId="526BADDA" w14:textId="77777777" w:rsidR="00171DAC" w:rsidRDefault="00171DAC" w:rsidP="00171DAC">
            <w:pPr>
              <w:spacing w:after="200"/>
              <w:jc w:val="center"/>
              <w:rPr>
                <w:rFonts w:ascii="Arial Narrow" w:eastAsia="MS Mincho" w:hAnsi="Arial Narrow" w:cs="Arial"/>
                <w:b/>
                <w:iCs/>
                <w:sz w:val="20"/>
                <w:lang w:eastAsia="ja-JP"/>
              </w:rPr>
            </w:pPr>
          </w:p>
        </w:tc>
        <w:tc>
          <w:tcPr>
            <w:tcW w:w="2576" w:type="dxa"/>
            <w:tcBorders>
              <w:left w:val="nil"/>
              <w:right w:val="nil"/>
            </w:tcBorders>
          </w:tcPr>
          <w:p w14:paraId="07F97737" w14:textId="77777777" w:rsidR="00171DAC" w:rsidRDefault="00171DAC" w:rsidP="00171DAC">
            <w:pPr>
              <w:spacing w:after="200"/>
              <w:jc w:val="center"/>
              <w:rPr>
                <w:rFonts w:ascii="Arial Narrow" w:eastAsia="MS Mincho" w:hAnsi="Arial Narrow" w:cs="Arial"/>
                <w:b/>
                <w:iCs/>
                <w:sz w:val="20"/>
                <w:lang w:eastAsia="ja-JP"/>
              </w:rPr>
            </w:pPr>
          </w:p>
        </w:tc>
        <w:tc>
          <w:tcPr>
            <w:tcW w:w="2046" w:type="dxa"/>
            <w:tcBorders>
              <w:left w:val="nil"/>
            </w:tcBorders>
          </w:tcPr>
          <w:p w14:paraId="085F257E" w14:textId="77777777" w:rsidR="00171DAC" w:rsidRDefault="00171DAC" w:rsidP="00171DAC">
            <w:pPr>
              <w:spacing w:after="200"/>
              <w:jc w:val="center"/>
              <w:rPr>
                <w:rFonts w:ascii="Arial Narrow" w:eastAsia="MS Mincho" w:hAnsi="Arial Narrow" w:cs="Arial"/>
                <w:b/>
                <w:iCs/>
                <w:sz w:val="20"/>
                <w:lang w:eastAsia="ja-JP"/>
              </w:rPr>
            </w:pPr>
          </w:p>
        </w:tc>
      </w:tr>
      <w:tr w:rsidR="00171DAC" w14:paraId="6F7CA14E" w14:textId="77777777" w:rsidTr="0091355A">
        <w:tc>
          <w:tcPr>
            <w:tcW w:w="2943" w:type="dxa"/>
          </w:tcPr>
          <w:p w14:paraId="11175DE9" w14:textId="4EF7DA2E"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sz w:val="20"/>
              </w:rPr>
              <w:t>Cost</w:t>
            </w:r>
          </w:p>
        </w:tc>
        <w:tc>
          <w:tcPr>
            <w:tcW w:w="1677" w:type="dxa"/>
          </w:tcPr>
          <w:p w14:paraId="487A5F07" w14:textId="1579EFE1"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$17,137.05</w:t>
            </w:r>
          </w:p>
        </w:tc>
        <w:tc>
          <w:tcPr>
            <w:tcW w:w="2576" w:type="dxa"/>
          </w:tcPr>
          <w:p w14:paraId="199C6FE7" w14:textId="01F44410"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$15,686.99</w:t>
            </w:r>
          </w:p>
        </w:tc>
        <w:tc>
          <w:tcPr>
            <w:tcW w:w="2046" w:type="dxa"/>
          </w:tcPr>
          <w:p w14:paraId="217DBB06" w14:textId="12E3CB91"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$1,450.06</w:t>
            </w:r>
          </w:p>
        </w:tc>
      </w:tr>
      <w:tr w:rsidR="00171DAC" w14:paraId="20EA24F6" w14:textId="77777777" w:rsidTr="0091355A">
        <w:tc>
          <w:tcPr>
            <w:tcW w:w="2943" w:type="dxa"/>
            <w:tcBorders>
              <w:bottom w:val="single" w:sz="4" w:space="0" w:color="auto"/>
            </w:tcBorders>
          </w:tcPr>
          <w:p w14:paraId="1B451C28" w14:textId="48054488"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sz w:val="20"/>
              </w:rPr>
              <w:t>Effect (LYs)</w:t>
            </w:r>
          </w:p>
        </w:tc>
        <w:tc>
          <w:tcPr>
            <w:tcW w:w="1677" w:type="dxa"/>
            <w:tcBorders>
              <w:bottom w:val="single" w:sz="4" w:space="0" w:color="auto"/>
            </w:tcBorders>
          </w:tcPr>
          <w:p w14:paraId="4555F6E2" w14:textId="0D22F17F"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0.969</w:t>
            </w:r>
          </w:p>
        </w:tc>
        <w:tc>
          <w:tcPr>
            <w:tcW w:w="2576" w:type="dxa"/>
          </w:tcPr>
          <w:p w14:paraId="0DED1977" w14:textId="109751AF"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0.968</w:t>
            </w:r>
          </w:p>
        </w:tc>
        <w:tc>
          <w:tcPr>
            <w:tcW w:w="2046" w:type="dxa"/>
          </w:tcPr>
          <w:p w14:paraId="5BF6AA25" w14:textId="18255110"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Calibri" w:hAnsi="Arial Narrow"/>
                <w:bCs/>
                <w:sz w:val="20"/>
              </w:rPr>
              <w:t>0.001</w:t>
            </w:r>
          </w:p>
        </w:tc>
      </w:tr>
      <w:tr w:rsidR="00171DAC" w14:paraId="01891891" w14:textId="77777777" w:rsidTr="0091355A">
        <w:tc>
          <w:tcPr>
            <w:tcW w:w="2943" w:type="dxa"/>
            <w:tcBorders>
              <w:right w:val="nil"/>
            </w:tcBorders>
          </w:tcPr>
          <w:p w14:paraId="5198AAD6" w14:textId="77777777" w:rsidR="00171DAC" w:rsidRDefault="00171DAC" w:rsidP="00171DAC">
            <w:pPr>
              <w:spacing w:after="200"/>
              <w:rPr>
                <w:rFonts w:ascii="Arial Narrow" w:eastAsia="MS Mincho" w:hAnsi="Arial Narrow" w:cs="Arial"/>
                <w:b/>
                <w:iCs/>
                <w:sz w:val="20"/>
                <w:lang w:eastAsia="ja-JP"/>
              </w:rPr>
            </w:pPr>
          </w:p>
        </w:tc>
        <w:tc>
          <w:tcPr>
            <w:tcW w:w="1677" w:type="dxa"/>
            <w:tcBorders>
              <w:left w:val="nil"/>
            </w:tcBorders>
          </w:tcPr>
          <w:p w14:paraId="68DEB9CB" w14:textId="77777777" w:rsidR="00171DAC" w:rsidRDefault="00171DAC" w:rsidP="00171DAC">
            <w:pPr>
              <w:spacing w:after="200"/>
              <w:rPr>
                <w:rFonts w:ascii="Arial Narrow" w:eastAsia="MS Mincho" w:hAnsi="Arial Narrow" w:cs="Arial"/>
                <w:b/>
                <w:iCs/>
                <w:sz w:val="20"/>
                <w:lang w:eastAsia="ja-JP"/>
              </w:rPr>
            </w:pPr>
          </w:p>
        </w:tc>
        <w:tc>
          <w:tcPr>
            <w:tcW w:w="2576" w:type="dxa"/>
          </w:tcPr>
          <w:p w14:paraId="438A89B9" w14:textId="6AA385E9"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Cost per LYG</w:t>
            </w:r>
          </w:p>
        </w:tc>
        <w:tc>
          <w:tcPr>
            <w:tcW w:w="2046" w:type="dxa"/>
          </w:tcPr>
          <w:p w14:paraId="34D2440B" w14:textId="1E553734"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SimSun" w:hAnsi="Arial Narrow" w:cs="Tahoma"/>
                <w:b/>
                <w:sz w:val="20"/>
                <w:lang w:eastAsia="zh-CN"/>
              </w:rPr>
              <w:t>$1,002,426.09</w:t>
            </w:r>
          </w:p>
        </w:tc>
      </w:tr>
      <w:tr w:rsidR="00171DAC" w14:paraId="43D3F5BC" w14:textId="77777777" w:rsidTr="0091355A">
        <w:tc>
          <w:tcPr>
            <w:tcW w:w="2943" w:type="dxa"/>
            <w:tcBorders>
              <w:bottom w:val="single" w:sz="4" w:space="0" w:color="auto"/>
            </w:tcBorders>
          </w:tcPr>
          <w:p w14:paraId="0380197E" w14:textId="46338D86"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sz w:val="20"/>
              </w:rPr>
              <w:t>Effect (QALYs)</w:t>
            </w:r>
          </w:p>
        </w:tc>
        <w:tc>
          <w:tcPr>
            <w:tcW w:w="1677" w:type="dxa"/>
            <w:tcBorders>
              <w:bottom w:val="single" w:sz="4" w:space="0" w:color="auto"/>
            </w:tcBorders>
          </w:tcPr>
          <w:p w14:paraId="645EADB2" w14:textId="42C91A08"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sz w:val="20"/>
              </w:rPr>
              <w:t>0.816</w:t>
            </w:r>
          </w:p>
        </w:tc>
        <w:tc>
          <w:tcPr>
            <w:tcW w:w="2576" w:type="dxa"/>
          </w:tcPr>
          <w:p w14:paraId="1F3A7079" w14:textId="37F88245"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sz w:val="20"/>
              </w:rPr>
              <w:t>0.813</w:t>
            </w:r>
          </w:p>
        </w:tc>
        <w:tc>
          <w:tcPr>
            <w:tcW w:w="2046" w:type="dxa"/>
          </w:tcPr>
          <w:p w14:paraId="1FF98E47" w14:textId="53AA50FB"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SimSun" w:hAnsi="Arial Narrow" w:cs="Tahoma"/>
                <w:sz w:val="20"/>
                <w:lang w:eastAsia="zh-CN"/>
              </w:rPr>
              <w:t>0.003</w:t>
            </w:r>
          </w:p>
        </w:tc>
      </w:tr>
      <w:tr w:rsidR="00171DAC" w14:paraId="09D6D251" w14:textId="77777777" w:rsidTr="0091355A">
        <w:tc>
          <w:tcPr>
            <w:tcW w:w="2943" w:type="dxa"/>
            <w:tcBorders>
              <w:bottom w:val="single" w:sz="4" w:space="0" w:color="auto"/>
              <w:right w:val="nil"/>
            </w:tcBorders>
          </w:tcPr>
          <w:p w14:paraId="35871320" w14:textId="77777777" w:rsidR="00171DAC" w:rsidRDefault="00171DAC" w:rsidP="00171DAC">
            <w:pPr>
              <w:spacing w:after="200"/>
              <w:rPr>
                <w:rFonts w:ascii="Arial Narrow" w:eastAsia="MS Mincho" w:hAnsi="Arial Narrow" w:cs="Arial"/>
                <w:b/>
                <w:iCs/>
                <w:sz w:val="20"/>
                <w:lang w:eastAsia="ja-JP"/>
              </w:rPr>
            </w:pPr>
          </w:p>
        </w:tc>
        <w:tc>
          <w:tcPr>
            <w:tcW w:w="1677" w:type="dxa"/>
            <w:tcBorders>
              <w:left w:val="nil"/>
              <w:bottom w:val="single" w:sz="4" w:space="0" w:color="auto"/>
            </w:tcBorders>
          </w:tcPr>
          <w:p w14:paraId="19F586B2" w14:textId="77777777" w:rsidR="00171DAC" w:rsidRDefault="00171DAC" w:rsidP="00171DAC">
            <w:pPr>
              <w:spacing w:after="200"/>
              <w:rPr>
                <w:rFonts w:ascii="Arial Narrow" w:eastAsia="MS Mincho" w:hAnsi="Arial Narrow" w:cs="Arial"/>
                <w:b/>
                <w:iCs/>
                <w:sz w:val="20"/>
                <w:lang w:eastAsia="ja-JP"/>
              </w:rPr>
            </w:pPr>
          </w:p>
        </w:tc>
        <w:tc>
          <w:tcPr>
            <w:tcW w:w="2576" w:type="dxa"/>
          </w:tcPr>
          <w:p w14:paraId="7B3D2CDB" w14:textId="47F184B3" w:rsidR="00171DAC" w:rsidRDefault="00171DAC" w:rsidP="00171DAC">
            <w:pPr>
              <w:spacing w:after="200"/>
              <w:jc w:val="center"/>
              <w:rPr>
                <w:rFonts w:ascii="Arial Narrow" w:eastAsia="MS Mincho" w:hAnsi="Arial Narrow" w:cs="Arial"/>
                <w:b/>
                <w:iCs/>
                <w:sz w:val="20"/>
                <w:lang w:eastAsia="ja-JP"/>
              </w:rPr>
            </w:pPr>
            <w:r w:rsidRPr="0099245B">
              <w:rPr>
                <w:rFonts w:ascii="Arial Narrow" w:hAnsi="Arial Narrow" w:cs="Tahoma"/>
                <w:b/>
                <w:sz w:val="20"/>
              </w:rPr>
              <w:t>Cost per QALY gained</w:t>
            </w:r>
          </w:p>
        </w:tc>
        <w:tc>
          <w:tcPr>
            <w:tcW w:w="2046" w:type="dxa"/>
          </w:tcPr>
          <w:p w14:paraId="74EED7B9" w14:textId="177CA6DD" w:rsidR="00171DAC" w:rsidRDefault="00171DAC" w:rsidP="00171DAC">
            <w:pPr>
              <w:spacing w:after="200"/>
              <w:jc w:val="center"/>
              <w:rPr>
                <w:rFonts w:ascii="Arial Narrow" w:eastAsia="MS Mincho" w:hAnsi="Arial Narrow" w:cs="Arial"/>
                <w:b/>
                <w:iCs/>
                <w:sz w:val="20"/>
                <w:lang w:eastAsia="ja-JP"/>
              </w:rPr>
            </w:pPr>
            <w:r w:rsidRPr="0099245B">
              <w:rPr>
                <w:rFonts w:ascii="Arial Narrow" w:eastAsia="SimSun" w:hAnsi="Arial Narrow" w:cs="Tahoma"/>
                <w:b/>
                <w:sz w:val="20"/>
                <w:lang w:eastAsia="zh-CN"/>
              </w:rPr>
              <w:t>$489,868.31</w:t>
            </w:r>
          </w:p>
        </w:tc>
      </w:tr>
      <w:tr w:rsidR="00171DAC" w14:paraId="610B3C33" w14:textId="77777777" w:rsidTr="0091355A">
        <w:tc>
          <w:tcPr>
            <w:tcW w:w="2943" w:type="dxa"/>
            <w:tcBorders>
              <w:bottom w:val="nil"/>
              <w:right w:val="nil"/>
            </w:tcBorders>
          </w:tcPr>
          <w:p w14:paraId="114F1584" w14:textId="77777777" w:rsidR="00171DAC" w:rsidRDefault="00171DAC" w:rsidP="004138A0">
            <w:pPr>
              <w:spacing w:after="200"/>
              <w:rPr>
                <w:rFonts w:ascii="Arial Narrow" w:eastAsia="MS Mincho" w:hAnsi="Arial Narrow" w:cs="Arial"/>
                <w:b/>
                <w:iCs/>
                <w:sz w:val="20"/>
                <w:lang w:eastAsia="ja-JP"/>
              </w:rPr>
            </w:pPr>
          </w:p>
        </w:tc>
        <w:tc>
          <w:tcPr>
            <w:tcW w:w="1677" w:type="dxa"/>
            <w:tcBorders>
              <w:left w:val="nil"/>
              <w:bottom w:val="nil"/>
            </w:tcBorders>
          </w:tcPr>
          <w:p w14:paraId="21F92340" w14:textId="77777777" w:rsidR="00171DAC" w:rsidRDefault="00171DAC" w:rsidP="004138A0">
            <w:pPr>
              <w:spacing w:after="200"/>
              <w:rPr>
                <w:rFonts w:ascii="Arial Narrow" w:eastAsia="MS Mincho" w:hAnsi="Arial Narrow" w:cs="Arial"/>
                <w:b/>
                <w:iCs/>
                <w:sz w:val="20"/>
                <w:lang w:eastAsia="ja-JP"/>
              </w:rPr>
            </w:pPr>
          </w:p>
        </w:tc>
        <w:tc>
          <w:tcPr>
            <w:tcW w:w="2576" w:type="dxa"/>
          </w:tcPr>
          <w:p w14:paraId="6DCA0DDD" w14:textId="241A2BFA" w:rsidR="00171DAC" w:rsidRDefault="00171DAC" w:rsidP="004138A0">
            <w:pPr>
              <w:spacing w:after="200"/>
              <w:rPr>
                <w:rFonts w:ascii="Arial Narrow" w:eastAsia="MS Mincho" w:hAnsi="Arial Narrow" w:cs="Arial"/>
                <w:b/>
                <w:iCs/>
                <w:sz w:val="20"/>
                <w:lang w:eastAsia="ja-JP"/>
              </w:rPr>
            </w:pPr>
            <w:r w:rsidRPr="0099245B">
              <w:rPr>
                <w:rFonts w:ascii="Arial Narrow" w:hAnsi="Arial Narrow" w:cs="Arial"/>
                <w:b/>
                <w:i/>
                <w:sz w:val="20"/>
              </w:rPr>
              <w:t>Upper 95% CL of differences in outcome</w:t>
            </w:r>
          </w:p>
        </w:tc>
        <w:tc>
          <w:tcPr>
            <w:tcW w:w="2046" w:type="dxa"/>
          </w:tcPr>
          <w:p w14:paraId="7B82B94A" w14:textId="1B15D86F" w:rsidR="00171DAC" w:rsidRDefault="00171DAC" w:rsidP="004138A0">
            <w:pPr>
              <w:spacing w:after="200"/>
              <w:rPr>
                <w:rFonts w:ascii="Arial Narrow" w:eastAsia="MS Mincho" w:hAnsi="Arial Narrow" w:cs="Arial"/>
                <w:b/>
                <w:iCs/>
                <w:sz w:val="20"/>
                <w:lang w:eastAsia="ja-JP"/>
              </w:rPr>
            </w:pPr>
            <w:r w:rsidRPr="0099245B">
              <w:rPr>
                <w:rFonts w:ascii="Arial Narrow" w:eastAsia="SimSun" w:hAnsi="Arial Narrow" w:cs="Tahoma"/>
                <w:b/>
                <w:i/>
                <w:sz w:val="20"/>
                <w:lang w:eastAsia="zh-CN"/>
              </w:rPr>
              <w:t>$1,038,632.26</w:t>
            </w:r>
          </w:p>
        </w:tc>
      </w:tr>
      <w:tr w:rsidR="00171DAC" w14:paraId="5F96FC93" w14:textId="77777777" w:rsidTr="0091355A">
        <w:tc>
          <w:tcPr>
            <w:tcW w:w="2943" w:type="dxa"/>
            <w:tcBorders>
              <w:top w:val="nil"/>
              <w:right w:val="nil"/>
            </w:tcBorders>
          </w:tcPr>
          <w:p w14:paraId="07115529" w14:textId="77777777" w:rsidR="00171DAC" w:rsidRDefault="00171DAC" w:rsidP="004138A0">
            <w:pPr>
              <w:spacing w:after="200"/>
              <w:rPr>
                <w:rFonts w:ascii="Arial Narrow" w:eastAsia="MS Mincho" w:hAnsi="Arial Narrow" w:cs="Arial"/>
                <w:b/>
                <w:iCs/>
                <w:sz w:val="20"/>
                <w:lang w:eastAsia="ja-JP"/>
              </w:rPr>
            </w:pPr>
          </w:p>
        </w:tc>
        <w:tc>
          <w:tcPr>
            <w:tcW w:w="1677" w:type="dxa"/>
            <w:tcBorders>
              <w:top w:val="nil"/>
              <w:left w:val="nil"/>
            </w:tcBorders>
          </w:tcPr>
          <w:p w14:paraId="3EFCB733" w14:textId="77777777" w:rsidR="00171DAC" w:rsidRDefault="00171DAC" w:rsidP="004138A0">
            <w:pPr>
              <w:spacing w:after="200"/>
              <w:rPr>
                <w:rFonts w:ascii="Arial Narrow" w:eastAsia="MS Mincho" w:hAnsi="Arial Narrow" w:cs="Arial"/>
                <w:b/>
                <w:iCs/>
                <w:sz w:val="20"/>
                <w:lang w:eastAsia="ja-JP"/>
              </w:rPr>
            </w:pPr>
          </w:p>
        </w:tc>
        <w:tc>
          <w:tcPr>
            <w:tcW w:w="2576" w:type="dxa"/>
          </w:tcPr>
          <w:p w14:paraId="000CE6F0" w14:textId="301CE029" w:rsidR="00171DAC" w:rsidRDefault="00171DAC" w:rsidP="004138A0">
            <w:pPr>
              <w:spacing w:after="200"/>
              <w:rPr>
                <w:rFonts w:ascii="Arial Narrow" w:eastAsia="MS Mincho" w:hAnsi="Arial Narrow" w:cs="Arial"/>
                <w:b/>
                <w:iCs/>
                <w:sz w:val="20"/>
                <w:lang w:eastAsia="ja-JP"/>
              </w:rPr>
            </w:pPr>
            <w:r w:rsidRPr="0099245B">
              <w:rPr>
                <w:rFonts w:ascii="Arial Narrow" w:eastAsia="Calibri" w:hAnsi="Arial Narrow"/>
                <w:b/>
                <w:i/>
                <w:sz w:val="20"/>
                <w:szCs w:val="22"/>
              </w:rPr>
              <w:t>Lower 95% CL of differences in outcome</w:t>
            </w:r>
          </w:p>
        </w:tc>
        <w:tc>
          <w:tcPr>
            <w:tcW w:w="2046" w:type="dxa"/>
          </w:tcPr>
          <w:p w14:paraId="0A043CA3" w14:textId="5ED04375" w:rsidR="00171DAC" w:rsidRDefault="00171DAC" w:rsidP="004138A0">
            <w:pPr>
              <w:spacing w:after="200"/>
              <w:rPr>
                <w:rFonts w:ascii="Arial Narrow" w:eastAsia="MS Mincho" w:hAnsi="Arial Narrow" w:cs="Arial"/>
                <w:b/>
                <w:iCs/>
                <w:sz w:val="20"/>
                <w:lang w:eastAsia="ja-JP"/>
              </w:rPr>
            </w:pPr>
            <w:r w:rsidRPr="0099245B">
              <w:rPr>
                <w:rFonts w:ascii="Arial Narrow" w:eastAsia="Calibri" w:hAnsi="Arial Narrow"/>
                <w:b/>
                <w:i/>
                <w:sz w:val="20"/>
                <w:szCs w:val="22"/>
              </w:rPr>
              <w:t>$325,841.40</w:t>
            </w:r>
          </w:p>
        </w:tc>
      </w:tr>
    </w:tbl>
    <w:p w14:paraId="3AB706B3" w14:textId="77777777" w:rsidR="00171DAC" w:rsidRPr="00BF61AC" w:rsidRDefault="00171DAC" w:rsidP="004138A0">
      <w:pPr>
        <w:spacing w:after="200"/>
        <w:rPr>
          <w:rFonts w:ascii="Arial Narrow" w:eastAsia="MS Mincho" w:hAnsi="Arial Narrow" w:cs="Arial"/>
          <w:b/>
          <w:iCs/>
          <w:sz w:val="20"/>
          <w:lang w:eastAsia="ja-JP"/>
        </w:rPr>
      </w:pPr>
    </w:p>
    <w:p w14:paraId="13622C57" w14:textId="77777777" w:rsidR="004138A0" w:rsidRPr="0099245B" w:rsidRDefault="004138A0" w:rsidP="004138A0">
      <w:pPr>
        <w:spacing w:after="200" w:line="276" w:lineRule="auto"/>
        <w:rPr>
          <w:rFonts w:ascii="Arial Narrow" w:eastAsia="Calibri" w:hAnsi="Arial Narrow"/>
          <w:sz w:val="20"/>
          <w:szCs w:val="22"/>
        </w:rPr>
      </w:pPr>
      <w:r>
        <w:rPr>
          <w:rFonts w:ascii="Arial Narrow" w:eastAsia="Calibri" w:hAnsi="Arial Narrow"/>
          <w:sz w:val="20"/>
          <w:szCs w:val="22"/>
        </w:rPr>
        <w:t xml:space="preserve"> </w:t>
      </w:r>
      <w:r w:rsidRPr="0099245B">
        <w:rPr>
          <w:rFonts w:ascii="Arial Narrow" w:eastAsia="Calibri" w:hAnsi="Arial Narrow"/>
          <w:sz w:val="20"/>
          <w:szCs w:val="22"/>
        </w:rPr>
        <w:t xml:space="preserve">Source: Assessment report, p. 127, Table 5.4. </w:t>
      </w:r>
      <w:proofErr w:type="spellStart"/>
      <w:r w:rsidRPr="0099245B">
        <w:rPr>
          <w:rFonts w:ascii="Arial Narrow" w:hAnsi="Calibri"/>
          <w:spacing w:val="-1"/>
          <w:sz w:val="20"/>
          <w:szCs w:val="22"/>
        </w:rPr>
        <w:t>Angio</w:t>
      </w:r>
      <w:proofErr w:type="spellEnd"/>
      <w:r w:rsidRPr="0099245B">
        <w:rPr>
          <w:rFonts w:ascii="Arial Narrow" w:hAnsi="Calibri"/>
          <w:spacing w:val="-1"/>
          <w:sz w:val="20"/>
          <w:szCs w:val="22"/>
        </w:rPr>
        <w:t>=</w:t>
      </w:r>
      <w:r>
        <w:rPr>
          <w:rFonts w:ascii="Arial Narrow" w:hAnsi="Calibri"/>
          <w:spacing w:val="-1"/>
          <w:sz w:val="20"/>
          <w:szCs w:val="22"/>
        </w:rPr>
        <w:t>a</w:t>
      </w:r>
      <w:r w:rsidRPr="0099245B">
        <w:rPr>
          <w:rFonts w:ascii="Arial Narrow" w:hAnsi="Calibri"/>
          <w:spacing w:val="-1"/>
          <w:sz w:val="20"/>
          <w:szCs w:val="22"/>
        </w:rPr>
        <w:t>ngiography only</w:t>
      </w:r>
      <w:r>
        <w:rPr>
          <w:rFonts w:ascii="Arial Narrow" w:hAnsi="Calibri"/>
          <w:spacing w:val="-1"/>
          <w:sz w:val="20"/>
          <w:szCs w:val="22"/>
        </w:rPr>
        <w:t xml:space="preserve">; BMS=bare metal stents; </w:t>
      </w:r>
      <w:r w:rsidRPr="0099245B">
        <w:rPr>
          <w:rFonts w:ascii="Arial Narrow" w:eastAsia="Calibri" w:hAnsi="Arial Narrow"/>
          <w:sz w:val="20"/>
          <w:szCs w:val="22"/>
        </w:rPr>
        <w:t>CL=confidence limit</w:t>
      </w:r>
      <w:r>
        <w:rPr>
          <w:rFonts w:ascii="Arial Narrow" w:eastAsia="Calibri" w:hAnsi="Arial Narrow"/>
          <w:sz w:val="20"/>
          <w:szCs w:val="22"/>
        </w:rPr>
        <w:t xml:space="preserve">; DES=drug-eluting stent; </w:t>
      </w:r>
      <w:r>
        <w:rPr>
          <w:rFonts w:ascii="Arial Narrow" w:hAnsi="Calibri"/>
          <w:spacing w:val="-1"/>
          <w:sz w:val="20"/>
          <w:szCs w:val="22"/>
        </w:rPr>
        <w:t>IVUS=</w:t>
      </w:r>
      <w:r w:rsidRPr="004262DE">
        <w:rPr>
          <w:rFonts w:ascii="Arial Narrow" w:hAnsi="Calibri"/>
          <w:spacing w:val="-1"/>
          <w:sz w:val="20"/>
          <w:szCs w:val="22"/>
        </w:rPr>
        <w:t>intravascular ultrasound</w:t>
      </w:r>
      <w:r>
        <w:rPr>
          <w:rFonts w:ascii="Arial Narrow" w:hAnsi="Calibri"/>
          <w:spacing w:val="-1"/>
          <w:sz w:val="20"/>
          <w:szCs w:val="22"/>
        </w:rPr>
        <w:t>; LYs=life years;</w:t>
      </w:r>
      <w:r w:rsidRPr="0099245B">
        <w:rPr>
          <w:rFonts w:ascii="Arial Narrow" w:hAnsi="Calibri"/>
          <w:spacing w:val="-1"/>
          <w:sz w:val="20"/>
          <w:szCs w:val="22"/>
        </w:rPr>
        <w:t xml:space="preserve"> </w:t>
      </w:r>
      <w:r>
        <w:rPr>
          <w:rFonts w:ascii="Arial Narrow" w:hAnsi="Calibri"/>
          <w:spacing w:val="-1"/>
          <w:sz w:val="20"/>
          <w:szCs w:val="22"/>
        </w:rPr>
        <w:t>LYG=</w:t>
      </w:r>
      <w:r w:rsidRPr="004262DE">
        <w:rPr>
          <w:rFonts w:ascii="Arial Narrow" w:hAnsi="Calibri"/>
          <w:spacing w:val="-1"/>
          <w:sz w:val="20"/>
          <w:szCs w:val="22"/>
        </w:rPr>
        <w:t>life year gained</w:t>
      </w:r>
      <w:r>
        <w:rPr>
          <w:rFonts w:ascii="Arial Narrow" w:hAnsi="Calibri"/>
          <w:spacing w:val="-1"/>
          <w:sz w:val="20"/>
          <w:szCs w:val="22"/>
        </w:rPr>
        <w:t>;</w:t>
      </w:r>
      <w:r w:rsidRPr="004262DE">
        <w:rPr>
          <w:rFonts w:ascii="Arial Narrow" w:hAnsi="Calibri"/>
          <w:spacing w:val="-1"/>
          <w:sz w:val="20"/>
          <w:szCs w:val="22"/>
        </w:rPr>
        <w:t xml:space="preserve"> </w:t>
      </w:r>
      <w:r w:rsidRPr="0099245B">
        <w:rPr>
          <w:rFonts w:ascii="Arial Narrow" w:hAnsi="Calibri"/>
          <w:spacing w:val="-1"/>
          <w:sz w:val="20"/>
          <w:szCs w:val="22"/>
        </w:rPr>
        <w:t>QALYs=</w:t>
      </w:r>
      <w:r>
        <w:rPr>
          <w:rFonts w:ascii="Arial Narrow" w:hAnsi="Calibri"/>
          <w:spacing w:val="-1"/>
          <w:sz w:val="20"/>
          <w:szCs w:val="22"/>
        </w:rPr>
        <w:t>q</w:t>
      </w:r>
      <w:r w:rsidRPr="0099245B">
        <w:rPr>
          <w:rFonts w:ascii="Arial Narrow" w:hAnsi="Calibri"/>
          <w:spacing w:val="-1"/>
          <w:sz w:val="20"/>
          <w:szCs w:val="22"/>
        </w:rPr>
        <w:t xml:space="preserve">uality </w:t>
      </w:r>
      <w:r>
        <w:rPr>
          <w:rFonts w:ascii="Arial Narrow" w:hAnsi="Calibri"/>
          <w:spacing w:val="-1"/>
          <w:sz w:val="20"/>
          <w:szCs w:val="22"/>
        </w:rPr>
        <w:t>a</w:t>
      </w:r>
      <w:r w:rsidRPr="0099245B">
        <w:rPr>
          <w:rFonts w:ascii="Arial Narrow" w:hAnsi="Calibri"/>
          <w:spacing w:val="-1"/>
          <w:sz w:val="20"/>
          <w:szCs w:val="22"/>
        </w:rPr>
        <w:t xml:space="preserve">djusted </w:t>
      </w:r>
      <w:r>
        <w:rPr>
          <w:rFonts w:ascii="Arial Narrow" w:hAnsi="Calibri"/>
          <w:spacing w:val="-1"/>
          <w:sz w:val="20"/>
          <w:szCs w:val="22"/>
        </w:rPr>
        <w:t>l</w:t>
      </w:r>
      <w:r w:rsidRPr="0099245B">
        <w:rPr>
          <w:rFonts w:ascii="Arial Narrow" w:hAnsi="Calibri"/>
          <w:spacing w:val="-1"/>
          <w:sz w:val="20"/>
          <w:szCs w:val="22"/>
        </w:rPr>
        <w:t xml:space="preserve">ife </w:t>
      </w:r>
      <w:r>
        <w:rPr>
          <w:rFonts w:ascii="Arial Narrow" w:hAnsi="Calibri"/>
          <w:spacing w:val="-1"/>
          <w:sz w:val="20"/>
          <w:szCs w:val="22"/>
        </w:rPr>
        <w:t>y</w:t>
      </w:r>
      <w:r w:rsidRPr="0099245B">
        <w:rPr>
          <w:rFonts w:ascii="Arial Narrow" w:hAnsi="Calibri"/>
          <w:spacing w:val="-1"/>
          <w:sz w:val="20"/>
          <w:szCs w:val="22"/>
        </w:rPr>
        <w:t xml:space="preserve">ears. </w:t>
      </w:r>
      <w:proofErr w:type="gramStart"/>
      <w:r w:rsidRPr="0099245B">
        <w:rPr>
          <w:rFonts w:ascii="Arial Narrow" w:hAnsi="Calibri"/>
          <w:spacing w:val="-1"/>
          <w:sz w:val="20"/>
          <w:szCs w:val="22"/>
        </w:rPr>
        <w:t>Confidence limits taken from spreadsheet during critique.</w:t>
      </w:r>
      <w:proofErr w:type="gramEnd"/>
    </w:p>
    <w:p w14:paraId="384BB0FD" w14:textId="77777777" w:rsidR="00D94AC3" w:rsidRDefault="00D94AC3">
      <w:pPr>
        <w:rPr>
          <w:rFonts w:eastAsia="Calibri" w:cs="Arial Narrow"/>
          <w:szCs w:val="23"/>
        </w:rPr>
      </w:pPr>
      <w:r>
        <w:rPr>
          <w:rFonts w:eastAsia="Calibri" w:cs="Arial Narrow"/>
          <w:szCs w:val="23"/>
        </w:rPr>
        <w:br w:type="page"/>
      </w:r>
    </w:p>
    <w:p w14:paraId="4AD1BA45" w14:textId="77777777" w:rsidR="004138A0" w:rsidRDefault="00D94AC3" w:rsidP="00325C0F">
      <w:pPr>
        <w:spacing w:before="6" w:after="200"/>
        <w:rPr>
          <w:rFonts w:eastAsia="Calibri" w:cs="Arial Narrow"/>
          <w:szCs w:val="23"/>
        </w:rPr>
      </w:pPr>
      <w:r>
        <w:rPr>
          <w:rFonts w:eastAsia="Calibri" w:cs="Arial Narrow"/>
          <w:szCs w:val="23"/>
        </w:rPr>
        <w:lastRenderedPageBreak/>
        <w:t>The applicant noted</w:t>
      </w:r>
      <w:r w:rsidR="004138A0" w:rsidRPr="0099245B">
        <w:rPr>
          <w:rFonts w:eastAsia="Calibri" w:cs="Arial Narrow"/>
          <w:szCs w:val="23"/>
        </w:rPr>
        <w:t xml:space="preserve"> in the assessment report that extrapolation is appropriate because the majority of the costs of IVUS are incurred in the first year, and benefits occur in the future. </w:t>
      </w:r>
    </w:p>
    <w:p w14:paraId="6AE3B32B" w14:textId="77777777" w:rsidR="004138A0" w:rsidRDefault="004138A0" w:rsidP="004138A0">
      <w:pPr>
        <w:spacing w:before="6" w:after="200" w:line="276" w:lineRule="auto"/>
        <w:rPr>
          <w:rFonts w:ascii="Arial Narrow" w:eastAsia="MS Mincho" w:hAnsi="Arial Narrow"/>
          <w:b/>
          <w:bCs/>
          <w:sz w:val="20"/>
          <w:szCs w:val="18"/>
          <w:lang w:eastAsia="ja-JP"/>
        </w:rPr>
      </w:pPr>
      <w:r w:rsidRPr="0099245B">
        <w:rPr>
          <w:rFonts w:ascii="Arial Narrow" w:eastAsia="MS Mincho" w:hAnsi="Arial Narrow"/>
          <w:b/>
          <w:bCs/>
          <w:sz w:val="20"/>
          <w:szCs w:val="18"/>
          <w:lang w:eastAsia="ja-JP"/>
        </w:rPr>
        <w:t xml:space="preserve">Table </w:t>
      </w:r>
      <w:r>
        <w:rPr>
          <w:rFonts w:ascii="Arial Narrow" w:eastAsia="MS Mincho" w:hAnsi="Arial Narrow"/>
          <w:b/>
          <w:bCs/>
          <w:sz w:val="20"/>
          <w:lang w:val="en-GB" w:eastAsia="ja-JP"/>
        </w:rPr>
        <w:t>6</w:t>
      </w:r>
      <w:r w:rsidRPr="0099245B">
        <w:rPr>
          <w:rFonts w:ascii="Arial Narrow" w:eastAsia="MS Mincho" w:hAnsi="Arial Narrow"/>
          <w:b/>
          <w:bCs/>
          <w:sz w:val="20"/>
          <w:szCs w:val="18"/>
          <w:lang w:eastAsia="ja-JP"/>
        </w:rPr>
        <w:t xml:space="preserve">: Step 2 </w:t>
      </w:r>
      <w:r>
        <w:rPr>
          <w:rFonts w:ascii="Arial Narrow" w:eastAsia="MS Mincho" w:hAnsi="Arial Narrow"/>
          <w:b/>
          <w:bCs/>
          <w:sz w:val="20"/>
          <w:szCs w:val="18"/>
          <w:lang w:eastAsia="ja-JP"/>
        </w:rPr>
        <w:t>- lifetime</w:t>
      </w:r>
      <w:r w:rsidRPr="0099245B">
        <w:rPr>
          <w:rFonts w:ascii="Arial Narrow" w:eastAsia="MS Mincho" w:hAnsi="Arial Narrow"/>
          <w:b/>
          <w:bCs/>
          <w:sz w:val="20"/>
          <w:szCs w:val="18"/>
          <w:lang w:eastAsia="ja-JP"/>
        </w:rPr>
        <w:t xml:space="preserve"> results of the economic evaluation</w:t>
      </w:r>
    </w:p>
    <w:tbl>
      <w:tblPr>
        <w:tblStyle w:val="TableGrid"/>
        <w:tblW w:w="0" w:type="auto"/>
        <w:tblLook w:val="04A0" w:firstRow="1" w:lastRow="0" w:firstColumn="1" w:lastColumn="0" w:noHBand="0" w:noVBand="1"/>
        <w:tblCaption w:val="Table 6: Step 2 - lifetime results of the economic evaluation"/>
        <w:tblDescription w:val="Table 6: Step 2 - lifetime results of the economic evaluation"/>
      </w:tblPr>
      <w:tblGrid>
        <w:gridCol w:w="2310"/>
        <w:gridCol w:w="2310"/>
        <w:gridCol w:w="2311"/>
        <w:gridCol w:w="2311"/>
      </w:tblGrid>
      <w:tr w:rsidR="0091355A" w14:paraId="126BAC10" w14:textId="77777777" w:rsidTr="00A12B21">
        <w:trPr>
          <w:tblHeader/>
        </w:trPr>
        <w:tc>
          <w:tcPr>
            <w:tcW w:w="2310" w:type="dxa"/>
          </w:tcPr>
          <w:p w14:paraId="2DF057CC" w14:textId="40FC42CA"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Resource item description</w:t>
            </w:r>
          </w:p>
        </w:tc>
        <w:tc>
          <w:tcPr>
            <w:tcW w:w="2310" w:type="dxa"/>
            <w:tcBorders>
              <w:bottom w:val="single" w:sz="4" w:space="0" w:color="auto"/>
            </w:tcBorders>
          </w:tcPr>
          <w:p w14:paraId="7864FD48" w14:textId="289B05D1"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IVUS</w:t>
            </w:r>
          </w:p>
        </w:tc>
        <w:tc>
          <w:tcPr>
            <w:tcW w:w="2311" w:type="dxa"/>
            <w:tcBorders>
              <w:bottom w:val="single" w:sz="4" w:space="0" w:color="auto"/>
            </w:tcBorders>
          </w:tcPr>
          <w:p w14:paraId="55559AA2" w14:textId="5E3AF2DF" w:rsidR="0091355A" w:rsidRDefault="0091355A" w:rsidP="004138A0">
            <w:pPr>
              <w:spacing w:before="6" w:after="200" w:line="276" w:lineRule="auto"/>
              <w:rPr>
                <w:rFonts w:ascii="Arial Narrow" w:eastAsia="MS Mincho" w:hAnsi="Arial Narrow"/>
                <w:b/>
                <w:bCs/>
                <w:szCs w:val="22"/>
                <w:lang w:eastAsia="en-GB"/>
              </w:rPr>
            </w:pPr>
            <w:proofErr w:type="spellStart"/>
            <w:r w:rsidRPr="0099245B">
              <w:rPr>
                <w:rFonts w:ascii="Arial Narrow" w:hAnsi="Arial Narrow" w:cs="Tahoma"/>
                <w:b/>
                <w:sz w:val="20"/>
              </w:rPr>
              <w:t>Angio</w:t>
            </w:r>
            <w:proofErr w:type="spellEnd"/>
            <w:r w:rsidRPr="0099245B">
              <w:rPr>
                <w:rFonts w:ascii="Arial Narrow" w:hAnsi="Arial Narrow" w:cs="Tahoma"/>
                <w:b/>
                <w:sz w:val="20"/>
              </w:rPr>
              <w:t>.</w:t>
            </w:r>
          </w:p>
        </w:tc>
        <w:tc>
          <w:tcPr>
            <w:tcW w:w="2311" w:type="dxa"/>
            <w:tcBorders>
              <w:bottom w:val="single" w:sz="4" w:space="0" w:color="auto"/>
            </w:tcBorders>
          </w:tcPr>
          <w:p w14:paraId="501A0CD8" w14:textId="16844DF3"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Incremental</w:t>
            </w:r>
          </w:p>
        </w:tc>
      </w:tr>
      <w:tr w:rsidR="0091355A" w14:paraId="6F33FF5A" w14:textId="77777777" w:rsidTr="00A12B21">
        <w:tc>
          <w:tcPr>
            <w:tcW w:w="2310" w:type="dxa"/>
          </w:tcPr>
          <w:p w14:paraId="47B4A360" w14:textId="147996F2"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IVUS-guided BMS implantation analysis</w:t>
            </w:r>
          </w:p>
        </w:tc>
        <w:tc>
          <w:tcPr>
            <w:tcW w:w="2310" w:type="dxa"/>
            <w:tcBorders>
              <w:bottom w:val="nil"/>
              <w:right w:val="nil"/>
            </w:tcBorders>
          </w:tcPr>
          <w:p w14:paraId="77EC713D"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left w:val="nil"/>
              <w:bottom w:val="nil"/>
              <w:right w:val="nil"/>
            </w:tcBorders>
          </w:tcPr>
          <w:p w14:paraId="44C1296C"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left w:val="nil"/>
              <w:bottom w:val="nil"/>
            </w:tcBorders>
          </w:tcPr>
          <w:p w14:paraId="415EDC3E" w14:textId="77777777" w:rsidR="0091355A" w:rsidRDefault="0091355A" w:rsidP="004138A0">
            <w:pPr>
              <w:spacing w:before="6" w:after="200" w:line="276" w:lineRule="auto"/>
              <w:rPr>
                <w:rFonts w:ascii="Arial Narrow" w:eastAsia="MS Mincho" w:hAnsi="Arial Narrow"/>
                <w:b/>
                <w:bCs/>
                <w:szCs w:val="22"/>
                <w:lang w:eastAsia="en-GB"/>
              </w:rPr>
            </w:pPr>
          </w:p>
        </w:tc>
      </w:tr>
      <w:tr w:rsidR="0091355A" w14:paraId="1968638C" w14:textId="77777777" w:rsidTr="00A12B21">
        <w:tc>
          <w:tcPr>
            <w:tcW w:w="2310" w:type="dxa"/>
          </w:tcPr>
          <w:p w14:paraId="38D80ED1" w14:textId="17A0916A"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Cost per LYG – lifetime; base</w:t>
            </w:r>
            <w:r>
              <w:rPr>
                <w:rFonts w:ascii="Arial Narrow" w:hAnsi="Arial Narrow" w:cs="Tahoma"/>
                <w:b/>
                <w:sz w:val="20"/>
              </w:rPr>
              <w:t xml:space="preserve"> </w:t>
            </w:r>
            <w:r w:rsidRPr="0099245B">
              <w:rPr>
                <w:rFonts w:ascii="Arial Narrow" w:hAnsi="Arial Narrow" w:cs="Tahoma"/>
                <w:b/>
                <w:sz w:val="20"/>
              </w:rPr>
              <w:t>case</w:t>
            </w:r>
          </w:p>
        </w:tc>
        <w:tc>
          <w:tcPr>
            <w:tcW w:w="2310" w:type="dxa"/>
            <w:tcBorders>
              <w:top w:val="nil"/>
              <w:right w:val="nil"/>
            </w:tcBorders>
          </w:tcPr>
          <w:p w14:paraId="53BD29C9"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top w:val="nil"/>
              <w:left w:val="nil"/>
              <w:right w:val="nil"/>
            </w:tcBorders>
          </w:tcPr>
          <w:p w14:paraId="1AF8F743" w14:textId="77777777" w:rsidR="0091355A" w:rsidRDefault="0091355A" w:rsidP="004138A0">
            <w:pPr>
              <w:spacing w:before="6" w:after="200" w:line="276" w:lineRule="auto"/>
              <w:rPr>
                <w:rFonts w:ascii="Arial Narrow" w:eastAsia="MS Mincho" w:hAnsi="Arial Narrow"/>
                <w:b/>
                <w:bCs/>
                <w:szCs w:val="22"/>
                <w:lang w:eastAsia="en-GB"/>
              </w:rPr>
            </w:pPr>
            <w:bookmarkStart w:id="2" w:name="_GoBack"/>
            <w:bookmarkEnd w:id="2"/>
          </w:p>
        </w:tc>
        <w:tc>
          <w:tcPr>
            <w:tcW w:w="2311" w:type="dxa"/>
            <w:tcBorders>
              <w:top w:val="nil"/>
              <w:left w:val="nil"/>
            </w:tcBorders>
          </w:tcPr>
          <w:p w14:paraId="5C3286C0" w14:textId="77777777" w:rsidR="0091355A" w:rsidRDefault="0091355A" w:rsidP="004138A0">
            <w:pPr>
              <w:spacing w:before="6" w:after="200" w:line="276" w:lineRule="auto"/>
              <w:rPr>
                <w:rFonts w:ascii="Arial Narrow" w:eastAsia="MS Mincho" w:hAnsi="Arial Narrow"/>
                <w:b/>
                <w:bCs/>
                <w:szCs w:val="22"/>
                <w:lang w:eastAsia="en-GB"/>
              </w:rPr>
            </w:pPr>
          </w:p>
        </w:tc>
      </w:tr>
      <w:tr w:rsidR="0091355A" w14:paraId="6C934162" w14:textId="77777777" w:rsidTr="0091355A">
        <w:tc>
          <w:tcPr>
            <w:tcW w:w="2310" w:type="dxa"/>
          </w:tcPr>
          <w:p w14:paraId="54BFA5A2" w14:textId="04C373D3"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sz w:val="20"/>
              </w:rPr>
              <w:t>Cost</w:t>
            </w:r>
          </w:p>
        </w:tc>
        <w:tc>
          <w:tcPr>
            <w:tcW w:w="2310" w:type="dxa"/>
          </w:tcPr>
          <w:p w14:paraId="57422565" w14:textId="593F2B1C"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$19,392.14</w:t>
            </w:r>
          </w:p>
        </w:tc>
        <w:tc>
          <w:tcPr>
            <w:tcW w:w="2311" w:type="dxa"/>
          </w:tcPr>
          <w:p w14:paraId="1FA182F6" w14:textId="6765B99F"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$20,454.62</w:t>
            </w:r>
          </w:p>
        </w:tc>
        <w:tc>
          <w:tcPr>
            <w:tcW w:w="2311" w:type="dxa"/>
          </w:tcPr>
          <w:p w14:paraId="1229E718" w14:textId="448EEA8B"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($1,026.48)</w:t>
            </w:r>
          </w:p>
        </w:tc>
      </w:tr>
      <w:tr w:rsidR="0091355A" w14:paraId="311708FB" w14:textId="77777777" w:rsidTr="00A12B21">
        <w:tc>
          <w:tcPr>
            <w:tcW w:w="2310" w:type="dxa"/>
            <w:tcBorders>
              <w:bottom w:val="single" w:sz="4" w:space="0" w:color="auto"/>
            </w:tcBorders>
          </w:tcPr>
          <w:p w14:paraId="6840393F" w14:textId="39C8B1E9"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sz w:val="20"/>
              </w:rPr>
              <w:t>Effect (LYs)</w:t>
            </w:r>
          </w:p>
        </w:tc>
        <w:tc>
          <w:tcPr>
            <w:tcW w:w="2310" w:type="dxa"/>
            <w:tcBorders>
              <w:bottom w:val="single" w:sz="4" w:space="0" w:color="auto"/>
            </w:tcBorders>
          </w:tcPr>
          <w:p w14:paraId="02E10E6A" w14:textId="635E0232"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13.742</w:t>
            </w:r>
          </w:p>
        </w:tc>
        <w:tc>
          <w:tcPr>
            <w:tcW w:w="2311" w:type="dxa"/>
          </w:tcPr>
          <w:p w14:paraId="0EF2BAE6" w14:textId="28872E1A"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13.607</w:t>
            </w:r>
          </w:p>
        </w:tc>
        <w:tc>
          <w:tcPr>
            <w:tcW w:w="2311" w:type="dxa"/>
          </w:tcPr>
          <w:p w14:paraId="10F8BA7D" w14:textId="65007189"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0.135</w:t>
            </w:r>
          </w:p>
        </w:tc>
      </w:tr>
      <w:tr w:rsidR="0091355A" w14:paraId="7CBCB50D" w14:textId="77777777" w:rsidTr="00A12B21">
        <w:tc>
          <w:tcPr>
            <w:tcW w:w="2310" w:type="dxa"/>
            <w:tcBorders>
              <w:right w:val="nil"/>
            </w:tcBorders>
          </w:tcPr>
          <w:p w14:paraId="5BC0482B" w14:textId="77777777" w:rsidR="0091355A" w:rsidRDefault="0091355A" w:rsidP="004138A0">
            <w:pPr>
              <w:spacing w:before="6" w:after="200" w:line="276" w:lineRule="auto"/>
              <w:rPr>
                <w:rFonts w:ascii="Arial Narrow" w:eastAsia="MS Mincho" w:hAnsi="Arial Narrow"/>
                <w:b/>
                <w:bCs/>
                <w:szCs w:val="22"/>
                <w:lang w:eastAsia="en-GB"/>
              </w:rPr>
            </w:pPr>
          </w:p>
        </w:tc>
        <w:tc>
          <w:tcPr>
            <w:tcW w:w="2310" w:type="dxa"/>
            <w:tcBorders>
              <w:left w:val="nil"/>
              <w:bottom w:val="single" w:sz="4" w:space="0" w:color="auto"/>
            </w:tcBorders>
          </w:tcPr>
          <w:p w14:paraId="7A9D824B"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bottom w:val="single" w:sz="4" w:space="0" w:color="auto"/>
            </w:tcBorders>
          </w:tcPr>
          <w:p w14:paraId="079C6DF0" w14:textId="5D1089A8"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Cost per LYG</w:t>
            </w:r>
          </w:p>
        </w:tc>
        <w:tc>
          <w:tcPr>
            <w:tcW w:w="2311" w:type="dxa"/>
            <w:tcBorders>
              <w:bottom w:val="single" w:sz="4" w:space="0" w:color="auto"/>
            </w:tcBorders>
          </w:tcPr>
          <w:p w14:paraId="173238E0" w14:textId="5E7DD9A8"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
                <w:bCs/>
                <w:sz w:val="20"/>
              </w:rPr>
              <w:t>($7,861.72)</w:t>
            </w:r>
          </w:p>
        </w:tc>
      </w:tr>
      <w:tr w:rsidR="0091355A" w14:paraId="1BF14792" w14:textId="77777777" w:rsidTr="00A12B21">
        <w:tc>
          <w:tcPr>
            <w:tcW w:w="2310" w:type="dxa"/>
          </w:tcPr>
          <w:p w14:paraId="6E7A9F18" w14:textId="1D13E3E4"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Cost per QALY gained – lifetime; base</w:t>
            </w:r>
            <w:r>
              <w:rPr>
                <w:rFonts w:ascii="Arial Narrow" w:hAnsi="Arial Narrow" w:cs="Tahoma"/>
                <w:b/>
                <w:sz w:val="20"/>
              </w:rPr>
              <w:t xml:space="preserve"> </w:t>
            </w:r>
            <w:r w:rsidRPr="0099245B">
              <w:rPr>
                <w:rFonts w:ascii="Arial Narrow" w:hAnsi="Arial Narrow" w:cs="Tahoma"/>
                <w:b/>
                <w:sz w:val="20"/>
              </w:rPr>
              <w:t>case</w:t>
            </w:r>
          </w:p>
        </w:tc>
        <w:tc>
          <w:tcPr>
            <w:tcW w:w="2310" w:type="dxa"/>
            <w:tcBorders>
              <w:right w:val="nil"/>
            </w:tcBorders>
          </w:tcPr>
          <w:p w14:paraId="713640CB"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left w:val="nil"/>
              <w:right w:val="nil"/>
            </w:tcBorders>
          </w:tcPr>
          <w:p w14:paraId="4960AD4C"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left w:val="nil"/>
            </w:tcBorders>
          </w:tcPr>
          <w:p w14:paraId="1CE518B3" w14:textId="77777777" w:rsidR="0091355A" w:rsidRDefault="0091355A" w:rsidP="004138A0">
            <w:pPr>
              <w:spacing w:before="6" w:after="200" w:line="276" w:lineRule="auto"/>
              <w:rPr>
                <w:rFonts w:ascii="Arial Narrow" w:eastAsia="MS Mincho" w:hAnsi="Arial Narrow"/>
                <w:b/>
                <w:bCs/>
                <w:szCs w:val="22"/>
                <w:lang w:eastAsia="en-GB"/>
              </w:rPr>
            </w:pPr>
          </w:p>
        </w:tc>
      </w:tr>
      <w:tr w:rsidR="0091355A" w14:paraId="5A9D2E1C" w14:textId="77777777" w:rsidTr="00A12B21">
        <w:tc>
          <w:tcPr>
            <w:tcW w:w="2310" w:type="dxa"/>
            <w:tcBorders>
              <w:bottom w:val="single" w:sz="4" w:space="0" w:color="auto"/>
            </w:tcBorders>
          </w:tcPr>
          <w:p w14:paraId="12537CE4" w14:textId="1F1A5DD9"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sz w:val="20"/>
              </w:rPr>
              <w:t>Effect (QALYs)</w:t>
            </w:r>
          </w:p>
        </w:tc>
        <w:tc>
          <w:tcPr>
            <w:tcW w:w="2310" w:type="dxa"/>
            <w:tcBorders>
              <w:bottom w:val="single" w:sz="4" w:space="0" w:color="auto"/>
            </w:tcBorders>
          </w:tcPr>
          <w:p w14:paraId="27EAE9EE" w14:textId="518F1444"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11.169</w:t>
            </w:r>
          </w:p>
        </w:tc>
        <w:tc>
          <w:tcPr>
            <w:tcW w:w="2311" w:type="dxa"/>
          </w:tcPr>
          <w:p w14:paraId="7A1D24A7" w14:textId="790944A6"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11.044</w:t>
            </w:r>
          </w:p>
        </w:tc>
        <w:tc>
          <w:tcPr>
            <w:tcW w:w="2311" w:type="dxa"/>
          </w:tcPr>
          <w:p w14:paraId="4B1408AA" w14:textId="739B8D3C"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0.124</w:t>
            </w:r>
          </w:p>
        </w:tc>
      </w:tr>
      <w:tr w:rsidR="0091355A" w14:paraId="2BC77291" w14:textId="77777777" w:rsidTr="00A12B21">
        <w:tc>
          <w:tcPr>
            <w:tcW w:w="2310" w:type="dxa"/>
            <w:tcBorders>
              <w:bottom w:val="nil"/>
              <w:right w:val="nil"/>
            </w:tcBorders>
          </w:tcPr>
          <w:p w14:paraId="5AFEC588" w14:textId="77777777" w:rsidR="0091355A" w:rsidRDefault="0091355A" w:rsidP="004138A0">
            <w:pPr>
              <w:spacing w:before="6" w:after="200" w:line="276" w:lineRule="auto"/>
              <w:rPr>
                <w:rFonts w:ascii="Arial Narrow" w:eastAsia="MS Mincho" w:hAnsi="Arial Narrow"/>
                <w:b/>
                <w:bCs/>
                <w:szCs w:val="22"/>
                <w:lang w:eastAsia="en-GB"/>
              </w:rPr>
            </w:pPr>
          </w:p>
        </w:tc>
        <w:tc>
          <w:tcPr>
            <w:tcW w:w="2310" w:type="dxa"/>
            <w:tcBorders>
              <w:left w:val="nil"/>
              <w:bottom w:val="nil"/>
            </w:tcBorders>
          </w:tcPr>
          <w:p w14:paraId="7AECD8AE"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Pr>
          <w:p w14:paraId="6B418917" w14:textId="31863D98"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Cost per QALY gained</w:t>
            </w:r>
          </w:p>
        </w:tc>
        <w:tc>
          <w:tcPr>
            <w:tcW w:w="2311" w:type="dxa"/>
          </w:tcPr>
          <w:p w14:paraId="4C351730" w14:textId="05F5C15F"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($8,555.62)</w:t>
            </w:r>
          </w:p>
        </w:tc>
      </w:tr>
      <w:tr w:rsidR="0091355A" w14:paraId="40D6A564" w14:textId="77777777" w:rsidTr="00A12B21">
        <w:tc>
          <w:tcPr>
            <w:tcW w:w="2310" w:type="dxa"/>
            <w:tcBorders>
              <w:top w:val="nil"/>
              <w:bottom w:val="nil"/>
              <w:right w:val="nil"/>
            </w:tcBorders>
          </w:tcPr>
          <w:p w14:paraId="1D82EE42" w14:textId="77777777" w:rsidR="0091355A" w:rsidRDefault="0091355A" w:rsidP="004138A0">
            <w:pPr>
              <w:spacing w:before="6" w:after="200" w:line="276" w:lineRule="auto"/>
              <w:rPr>
                <w:rFonts w:ascii="Arial Narrow" w:eastAsia="MS Mincho" w:hAnsi="Arial Narrow"/>
                <w:b/>
                <w:bCs/>
                <w:szCs w:val="22"/>
                <w:lang w:eastAsia="en-GB"/>
              </w:rPr>
            </w:pPr>
          </w:p>
        </w:tc>
        <w:tc>
          <w:tcPr>
            <w:tcW w:w="2310" w:type="dxa"/>
            <w:tcBorders>
              <w:top w:val="nil"/>
              <w:left w:val="nil"/>
              <w:bottom w:val="nil"/>
            </w:tcBorders>
          </w:tcPr>
          <w:p w14:paraId="42FB1BB0"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Pr>
          <w:p w14:paraId="3662143E" w14:textId="40080220"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Arial"/>
                <w:b/>
                <w:i/>
                <w:sz w:val="20"/>
              </w:rPr>
              <w:t>Upper 95% CL of differences in outcome</w:t>
            </w:r>
          </w:p>
        </w:tc>
        <w:tc>
          <w:tcPr>
            <w:tcW w:w="2311" w:type="dxa"/>
          </w:tcPr>
          <w:p w14:paraId="6BAF582D" w14:textId="0E464A56"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i/>
                <w:sz w:val="20"/>
              </w:rPr>
              <w:t>Dominated</w:t>
            </w:r>
          </w:p>
        </w:tc>
      </w:tr>
      <w:tr w:rsidR="0091355A" w14:paraId="3CD056B4" w14:textId="77777777" w:rsidTr="00A12B21">
        <w:tc>
          <w:tcPr>
            <w:tcW w:w="2310" w:type="dxa"/>
            <w:tcBorders>
              <w:top w:val="nil"/>
              <w:right w:val="nil"/>
            </w:tcBorders>
          </w:tcPr>
          <w:p w14:paraId="0593CEAA" w14:textId="77777777" w:rsidR="0091355A" w:rsidRDefault="0091355A" w:rsidP="004138A0">
            <w:pPr>
              <w:spacing w:before="6" w:after="200" w:line="276" w:lineRule="auto"/>
              <w:rPr>
                <w:rFonts w:ascii="Arial Narrow" w:eastAsia="MS Mincho" w:hAnsi="Arial Narrow"/>
                <w:b/>
                <w:bCs/>
                <w:szCs w:val="22"/>
                <w:lang w:eastAsia="en-GB"/>
              </w:rPr>
            </w:pPr>
          </w:p>
        </w:tc>
        <w:tc>
          <w:tcPr>
            <w:tcW w:w="2310" w:type="dxa"/>
            <w:tcBorders>
              <w:top w:val="nil"/>
              <w:left w:val="nil"/>
              <w:bottom w:val="single" w:sz="4" w:space="0" w:color="auto"/>
            </w:tcBorders>
          </w:tcPr>
          <w:p w14:paraId="126C015D"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bottom w:val="single" w:sz="4" w:space="0" w:color="auto"/>
            </w:tcBorders>
          </w:tcPr>
          <w:p w14:paraId="547D09B3" w14:textId="399E8E5F"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
                <w:i/>
                <w:sz w:val="20"/>
              </w:rPr>
              <w:t>Lower 95% CL of differences in outcome</w:t>
            </w:r>
          </w:p>
        </w:tc>
        <w:tc>
          <w:tcPr>
            <w:tcW w:w="2311" w:type="dxa"/>
            <w:tcBorders>
              <w:bottom w:val="single" w:sz="4" w:space="0" w:color="auto"/>
            </w:tcBorders>
          </w:tcPr>
          <w:p w14:paraId="5BEA0BB7" w14:textId="12C8B725"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i/>
                <w:sz w:val="20"/>
              </w:rPr>
              <w:t>Dominant</w:t>
            </w:r>
          </w:p>
        </w:tc>
      </w:tr>
      <w:tr w:rsidR="0091355A" w14:paraId="297CFC37" w14:textId="77777777" w:rsidTr="00A12B21">
        <w:tc>
          <w:tcPr>
            <w:tcW w:w="2310" w:type="dxa"/>
          </w:tcPr>
          <w:p w14:paraId="1F9B0E76" w14:textId="3926B7BF"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IVUS-guided DES implantation analysis</w:t>
            </w:r>
          </w:p>
        </w:tc>
        <w:tc>
          <w:tcPr>
            <w:tcW w:w="2310" w:type="dxa"/>
            <w:tcBorders>
              <w:bottom w:val="nil"/>
              <w:right w:val="nil"/>
            </w:tcBorders>
          </w:tcPr>
          <w:p w14:paraId="1A867AE5"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left w:val="nil"/>
              <w:bottom w:val="nil"/>
              <w:right w:val="nil"/>
            </w:tcBorders>
          </w:tcPr>
          <w:p w14:paraId="3425553F"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left w:val="nil"/>
              <w:bottom w:val="nil"/>
            </w:tcBorders>
          </w:tcPr>
          <w:p w14:paraId="17441241" w14:textId="77777777" w:rsidR="0091355A" w:rsidRDefault="0091355A" w:rsidP="004138A0">
            <w:pPr>
              <w:spacing w:before="6" w:after="200" w:line="276" w:lineRule="auto"/>
              <w:rPr>
                <w:rFonts w:ascii="Arial Narrow" w:eastAsia="MS Mincho" w:hAnsi="Arial Narrow"/>
                <w:b/>
                <w:bCs/>
                <w:szCs w:val="22"/>
                <w:lang w:eastAsia="en-GB"/>
              </w:rPr>
            </w:pPr>
          </w:p>
        </w:tc>
      </w:tr>
      <w:tr w:rsidR="0091355A" w14:paraId="4D1818C4" w14:textId="77777777" w:rsidTr="00A12B21">
        <w:tc>
          <w:tcPr>
            <w:tcW w:w="2310" w:type="dxa"/>
          </w:tcPr>
          <w:p w14:paraId="3AE49117" w14:textId="1D63E1CC"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Cost per LYG – lifetime; base</w:t>
            </w:r>
            <w:r>
              <w:rPr>
                <w:rFonts w:ascii="Arial Narrow" w:hAnsi="Arial Narrow" w:cs="Tahoma"/>
                <w:b/>
                <w:sz w:val="20"/>
              </w:rPr>
              <w:t xml:space="preserve"> </w:t>
            </w:r>
            <w:r w:rsidRPr="0099245B">
              <w:rPr>
                <w:rFonts w:ascii="Arial Narrow" w:hAnsi="Arial Narrow" w:cs="Tahoma"/>
                <w:b/>
                <w:sz w:val="20"/>
              </w:rPr>
              <w:t>case</w:t>
            </w:r>
          </w:p>
        </w:tc>
        <w:tc>
          <w:tcPr>
            <w:tcW w:w="2310" w:type="dxa"/>
            <w:tcBorders>
              <w:top w:val="nil"/>
              <w:right w:val="nil"/>
            </w:tcBorders>
          </w:tcPr>
          <w:p w14:paraId="6D9EE14A"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top w:val="nil"/>
              <w:left w:val="nil"/>
              <w:right w:val="nil"/>
            </w:tcBorders>
          </w:tcPr>
          <w:p w14:paraId="0335CE18"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top w:val="nil"/>
              <w:left w:val="nil"/>
            </w:tcBorders>
          </w:tcPr>
          <w:p w14:paraId="42302C16" w14:textId="77777777" w:rsidR="0091355A" w:rsidRDefault="0091355A" w:rsidP="004138A0">
            <w:pPr>
              <w:spacing w:before="6" w:after="200" w:line="276" w:lineRule="auto"/>
              <w:rPr>
                <w:rFonts w:ascii="Arial Narrow" w:eastAsia="MS Mincho" w:hAnsi="Arial Narrow"/>
                <w:b/>
                <w:bCs/>
                <w:szCs w:val="22"/>
                <w:lang w:eastAsia="en-GB"/>
              </w:rPr>
            </w:pPr>
          </w:p>
        </w:tc>
      </w:tr>
      <w:tr w:rsidR="0091355A" w14:paraId="43E4198A" w14:textId="77777777" w:rsidTr="0091355A">
        <w:tc>
          <w:tcPr>
            <w:tcW w:w="2310" w:type="dxa"/>
          </w:tcPr>
          <w:p w14:paraId="307B00B4" w14:textId="1BDA068F"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sz w:val="20"/>
              </w:rPr>
              <w:t>Cost</w:t>
            </w:r>
          </w:p>
        </w:tc>
        <w:tc>
          <w:tcPr>
            <w:tcW w:w="2310" w:type="dxa"/>
          </w:tcPr>
          <w:p w14:paraId="79D6C9A3" w14:textId="163A5F50"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$22,598.12</w:t>
            </w:r>
          </w:p>
        </w:tc>
        <w:tc>
          <w:tcPr>
            <w:tcW w:w="2311" w:type="dxa"/>
          </w:tcPr>
          <w:p w14:paraId="400260A9" w14:textId="58673EDA"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$23,252.54</w:t>
            </w:r>
          </w:p>
        </w:tc>
        <w:tc>
          <w:tcPr>
            <w:tcW w:w="2311" w:type="dxa"/>
          </w:tcPr>
          <w:p w14:paraId="36430358" w14:textId="0BE31348"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($654.42)</w:t>
            </w:r>
          </w:p>
        </w:tc>
      </w:tr>
      <w:tr w:rsidR="0091355A" w14:paraId="2C98FEB8" w14:textId="77777777" w:rsidTr="00A12B21">
        <w:tc>
          <w:tcPr>
            <w:tcW w:w="2310" w:type="dxa"/>
            <w:tcBorders>
              <w:bottom w:val="single" w:sz="4" w:space="0" w:color="auto"/>
            </w:tcBorders>
          </w:tcPr>
          <w:p w14:paraId="20B4A36B" w14:textId="21675BB8"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sz w:val="20"/>
              </w:rPr>
              <w:t>Effect (LYs)</w:t>
            </w:r>
          </w:p>
        </w:tc>
        <w:tc>
          <w:tcPr>
            <w:tcW w:w="2310" w:type="dxa"/>
            <w:tcBorders>
              <w:bottom w:val="single" w:sz="4" w:space="0" w:color="auto"/>
            </w:tcBorders>
          </w:tcPr>
          <w:p w14:paraId="4CEE0302" w14:textId="15365BEB"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12.932</w:t>
            </w:r>
          </w:p>
        </w:tc>
        <w:tc>
          <w:tcPr>
            <w:tcW w:w="2311" w:type="dxa"/>
          </w:tcPr>
          <w:p w14:paraId="61F633F9" w14:textId="6170F114"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12.742</w:t>
            </w:r>
          </w:p>
        </w:tc>
        <w:tc>
          <w:tcPr>
            <w:tcW w:w="2311" w:type="dxa"/>
          </w:tcPr>
          <w:p w14:paraId="3D34C5E7" w14:textId="44DD7AA3"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0.190</w:t>
            </w:r>
          </w:p>
        </w:tc>
      </w:tr>
      <w:tr w:rsidR="0091355A" w14:paraId="59D242E2" w14:textId="77777777" w:rsidTr="00A12B21">
        <w:tc>
          <w:tcPr>
            <w:tcW w:w="2310" w:type="dxa"/>
            <w:tcBorders>
              <w:right w:val="nil"/>
            </w:tcBorders>
          </w:tcPr>
          <w:p w14:paraId="04709D7B" w14:textId="77777777" w:rsidR="0091355A" w:rsidRDefault="0091355A" w:rsidP="004138A0">
            <w:pPr>
              <w:spacing w:before="6" w:after="200" w:line="276" w:lineRule="auto"/>
              <w:rPr>
                <w:rFonts w:ascii="Arial Narrow" w:eastAsia="MS Mincho" w:hAnsi="Arial Narrow"/>
                <w:b/>
                <w:bCs/>
                <w:szCs w:val="22"/>
                <w:lang w:eastAsia="en-GB"/>
              </w:rPr>
            </w:pPr>
          </w:p>
        </w:tc>
        <w:tc>
          <w:tcPr>
            <w:tcW w:w="2310" w:type="dxa"/>
            <w:tcBorders>
              <w:left w:val="nil"/>
              <w:bottom w:val="single" w:sz="4" w:space="0" w:color="auto"/>
            </w:tcBorders>
          </w:tcPr>
          <w:p w14:paraId="6F5639D8"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bottom w:val="single" w:sz="4" w:space="0" w:color="auto"/>
            </w:tcBorders>
          </w:tcPr>
          <w:p w14:paraId="59F5FC38" w14:textId="7FB6880B"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Cost per LYG</w:t>
            </w:r>
          </w:p>
        </w:tc>
        <w:tc>
          <w:tcPr>
            <w:tcW w:w="2311" w:type="dxa"/>
            <w:tcBorders>
              <w:bottom w:val="single" w:sz="4" w:space="0" w:color="auto"/>
            </w:tcBorders>
          </w:tcPr>
          <w:p w14:paraId="4CD9C7C9" w14:textId="188DFD1E"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
                <w:bCs/>
                <w:sz w:val="20"/>
              </w:rPr>
              <w:t>($3,439.87)</w:t>
            </w:r>
          </w:p>
        </w:tc>
      </w:tr>
      <w:tr w:rsidR="0091355A" w14:paraId="3D33D1D7" w14:textId="77777777" w:rsidTr="00A12B21">
        <w:tc>
          <w:tcPr>
            <w:tcW w:w="2310" w:type="dxa"/>
          </w:tcPr>
          <w:p w14:paraId="725CC246" w14:textId="1A3429C3"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Cost per QALY gained – lifetime; base</w:t>
            </w:r>
            <w:r>
              <w:rPr>
                <w:rFonts w:ascii="Arial Narrow" w:hAnsi="Arial Narrow" w:cs="Tahoma"/>
                <w:b/>
                <w:sz w:val="20"/>
              </w:rPr>
              <w:t xml:space="preserve"> </w:t>
            </w:r>
            <w:r w:rsidRPr="0099245B">
              <w:rPr>
                <w:rFonts w:ascii="Arial Narrow" w:hAnsi="Arial Narrow" w:cs="Tahoma"/>
                <w:b/>
                <w:sz w:val="20"/>
              </w:rPr>
              <w:t>case</w:t>
            </w:r>
          </w:p>
        </w:tc>
        <w:tc>
          <w:tcPr>
            <w:tcW w:w="2310" w:type="dxa"/>
            <w:tcBorders>
              <w:right w:val="nil"/>
            </w:tcBorders>
          </w:tcPr>
          <w:p w14:paraId="6B95E007"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left w:val="nil"/>
              <w:right w:val="nil"/>
            </w:tcBorders>
          </w:tcPr>
          <w:p w14:paraId="6FC05C42"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Borders>
              <w:left w:val="nil"/>
            </w:tcBorders>
          </w:tcPr>
          <w:p w14:paraId="41A04996" w14:textId="77777777" w:rsidR="0091355A" w:rsidRDefault="0091355A" w:rsidP="004138A0">
            <w:pPr>
              <w:spacing w:before="6" w:after="200" w:line="276" w:lineRule="auto"/>
              <w:rPr>
                <w:rFonts w:ascii="Arial Narrow" w:eastAsia="MS Mincho" w:hAnsi="Arial Narrow"/>
                <w:b/>
                <w:bCs/>
                <w:szCs w:val="22"/>
                <w:lang w:eastAsia="en-GB"/>
              </w:rPr>
            </w:pPr>
          </w:p>
        </w:tc>
      </w:tr>
      <w:tr w:rsidR="0091355A" w14:paraId="1ECA720E" w14:textId="77777777" w:rsidTr="00A12B21">
        <w:tc>
          <w:tcPr>
            <w:tcW w:w="2310" w:type="dxa"/>
            <w:tcBorders>
              <w:bottom w:val="single" w:sz="4" w:space="0" w:color="auto"/>
            </w:tcBorders>
          </w:tcPr>
          <w:p w14:paraId="0805F07D" w14:textId="5E32EAB7"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sz w:val="20"/>
              </w:rPr>
              <w:t>Effect (QALYs)</w:t>
            </w:r>
          </w:p>
        </w:tc>
        <w:tc>
          <w:tcPr>
            <w:tcW w:w="2310" w:type="dxa"/>
            <w:tcBorders>
              <w:bottom w:val="single" w:sz="4" w:space="0" w:color="auto"/>
            </w:tcBorders>
          </w:tcPr>
          <w:p w14:paraId="66E7948B" w14:textId="62635641"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10.619</w:t>
            </w:r>
          </w:p>
        </w:tc>
        <w:tc>
          <w:tcPr>
            <w:tcW w:w="2311" w:type="dxa"/>
          </w:tcPr>
          <w:p w14:paraId="5D3A8DFB" w14:textId="17F0EB69"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10.442</w:t>
            </w:r>
          </w:p>
        </w:tc>
        <w:tc>
          <w:tcPr>
            <w:tcW w:w="2311" w:type="dxa"/>
          </w:tcPr>
          <w:p w14:paraId="2A65CF32" w14:textId="1083CEEC"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eastAsia="Calibri" w:hAnsi="Arial Narrow"/>
                <w:bCs/>
                <w:sz w:val="20"/>
              </w:rPr>
              <w:t>0.176</w:t>
            </w:r>
          </w:p>
        </w:tc>
      </w:tr>
      <w:tr w:rsidR="0091355A" w14:paraId="2B9C5917" w14:textId="77777777" w:rsidTr="00A12B21">
        <w:tc>
          <w:tcPr>
            <w:tcW w:w="2310" w:type="dxa"/>
            <w:tcBorders>
              <w:bottom w:val="nil"/>
              <w:right w:val="nil"/>
            </w:tcBorders>
          </w:tcPr>
          <w:p w14:paraId="57864219" w14:textId="77777777" w:rsidR="0091355A" w:rsidRDefault="0091355A" w:rsidP="004138A0">
            <w:pPr>
              <w:spacing w:before="6" w:after="200" w:line="276" w:lineRule="auto"/>
              <w:rPr>
                <w:rFonts w:ascii="Arial Narrow" w:eastAsia="MS Mincho" w:hAnsi="Arial Narrow"/>
                <w:b/>
                <w:bCs/>
                <w:szCs w:val="22"/>
                <w:lang w:eastAsia="en-GB"/>
              </w:rPr>
            </w:pPr>
          </w:p>
        </w:tc>
        <w:tc>
          <w:tcPr>
            <w:tcW w:w="2310" w:type="dxa"/>
            <w:tcBorders>
              <w:left w:val="nil"/>
              <w:bottom w:val="nil"/>
            </w:tcBorders>
          </w:tcPr>
          <w:p w14:paraId="54A2B011"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Pr>
          <w:p w14:paraId="0049671A" w14:textId="2BA5FAEB"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Cost per QALY gained</w:t>
            </w:r>
          </w:p>
        </w:tc>
        <w:tc>
          <w:tcPr>
            <w:tcW w:w="2311" w:type="dxa"/>
          </w:tcPr>
          <w:p w14:paraId="1B050BA4" w14:textId="1997D247"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sz w:val="20"/>
              </w:rPr>
              <w:t>($3,717.32)</w:t>
            </w:r>
          </w:p>
        </w:tc>
      </w:tr>
      <w:tr w:rsidR="0091355A" w14:paraId="7A17010C" w14:textId="77777777" w:rsidTr="00A12B21">
        <w:tc>
          <w:tcPr>
            <w:tcW w:w="2310" w:type="dxa"/>
            <w:tcBorders>
              <w:top w:val="nil"/>
              <w:bottom w:val="nil"/>
              <w:right w:val="nil"/>
            </w:tcBorders>
          </w:tcPr>
          <w:p w14:paraId="2812864C" w14:textId="77777777" w:rsidR="0091355A" w:rsidRDefault="0091355A" w:rsidP="004138A0">
            <w:pPr>
              <w:spacing w:before="6" w:after="200" w:line="276" w:lineRule="auto"/>
              <w:rPr>
                <w:rFonts w:ascii="Arial Narrow" w:eastAsia="MS Mincho" w:hAnsi="Arial Narrow"/>
                <w:b/>
                <w:bCs/>
                <w:szCs w:val="22"/>
                <w:lang w:eastAsia="en-GB"/>
              </w:rPr>
            </w:pPr>
          </w:p>
        </w:tc>
        <w:tc>
          <w:tcPr>
            <w:tcW w:w="2310" w:type="dxa"/>
            <w:tcBorders>
              <w:top w:val="nil"/>
              <w:left w:val="nil"/>
              <w:bottom w:val="nil"/>
            </w:tcBorders>
          </w:tcPr>
          <w:p w14:paraId="69B6DB43"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Pr>
          <w:p w14:paraId="27068863" w14:textId="706ABD84"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Arial"/>
                <w:b/>
                <w:i/>
                <w:sz w:val="20"/>
              </w:rPr>
              <w:t>Upper 95% CL of differences in outcome</w:t>
            </w:r>
          </w:p>
        </w:tc>
        <w:tc>
          <w:tcPr>
            <w:tcW w:w="2311" w:type="dxa"/>
          </w:tcPr>
          <w:p w14:paraId="40AAF8C9" w14:textId="49F554FB"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i/>
                <w:sz w:val="20"/>
              </w:rPr>
              <w:t>$6,183.98</w:t>
            </w:r>
          </w:p>
        </w:tc>
      </w:tr>
      <w:tr w:rsidR="0091355A" w14:paraId="7DA34B9E" w14:textId="77777777" w:rsidTr="00A12B21">
        <w:tc>
          <w:tcPr>
            <w:tcW w:w="2310" w:type="dxa"/>
            <w:tcBorders>
              <w:top w:val="nil"/>
              <w:right w:val="nil"/>
            </w:tcBorders>
          </w:tcPr>
          <w:p w14:paraId="5F9014E1" w14:textId="77777777" w:rsidR="0091355A" w:rsidRDefault="0091355A" w:rsidP="004138A0">
            <w:pPr>
              <w:spacing w:before="6" w:after="200" w:line="276" w:lineRule="auto"/>
              <w:rPr>
                <w:rFonts w:ascii="Arial Narrow" w:eastAsia="MS Mincho" w:hAnsi="Arial Narrow"/>
                <w:b/>
                <w:bCs/>
                <w:szCs w:val="22"/>
                <w:lang w:eastAsia="en-GB"/>
              </w:rPr>
            </w:pPr>
          </w:p>
        </w:tc>
        <w:tc>
          <w:tcPr>
            <w:tcW w:w="2310" w:type="dxa"/>
            <w:tcBorders>
              <w:top w:val="nil"/>
              <w:left w:val="nil"/>
            </w:tcBorders>
          </w:tcPr>
          <w:p w14:paraId="357DEEC1" w14:textId="77777777" w:rsidR="0091355A" w:rsidRDefault="0091355A" w:rsidP="004138A0">
            <w:pPr>
              <w:spacing w:before="6" w:after="200" w:line="276" w:lineRule="auto"/>
              <w:rPr>
                <w:rFonts w:ascii="Arial Narrow" w:eastAsia="MS Mincho" w:hAnsi="Arial Narrow"/>
                <w:b/>
                <w:bCs/>
                <w:szCs w:val="22"/>
                <w:lang w:eastAsia="en-GB"/>
              </w:rPr>
            </w:pPr>
          </w:p>
        </w:tc>
        <w:tc>
          <w:tcPr>
            <w:tcW w:w="2311" w:type="dxa"/>
          </w:tcPr>
          <w:p w14:paraId="3B3D34FC" w14:textId="63CA0DE7" w:rsidR="0091355A" w:rsidRDefault="0091355A" w:rsidP="004138A0">
            <w:pPr>
              <w:spacing w:before="6" w:after="200" w:line="276" w:lineRule="auto"/>
              <w:rPr>
                <w:rFonts w:ascii="Arial Narrow" w:eastAsia="MS Mincho" w:hAnsi="Arial Narrow"/>
                <w:b/>
                <w:bCs/>
                <w:szCs w:val="22"/>
                <w:lang w:eastAsia="en-GB"/>
              </w:rPr>
            </w:pPr>
            <w:r>
              <w:rPr>
                <w:rFonts w:ascii="Arial Narrow" w:eastAsia="Calibri" w:hAnsi="Arial Narrow"/>
                <w:b/>
                <w:i/>
                <w:sz w:val="20"/>
              </w:rPr>
              <w:t xml:space="preserve">Lower 95% CL of differences in </w:t>
            </w:r>
            <w:r w:rsidRPr="0099245B">
              <w:rPr>
                <w:rFonts w:ascii="Arial Narrow" w:eastAsia="Calibri" w:hAnsi="Arial Narrow"/>
                <w:b/>
                <w:i/>
                <w:sz w:val="20"/>
              </w:rPr>
              <w:t>outcome</w:t>
            </w:r>
          </w:p>
        </w:tc>
        <w:tc>
          <w:tcPr>
            <w:tcW w:w="2311" w:type="dxa"/>
          </w:tcPr>
          <w:p w14:paraId="36267D57" w14:textId="59844643" w:rsidR="0091355A" w:rsidRDefault="0091355A" w:rsidP="004138A0">
            <w:pPr>
              <w:spacing w:before="6" w:after="200" w:line="276" w:lineRule="auto"/>
              <w:rPr>
                <w:rFonts w:ascii="Arial Narrow" w:eastAsia="MS Mincho" w:hAnsi="Arial Narrow"/>
                <w:b/>
                <w:bCs/>
                <w:szCs w:val="22"/>
                <w:lang w:eastAsia="en-GB"/>
              </w:rPr>
            </w:pPr>
            <w:r w:rsidRPr="0099245B">
              <w:rPr>
                <w:rFonts w:ascii="Arial Narrow" w:hAnsi="Arial Narrow" w:cs="Tahoma"/>
                <w:b/>
                <w:i/>
                <w:sz w:val="20"/>
              </w:rPr>
              <w:t>Dominant</w:t>
            </w:r>
          </w:p>
        </w:tc>
      </w:tr>
    </w:tbl>
    <w:p w14:paraId="584EE69E" w14:textId="77777777" w:rsidR="0091355A" w:rsidRPr="0099245B" w:rsidRDefault="0091355A" w:rsidP="004138A0">
      <w:pPr>
        <w:spacing w:before="6" w:after="200" w:line="276" w:lineRule="auto"/>
        <w:rPr>
          <w:rFonts w:ascii="Arial Narrow" w:eastAsia="MS Mincho" w:hAnsi="Arial Narrow"/>
          <w:b/>
          <w:bCs/>
          <w:szCs w:val="22"/>
          <w:lang w:eastAsia="en-GB"/>
        </w:rPr>
      </w:pPr>
    </w:p>
    <w:p w14:paraId="34133011" w14:textId="77777777" w:rsidR="00BC1364" w:rsidRDefault="004138A0" w:rsidP="00325C0F">
      <w:pPr>
        <w:rPr>
          <w:rFonts w:ascii="Arial Narrow" w:hAnsi="Calibri"/>
          <w:spacing w:val="-1"/>
          <w:sz w:val="20"/>
          <w:szCs w:val="22"/>
        </w:rPr>
      </w:pPr>
      <w:r w:rsidRPr="0099245B">
        <w:rPr>
          <w:rFonts w:ascii="Arial Narrow" w:eastAsia="Calibri" w:hAnsi="Arial Narrow"/>
          <w:sz w:val="20"/>
          <w:szCs w:val="22"/>
        </w:rPr>
        <w:lastRenderedPageBreak/>
        <w:t>Source: Assessment report, p. 126</w:t>
      </w:r>
      <w:r>
        <w:rPr>
          <w:rFonts w:ascii="Arial Narrow" w:eastAsia="Calibri" w:hAnsi="Arial Narrow"/>
          <w:sz w:val="20"/>
          <w:szCs w:val="22"/>
        </w:rPr>
        <w:t>,</w:t>
      </w:r>
      <w:r w:rsidRPr="0099245B">
        <w:rPr>
          <w:rFonts w:ascii="Arial Narrow" w:eastAsia="Calibri" w:hAnsi="Arial Narrow"/>
          <w:sz w:val="20"/>
          <w:szCs w:val="22"/>
        </w:rPr>
        <w:t xml:space="preserve"> Table 5.3. </w:t>
      </w:r>
      <w:proofErr w:type="spellStart"/>
      <w:r w:rsidRPr="0099245B">
        <w:rPr>
          <w:rFonts w:ascii="Arial Narrow" w:hAnsi="Calibri"/>
          <w:spacing w:val="-1"/>
          <w:sz w:val="20"/>
          <w:szCs w:val="22"/>
        </w:rPr>
        <w:t>Angio</w:t>
      </w:r>
      <w:proofErr w:type="spellEnd"/>
      <w:r w:rsidRPr="0099245B">
        <w:rPr>
          <w:rFonts w:ascii="Arial Narrow" w:hAnsi="Calibri"/>
          <w:spacing w:val="-1"/>
          <w:sz w:val="20"/>
          <w:szCs w:val="22"/>
        </w:rPr>
        <w:t>=</w:t>
      </w:r>
      <w:r>
        <w:rPr>
          <w:rFonts w:ascii="Arial Narrow" w:hAnsi="Calibri"/>
          <w:spacing w:val="-1"/>
          <w:sz w:val="20"/>
          <w:szCs w:val="22"/>
        </w:rPr>
        <w:t>a</w:t>
      </w:r>
      <w:r w:rsidRPr="0099245B">
        <w:rPr>
          <w:rFonts w:ascii="Arial Narrow" w:hAnsi="Calibri"/>
          <w:spacing w:val="-1"/>
          <w:sz w:val="20"/>
          <w:szCs w:val="22"/>
        </w:rPr>
        <w:t>ngiography only</w:t>
      </w:r>
      <w:r>
        <w:rPr>
          <w:rFonts w:ascii="Arial Narrow" w:hAnsi="Calibri"/>
          <w:spacing w:val="-1"/>
          <w:sz w:val="20"/>
          <w:szCs w:val="22"/>
        </w:rPr>
        <w:t xml:space="preserve">; BMS=bare metal stents; </w:t>
      </w:r>
      <w:r w:rsidRPr="0099245B">
        <w:rPr>
          <w:rFonts w:ascii="Arial Narrow" w:eastAsia="Calibri" w:hAnsi="Arial Narrow"/>
          <w:sz w:val="20"/>
          <w:szCs w:val="22"/>
        </w:rPr>
        <w:t>CL=confidence limit</w:t>
      </w:r>
      <w:r>
        <w:rPr>
          <w:rFonts w:ascii="Arial Narrow" w:eastAsia="Calibri" w:hAnsi="Arial Narrow"/>
          <w:sz w:val="20"/>
          <w:szCs w:val="22"/>
        </w:rPr>
        <w:t xml:space="preserve">; DES=drug-eluting stent; </w:t>
      </w:r>
      <w:r>
        <w:rPr>
          <w:rFonts w:ascii="Arial Narrow" w:hAnsi="Calibri"/>
          <w:spacing w:val="-1"/>
          <w:sz w:val="20"/>
          <w:szCs w:val="22"/>
        </w:rPr>
        <w:t>IVUS=</w:t>
      </w:r>
      <w:r w:rsidRPr="004262DE">
        <w:rPr>
          <w:rFonts w:ascii="Arial Narrow" w:hAnsi="Calibri"/>
          <w:spacing w:val="-1"/>
          <w:sz w:val="20"/>
          <w:szCs w:val="22"/>
        </w:rPr>
        <w:t>intravascular ultrasound</w:t>
      </w:r>
      <w:r>
        <w:rPr>
          <w:rFonts w:ascii="Arial Narrow" w:hAnsi="Calibri"/>
          <w:spacing w:val="-1"/>
          <w:sz w:val="20"/>
          <w:szCs w:val="22"/>
        </w:rPr>
        <w:t>; LYs=life years;</w:t>
      </w:r>
      <w:r w:rsidRPr="0099245B">
        <w:rPr>
          <w:rFonts w:ascii="Arial Narrow" w:hAnsi="Calibri"/>
          <w:spacing w:val="-1"/>
          <w:sz w:val="20"/>
          <w:szCs w:val="22"/>
        </w:rPr>
        <w:t xml:space="preserve"> </w:t>
      </w:r>
      <w:r>
        <w:rPr>
          <w:rFonts w:ascii="Arial Narrow" w:hAnsi="Calibri"/>
          <w:spacing w:val="-1"/>
          <w:sz w:val="20"/>
          <w:szCs w:val="22"/>
        </w:rPr>
        <w:t>LYG=</w:t>
      </w:r>
      <w:r w:rsidRPr="004262DE">
        <w:rPr>
          <w:rFonts w:ascii="Arial Narrow" w:hAnsi="Calibri"/>
          <w:spacing w:val="-1"/>
          <w:sz w:val="20"/>
          <w:szCs w:val="22"/>
        </w:rPr>
        <w:t>life year gained</w:t>
      </w:r>
      <w:r>
        <w:rPr>
          <w:rFonts w:ascii="Arial Narrow" w:hAnsi="Calibri"/>
          <w:spacing w:val="-1"/>
          <w:sz w:val="20"/>
          <w:szCs w:val="22"/>
        </w:rPr>
        <w:t>;</w:t>
      </w:r>
      <w:r w:rsidRPr="004262DE">
        <w:rPr>
          <w:rFonts w:ascii="Arial Narrow" w:hAnsi="Calibri"/>
          <w:spacing w:val="-1"/>
          <w:sz w:val="20"/>
          <w:szCs w:val="22"/>
        </w:rPr>
        <w:t xml:space="preserve"> </w:t>
      </w:r>
      <w:r w:rsidRPr="0099245B">
        <w:rPr>
          <w:rFonts w:ascii="Arial Narrow" w:hAnsi="Calibri"/>
          <w:spacing w:val="-1"/>
          <w:sz w:val="20"/>
          <w:szCs w:val="22"/>
        </w:rPr>
        <w:t>QALYs=</w:t>
      </w:r>
      <w:r>
        <w:rPr>
          <w:rFonts w:ascii="Arial Narrow" w:hAnsi="Calibri"/>
          <w:spacing w:val="-1"/>
          <w:sz w:val="20"/>
          <w:szCs w:val="22"/>
        </w:rPr>
        <w:t>q</w:t>
      </w:r>
      <w:r w:rsidRPr="0099245B">
        <w:rPr>
          <w:rFonts w:ascii="Arial Narrow" w:hAnsi="Calibri"/>
          <w:spacing w:val="-1"/>
          <w:sz w:val="20"/>
          <w:szCs w:val="22"/>
        </w:rPr>
        <w:t xml:space="preserve">uality </w:t>
      </w:r>
      <w:r>
        <w:rPr>
          <w:rFonts w:ascii="Arial Narrow" w:hAnsi="Calibri"/>
          <w:spacing w:val="-1"/>
          <w:sz w:val="20"/>
          <w:szCs w:val="22"/>
        </w:rPr>
        <w:t>a</w:t>
      </w:r>
      <w:r w:rsidRPr="0099245B">
        <w:rPr>
          <w:rFonts w:ascii="Arial Narrow" w:hAnsi="Calibri"/>
          <w:spacing w:val="-1"/>
          <w:sz w:val="20"/>
          <w:szCs w:val="22"/>
        </w:rPr>
        <w:t xml:space="preserve">djusted </w:t>
      </w:r>
      <w:r>
        <w:rPr>
          <w:rFonts w:ascii="Arial Narrow" w:hAnsi="Calibri"/>
          <w:spacing w:val="-1"/>
          <w:sz w:val="20"/>
          <w:szCs w:val="22"/>
        </w:rPr>
        <w:t>l</w:t>
      </w:r>
      <w:r w:rsidRPr="0099245B">
        <w:rPr>
          <w:rFonts w:ascii="Arial Narrow" w:hAnsi="Calibri"/>
          <w:spacing w:val="-1"/>
          <w:sz w:val="20"/>
          <w:szCs w:val="22"/>
        </w:rPr>
        <w:t xml:space="preserve">ife </w:t>
      </w:r>
      <w:r>
        <w:rPr>
          <w:rFonts w:ascii="Arial Narrow" w:hAnsi="Calibri"/>
          <w:spacing w:val="-1"/>
          <w:sz w:val="20"/>
          <w:szCs w:val="22"/>
        </w:rPr>
        <w:t>y</w:t>
      </w:r>
      <w:r w:rsidRPr="0099245B">
        <w:rPr>
          <w:rFonts w:ascii="Arial Narrow" w:hAnsi="Calibri"/>
          <w:spacing w:val="-1"/>
          <w:sz w:val="20"/>
          <w:szCs w:val="22"/>
        </w:rPr>
        <w:t xml:space="preserve">ears. </w:t>
      </w:r>
      <w:proofErr w:type="gramStart"/>
      <w:r w:rsidRPr="0099245B">
        <w:rPr>
          <w:rFonts w:ascii="Arial Narrow" w:hAnsi="Calibri"/>
          <w:spacing w:val="-1"/>
          <w:sz w:val="20"/>
          <w:szCs w:val="22"/>
        </w:rPr>
        <w:t>Confidence limits taken from spreadsheet during critique.</w:t>
      </w:r>
      <w:proofErr w:type="gramEnd"/>
    </w:p>
    <w:p w14:paraId="5F27BAD0" w14:textId="77777777" w:rsidR="00325C0F" w:rsidRDefault="00325C0F" w:rsidP="00325C0F">
      <w:pPr>
        <w:rPr>
          <w:szCs w:val="24"/>
        </w:rPr>
      </w:pPr>
    </w:p>
    <w:p w14:paraId="1236B813" w14:textId="77777777" w:rsidR="00D94AC3" w:rsidRDefault="00D94AC3" w:rsidP="00325C0F">
      <w:pPr>
        <w:rPr>
          <w:szCs w:val="24"/>
        </w:rPr>
      </w:pPr>
      <w:r>
        <w:rPr>
          <w:rFonts w:cs="Garamond Bold+FPEF"/>
          <w:bCs/>
        </w:rPr>
        <w:t>A</w:t>
      </w:r>
      <w:r w:rsidRPr="003F14C3">
        <w:rPr>
          <w:rFonts w:cs="Garamond Bold+FPEF"/>
          <w:bCs/>
        </w:rPr>
        <w:t xml:space="preserve"> supplementary analysis</w:t>
      </w:r>
      <w:r w:rsidR="00F85FE3">
        <w:rPr>
          <w:rFonts w:cs="Garamond Bold+FPEF"/>
          <w:bCs/>
        </w:rPr>
        <w:t xml:space="preserve"> was presented in the SBA</w:t>
      </w:r>
      <w:r w:rsidRPr="003F14C3">
        <w:rPr>
          <w:rFonts w:cs="Garamond Bold+FPEF"/>
          <w:bCs/>
        </w:rPr>
        <w:t xml:space="preserve"> in which benefits of IVUS use would cease at 3 years while the time horizon of the evaluation still covers the lifetime of the cohort</w:t>
      </w:r>
      <w:r>
        <w:rPr>
          <w:rFonts w:cs="Garamond Bold+FPEF"/>
          <w:bCs/>
        </w:rPr>
        <w:t xml:space="preserve"> generated</w:t>
      </w:r>
      <w:r w:rsidRPr="003F14C3">
        <w:rPr>
          <w:rFonts w:cs="Garamond Bold+FPEF"/>
          <w:bCs/>
        </w:rPr>
        <w:t xml:space="preserve"> ICERs of $2,600 per LYG and $2,900 per QALY gained for BMS implantation and $3,100 per LYG and $3,400 per QALY gained for DES implantation analyses. These estimates are higher than the final ICER of the base-case scenario, but lower than the ICERs generated from the trial-based evaluation.</w:t>
      </w:r>
    </w:p>
    <w:p w14:paraId="584063B4" w14:textId="77777777" w:rsidR="00D94AC3" w:rsidRPr="0075468E" w:rsidRDefault="00D94AC3" w:rsidP="00325C0F">
      <w:pPr>
        <w:rPr>
          <w:szCs w:val="24"/>
        </w:rPr>
      </w:pPr>
    </w:p>
    <w:p w14:paraId="393DD013" w14:textId="77777777" w:rsidR="00BC1364" w:rsidRDefault="00BC1364" w:rsidP="00325C0F">
      <w:pPr>
        <w:pStyle w:val="Heading1"/>
        <w:numPr>
          <w:ilvl w:val="0"/>
          <w:numId w:val="23"/>
        </w:numPr>
        <w:ind w:hanging="720"/>
      </w:pPr>
      <w:r w:rsidRPr="008D5885">
        <w:t>Financial/budgetary impacts</w:t>
      </w:r>
    </w:p>
    <w:p w14:paraId="13644105" w14:textId="77777777" w:rsidR="00BC1364" w:rsidRDefault="00BC1364" w:rsidP="00325C0F">
      <w:pPr>
        <w:pStyle w:val="Default"/>
      </w:pPr>
    </w:p>
    <w:p w14:paraId="081F27AC" w14:textId="4FC745BC" w:rsidR="004138A0" w:rsidRPr="003F6558" w:rsidRDefault="004138A0" w:rsidP="00325C0F">
      <w:pPr>
        <w:tabs>
          <w:tab w:val="left" w:pos="720"/>
          <w:tab w:val="left" w:pos="1140"/>
        </w:tabs>
        <w:rPr>
          <w:rFonts w:eastAsia="Calibri"/>
          <w:spacing w:val="-1"/>
        </w:rPr>
      </w:pPr>
      <w:r w:rsidRPr="003F6558">
        <w:rPr>
          <w:rFonts w:eastAsia="Calibri"/>
        </w:rPr>
        <w:t>Financial implications are noted in the assessment report as being estimated using an epidemiologic approach, first estimating the disease burden of CAD in Australia, and then determining the financial implications to the MBS and broader health system</w:t>
      </w:r>
      <w:r w:rsidRPr="003F6558">
        <w:rPr>
          <w:rFonts w:eastAsia="Calibri"/>
          <w:spacing w:val="-1"/>
        </w:rPr>
        <w:t xml:space="preserve">. </w:t>
      </w:r>
      <w:r w:rsidRPr="003F6558">
        <w:rPr>
          <w:rFonts w:eastAsia="Calibri"/>
          <w:szCs w:val="22"/>
        </w:rPr>
        <w:t>The number of patients receiving IVUS is derived from patients receiving stent insertion, classified as MBS item 38306. Using data from 2010 to 2013, a linear regression is used in the assessment report for projection until 2019. Estimation of uptake</w:t>
      </w:r>
      <w:r w:rsidRPr="003F6558">
        <w:rPr>
          <w:rFonts w:eastAsia="Calibri"/>
          <w:spacing w:val="-1"/>
        </w:rPr>
        <w:t xml:space="preserve"> hinge</w:t>
      </w:r>
      <w:r w:rsidR="00731039">
        <w:rPr>
          <w:rFonts w:eastAsia="Calibri"/>
          <w:spacing w:val="-1"/>
        </w:rPr>
        <w:t>s</w:t>
      </w:r>
      <w:r w:rsidRPr="003F6558">
        <w:rPr>
          <w:rFonts w:eastAsia="Calibri"/>
          <w:spacing w:val="-1"/>
        </w:rPr>
        <w:t xml:space="preserve"> on the assumption that an additional 20 IVUS machines will be purchased in conjunction with the current stock of 52</w:t>
      </w:r>
      <w:r w:rsidR="00731039">
        <w:rPr>
          <w:rFonts w:eastAsia="Calibri"/>
          <w:spacing w:val="-1"/>
        </w:rPr>
        <w:t> </w:t>
      </w:r>
      <w:r w:rsidRPr="003F6558">
        <w:rPr>
          <w:rFonts w:eastAsia="Calibri"/>
          <w:spacing w:val="-1"/>
        </w:rPr>
        <w:t>machines.</w:t>
      </w:r>
    </w:p>
    <w:p w14:paraId="2E41B692" w14:textId="77777777" w:rsidR="004138A0" w:rsidRPr="003F6558" w:rsidRDefault="004138A0" w:rsidP="004138A0">
      <w:pPr>
        <w:tabs>
          <w:tab w:val="left" w:pos="720"/>
          <w:tab w:val="left" w:pos="1140"/>
        </w:tabs>
        <w:rPr>
          <w:rFonts w:eastAsia="Calibri"/>
          <w:szCs w:val="16"/>
        </w:rPr>
      </w:pPr>
    </w:p>
    <w:p w14:paraId="2A05C4A6" w14:textId="77777777" w:rsidR="00D94AC3" w:rsidRDefault="004138A0" w:rsidP="00D94AC3">
      <w:pPr>
        <w:autoSpaceDE w:val="0"/>
        <w:autoSpaceDN w:val="0"/>
        <w:adjustRightInd w:val="0"/>
        <w:rPr>
          <w:rFonts w:cs="Garamond Bold+FPEF"/>
          <w:bCs/>
        </w:rPr>
      </w:pPr>
      <w:r w:rsidRPr="003F6558">
        <w:rPr>
          <w:rFonts w:eastAsia="Calibri"/>
          <w:szCs w:val="16"/>
        </w:rPr>
        <w:t>A conservative uptake rate is assumed by the applicant, based on estimated procurement of IVUS capital equipment by hospitals. Procurement of an additional 20 IVUS systems on top of the current 53 systems in operation would result in approximately 1,275 IVUS-guided procedures in 2015, increasing to 7,010 by 2019.</w:t>
      </w:r>
      <w:r w:rsidR="00D94AC3">
        <w:rPr>
          <w:rFonts w:eastAsia="Calibri"/>
          <w:szCs w:val="16"/>
        </w:rPr>
        <w:t xml:space="preserve"> A s</w:t>
      </w:r>
      <w:r w:rsidR="00D94AC3" w:rsidRPr="00F64FB7">
        <w:rPr>
          <w:rFonts w:cs="Garamond Bold+FPEF"/>
          <w:bCs/>
        </w:rPr>
        <w:t xml:space="preserve">ensitivity analysis </w:t>
      </w:r>
      <w:r w:rsidR="00D94AC3">
        <w:rPr>
          <w:rFonts w:cs="Garamond Bold+FPEF"/>
          <w:bCs/>
        </w:rPr>
        <w:t>was</w:t>
      </w:r>
      <w:r w:rsidR="00D94AC3" w:rsidRPr="00F64FB7">
        <w:rPr>
          <w:rFonts w:cs="Garamond Bold+FPEF"/>
          <w:bCs/>
        </w:rPr>
        <w:t xml:space="preserve"> conducted which include</w:t>
      </w:r>
      <w:r w:rsidR="00D94AC3">
        <w:rPr>
          <w:rFonts w:cs="Garamond Bold+FPEF"/>
          <w:bCs/>
        </w:rPr>
        <w:t>d</w:t>
      </w:r>
      <w:r w:rsidR="00D94AC3" w:rsidRPr="00F64FB7">
        <w:rPr>
          <w:rFonts w:cs="Garamond Bold+FPEF"/>
          <w:bCs/>
        </w:rPr>
        <w:t xml:space="preserve"> a high uptake rate and analysis of the high-risk patient group.</w:t>
      </w:r>
    </w:p>
    <w:p w14:paraId="3A55E454" w14:textId="77777777" w:rsidR="004138A0" w:rsidRPr="003F6558" w:rsidRDefault="004138A0" w:rsidP="004138A0">
      <w:pPr>
        <w:tabs>
          <w:tab w:val="left" w:pos="720"/>
          <w:tab w:val="left" w:pos="1140"/>
        </w:tabs>
        <w:rPr>
          <w:szCs w:val="22"/>
        </w:rPr>
      </w:pPr>
    </w:p>
    <w:p w14:paraId="0C25440F" w14:textId="77777777" w:rsidR="00BC1364" w:rsidRDefault="004138A0" w:rsidP="004138A0">
      <w:pPr>
        <w:rPr>
          <w:b/>
          <w:szCs w:val="24"/>
        </w:rPr>
      </w:pPr>
      <w:r w:rsidRPr="003F6558">
        <w:rPr>
          <w:szCs w:val="22"/>
        </w:rPr>
        <w:t>The assessment report states that no changes in costs to the PBS are expected as IVUS is an additional therapy, but further notes that by reducing adverse events, such as revascularisations and MIs, it can be expected that there will be a cost savings to the PBS in the form of reduced medications.</w:t>
      </w:r>
      <w:r w:rsidRPr="003F6558">
        <w:rPr>
          <w:szCs w:val="22"/>
        </w:rPr>
        <w:br/>
      </w:r>
    </w:p>
    <w:p w14:paraId="0CB0A940" w14:textId="77777777" w:rsidR="006A0D97" w:rsidRDefault="006A0D97" w:rsidP="006A0D97">
      <w:pPr>
        <w:pStyle w:val="Heading1"/>
        <w:numPr>
          <w:ilvl w:val="0"/>
          <w:numId w:val="23"/>
        </w:numPr>
        <w:ind w:hanging="720"/>
      </w:pPr>
      <w:r w:rsidRPr="006A0D97">
        <w:t>Key issues from ESC for MSAC</w:t>
      </w:r>
    </w:p>
    <w:p w14:paraId="7059BFC2" w14:textId="77777777" w:rsidR="006A0D97" w:rsidRDefault="006A0D97" w:rsidP="006A0D97"/>
    <w:p w14:paraId="3E1E6891" w14:textId="77777777" w:rsidR="004138A0" w:rsidRPr="00FE18E2" w:rsidRDefault="004138A0" w:rsidP="004138A0">
      <w:pPr>
        <w:tabs>
          <w:tab w:val="left" w:pos="720"/>
          <w:tab w:val="left" w:pos="1140"/>
        </w:tabs>
        <w:rPr>
          <w:rFonts w:eastAsia="Calibri"/>
          <w:szCs w:val="24"/>
          <w:lang w:val="en-US"/>
        </w:rPr>
      </w:pPr>
      <w:r w:rsidRPr="00FE18E2">
        <w:rPr>
          <w:szCs w:val="24"/>
          <w:lang w:val="en-US"/>
        </w:rPr>
        <w:t>ESC noted that the SBA deviated from the patient population stated in the Protocol (‘high-risk’ patients), to include low and medium risk patients.  ESC discussed how this had increased the level of uncertainty regarding clinical efficacy and also the financial impact on the MBS.</w:t>
      </w:r>
    </w:p>
    <w:p w14:paraId="2F9E5C84" w14:textId="77777777" w:rsidR="004138A0" w:rsidRPr="00FE18E2" w:rsidRDefault="004138A0" w:rsidP="004138A0">
      <w:pPr>
        <w:tabs>
          <w:tab w:val="left" w:pos="720"/>
          <w:tab w:val="left" w:pos="1140"/>
        </w:tabs>
        <w:rPr>
          <w:rFonts w:eastAsia="Calibri"/>
          <w:szCs w:val="24"/>
          <w:lang w:val="en-US"/>
        </w:rPr>
      </w:pPr>
    </w:p>
    <w:p w14:paraId="6950059F" w14:textId="77777777" w:rsidR="004138A0" w:rsidRPr="00FE18E2" w:rsidRDefault="004138A0" w:rsidP="004138A0">
      <w:pPr>
        <w:tabs>
          <w:tab w:val="left" w:pos="720"/>
          <w:tab w:val="left" w:pos="1140"/>
        </w:tabs>
        <w:rPr>
          <w:szCs w:val="24"/>
        </w:rPr>
      </w:pPr>
      <w:r w:rsidRPr="00FE18E2">
        <w:rPr>
          <w:szCs w:val="24"/>
        </w:rPr>
        <w:t xml:space="preserve">ESC considered current MBS data for the comparator, but noted that this could not identify how many patients were in the ‘high-risk’ category. </w:t>
      </w:r>
      <w:r w:rsidRPr="00FE18E2">
        <w:rPr>
          <w:rFonts w:eastAsia="Calibri"/>
          <w:szCs w:val="24"/>
          <w:lang w:val="en-US"/>
        </w:rPr>
        <w:t xml:space="preserve"> Due to this limitation, ESC could not estimate the number of patients likely to receive the proposed service.  However, it was noted that</w:t>
      </w:r>
      <w:r w:rsidRPr="00FE18E2">
        <w:rPr>
          <w:szCs w:val="24"/>
        </w:rPr>
        <w:t xml:space="preserve"> cardiac specialist estimates have been as high as 60%.</w:t>
      </w:r>
    </w:p>
    <w:p w14:paraId="3DF4A484" w14:textId="77777777" w:rsidR="004138A0" w:rsidRPr="00FE18E2" w:rsidRDefault="004138A0" w:rsidP="004138A0">
      <w:pPr>
        <w:rPr>
          <w:szCs w:val="24"/>
        </w:rPr>
      </w:pPr>
    </w:p>
    <w:p w14:paraId="6D582A2D" w14:textId="77777777" w:rsidR="004138A0" w:rsidRPr="00FE18E2" w:rsidRDefault="004138A0" w:rsidP="004138A0">
      <w:pPr>
        <w:rPr>
          <w:szCs w:val="24"/>
        </w:rPr>
      </w:pPr>
      <w:r w:rsidRPr="00FE18E2">
        <w:rPr>
          <w:szCs w:val="24"/>
        </w:rPr>
        <w:t xml:space="preserve">ESC noted that IVUS is now used in some clinical cases. Typical applications include, </w:t>
      </w:r>
    </w:p>
    <w:p w14:paraId="6A56F276" w14:textId="77777777" w:rsidR="004138A0" w:rsidRPr="00FE18E2" w:rsidRDefault="004138A0" w:rsidP="004138A0">
      <w:pPr>
        <w:pStyle w:val="ListParagraph"/>
        <w:numPr>
          <w:ilvl w:val="0"/>
          <w:numId w:val="32"/>
        </w:numPr>
        <w:rPr>
          <w:szCs w:val="24"/>
        </w:rPr>
      </w:pPr>
      <w:r w:rsidRPr="00FE18E2">
        <w:rPr>
          <w:szCs w:val="24"/>
        </w:rPr>
        <w:t>as a diagnostic approach for patients with a normal angiogram after ACS;</w:t>
      </w:r>
    </w:p>
    <w:p w14:paraId="24A08B49" w14:textId="77777777" w:rsidR="004138A0" w:rsidRPr="00FE18E2" w:rsidRDefault="004138A0" w:rsidP="004138A0">
      <w:pPr>
        <w:pStyle w:val="ListParagraph"/>
        <w:numPr>
          <w:ilvl w:val="0"/>
          <w:numId w:val="32"/>
        </w:numPr>
        <w:rPr>
          <w:szCs w:val="24"/>
        </w:rPr>
      </w:pPr>
      <w:r w:rsidRPr="00FE18E2">
        <w:rPr>
          <w:szCs w:val="24"/>
        </w:rPr>
        <w:t xml:space="preserve">eccentric lesions where the length is important for determining the size and length of the stent; and </w:t>
      </w:r>
    </w:p>
    <w:p w14:paraId="3E0C3102" w14:textId="77777777" w:rsidR="004138A0" w:rsidRPr="00FE18E2" w:rsidRDefault="004138A0" w:rsidP="004138A0">
      <w:pPr>
        <w:pStyle w:val="ListParagraph"/>
        <w:numPr>
          <w:ilvl w:val="0"/>
          <w:numId w:val="32"/>
        </w:numPr>
        <w:rPr>
          <w:szCs w:val="24"/>
        </w:rPr>
      </w:pPr>
      <w:proofErr w:type="gramStart"/>
      <w:r>
        <w:rPr>
          <w:szCs w:val="24"/>
        </w:rPr>
        <w:t>clinical</w:t>
      </w:r>
      <w:proofErr w:type="gramEnd"/>
      <w:r>
        <w:rPr>
          <w:szCs w:val="24"/>
        </w:rPr>
        <w:t xml:space="preserve"> </w:t>
      </w:r>
      <w:r w:rsidRPr="00FE18E2">
        <w:rPr>
          <w:szCs w:val="24"/>
        </w:rPr>
        <w:t>concern for dissection.</w:t>
      </w:r>
    </w:p>
    <w:p w14:paraId="74C0EA1F" w14:textId="77777777" w:rsidR="004138A0" w:rsidRPr="00FE18E2" w:rsidRDefault="004138A0" w:rsidP="004138A0">
      <w:pPr>
        <w:rPr>
          <w:szCs w:val="24"/>
        </w:rPr>
      </w:pPr>
    </w:p>
    <w:p w14:paraId="27E2A3A5" w14:textId="77777777" w:rsidR="004138A0" w:rsidRPr="00FE18E2" w:rsidRDefault="004138A0" w:rsidP="004138A0">
      <w:pPr>
        <w:tabs>
          <w:tab w:val="num" w:pos="426"/>
        </w:tabs>
        <w:rPr>
          <w:szCs w:val="24"/>
        </w:rPr>
      </w:pPr>
      <w:r w:rsidRPr="00FE18E2">
        <w:rPr>
          <w:szCs w:val="24"/>
        </w:rPr>
        <w:lastRenderedPageBreak/>
        <w:t xml:space="preserve">ESC noted PASC’s suggestion that the creation of two MBS items may be warranted – one item for the initial insertion of a stent under guidance of IVUS, and a second item for a subgroup of the population who will require insertion at a subsequent occasion under the guidance of IVUS. ESC did not form an agreed approach on this matter and therefore referred the issue to MSAC to consider as part of its deliberations. </w:t>
      </w:r>
    </w:p>
    <w:p w14:paraId="3CACB880" w14:textId="77777777" w:rsidR="004138A0" w:rsidRPr="00FE18E2" w:rsidRDefault="004138A0" w:rsidP="004138A0">
      <w:pPr>
        <w:tabs>
          <w:tab w:val="left" w:pos="720"/>
          <w:tab w:val="left" w:pos="1140"/>
        </w:tabs>
        <w:rPr>
          <w:szCs w:val="24"/>
          <w:u w:val="single"/>
        </w:rPr>
      </w:pPr>
    </w:p>
    <w:p w14:paraId="492ECBE2" w14:textId="77777777" w:rsidR="004138A0" w:rsidRPr="00FE18E2" w:rsidRDefault="004138A0" w:rsidP="004138A0">
      <w:pPr>
        <w:rPr>
          <w:szCs w:val="24"/>
          <w:lang w:val="en-US"/>
        </w:rPr>
      </w:pPr>
      <w:r w:rsidRPr="00FE18E2">
        <w:rPr>
          <w:szCs w:val="24"/>
          <w:lang w:val="en-US"/>
        </w:rPr>
        <w:t>ESC concluded that the data quality for clinical efficacy is poor, based on meta-analyses rather than well-powered clinical trials</w:t>
      </w:r>
      <w:r w:rsidRPr="00FE18E2">
        <w:rPr>
          <w:szCs w:val="24"/>
        </w:rPr>
        <w:t xml:space="preserve">.  </w:t>
      </w:r>
      <w:r w:rsidRPr="00FE18E2">
        <w:rPr>
          <w:szCs w:val="24"/>
          <w:lang w:val="en-US"/>
        </w:rPr>
        <w:t>The true extent of the efficacy of IVUS therefore remained uncertain and ESC determined that the claim of clinical benefits may not be supported.  Due to the lack of research evidence, the benefit of IVUS in PCI stent insertion for naive compared with re-stenting procedures could not be asses</w:t>
      </w:r>
      <w:r>
        <w:rPr>
          <w:szCs w:val="24"/>
          <w:lang w:val="en-US"/>
        </w:rPr>
        <w:t>sed by ESC and remained unclear.</w:t>
      </w:r>
    </w:p>
    <w:p w14:paraId="23507E96" w14:textId="77777777" w:rsidR="004138A0" w:rsidRPr="00FE18E2" w:rsidRDefault="004138A0" w:rsidP="004138A0">
      <w:pPr>
        <w:rPr>
          <w:szCs w:val="24"/>
          <w:lang w:val="en-US"/>
        </w:rPr>
      </w:pPr>
    </w:p>
    <w:p w14:paraId="62150008" w14:textId="77777777" w:rsidR="004138A0" w:rsidRPr="00FE18E2" w:rsidRDefault="004138A0" w:rsidP="004138A0">
      <w:pPr>
        <w:rPr>
          <w:rFonts w:eastAsia="MS PGothic"/>
          <w:color w:val="000000" w:themeColor="text1"/>
          <w:kern w:val="24"/>
          <w:szCs w:val="24"/>
          <w:lang w:val="en-US"/>
        </w:rPr>
      </w:pPr>
      <w:r w:rsidRPr="00FE18E2">
        <w:rPr>
          <w:szCs w:val="24"/>
        </w:rPr>
        <w:t>ESC also noted that the literature for BMS was likely based on first generation technology for stents and angiographic practice that has changed or is no longer in use.</w:t>
      </w:r>
      <w:r w:rsidRPr="00FE18E2">
        <w:rPr>
          <w:rFonts w:eastAsia="MS PGothic"/>
          <w:color w:val="000000" w:themeColor="text1"/>
          <w:kern w:val="24"/>
          <w:szCs w:val="24"/>
          <w:lang w:val="en-US"/>
        </w:rPr>
        <w:t xml:space="preserve"> </w:t>
      </w:r>
    </w:p>
    <w:p w14:paraId="5AAF0DF1" w14:textId="77777777" w:rsidR="004138A0" w:rsidRPr="00FE18E2" w:rsidRDefault="004138A0" w:rsidP="004138A0">
      <w:pPr>
        <w:rPr>
          <w:rFonts w:eastAsia="MS PGothic"/>
          <w:color w:val="000000" w:themeColor="text1"/>
          <w:kern w:val="24"/>
          <w:szCs w:val="24"/>
          <w:lang w:val="en-US"/>
        </w:rPr>
      </w:pPr>
    </w:p>
    <w:p w14:paraId="08B6CAFE" w14:textId="77777777" w:rsidR="004138A0" w:rsidRPr="00FE18E2" w:rsidRDefault="004138A0" w:rsidP="004138A0">
      <w:pPr>
        <w:rPr>
          <w:szCs w:val="24"/>
          <w:lang w:val="en-US"/>
        </w:rPr>
      </w:pPr>
      <w:r w:rsidRPr="00FE18E2">
        <w:rPr>
          <w:szCs w:val="24"/>
        </w:rPr>
        <w:t xml:space="preserve">ESC noted expert advice that there may be a clinical need for the addition of second stent insertion procedure after initial IVUS and stent use. </w:t>
      </w:r>
    </w:p>
    <w:p w14:paraId="67963016" w14:textId="77777777" w:rsidR="004138A0" w:rsidRPr="00FE18E2" w:rsidRDefault="004138A0" w:rsidP="004138A0">
      <w:pPr>
        <w:rPr>
          <w:szCs w:val="24"/>
          <w:lang w:val="en-US"/>
        </w:rPr>
      </w:pPr>
    </w:p>
    <w:p w14:paraId="07BFB694" w14:textId="77777777" w:rsidR="004138A0" w:rsidRPr="00FE18E2" w:rsidRDefault="004138A0" w:rsidP="004138A0">
      <w:pPr>
        <w:rPr>
          <w:szCs w:val="24"/>
          <w:lang w:val="en-US"/>
        </w:rPr>
      </w:pPr>
      <w:r w:rsidRPr="00FE18E2">
        <w:rPr>
          <w:szCs w:val="24"/>
          <w:lang w:val="en-US"/>
        </w:rPr>
        <w:t>The reliance on clinical evidence as presented in the systematic reviews did not allow ESC to make an assessment of the safety and efficacy of IVUS guidance for stent insertion of either BMS or DES for the types of high-risk patients nominated in the protocol</w:t>
      </w:r>
      <w:r w:rsidRPr="00FE18E2">
        <w:rPr>
          <w:szCs w:val="24"/>
        </w:rPr>
        <w:t xml:space="preserve">.  ESC agreed that </w:t>
      </w:r>
      <w:r w:rsidRPr="00FE18E2">
        <w:rPr>
          <w:szCs w:val="24"/>
          <w:lang w:val="en-US"/>
        </w:rPr>
        <w:t xml:space="preserve">this limitation may have been mitigated if the applicant </w:t>
      </w:r>
      <w:proofErr w:type="spellStart"/>
      <w:r w:rsidRPr="00FE18E2">
        <w:rPr>
          <w:szCs w:val="24"/>
          <w:lang w:val="en-US"/>
        </w:rPr>
        <w:t>utilised</w:t>
      </w:r>
      <w:proofErr w:type="spellEnd"/>
      <w:r w:rsidRPr="00FE18E2">
        <w:rPr>
          <w:szCs w:val="24"/>
          <w:lang w:val="en-US"/>
        </w:rPr>
        <w:t xml:space="preserve"> the primary evidence base and, in the case of DES, </w:t>
      </w:r>
      <w:proofErr w:type="spellStart"/>
      <w:r w:rsidRPr="00FE18E2">
        <w:rPr>
          <w:szCs w:val="24"/>
          <w:lang w:val="en-US"/>
        </w:rPr>
        <w:t>utilised</w:t>
      </w:r>
      <w:proofErr w:type="spellEnd"/>
      <w:r w:rsidRPr="00FE18E2">
        <w:rPr>
          <w:szCs w:val="24"/>
          <w:lang w:val="en-US"/>
        </w:rPr>
        <w:t xml:space="preserve"> the observational as well as the RCT evidence. The benefit of IVUS guidance for stent insertion in ‘high-risk’ patients is unclear. </w:t>
      </w:r>
    </w:p>
    <w:p w14:paraId="60CC0589" w14:textId="77777777" w:rsidR="004138A0" w:rsidRPr="00FE18E2" w:rsidRDefault="004138A0" w:rsidP="004138A0">
      <w:pPr>
        <w:tabs>
          <w:tab w:val="left" w:pos="720"/>
          <w:tab w:val="left" w:pos="1140"/>
        </w:tabs>
        <w:rPr>
          <w:szCs w:val="24"/>
          <w:u w:val="single"/>
        </w:rPr>
      </w:pPr>
    </w:p>
    <w:p w14:paraId="0DFD3456" w14:textId="77777777" w:rsidR="004138A0" w:rsidRPr="00FE18E2" w:rsidRDefault="004138A0" w:rsidP="004138A0">
      <w:pPr>
        <w:tabs>
          <w:tab w:val="left" w:pos="709"/>
        </w:tabs>
        <w:rPr>
          <w:szCs w:val="24"/>
        </w:rPr>
      </w:pPr>
      <w:r w:rsidRPr="00FE18E2">
        <w:rPr>
          <w:szCs w:val="24"/>
        </w:rPr>
        <w:t>As the time horizon for trial data was short at 2-3 years, there were concerns about the accuracy of the extrapolation to 20 years in the economic model.</w:t>
      </w:r>
    </w:p>
    <w:p w14:paraId="45CD795F" w14:textId="77777777" w:rsidR="004138A0" w:rsidRPr="00FE18E2" w:rsidRDefault="004138A0" w:rsidP="004138A0">
      <w:pPr>
        <w:tabs>
          <w:tab w:val="left" w:pos="720"/>
          <w:tab w:val="left" w:pos="1140"/>
        </w:tabs>
        <w:rPr>
          <w:szCs w:val="24"/>
          <w:u w:val="single"/>
        </w:rPr>
      </w:pPr>
    </w:p>
    <w:p w14:paraId="76B5F8D7" w14:textId="77777777" w:rsidR="004138A0" w:rsidRPr="008667B4" w:rsidRDefault="004138A0" w:rsidP="004138A0">
      <w:pPr>
        <w:tabs>
          <w:tab w:val="left" w:pos="709"/>
        </w:tabs>
        <w:rPr>
          <w:szCs w:val="24"/>
        </w:rPr>
      </w:pPr>
      <w:r w:rsidRPr="008667B4">
        <w:rPr>
          <w:szCs w:val="24"/>
        </w:rPr>
        <w:t>ESC discussed the pooled data used for the meta-analysis, which consisted of three main studies and a few observational studies. ESC concluded that the differing outcomes of the studies resulted in heterogeneity and that the observational studies had patient selection biases.</w:t>
      </w:r>
    </w:p>
    <w:p w14:paraId="3E184D50" w14:textId="77777777" w:rsidR="004138A0" w:rsidRPr="008667B4" w:rsidRDefault="004138A0" w:rsidP="004138A0">
      <w:pPr>
        <w:rPr>
          <w:szCs w:val="24"/>
        </w:rPr>
      </w:pPr>
    </w:p>
    <w:p w14:paraId="455ABD9E" w14:textId="77777777" w:rsidR="004138A0" w:rsidRPr="008667B4" w:rsidRDefault="004138A0" w:rsidP="004138A0">
      <w:pPr>
        <w:rPr>
          <w:szCs w:val="24"/>
        </w:rPr>
      </w:pPr>
      <w:r w:rsidRPr="008667B4">
        <w:rPr>
          <w:szCs w:val="24"/>
        </w:rPr>
        <w:t xml:space="preserve">ESC noted </w:t>
      </w:r>
      <w:r>
        <w:rPr>
          <w:szCs w:val="24"/>
        </w:rPr>
        <w:t>that there were issues with the quality of the meta-analyses that may result in the effects of these studies being unreliable.  These issues include: wide confidence intervals, often close to unity, heterogeneity in populations, large reliance on observational data for drug eluting stents and inadequate follow-up duration to assess beyond short-term benefits.</w:t>
      </w:r>
    </w:p>
    <w:p w14:paraId="45294225" w14:textId="77777777" w:rsidR="004138A0" w:rsidRPr="008667B4" w:rsidRDefault="004138A0" w:rsidP="004138A0">
      <w:pPr>
        <w:tabs>
          <w:tab w:val="left" w:pos="720"/>
        </w:tabs>
        <w:ind w:left="360"/>
        <w:rPr>
          <w:rFonts w:eastAsiaTheme="minorHAnsi"/>
          <w:color w:val="000000"/>
          <w:szCs w:val="24"/>
          <w:u w:val="single"/>
          <w:lang w:eastAsia="en-US"/>
        </w:rPr>
      </w:pPr>
    </w:p>
    <w:p w14:paraId="5ADB66EC" w14:textId="77777777" w:rsidR="004138A0" w:rsidRPr="008667B4" w:rsidRDefault="004138A0" w:rsidP="004138A0">
      <w:pPr>
        <w:tabs>
          <w:tab w:val="left" w:pos="720"/>
        </w:tabs>
        <w:rPr>
          <w:szCs w:val="24"/>
        </w:rPr>
      </w:pPr>
      <w:r w:rsidRPr="008667B4">
        <w:rPr>
          <w:szCs w:val="24"/>
        </w:rPr>
        <w:t>ESC agreed that the applicant’s estimate of an additional 20 machines being purchased if MBS funding is available for the service was likely an underestimate. This was based on the understanding that the costs of procurement would not be high compared to the benefit of MBS funding.</w:t>
      </w:r>
    </w:p>
    <w:p w14:paraId="2E0851A3" w14:textId="77777777" w:rsidR="004138A0" w:rsidRPr="008667B4" w:rsidRDefault="004138A0" w:rsidP="004138A0">
      <w:pPr>
        <w:tabs>
          <w:tab w:val="left" w:pos="720"/>
        </w:tabs>
        <w:ind w:left="360"/>
        <w:rPr>
          <w:szCs w:val="24"/>
        </w:rPr>
      </w:pPr>
    </w:p>
    <w:p w14:paraId="1030B542" w14:textId="77777777" w:rsidR="004138A0" w:rsidRPr="008667B4" w:rsidRDefault="004138A0" w:rsidP="004138A0">
      <w:pPr>
        <w:tabs>
          <w:tab w:val="left" w:pos="720"/>
          <w:tab w:val="left" w:pos="1140"/>
        </w:tabs>
        <w:rPr>
          <w:rFonts w:eastAsia="Calibri"/>
          <w:szCs w:val="24"/>
          <w:lang w:val="en-US"/>
        </w:rPr>
      </w:pPr>
      <w:r w:rsidRPr="008667B4">
        <w:rPr>
          <w:rFonts w:eastAsia="Calibri"/>
          <w:szCs w:val="24"/>
          <w:lang w:val="en-US"/>
        </w:rPr>
        <w:t xml:space="preserve">The financial impact of listing IVUS guidance is unclear due to uncertainty about: </w:t>
      </w:r>
    </w:p>
    <w:p w14:paraId="37A64CB0" w14:textId="77777777" w:rsidR="004138A0" w:rsidRPr="008667B4" w:rsidRDefault="004138A0" w:rsidP="004138A0">
      <w:pPr>
        <w:pStyle w:val="ListParagraph"/>
        <w:numPr>
          <w:ilvl w:val="0"/>
          <w:numId w:val="31"/>
        </w:numPr>
        <w:tabs>
          <w:tab w:val="left" w:pos="720"/>
          <w:tab w:val="left" w:pos="1140"/>
        </w:tabs>
        <w:rPr>
          <w:rFonts w:eastAsia="Calibri"/>
          <w:szCs w:val="24"/>
        </w:rPr>
      </w:pPr>
      <w:r w:rsidRPr="008667B4">
        <w:rPr>
          <w:rFonts w:eastAsia="Calibri"/>
          <w:szCs w:val="24"/>
          <w:lang w:val="en-US"/>
        </w:rPr>
        <w:t>the number of patients who will receive the service;</w:t>
      </w:r>
    </w:p>
    <w:p w14:paraId="01D8E01F" w14:textId="77777777" w:rsidR="004138A0" w:rsidRPr="008667B4" w:rsidRDefault="004138A0" w:rsidP="004138A0">
      <w:pPr>
        <w:pStyle w:val="ListParagraph"/>
        <w:numPr>
          <w:ilvl w:val="0"/>
          <w:numId w:val="31"/>
        </w:numPr>
        <w:tabs>
          <w:tab w:val="left" w:pos="720"/>
          <w:tab w:val="left" w:pos="1140"/>
        </w:tabs>
        <w:rPr>
          <w:rFonts w:eastAsia="Calibri"/>
          <w:szCs w:val="24"/>
        </w:rPr>
      </w:pPr>
      <w:r w:rsidRPr="008667B4">
        <w:rPr>
          <w:rFonts w:eastAsia="Calibri"/>
          <w:szCs w:val="24"/>
          <w:lang w:val="en-US"/>
        </w:rPr>
        <w:t xml:space="preserve">limited data on the number of ‘high-risk’ patients in Australia; </w:t>
      </w:r>
    </w:p>
    <w:p w14:paraId="781AB31D" w14:textId="77777777" w:rsidR="004138A0" w:rsidRPr="008667B4" w:rsidRDefault="004138A0" w:rsidP="004138A0">
      <w:pPr>
        <w:pStyle w:val="ListParagraph"/>
        <w:numPr>
          <w:ilvl w:val="0"/>
          <w:numId w:val="31"/>
        </w:numPr>
        <w:tabs>
          <w:tab w:val="left" w:pos="720"/>
          <w:tab w:val="left" w:pos="1140"/>
        </w:tabs>
        <w:rPr>
          <w:rFonts w:eastAsia="Calibri"/>
          <w:szCs w:val="24"/>
        </w:rPr>
      </w:pPr>
      <w:r w:rsidRPr="008667B4">
        <w:rPr>
          <w:rFonts w:eastAsia="Calibri"/>
          <w:szCs w:val="24"/>
          <w:lang w:val="en-US"/>
        </w:rPr>
        <w:t xml:space="preserve">the broadening of the clinical algorithm to include IVUS guided stent insertion for ‘low/medium-risk’ patients; and </w:t>
      </w:r>
    </w:p>
    <w:p w14:paraId="33566609" w14:textId="77777777" w:rsidR="004138A0" w:rsidRPr="008667B4" w:rsidRDefault="004138A0" w:rsidP="004138A0">
      <w:pPr>
        <w:pStyle w:val="ListParagraph"/>
        <w:numPr>
          <w:ilvl w:val="0"/>
          <w:numId w:val="31"/>
        </w:numPr>
        <w:tabs>
          <w:tab w:val="left" w:pos="720"/>
          <w:tab w:val="left" w:pos="1140"/>
        </w:tabs>
        <w:rPr>
          <w:rFonts w:eastAsia="Calibri"/>
          <w:szCs w:val="24"/>
        </w:rPr>
      </w:pPr>
      <w:proofErr w:type="gramStart"/>
      <w:r w:rsidRPr="008667B4">
        <w:rPr>
          <w:rFonts w:eastAsia="Calibri"/>
          <w:szCs w:val="24"/>
          <w:lang w:val="en-US"/>
        </w:rPr>
        <w:t>the</w:t>
      </w:r>
      <w:proofErr w:type="gramEnd"/>
      <w:r w:rsidRPr="008667B4">
        <w:rPr>
          <w:rFonts w:eastAsia="Calibri"/>
          <w:szCs w:val="24"/>
          <w:lang w:val="en-US"/>
        </w:rPr>
        <w:t xml:space="preserve"> effect of the number of available IVUS systems if MBS funding commences. </w:t>
      </w:r>
    </w:p>
    <w:p w14:paraId="14953379" w14:textId="77777777" w:rsidR="004138A0" w:rsidRPr="008667B4" w:rsidRDefault="004138A0" w:rsidP="004138A0">
      <w:pPr>
        <w:tabs>
          <w:tab w:val="left" w:pos="720"/>
        </w:tabs>
        <w:rPr>
          <w:szCs w:val="24"/>
          <w:u w:val="single"/>
        </w:rPr>
      </w:pPr>
    </w:p>
    <w:p w14:paraId="3AE47862" w14:textId="77777777" w:rsidR="004138A0" w:rsidRPr="008667B4" w:rsidRDefault="004138A0" w:rsidP="004138A0">
      <w:pPr>
        <w:rPr>
          <w:szCs w:val="24"/>
        </w:rPr>
      </w:pPr>
      <w:r>
        <w:rPr>
          <w:szCs w:val="24"/>
        </w:rPr>
        <w:lastRenderedPageBreak/>
        <w:t>ESC noted that it</w:t>
      </w:r>
      <w:r w:rsidRPr="008667B4">
        <w:rPr>
          <w:szCs w:val="24"/>
        </w:rPr>
        <w:t xml:space="preserve"> is unclear how diffused IVUS is in the Australian public/private sector at present.  </w:t>
      </w:r>
      <w:r>
        <w:rPr>
          <w:szCs w:val="24"/>
        </w:rPr>
        <w:t>There was uncertainty about t</w:t>
      </w:r>
      <w:r w:rsidRPr="008667B4">
        <w:rPr>
          <w:szCs w:val="24"/>
        </w:rPr>
        <w:t>he time and level of take-up in</w:t>
      </w:r>
      <w:r>
        <w:rPr>
          <w:szCs w:val="24"/>
        </w:rPr>
        <w:t xml:space="preserve"> the</w:t>
      </w:r>
      <w:r w:rsidRPr="008667B4">
        <w:rPr>
          <w:szCs w:val="24"/>
        </w:rPr>
        <w:t xml:space="preserve"> future if </w:t>
      </w:r>
      <w:r>
        <w:rPr>
          <w:szCs w:val="24"/>
        </w:rPr>
        <w:t xml:space="preserve">this service is </w:t>
      </w:r>
      <w:r w:rsidRPr="008667B4">
        <w:rPr>
          <w:szCs w:val="24"/>
        </w:rPr>
        <w:t>funded</w:t>
      </w:r>
      <w:r>
        <w:rPr>
          <w:szCs w:val="24"/>
        </w:rPr>
        <w:t xml:space="preserve"> through the MBS.</w:t>
      </w:r>
    </w:p>
    <w:p w14:paraId="69EB0FC1" w14:textId="77777777" w:rsidR="006A0D97" w:rsidRPr="006A0D97" w:rsidRDefault="006A0D97" w:rsidP="006A0D97"/>
    <w:p w14:paraId="79C85C3E" w14:textId="77777777" w:rsidR="00BC1364" w:rsidRDefault="00BC1364" w:rsidP="007B32D1">
      <w:pPr>
        <w:pStyle w:val="Heading1"/>
        <w:numPr>
          <w:ilvl w:val="0"/>
          <w:numId w:val="23"/>
        </w:numPr>
        <w:ind w:hanging="720"/>
      </w:pPr>
      <w:r w:rsidRPr="008D5885">
        <w:t>Other significant factors</w:t>
      </w:r>
    </w:p>
    <w:p w14:paraId="16879D67" w14:textId="77777777" w:rsidR="00D90A38" w:rsidRDefault="00D90A38" w:rsidP="00DD2858">
      <w:pPr>
        <w:rPr>
          <w:szCs w:val="24"/>
        </w:rPr>
      </w:pPr>
    </w:p>
    <w:p w14:paraId="6BAE3B07" w14:textId="77777777" w:rsidR="00BC1364" w:rsidRDefault="00F85FE3" w:rsidP="00DD2858">
      <w:pPr>
        <w:tabs>
          <w:tab w:val="left" w:pos="720"/>
        </w:tabs>
        <w:ind w:left="709" w:hanging="709"/>
        <w:rPr>
          <w:szCs w:val="24"/>
        </w:rPr>
      </w:pPr>
      <w:r>
        <w:rPr>
          <w:szCs w:val="24"/>
        </w:rPr>
        <w:t>Nil</w:t>
      </w:r>
    </w:p>
    <w:p w14:paraId="161B67BE" w14:textId="77777777" w:rsidR="00F85FE3" w:rsidRPr="00707064" w:rsidRDefault="00F85FE3" w:rsidP="00DD2858">
      <w:pPr>
        <w:tabs>
          <w:tab w:val="left" w:pos="720"/>
        </w:tabs>
        <w:ind w:left="709" w:hanging="709"/>
        <w:rPr>
          <w:szCs w:val="24"/>
        </w:rPr>
      </w:pPr>
    </w:p>
    <w:p w14:paraId="3467A297"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06D54809" w14:textId="77777777" w:rsidR="00BC1364" w:rsidRDefault="00BC1364" w:rsidP="00230D6B">
      <w:pPr>
        <w:tabs>
          <w:tab w:val="left" w:pos="720"/>
        </w:tabs>
        <w:ind w:left="709" w:hanging="709"/>
        <w:rPr>
          <w:b/>
          <w:szCs w:val="24"/>
        </w:rPr>
      </w:pPr>
    </w:p>
    <w:p w14:paraId="10D56511" w14:textId="4D470397" w:rsidR="00E654B2" w:rsidRDefault="00E654B2" w:rsidP="00E654B2">
      <w:pPr>
        <w:rPr>
          <w:color w:val="000000"/>
        </w:rPr>
      </w:pPr>
      <w:r>
        <w:rPr>
          <w:color w:val="000000"/>
        </w:rPr>
        <w:t xml:space="preserve">Boston Scientific is disappointed with the outcome of this re-submission. We support a restricted listing for IVUS-guided stent placement in a patient population of high-risk patients in whom this service is most frequently used in current clinical practice. </w:t>
      </w:r>
    </w:p>
    <w:p w14:paraId="6592E58F" w14:textId="77777777" w:rsidR="00E654B2" w:rsidRDefault="00E654B2" w:rsidP="00E654B2">
      <w:pPr>
        <w:rPr>
          <w:color w:val="000000"/>
        </w:rPr>
      </w:pPr>
    </w:p>
    <w:p w14:paraId="4F7D9B7B" w14:textId="38619032" w:rsidR="00E654B2" w:rsidRDefault="00E654B2" w:rsidP="00E654B2">
      <w:pPr>
        <w:rPr>
          <w:color w:val="0070C0"/>
          <w:szCs w:val="24"/>
        </w:rPr>
      </w:pPr>
      <w:r>
        <w:rPr>
          <w:color w:val="000000"/>
        </w:rPr>
        <w:t xml:space="preserve">We note that IVUS-guided stent placement is not a new technology and the clinical evidence has evolved overtime: the pivotal evidence presented for IVUS-guided drug eluting stent placement is a meta-analysis of 26,503 patients from independent studies (12,499 treated with IVUS and 14,004 with angiography alone), and IVUS-guided stent placement demonstrated significantly reduced revascularisation, myocardial infarction and cardiac death. As mentioned in previous correspondence, we acknowledge that the published evidence does not pertain to the specific high-risk subgroups of patients identified by the HESP. However, the benefit of IVUS increases in studies where subgroup analysis is available. This is compelling real world evidence that IVUS-guided stent placement improves long term health outcomes. It is unlikely that primary evidence in the specific high-risk population identified by HESP will emerge at any time in the foreseeable future. </w:t>
      </w:r>
    </w:p>
    <w:p w14:paraId="112D8F1D" w14:textId="77777777" w:rsidR="00BC1364" w:rsidRDefault="00BC1364" w:rsidP="00230D6B">
      <w:pPr>
        <w:rPr>
          <w:b/>
          <w:szCs w:val="24"/>
        </w:rPr>
      </w:pPr>
    </w:p>
    <w:p w14:paraId="1BD800D0" w14:textId="77777777" w:rsidR="00BC1364" w:rsidRDefault="00271F18" w:rsidP="007B32D1">
      <w:pPr>
        <w:pStyle w:val="Heading1"/>
        <w:numPr>
          <w:ilvl w:val="0"/>
          <w:numId w:val="23"/>
        </w:numPr>
        <w:ind w:hanging="720"/>
      </w:pPr>
      <w:r>
        <w:t>Further information on MSAC</w:t>
      </w:r>
    </w:p>
    <w:p w14:paraId="48A3E4A8" w14:textId="77777777" w:rsidR="00BC1364" w:rsidRDefault="00BC1364" w:rsidP="00DD2858">
      <w:pPr>
        <w:tabs>
          <w:tab w:val="left" w:pos="720"/>
        </w:tabs>
        <w:ind w:left="709" w:hanging="709"/>
        <w:rPr>
          <w:b/>
          <w:szCs w:val="24"/>
        </w:rPr>
      </w:pPr>
    </w:p>
    <w:p w14:paraId="5287EA9B"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0"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1"/>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4CD58" w15:done="0"/>
  <w15:commentEx w15:paraId="041ED904" w15:done="0"/>
  <w15:commentEx w15:paraId="130828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2834F" w14:textId="77777777" w:rsidR="00E33A3E" w:rsidRDefault="00E33A3E" w:rsidP="00065623">
      <w:r>
        <w:separator/>
      </w:r>
    </w:p>
  </w:endnote>
  <w:endnote w:type="continuationSeparator" w:id="0">
    <w:p w14:paraId="65A251FD" w14:textId="77777777" w:rsidR="00E33A3E" w:rsidRDefault="00E33A3E"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Bold+FPEF">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5C7AB07C" w14:textId="77777777" w:rsidR="00AB74A4" w:rsidRDefault="00AB74A4">
        <w:pPr>
          <w:pStyle w:val="Footer"/>
          <w:jc w:val="right"/>
        </w:pPr>
        <w:r>
          <w:fldChar w:fldCharType="begin"/>
        </w:r>
        <w:r>
          <w:instrText xml:space="preserve"> PAGE   \* MERGEFORMAT </w:instrText>
        </w:r>
        <w:r>
          <w:fldChar w:fldCharType="separate"/>
        </w:r>
        <w:r w:rsidR="00A12B21">
          <w:rPr>
            <w:noProof/>
          </w:rPr>
          <w:t>12</w:t>
        </w:r>
        <w:r>
          <w:rPr>
            <w:noProof/>
          </w:rPr>
          <w:fldChar w:fldCharType="end"/>
        </w:r>
      </w:p>
    </w:sdtContent>
  </w:sdt>
  <w:p w14:paraId="69D174C3" w14:textId="77777777" w:rsidR="00AB74A4" w:rsidRDefault="00AB7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5AA26" w14:textId="77777777" w:rsidR="00E33A3E" w:rsidRDefault="00E33A3E" w:rsidP="00065623">
      <w:r>
        <w:separator/>
      </w:r>
    </w:p>
  </w:footnote>
  <w:footnote w:type="continuationSeparator" w:id="0">
    <w:p w14:paraId="3DC0061C" w14:textId="77777777" w:rsidR="00E33A3E" w:rsidRDefault="00E33A3E"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355D9"/>
    <w:multiLevelType w:val="hybridMultilevel"/>
    <w:tmpl w:val="6C56B5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3C6BFC"/>
    <w:multiLevelType w:val="hybridMultilevel"/>
    <w:tmpl w:val="3A4E4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85B2146"/>
    <w:multiLevelType w:val="hybridMultilevel"/>
    <w:tmpl w:val="D174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B65F73"/>
    <w:multiLevelType w:val="hybridMultilevel"/>
    <w:tmpl w:val="AE4630D8"/>
    <w:lvl w:ilvl="0" w:tplc="D5B4E2C2">
      <w:start w:val="12"/>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DB4474"/>
    <w:multiLevelType w:val="hybridMultilevel"/>
    <w:tmpl w:val="C890DB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AC19E7"/>
    <w:multiLevelType w:val="hybridMultilevel"/>
    <w:tmpl w:val="6226A7DC"/>
    <w:lvl w:ilvl="0" w:tplc="95149F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5D53825"/>
    <w:multiLevelType w:val="hybridMultilevel"/>
    <w:tmpl w:val="33F8296C"/>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2"/>
  </w:num>
  <w:num w:numId="4">
    <w:abstractNumId w:val="19"/>
  </w:num>
  <w:num w:numId="5">
    <w:abstractNumId w:val="10"/>
  </w:num>
  <w:num w:numId="6">
    <w:abstractNumId w:val="18"/>
  </w:num>
  <w:num w:numId="7">
    <w:abstractNumId w:val="24"/>
  </w:num>
  <w:num w:numId="8">
    <w:abstractNumId w:val="12"/>
  </w:num>
  <w:num w:numId="9">
    <w:abstractNumId w:val="31"/>
  </w:num>
  <w:num w:numId="10">
    <w:abstractNumId w:val="0"/>
  </w:num>
  <w:num w:numId="11">
    <w:abstractNumId w:val="22"/>
  </w:num>
  <w:num w:numId="12">
    <w:abstractNumId w:val="25"/>
  </w:num>
  <w:num w:numId="13">
    <w:abstractNumId w:val="5"/>
  </w:num>
  <w:num w:numId="14">
    <w:abstractNumId w:val="29"/>
  </w:num>
  <w:num w:numId="15">
    <w:abstractNumId w:val="21"/>
  </w:num>
  <w:num w:numId="16">
    <w:abstractNumId w:val="26"/>
  </w:num>
  <w:num w:numId="17">
    <w:abstractNumId w:val="14"/>
  </w:num>
  <w:num w:numId="18">
    <w:abstractNumId w:val="16"/>
  </w:num>
  <w:num w:numId="19">
    <w:abstractNumId w:val="28"/>
  </w:num>
  <w:num w:numId="20">
    <w:abstractNumId w:val="27"/>
  </w:num>
  <w:num w:numId="21">
    <w:abstractNumId w:val="4"/>
  </w:num>
  <w:num w:numId="22">
    <w:abstractNumId w:val="9"/>
  </w:num>
  <w:num w:numId="23">
    <w:abstractNumId w:val="3"/>
  </w:num>
  <w:num w:numId="24">
    <w:abstractNumId w:val="8"/>
  </w:num>
  <w:num w:numId="25">
    <w:abstractNumId w:val="6"/>
  </w:num>
  <w:num w:numId="26">
    <w:abstractNumId w:val="30"/>
  </w:num>
  <w:num w:numId="27">
    <w:abstractNumId w:val="20"/>
  </w:num>
  <w:num w:numId="28">
    <w:abstractNumId w:val="1"/>
  </w:num>
  <w:num w:numId="29">
    <w:abstractNumId w:val="13"/>
  </w:num>
  <w:num w:numId="30">
    <w:abstractNumId w:val="11"/>
  </w:num>
  <w:num w:numId="31">
    <w:abstractNumId w:val="15"/>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65623"/>
    <w:rsid w:val="000756B9"/>
    <w:rsid w:val="00096B67"/>
    <w:rsid w:val="00096DAF"/>
    <w:rsid w:val="000C2F47"/>
    <w:rsid w:val="000D6C00"/>
    <w:rsid w:val="000E4E04"/>
    <w:rsid w:val="000F14B4"/>
    <w:rsid w:val="000F4A9E"/>
    <w:rsid w:val="000F75DF"/>
    <w:rsid w:val="001040FC"/>
    <w:rsid w:val="0012484E"/>
    <w:rsid w:val="001328FA"/>
    <w:rsid w:val="00147AAF"/>
    <w:rsid w:val="001552C0"/>
    <w:rsid w:val="001640B1"/>
    <w:rsid w:val="00166984"/>
    <w:rsid w:val="00171DAC"/>
    <w:rsid w:val="0018435E"/>
    <w:rsid w:val="001E3A85"/>
    <w:rsid w:val="002041A1"/>
    <w:rsid w:val="002054F0"/>
    <w:rsid w:val="0022259D"/>
    <w:rsid w:val="00230D6B"/>
    <w:rsid w:val="00232068"/>
    <w:rsid w:val="002330F2"/>
    <w:rsid w:val="00243D9E"/>
    <w:rsid w:val="00253B66"/>
    <w:rsid w:val="00255E4B"/>
    <w:rsid w:val="00261DF1"/>
    <w:rsid w:val="00271F18"/>
    <w:rsid w:val="0027666D"/>
    <w:rsid w:val="00282779"/>
    <w:rsid w:val="0028334D"/>
    <w:rsid w:val="002B7307"/>
    <w:rsid w:val="002B7FFA"/>
    <w:rsid w:val="002C2BCF"/>
    <w:rsid w:val="002F279D"/>
    <w:rsid w:val="002F43B8"/>
    <w:rsid w:val="00325C0F"/>
    <w:rsid w:val="0034554D"/>
    <w:rsid w:val="00352224"/>
    <w:rsid w:val="003671E6"/>
    <w:rsid w:val="00384272"/>
    <w:rsid w:val="00386D67"/>
    <w:rsid w:val="003945B8"/>
    <w:rsid w:val="003D7F29"/>
    <w:rsid w:val="003E1DDB"/>
    <w:rsid w:val="00404FEA"/>
    <w:rsid w:val="00405A6B"/>
    <w:rsid w:val="00407B1F"/>
    <w:rsid w:val="004138A0"/>
    <w:rsid w:val="00414C57"/>
    <w:rsid w:val="0041758C"/>
    <w:rsid w:val="00443808"/>
    <w:rsid w:val="004539DE"/>
    <w:rsid w:val="004A2CF1"/>
    <w:rsid w:val="004B76A8"/>
    <w:rsid w:val="004B7C21"/>
    <w:rsid w:val="004C3035"/>
    <w:rsid w:val="004C307F"/>
    <w:rsid w:val="004E4BA8"/>
    <w:rsid w:val="004F340F"/>
    <w:rsid w:val="004F756F"/>
    <w:rsid w:val="004F7B7C"/>
    <w:rsid w:val="0052243D"/>
    <w:rsid w:val="00532435"/>
    <w:rsid w:val="00550354"/>
    <w:rsid w:val="00571236"/>
    <w:rsid w:val="005953A1"/>
    <w:rsid w:val="005B1A38"/>
    <w:rsid w:val="005B5E49"/>
    <w:rsid w:val="005C3002"/>
    <w:rsid w:val="005D0332"/>
    <w:rsid w:val="005D0D8C"/>
    <w:rsid w:val="005F726F"/>
    <w:rsid w:val="006256AE"/>
    <w:rsid w:val="00665764"/>
    <w:rsid w:val="006969B8"/>
    <w:rsid w:val="006A0D97"/>
    <w:rsid w:val="006B1F86"/>
    <w:rsid w:val="006C0A91"/>
    <w:rsid w:val="007054BB"/>
    <w:rsid w:val="00707064"/>
    <w:rsid w:val="00730683"/>
    <w:rsid w:val="00731039"/>
    <w:rsid w:val="0075261F"/>
    <w:rsid w:val="0075468E"/>
    <w:rsid w:val="007665D8"/>
    <w:rsid w:val="00766E36"/>
    <w:rsid w:val="007765F4"/>
    <w:rsid w:val="00776633"/>
    <w:rsid w:val="00784D53"/>
    <w:rsid w:val="00797797"/>
    <w:rsid w:val="007A63C9"/>
    <w:rsid w:val="007B32D1"/>
    <w:rsid w:val="007B7095"/>
    <w:rsid w:val="007D24E1"/>
    <w:rsid w:val="007D4BD9"/>
    <w:rsid w:val="007F4CE9"/>
    <w:rsid w:val="007F4E20"/>
    <w:rsid w:val="008056F4"/>
    <w:rsid w:val="00822C7E"/>
    <w:rsid w:val="00845042"/>
    <w:rsid w:val="00847060"/>
    <w:rsid w:val="00856A33"/>
    <w:rsid w:val="00873224"/>
    <w:rsid w:val="0087691D"/>
    <w:rsid w:val="00892620"/>
    <w:rsid w:val="008C7D37"/>
    <w:rsid w:val="008D5885"/>
    <w:rsid w:val="0091355A"/>
    <w:rsid w:val="00923FA2"/>
    <w:rsid w:val="0096060D"/>
    <w:rsid w:val="00974A50"/>
    <w:rsid w:val="0097585A"/>
    <w:rsid w:val="00981DBC"/>
    <w:rsid w:val="009924B0"/>
    <w:rsid w:val="009942C9"/>
    <w:rsid w:val="009B35C4"/>
    <w:rsid w:val="009C630A"/>
    <w:rsid w:val="009D31FD"/>
    <w:rsid w:val="009E0D98"/>
    <w:rsid w:val="00A068A1"/>
    <w:rsid w:val="00A1207D"/>
    <w:rsid w:val="00A12B21"/>
    <w:rsid w:val="00A12FD8"/>
    <w:rsid w:val="00A16DAA"/>
    <w:rsid w:val="00A346FC"/>
    <w:rsid w:val="00A502CD"/>
    <w:rsid w:val="00A602CF"/>
    <w:rsid w:val="00A84F93"/>
    <w:rsid w:val="00AB1AC5"/>
    <w:rsid w:val="00AB3BFC"/>
    <w:rsid w:val="00AB62C9"/>
    <w:rsid w:val="00AB74A4"/>
    <w:rsid w:val="00AC4F2E"/>
    <w:rsid w:val="00AD0C37"/>
    <w:rsid w:val="00AD385F"/>
    <w:rsid w:val="00AE1360"/>
    <w:rsid w:val="00AE20AB"/>
    <w:rsid w:val="00AE6E2A"/>
    <w:rsid w:val="00B110C4"/>
    <w:rsid w:val="00B31E9C"/>
    <w:rsid w:val="00B35595"/>
    <w:rsid w:val="00B51C6D"/>
    <w:rsid w:val="00B86D64"/>
    <w:rsid w:val="00BA4AC5"/>
    <w:rsid w:val="00BC1364"/>
    <w:rsid w:val="00BC7DE9"/>
    <w:rsid w:val="00BE47C3"/>
    <w:rsid w:val="00BF479B"/>
    <w:rsid w:val="00C02577"/>
    <w:rsid w:val="00C204FB"/>
    <w:rsid w:val="00C20BEE"/>
    <w:rsid w:val="00C2158D"/>
    <w:rsid w:val="00C503BA"/>
    <w:rsid w:val="00C67DD2"/>
    <w:rsid w:val="00C725CB"/>
    <w:rsid w:val="00C76F5C"/>
    <w:rsid w:val="00C96BAD"/>
    <w:rsid w:val="00CA6944"/>
    <w:rsid w:val="00CB0F8E"/>
    <w:rsid w:val="00CB7E7D"/>
    <w:rsid w:val="00CC2911"/>
    <w:rsid w:val="00CD6472"/>
    <w:rsid w:val="00CE1D7D"/>
    <w:rsid w:val="00CF0C6D"/>
    <w:rsid w:val="00CF13AC"/>
    <w:rsid w:val="00CF7307"/>
    <w:rsid w:val="00CF7C68"/>
    <w:rsid w:val="00D124FA"/>
    <w:rsid w:val="00D340DE"/>
    <w:rsid w:val="00D55723"/>
    <w:rsid w:val="00D62FAD"/>
    <w:rsid w:val="00D70450"/>
    <w:rsid w:val="00D83BFD"/>
    <w:rsid w:val="00D90A38"/>
    <w:rsid w:val="00D94AC3"/>
    <w:rsid w:val="00DA0515"/>
    <w:rsid w:val="00DA171E"/>
    <w:rsid w:val="00DA56AA"/>
    <w:rsid w:val="00DB5833"/>
    <w:rsid w:val="00DD2858"/>
    <w:rsid w:val="00E03E33"/>
    <w:rsid w:val="00E20705"/>
    <w:rsid w:val="00E33A3E"/>
    <w:rsid w:val="00E3642A"/>
    <w:rsid w:val="00E415C4"/>
    <w:rsid w:val="00E471FD"/>
    <w:rsid w:val="00E50016"/>
    <w:rsid w:val="00E50EAA"/>
    <w:rsid w:val="00E5146C"/>
    <w:rsid w:val="00E654B2"/>
    <w:rsid w:val="00E656D6"/>
    <w:rsid w:val="00E72089"/>
    <w:rsid w:val="00E76E3C"/>
    <w:rsid w:val="00E82857"/>
    <w:rsid w:val="00E977EE"/>
    <w:rsid w:val="00EA3FBF"/>
    <w:rsid w:val="00EA67A2"/>
    <w:rsid w:val="00EC0967"/>
    <w:rsid w:val="00EC4F98"/>
    <w:rsid w:val="00F12F02"/>
    <w:rsid w:val="00F35134"/>
    <w:rsid w:val="00F41812"/>
    <w:rsid w:val="00F5013E"/>
    <w:rsid w:val="00F60DF2"/>
    <w:rsid w:val="00F662AC"/>
    <w:rsid w:val="00F73333"/>
    <w:rsid w:val="00F85FE3"/>
    <w:rsid w:val="00F93A2E"/>
    <w:rsid w:val="00F95D8F"/>
    <w:rsid w:val="00FB350A"/>
    <w:rsid w:val="00FE6C48"/>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8F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9D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9D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5460</Words>
  <Characters>31127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Styche Jordan</cp:lastModifiedBy>
  <cp:revision>8</cp:revision>
  <cp:lastPrinted>2014-01-23T05:11:00Z</cp:lastPrinted>
  <dcterms:created xsi:type="dcterms:W3CDTF">2015-06-16T01:34:00Z</dcterms:created>
  <dcterms:modified xsi:type="dcterms:W3CDTF">2015-06-18T05:22:00Z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