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C438B" w14:textId="366172D4" w:rsidR="00065623" w:rsidRPr="00065623" w:rsidRDefault="00493F7D" w:rsidP="00B411FE">
      <w:pPr>
        <w:jc w:val="center"/>
        <w:rPr>
          <w:rFonts w:ascii="Arial" w:hAnsi="Arial" w:cs="Arial"/>
          <w:b/>
          <w:i/>
          <w:szCs w:val="24"/>
          <w:highlight w:val="yellow"/>
        </w:rPr>
      </w:pPr>
      <w:r>
        <w:rPr>
          <w:rFonts w:ascii="Arial" w:hAnsi="Arial" w:cs="Arial"/>
          <w:b/>
          <w:noProof/>
          <w:color w:val="000080"/>
          <w:sz w:val="28"/>
          <w:szCs w:val="28"/>
        </w:rPr>
        <w:drawing>
          <wp:inline distT="0" distB="0" distL="0" distR="0" wp14:anchorId="52596895" wp14:editId="4B0E0B2C">
            <wp:extent cx="2627630" cy="1078865"/>
            <wp:effectExtent l="0" t="0" r="1270" b="6985"/>
            <wp:docPr id="1" name="Picture 1"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1D1F92D" w14:textId="77777777" w:rsidR="00493F7D" w:rsidRDefault="00493F7D" w:rsidP="00092ABF">
      <w:pPr>
        <w:pStyle w:val="Subtitle"/>
        <w:spacing w:before="360"/>
        <w:rPr>
          <w:rFonts w:eastAsiaTheme="majorEastAsia"/>
          <w:i w:val="0"/>
          <w:sz w:val="36"/>
          <w:szCs w:val="36"/>
          <w:lang w:eastAsia="en-US"/>
        </w:rPr>
      </w:pPr>
      <w:r w:rsidRPr="005F6A3D">
        <w:rPr>
          <w:rFonts w:eastAsiaTheme="majorEastAsia"/>
          <w:i w:val="0"/>
          <w:sz w:val="36"/>
          <w:szCs w:val="36"/>
          <w:lang w:eastAsia="en-US"/>
        </w:rPr>
        <w:t xml:space="preserve">Public Summary Document </w:t>
      </w:r>
    </w:p>
    <w:p w14:paraId="5CD743DD" w14:textId="7C89EBFF" w:rsidR="0050188B" w:rsidRPr="0052065A" w:rsidRDefault="00264776" w:rsidP="0052065A">
      <w:pPr>
        <w:pStyle w:val="Subtitle"/>
      </w:pPr>
      <w:r>
        <w:t xml:space="preserve">Supplement to </w:t>
      </w:r>
      <w:r w:rsidR="0052065A">
        <w:t xml:space="preserve">Application No. </w:t>
      </w:r>
      <w:r w:rsidR="0052065A" w:rsidRPr="0052065A">
        <w:t>1</w:t>
      </w:r>
      <w:r w:rsidR="001326EB">
        <w:t>585</w:t>
      </w:r>
      <w:r w:rsidR="0052065A" w:rsidRPr="0052065A">
        <w:t xml:space="preserve"> – </w:t>
      </w:r>
      <w:r w:rsidR="00BD6B08">
        <w:t>A</w:t>
      </w:r>
      <w:r w:rsidR="001326EB" w:rsidRPr="001326EB">
        <w:t>ddition of single gene testing for the diagnosis of heritable neuromuscular conditions</w:t>
      </w:r>
    </w:p>
    <w:p w14:paraId="1F456B50" w14:textId="10ECF865" w:rsidR="006B241A" w:rsidRPr="00493F7D" w:rsidRDefault="00065623" w:rsidP="0052065A">
      <w:pPr>
        <w:tabs>
          <w:tab w:val="left" w:pos="3686"/>
        </w:tabs>
        <w:spacing w:before="120" w:after="240" w:line="259" w:lineRule="auto"/>
        <w:rPr>
          <w:rFonts w:ascii="Arial" w:eastAsiaTheme="minorHAnsi" w:hAnsi="Arial" w:cs="Arial"/>
          <w:b/>
          <w:sz w:val="22"/>
          <w:szCs w:val="24"/>
          <w:lang w:eastAsia="en-US"/>
        </w:rPr>
      </w:pPr>
      <w:r w:rsidRPr="00493F7D">
        <w:rPr>
          <w:rFonts w:ascii="Arial" w:eastAsiaTheme="minorHAnsi" w:hAnsi="Arial" w:cs="Arial"/>
          <w:b/>
          <w:sz w:val="22"/>
          <w:szCs w:val="24"/>
          <w:lang w:eastAsia="en-US"/>
        </w:rPr>
        <w:t>Applicant:</w:t>
      </w:r>
      <w:r w:rsidR="0065529B" w:rsidRPr="00493F7D">
        <w:rPr>
          <w:rFonts w:ascii="Arial" w:eastAsiaTheme="minorHAnsi" w:hAnsi="Arial" w:cs="Arial"/>
          <w:b/>
          <w:sz w:val="22"/>
          <w:szCs w:val="24"/>
          <w:lang w:eastAsia="en-US"/>
        </w:rPr>
        <w:t xml:space="preserve"> </w:t>
      </w:r>
      <w:r w:rsidR="0052065A" w:rsidRPr="00493F7D">
        <w:rPr>
          <w:rFonts w:ascii="Arial" w:eastAsiaTheme="minorHAnsi" w:hAnsi="Arial" w:cs="Arial"/>
          <w:b/>
          <w:sz w:val="22"/>
          <w:szCs w:val="24"/>
          <w:lang w:eastAsia="en-US"/>
        </w:rPr>
        <w:tab/>
        <w:t>Royal College of Pathologist</w:t>
      </w:r>
      <w:r w:rsidR="006F4EBA" w:rsidRPr="00493F7D">
        <w:rPr>
          <w:rFonts w:ascii="Arial" w:eastAsiaTheme="minorHAnsi" w:hAnsi="Arial" w:cs="Arial"/>
          <w:b/>
          <w:sz w:val="22"/>
          <w:szCs w:val="24"/>
          <w:lang w:eastAsia="en-US"/>
        </w:rPr>
        <w:t>s</w:t>
      </w:r>
      <w:r w:rsidR="0052065A" w:rsidRPr="00493F7D">
        <w:rPr>
          <w:rFonts w:ascii="Arial" w:eastAsiaTheme="minorHAnsi" w:hAnsi="Arial" w:cs="Arial"/>
          <w:b/>
          <w:sz w:val="22"/>
          <w:szCs w:val="24"/>
          <w:lang w:eastAsia="en-US"/>
        </w:rPr>
        <w:t xml:space="preserve"> of Australasia</w:t>
      </w:r>
    </w:p>
    <w:p w14:paraId="5DDE635B" w14:textId="28A656C0" w:rsidR="00D118AD" w:rsidRPr="00493F7D" w:rsidRDefault="00676C49" w:rsidP="0052065A">
      <w:pPr>
        <w:tabs>
          <w:tab w:val="left" w:pos="3686"/>
        </w:tabs>
        <w:spacing w:before="120" w:after="240" w:line="259" w:lineRule="auto"/>
        <w:rPr>
          <w:rFonts w:ascii="Arial" w:eastAsiaTheme="minorHAnsi" w:hAnsi="Arial" w:cs="Arial"/>
          <w:b/>
          <w:sz w:val="22"/>
          <w:szCs w:val="24"/>
          <w:lang w:eastAsia="en-US"/>
        </w:rPr>
      </w:pPr>
      <w:r w:rsidRPr="00493F7D">
        <w:rPr>
          <w:rFonts w:ascii="Arial" w:eastAsiaTheme="minorHAnsi" w:hAnsi="Arial" w:cs="Arial"/>
          <w:b/>
          <w:sz w:val="22"/>
          <w:szCs w:val="24"/>
          <w:lang w:eastAsia="en-US"/>
        </w:rPr>
        <w:t xml:space="preserve">Date of </w:t>
      </w:r>
      <w:r w:rsidR="00493F7D" w:rsidRPr="00493F7D">
        <w:rPr>
          <w:rFonts w:ascii="Arial" w:eastAsiaTheme="minorHAnsi" w:hAnsi="Arial" w:cs="Arial"/>
          <w:b/>
          <w:sz w:val="22"/>
          <w:szCs w:val="24"/>
          <w:lang w:eastAsia="en-US"/>
        </w:rPr>
        <w:t>MSAC</w:t>
      </w:r>
      <w:r w:rsidRPr="00493F7D">
        <w:rPr>
          <w:rFonts w:ascii="Arial" w:eastAsiaTheme="minorHAnsi" w:hAnsi="Arial" w:cs="Arial"/>
          <w:b/>
          <w:sz w:val="22"/>
          <w:szCs w:val="24"/>
          <w:lang w:eastAsia="en-US"/>
        </w:rPr>
        <w:t xml:space="preserve"> </w:t>
      </w:r>
      <w:r w:rsidR="00065623" w:rsidRPr="00493F7D">
        <w:rPr>
          <w:rFonts w:ascii="Arial" w:eastAsiaTheme="minorHAnsi" w:hAnsi="Arial" w:cs="Arial"/>
          <w:b/>
          <w:sz w:val="22"/>
          <w:szCs w:val="24"/>
          <w:lang w:eastAsia="en-US"/>
        </w:rPr>
        <w:t>consideration:</w:t>
      </w:r>
      <w:r w:rsidR="0052065A" w:rsidRPr="00493F7D">
        <w:rPr>
          <w:rFonts w:ascii="Arial" w:eastAsiaTheme="minorHAnsi" w:hAnsi="Arial" w:cs="Arial"/>
          <w:b/>
          <w:sz w:val="22"/>
          <w:szCs w:val="24"/>
          <w:lang w:eastAsia="en-US"/>
        </w:rPr>
        <w:tab/>
      </w:r>
      <w:r w:rsidR="00E53985">
        <w:rPr>
          <w:rFonts w:ascii="Arial" w:eastAsiaTheme="minorHAnsi" w:hAnsi="Arial" w:cs="Arial"/>
          <w:b/>
          <w:sz w:val="22"/>
          <w:szCs w:val="24"/>
          <w:lang w:eastAsia="en-US"/>
        </w:rPr>
        <w:t xml:space="preserve">MSAC Executive Meeting, </w:t>
      </w:r>
      <w:r w:rsidR="001326EB">
        <w:rPr>
          <w:rFonts w:ascii="Arial" w:hAnsi="Arial" w:cs="Arial"/>
          <w:b/>
          <w:sz w:val="22"/>
          <w:szCs w:val="22"/>
        </w:rPr>
        <w:t>27 May</w:t>
      </w:r>
      <w:r w:rsidR="009406C6" w:rsidRPr="00A513B1">
        <w:rPr>
          <w:rFonts w:ascii="Arial" w:hAnsi="Arial" w:cs="Arial"/>
          <w:b/>
          <w:sz w:val="22"/>
          <w:szCs w:val="22"/>
        </w:rPr>
        <w:t xml:space="preserve"> 2022</w:t>
      </w:r>
    </w:p>
    <w:p w14:paraId="0E348944" w14:textId="26D2643B" w:rsidR="006F4EBA" w:rsidRPr="00986EC1" w:rsidRDefault="006F4EBA" w:rsidP="003F311A">
      <w:pPr>
        <w:pStyle w:val="Heading1"/>
        <w:ind w:hanging="720"/>
      </w:pPr>
      <w:bookmarkStart w:id="0" w:name="_Toc69491415"/>
      <w:bookmarkStart w:id="1" w:name="_Hlk69734469"/>
      <w:r w:rsidRPr="008D1C4A">
        <w:t>Purpose</w:t>
      </w:r>
      <w:r w:rsidRPr="00986EC1">
        <w:t xml:space="preserve"> </w:t>
      </w:r>
      <w:r w:rsidRPr="00986EC1">
        <w:rPr>
          <w:szCs w:val="32"/>
        </w:rPr>
        <w:t>of</w:t>
      </w:r>
      <w:r w:rsidRPr="00986EC1">
        <w:t xml:space="preserve"> </w:t>
      </w:r>
      <w:r w:rsidRPr="006F4EBA">
        <w:t>application</w:t>
      </w:r>
      <w:bookmarkEnd w:id="0"/>
    </w:p>
    <w:p w14:paraId="67232E7D" w14:textId="66C80FE7" w:rsidR="001326EB" w:rsidRPr="001326EB" w:rsidRDefault="001326EB" w:rsidP="001326EB">
      <w:pPr>
        <w:spacing w:after="240"/>
        <w:rPr>
          <w:rFonts w:ascii="Franklin Gothic Book" w:hAnsi="Franklin Gothic Book"/>
          <w:iCs/>
          <w:sz w:val="22"/>
          <w:szCs w:val="22"/>
        </w:rPr>
      </w:pPr>
      <w:r w:rsidRPr="001326EB">
        <w:rPr>
          <w:rFonts w:ascii="Franklin Gothic Book" w:hAnsi="Franklin Gothic Book"/>
          <w:iCs/>
          <w:sz w:val="22"/>
          <w:szCs w:val="22"/>
        </w:rPr>
        <w:t xml:space="preserve">Application 1585 was submitted in 2019 by the Royal College of Pathologists of Australasia (RCPA) to seek reimbursement of an amplicon-specific </w:t>
      </w:r>
      <w:r w:rsidR="0069560D">
        <w:rPr>
          <w:rFonts w:ascii="Franklin Gothic Book" w:hAnsi="Franklin Gothic Book"/>
          <w:iCs/>
          <w:sz w:val="22"/>
          <w:szCs w:val="22"/>
        </w:rPr>
        <w:t xml:space="preserve">next generation sequencing (NGS) </w:t>
      </w:r>
      <w:r w:rsidRPr="001326EB">
        <w:rPr>
          <w:rFonts w:ascii="Franklin Gothic Book" w:hAnsi="Franklin Gothic Book"/>
          <w:iCs/>
          <w:sz w:val="22"/>
          <w:szCs w:val="22"/>
        </w:rPr>
        <w:t>gene panel for the diagnosis of early-onset or heritable neuromuscular diseases (NMDs). MSAC recommended MBS reimbursement of the proposed gene panel, cascade testing</w:t>
      </w:r>
      <w:r w:rsidR="0069560D">
        <w:rPr>
          <w:rFonts w:ascii="Franklin Gothic Book" w:hAnsi="Franklin Gothic Book"/>
          <w:iCs/>
          <w:sz w:val="22"/>
          <w:szCs w:val="22"/>
        </w:rPr>
        <w:t>,</w:t>
      </w:r>
      <w:r w:rsidRPr="001326EB">
        <w:rPr>
          <w:rFonts w:ascii="Franklin Gothic Book" w:hAnsi="Franklin Gothic Book"/>
          <w:iCs/>
          <w:sz w:val="22"/>
          <w:szCs w:val="22"/>
        </w:rPr>
        <w:t xml:space="preserve"> fetal testing</w:t>
      </w:r>
      <w:r w:rsidR="0069560D">
        <w:rPr>
          <w:rFonts w:ascii="Franklin Gothic Book" w:hAnsi="Franklin Gothic Book"/>
          <w:iCs/>
          <w:sz w:val="22"/>
          <w:szCs w:val="22"/>
        </w:rPr>
        <w:t>, reproductive partner and re-analysis</w:t>
      </w:r>
      <w:r w:rsidRPr="001326EB">
        <w:rPr>
          <w:rFonts w:ascii="Franklin Gothic Book" w:hAnsi="Franklin Gothic Book"/>
          <w:iCs/>
          <w:sz w:val="22"/>
          <w:szCs w:val="22"/>
        </w:rPr>
        <w:t xml:space="preserve"> items at its July 2021 meeting, with the MSAC Executive finalising test fees and financial estimates at its September 2021 meeting, and minor amendments to item descriptors at its December 2021 meeting</w:t>
      </w:r>
      <w:r w:rsidR="00AD64F6">
        <w:rPr>
          <w:rStyle w:val="FootnoteReference"/>
          <w:rFonts w:ascii="Franklin Gothic Book" w:hAnsi="Franklin Gothic Book"/>
          <w:iCs/>
          <w:sz w:val="22"/>
          <w:szCs w:val="22"/>
        </w:rPr>
        <w:footnoteReference w:id="1"/>
      </w:r>
      <w:r w:rsidRPr="001326EB">
        <w:rPr>
          <w:rFonts w:ascii="Franklin Gothic Book" w:hAnsi="Franklin Gothic Book"/>
          <w:iCs/>
          <w:sz w:val="22"/>
          <w:szCs w:val="22"/>
        </w:rPr>
        <w:t>.</w:t>
      </w:r>
    </w:p>
    <w:p w14:paraId="4BBB591C" w14:textId="197DA888" w:rsidR="001326EB" w:rsidRPr="001326EB" w:rsidRDefault="0069560D" w:rsidP="001326EB">
      <w:pPr>
        <w:spacing w:after="240"/>
        <w:rPr>
          <w:rFonts w:ascii="Franklin Gothic Book" w:hAnsi="Franklin Gothic Book"/>
          <w:iCs/>
          <w:sz w:val="22"/>
          <w:szCs w:val="22"/>
        </w:rPr>
      </w:pPr>
      <w:r>
        <w:rPr>
          <w:rFonts w:ascii="Franklin Gothic Book" w:hAnsi="Franklin Gothic Book"/>
          <w:iCs/>
          <w:sz w:val="22"/>
          <w:szCs w:val="22"/>
        </w:rPr>
        <w:t>T</w:t>
      </w:r>
      <w:r w:rsidRPr="001326EB">
        <w:rPr>
          <w:rFonts w:ascii="Franklin Gothic Book" w:hAnsi="Franklin Gothic Book"/>
          <w:iCs/>
          <w:sz w:val="22"/>
          <w:szCs w:val="22"/>
        </w:rPr>
        <w:t xml:space="preserve">here are a number of conditions with a NMD phenotype that are caused by variants not detectable using NGS </w:t>
      </w:r>
      <w:r>
        <w:rPr>
          <w:rFonts w:ascii="Franklin Gothic Book" w:hAnsi="Franklin Gothic Book"/>
          <w:iCs/>
          <w:sz w:val="22"/>
          <w:szCs w:val="22"/>
        </w:rPr>
        <w:t>methods</w:t>
      </w:r>
      <w:r w:rsidRPr="001326EB">
        <w:rPr>
          <w:rFonts w:ascii="Franklin Gothic Book" w:hAnsi="Franklin Gothic Book"/>
          <w:iCs/>
          <w:sz w:val="22"/>
          <w:szCs w:val="22"/>
        </w:rPr>
        <w:t>, and so require standalone tests.</w:t>
      </w:r>
      <w:r>
        <w:rPr>
          <w:rFonts w:ascii="Franklin Gothic Book" w:hAnsi="Franklin Gothic Book"/>
          <w:iCs/>
          <w:sz w:val="22"/>
          <w:szCs w:val="22"/>
        </w:rPr>
        <w:t xml:space="preserve"> </w:t>
      </w:r>
      <w:r w:rsidR="001326EB" w:rsidRPr="001326EB">
        <w:rPr>
          <w:rFonts w:ascii="Franklin Gothic Book" w:hAnsi="Franklin Gothic Book"/>
          <w:iCs/>
          <w:sz w:val="22"/>
          <w:szCs w:val="22"/>
        </w:rPr>
        <w:t xml:space="preserve">The </w:t>
      </w:r>
      <w:r w:rsidR="00703BBA">
        <w:rPr>
          <w:rFonts w:ascii="Franklin Gothic Book" w:hAnsi="Franklin Gothic Book"/>
          <w:iCs/>
          <w:sz w:val="22"/>
          <w:szCs w:val="22"/>
        </w:rPr>
        <w:t xml:space="preserve">main </w:t>
      </w:r>
      <w:r w:rsidR="001326EB" w:rsidRPr="001326EB">
        <w:rPr>
          <w:rFonts w:ascii="Franklin Gothic Book" w:hAnsi="Franklin Gothic Book"/>
          <w:iCs/>
          <w:sz w:val="22"/>
          <w:szCs w:val="22"/>
        </w:rPr>
        <w:t xml:space="preserve">assessment </w:t>
      </w:r>
      <w:r w:rsidR="00703BBA">
        <w:rPr>
          <w:rFonts w:ascii="Franklin Gothic Book" w:hAnsi="Franklin Gothic Book"/>
          <w:iCs/>
          <w:sz w:val="22"/>
          <w:szCs w:val="22"/>
        </w:rPr>
        <w:t xml:space="preserve">of Application 1585 </w:t>
      </w:r>
      <w:r w:rsidR="001326EB" w:rsidRPr="001326EB">
        <w:rPr>
          <w:rFonts w:ascii="Franklin Gothic Book" w:hAnsi="Franklin Gothic Book"/>
          <w:iCs/>
          <w:sz w:val="22"/>
          <w:szCs w:val="22"/>
        </w:rPr>
        <w:t xml:space="preserve">did not encompass the relevant single gene tests (SGTs) that would be performed prior to the panel. </w:t>
      </w:r>
    </w:p>
    <w:p w14:paraId="5263B805" w14:textId="5667816A" w:rsidR="0052065A" w:rsidRPr="009A3778" w:rsidRDefault="001326EB" w:rsidP="001326EB">
      <w:pPr>
        <w:spacing w:after="240"/>
        <w:rPr>
          <w:iCs/>
        </w:rPr>
      </w:pPr>
      <w:r w:rsidRPr="001326EB">
        <w:rPr>
          <w:rFonts w:ascii="Franklin Gothic Book" w:hAnsi="Franklin Gothic Book"/>
          <w:iCs/>
          <w:sz w:val="22"/>
          <w:szCs w:val="22"/>
        </w:rPr>
        <w:t xml:space="preserve">Following consultation between the Department and RCPA, in December 2021 the RCPA’s neurogenetic experts (based at PathWest) provided a list of </w:t>
      </w:r>
      <w:r w:rsidR="001827B6">
        <w:rPr>
          <w:rFonts w:ascii="Franklin Gothic Book" w:hAnsi="Franklin Gothic Book"/>
          <w:iCs/>
          <w:sz w:val="22"/>
          <w:szCs w:val="22"/>
        </w:rPr>
        <w:t xml:space="preserve">fifteen </w:t>
      </w:r>
      <w:r w:rsidRPr="001326EB">
        <w:rPr>
          <w:rFonts w:ascii="Franklin Gothic Book" w:hAnsi="Franklin Gothic Book"/>
          <w:iCs/>
          <w:sz w:val="22"/>
          <w:szCs w:val="22"/>
        </w:rPr>
        <w:t>relevant single gene disorders, their respective genetic tests, cost per test and the estimated number of tests per year per condition based on test utilisation data from PathWest. This information forms the basis of the Department</w:t>
      </w:r>
      <w:r w:rsidR="00264776">
        <w:rPr>
          <w:rFonts w:ascii="Franklin Gothic Book" w:hAnsi="Franklin Gothic Book"/>
          <w:iCs/>
          <w:sz w:val="22"/>
          <w:szCs w:val="22"/>
        </w:rPr>
        <w:t xml:space="preserve"> Overview </w:t>
      </w:r>
      <w:r w:rsidRPr="001326EB">
        <w:rPr>
          <w:rFonts w:ascii="Franklin Gothic Book" w:hAnsi="Franklin Gothic Book"/>
          <w:iCs/>
          <w:sz w:val="22"/>
          <w:szCs w:val="22"/>
        </w:rPr>
        <w:t>for this assessment.</w:t>
      </w:r>
    </w:p>
    <w:bookmarkEnd w:id="1"/>
    <w:p w14:paraId="43637675" w14:textId="241EC96C" w:rsidR="00493F7D" w:rsidRDefault="00493F7D" w:rsidP="003F311A">
      <w:pPr>
        <w:pStyle w:val="Heading1"/>
        <w:ind w:hanging="720"/>
      </w:pPr>
      <w:r>
        <w:t>MSAC’s advice to the Minister</w:t>
      </w:r>
    </w:p>
    <w:p w14:paraId="2C7767B0" w14:textId="360B573B" w:rsidR="00493F7D" w:rsidRPr="00F33D59" w:rsidRDefault="00F33D59" w:rsidP="00F33D59">
      <w:pPr>
        <w:spacing w:after="240"/>
        <w:rPr>
          <w:rFonts w:ascii="Franklin Gothic Book" w:hAnsi="Franklin Gothic Book"/>
          <w:iCs/>
          <w:sz w:val="22"/>
          <w:szCs w:val="22"/>
        </w:rPr>
      </w:pPr>
      <w:r w:rsidRPr="00F33D59">
        <w:rPr>
          <w:rFonts w:ascii="Franklin Gothic Book" w:hAnsi="Franklin Gothic Book"/>
          <w:iCs/>
          <w:sz w:val="22"/>
          <w:szCs w:val="22"/>
        </w:rPr>
        <w:t xml:space="preserve">After considering the strength of the available evidence in relation to comparative safety, clinical effectiveness and cost-effectiveness, MSAC supported </w:t>
      </w:r>
      <w:r w:rsidR="006B1A66">
        <w:rPr>
          <w:rFonts w:ascii="Franklin Gothic Book" w:hAnsi="Franklin Gothic Book"/>
          <w:iCs/>
          <w:sz w:val="22"/>
          <w:szCs w:val="22"/>
        </w:rPr>
        <w:t xml:space="preserve">public funding for </w:t>
      </w:r>
      <w:r w:rsidR="001326EB">
        <w:rPr>
          <w:rFonts w:ascii="Franklin Gothic Book" w:hAnsi="Franklin Gothic Book"/>
          <w:iCs/>
          <w:sz w:val="22"/>
          <w:szCs w:val="22"/>
        </w:rPr>
        <w:t>single gene testing for neuromuscular diseases</w:t>
      </w:r>
      <w:r w:rsidRPr="00F33D59">
        <w:rPr>
          <w:rFonts w:ascii="Franklin Gothic Book" w:hAnsi="Franklin Gothic Book"/>
          <w:iCs/>
          <w:sz w:val="22"/>
          <w:szCs w:val="22"/>
        </w:rPr>
        <w:t xml:space="preserve">, on the basis that the proposed testing is </w:t>
      </w:r>
      <w:r w:rsidR="00AD3D6B">
        <w:rPr>
          <w:rFonts w:ascii="Franklin Gothic Book" w:eastAsiaTheme="minorHAnsi" w:hAnsi="Franklin Gothic Book" w:cstheme="minorBidi"/>
          <w:iCs/>
          <w:sz w:val="22"/>
          <w:szCs w:val="22"/>
        </w:rPr>
        <w:t>safe, effective</w:t>
      </w:r>
      <w:r w:rsidR="006B1A66">
        <w:rPr>
          <w:rFonts w:ascii="Franklin Gothic Book" w:eastAsiaTheme="minorHAnsi" w:hAnsi="Franklin Gothic Book" w:cstheme="minorBidi"/>
          <w:iCs/>
          <w:sz w:val="22"/>
          <w:szCs w:val="22"/>
        </w:rPr>
        <w:t xml:space="preserve"> and</w:t>
      </w:r>
      <w:r w:rsidR="00AD3D6B">
        <w:rPr>
          <w:rFonts w:ascii="Franklin Gothic Book" w:eastAsiaTheme="minorHAnsi" w:hAnsi="Franklin Gothic Book" w:cstheme="minorBidi"/>
          <w:iCs/>
          <w:sz w:val="22"/>
          <w:szCs w:val="22"/>
        </w:rPr>
        <w:t xml:space="preserve"> cost-effective, and </w:t>
      </w:r>
      <w:r w:rsidR="006B1A66">
        <w:rPr>
          <w:rFonts w:ascii="Franklin Gothic Book" w:eastAsiaTheme="minorHAnsi" w:hAnsi="Franklin Gothic Book" w:cstheme="minorBidi"/>
          <w:iCs/>
          <w:sz w:val="22"/>
          <w:szCs w:val="22"/>
        </w:rPr>
        <w:t>will provide more effective testing at a net saving to the MBS compared to the muscle/nerve biopsies currently used to diagnose these patients</w:t>
      </w:r>
      <w:r w:rsidRPr="00F33D59">
        <w:rPr>
          <w:rFonts w:ascii="Franklin Gothic Book" w:hAnsi="Franklin Gothic Book"/>
          <w:iCs/>
          <w:sz w:val="22"/>
          <w:szCs w:val="22"/>
        </w:rPr>
        <w:t>.</w:t>
      </w:r>
    </w:p>
    <w:tbl>
      <w:tblPr>
        <w:tblStyle w:val="TableGrid"/>
        <w:tblW w:w="0" w:type="auto"/>
        <w:tblLook w:val="04A0" w:firstRow="1" w:lastRow="0" w:firstColumn="1" w:lastColumn="0" w:noHBand="0" w:noVBand="1"/>
        <w:tblDescription w:val="Consumer summary of MSAC consideration"/>
      </w:tblPr>
      <w:tblGrid>
        <w:gridCol w:w="9016"/>
      </w:tblGrid>
      <w:tr w:rsidR="00493F7D" w:rsidRPr="005F6A3D" w14:paraId="304FEA25" w14:textId="77777777" w:rsidTr="00644745">
        <w:trPr>
          <w:tblHeader/>
        </w:trPr>
        <w:tc>
          <w:tcPr>
            <w:tcW w:w="9016" w:type="dxa"/>
          </w:tcPr>
          <w:p w14:paraId="7BD187B3" w14:textId="77777777" w:rsidR="00493F7D" w:rsidRPr="00493F7D" w:rsidRDefault="00493F7D" w:rsidP="00644745">
            <w:pPr>
              <w:pStyle w:val="Heading3"/>
              <w:spacing w:before="120" w:after="120"/>
              <w:outlineLvl w:val="2"/>
              <w:rPr>
                <w:rFonts w:ascii="Franklin Gothic Book" w:eastAsiaTheme="minorHAnsi" w:hAnsi="Franklin Gothic Book" w:cstheme="minorBidi"/>
                <w:b/>
                <w:bCs/>
                <w:i w:val="0"/>
                <w:iCs/>
                <w:szCs w:val="22"/>
              </w:rPr>
            </w:pPr>
            <w:r w:rsidRPr="00493F7D">
              <w:rPr>
                <w:rFonts w:eastAsiaTheme="majorEastAsia" w:cstheme="majorBidi"/>
                <w:b/>
                <w:bCs/>
                <w:i w:val="0"/>
                <w:iCs/>
                <w:szCs w:val="22"/>
              </w:rPr>
              <w:lastRenderedPageBreak/>
              <w:t>Consumer summary</w:t>
            </w:r>
          </w:p>
        </w:tc>
      </w:tr>
      <w:tr w:rsidR="00493F7D" w:rsidRPr="005F6A3D" w14:paraId="4550DDF1" w14:textId="77777777" w:rsidTr="00644745">
        <w:tc>
          <w:tcPr>
            <w:tcW w:w="9016" w:type="dxa"/>
          </w:tcPr>
          <w:p w14:paraId="06708620" w14:textId="1A416849" w:rsidR="00493F7D" w:rsidRDefault="00316F9C" w:rsidP="00644745">
            <w:pPr>
              <w:pStyle w:val="Default"/>
              <w:spacing w:after="240"/>
              <w:rPr>
                <w:rFonts w:ascii="Franklin Gothic Book" w:eastAsiaTheme="minorHAnsi" w:hAnsi="Franklin Gothic Book" w:cstheme="minorBidi"/>
                <w:iCs/>
                <w:color w:val="auto"/>
                <w:szCs w:val="22"/>
              </w:rPr>
            </w:pPr>
            <w:r>
              <w:rPr>
                <w:rFonts w:ascii="Franklin Gothic Book" w:eastAsiaTheme="minorHAnsi" w:hAnsi="Franklin Gothic Book" w:cstheme="minorBidi"/>
                <w:iCs/>
                <w:color w:val="auto"/>
                <w:szCs w:val="22"/>
              </w:rPr>
              <w:t>The Medical Services Advisory Committee (MSAC) previously supported public funding through the Medicare Benefits Schedule (MBS) for gene panel testing to diagnose neuromuscular disorders. However</w:t>
            </w:r>
            <w:r w:rsidR="000A21F1">
              <w:rPr>
                <w:rFonts w:ascii="Franklin Gothic Book" w:eastAsiaTheme="minorHAnsi" w:hAnsi="Franklin Gothic Book" w:cstheme="minorBidi"/>
                <w:iCs/>
                <w:color w:val="auto"/>
                <w:szCs w:val="22"/>
              </w:rPr>
              <w:t>, t</w:t>
            </w:r>
            <w:r>
              <w:rPr>
                <w:rFonts w:ascii="Franklin Gothic Book" w:eastAsiaTheme="minorHAnsi" w:hAnsi="Franklin Gothic Book" w:cstheme="minorBidi"/>
                <w:iCs/>
                <w:color w:val="auto"/>
                <w:szCs w:val="22"/>
              </w:rPr>
              <w:t>here are some neuromuscular disorders</w:t>
            </w:r>
            <w:r w:rsidR="000A21F1">
              <w:rPr>
                <w:rFonts w:ascii="Franklin Gothic Book" w:eastAsiaTheme="minorHAnsi" w:hAnsi="Franklin Gothic Book" w:cstheme="minorBidi"/>
                <w:iCs/>
                <w:color w:val="auto"/>
                <w:szCs w:val="22"/>
              </w:rPr>
              <w:t xml:space="preserve"> caused by specific types of genetic variant that the gene panel test cannot detect. The Royal College of Pathologists of Australasia (RCPA) applied to MSAC for public funding through the MBS for single gene tests for </w:t>
            </w:r>
            <w:r w:rsidR="00610FC1">
              <w:rPr>
                <w:rFonts w:ascii="Franklin Gothic Book" w:eastAsiaTheme="minorHAnsi" w:hAnsi="Franklin Gothic Book" w:cstheme="minorBidi"/>
                <w:iCs/>
                <w:color w:val="auto"/>
                <w:szCs w:val="22"/>
              </w:rPr>
              <w:t>fifteen</w:t>
            </w:r>
            <w:r w:rsidR="000A21F1">
              <w:rPr>
                <w:rFonts w:ascii="Franklin Gothic Book" w:eastAsiaTheme="minorHAnsi" w:hAnsi="Franklin Gothic Book" w:cstheme="minorBidi"/>
                <w:iCs/>
                <w:color w:val="auto"/>
                <w:szCs w:val="22"/>
              </w:rPr>
              <w:t xml:space="preserve"> neuromuscular disorders that cannot be detected by the gene panel test.</w:t>
            </w:r>
          </w:p>
          <w:p w14:paraId="10196BC3" w14:textId="11882BA6" w:rsidR="000A21F1" w:rsidRDefault="000A21F1" w:rsidP="00644745">
            <w:pPr>
              <w:pStyle w:val="Default"/>
              <w:spacing w:after="240"/>
              <w:rPr>
                <w:rFonts w:ascii="Franklin Gothic Book" w:eastAsiaTheme="minorHAnsi" w:hAnsi="Franklin Gothic Book" w:cstheme="minorBidi"/>
                <w:iCs/>
                <w:color w:val="auto"/>
                <w:szCs w:val="22"/>
              </w:rPr>
            </w:pPr>
            <w:r w:rsidRPr="000A21F1">
              <w:rPr>
                <w:rFonts w:ascii="Franklin Gothic Book" w:eastAsiaTheme="minorHAnsi" w:hAnsi="Franklin Gothic Book" w:cstheme="minorBidi"/>
                <w:iCs/>
                <w:color w:val="auto"/>
                <w:szCs w:val="22"/>
              </w:rPr>
              <w:t xml:space="preserve">Neuromuscular disorders affect nerves and/or muscles and how they function. </w:t>
            </w:r>
            <w:r>
              <w:rPr>
                <w:rFonts w:ascii="Franklin Gothic Book" w:eastAsiaTheme="minorHAnsi" w:hAnsi="Franklin Gothic Book" w:cstheme="minorBidi"/>
                <w:iCs/>
                <w:color w:val="auto"/>
                <w:szCs w:val="22"/>
              </w:rPr>
              <w:t>Single</w:t>
            </w:r>
            <w:r w:rsidRPr="000A21F1">
              <w:rPr>
                <w:rFonts w:ascii="Franklin Gothic Book" w:eastAsiaTheme="minorHAnsi" w:hAnsi="Franklin Gothic Book" w:cstheme="minorBidi"/>
                <w:iCs/>
                <w:color w:val="auto"/>
                <w:szCs w:val="22"/>
              </w:rPr>
              <w:t xml:space="preserve"> tests look for variants in </w:t>
            </w:r>
            <w:r>
              <w:rPr>
                <w:rFonts w:ascii="Franklin Gothic Book" w:eastAsiaTheme="minorHAnsi" w:hAnsi="Franklin Gothic Book" w:cstheme="minorBidi"/>
                <w:iCs/>
                <w:color w:val="auto"/>
                <w:szCs w:val="22"/>
              </w:rPr>
              <w:t>one</w:t>
            </w:r>
            <w:r w:rsidRPr="000A21F1">
              <w:rPr>
                <w:rFonts w:ascii="Franklin Gothic Book" w:eastAsiaTheme="minorHAnsi" w:hAnsi="Franklin Gothic Book" w:cstheme="minorBidi"/>
                <w:iCs/>
                <w:color w:val="auto"/>
                <w:szCs w:val="22"/>
              </w:rPr>
              <w:t xml:space="preserve"> gene at </w:t>
            </w:r>
            <w:r>
              <w:rPr>
                <w:rFonts w:ascii="Franklin Gothic Book" w:eastAsiaTheme="minorHAnsi" w:hAnsi="Franklin Gothic Book" w:cstheme="minorBidi"/>
                <w:iCs/>
                <w:color w:val="auto"/>
                <w:szCs w:val="22"/>
              </w:rPr>
              <w:t xml:space="preserve">a </w:t>
            </w:r>
            <w:r w:rsidRPr="000A21F1">
              <w:rPr>
                <w:rFonts w:ascii="Franklin Gothic Book" w:eastAsiaTheme="minorHAnsi" w:hAnsi="Franklin Gothic Book" w:cstheme="minorBidi"/>
                <w:iCs/>
                <w:color w:val="auto"/>
                <w:szCs w:val="22"/>
              </w:rPr>
              <w:t>time</w:t>
            </w:r>
            <w:r>
              <w:rPr>
                <w:rFonts w:ascii="Franklin Gothic Book" w:eastAsiaTheme="minorHAnsi" w:hAnsi="Franklin Gothic Book" w:cstheme="minorBidi"/>
                <w:iCs/>
                <w:color w:val="auto"/>
                <w:szCs w:val="22"/>
              </w:rPr>
              <w:t>, where</w:t>
            </w:r>
            <w:r w:rsidRPr="000A21F1">
              <w:rPr>
                <w:rFonts w:ascii="Franklin Gothic Book" w:eastAsiaTheme="minorHAnsi" w:hAnsi="Franklin Gothic Book" w:cstheme="minorBidi"/>
                <w:iCs/>
                <w:color w:val="auto"/>
                <w:szCs w:val="22"/>
              </w:rPr>
              <w:t xml:space="preserve"> </w:t>
            </w:r>
            <w:r>
              <w:rPr>
                <w:rFonts w:ascii="Franklin Gothic Book" w:eastAsiaTheme="minorHAnsi" w:hAnsi="Franklin Gothic Book" w:cstheme="minorBidi"/>
                <w:iCs/>
                <w:color w:val="auto"/>
                <w:szCs w:val="22"/>
              </w:rPr>
              <w:t>the patient has specific signs and symptoms that mean they are likely to have disorder caused by a variant in that gene. Single gene tests</w:t>
            </w:r>
            <w:r w:rsidRPr="000A21F1">
              <w:rPr>
                <w:rFonts w:ascii="Franklin Gothic Book" w:eastAsiaTheme="minorHAnsi" w:hAnsi="Franklin Gothic Book" w:cstheme="minorBidi"/>
                <w:iCs/>
                <w:color w:val="auto"/>
                <w:szCs w:val="22"/>
              </w:rPr>
              <w:t xml:space="preserve"> can allow diagnosis of some neuromuscular disorders. Diagnosed patients and their clinicians would then have the option to go on with cascade testing to identify any close family members who might also be affected. </w:t>
            </w:r>
            <w:r>
              <w:rPr>
                <w:rFonts w:ascii="Franklin Gothic Book" w:eastAsiaTheme="minorHAnsi" w:hAnsi="Franklin Gothic Book" w:cstheme="minorBidi"/>
                <w:iCs/>
                <w:color w:val="auto"/>
                <w:szCs w:val="22"/>
              </w:rPr>
              <w:t>Where the variant is inherited in a recessive way, t</w:t>
            </w:r>
            <w:r w:rsidRPr="000A21F1">
              <w:rPr>
                <w:rFonts w:ascii="Franklin Gothic Book" w:eastAsiaTheme="minorHAnsi" w:hAnsi="Franklin Gothic Book" w:cstheme="minorBidi"/>
                <w:iCs/>
                <w:color w:val="auto"/>
                <w:szCs w:val="22"/>
              </w:rPr>
              <w:t>hey could also consider testing reproductive partners, and prenatal testing, so that those planning a baby can make informed reproductive decisions.</w:t>
            </w:r>
          </w:p>
          <w:p w14:paraId="04384299" w14:textId="5C42AEAD" w:rsidR="000A21F1" w:rsidRDefault="000A21F1" w:rsidP="00644745">
            <w:pPr>
              <w:pStyle w:val="Default"/>
              <w:spacing w:after="240"/>
              <w:rPr>
                <w:rFonts w:ascii="Franklin Gothic Book" w:eastAsiaTheme="minorHAnsi" w:hAnsi="Franklin Gothic Book" w:cstheme="minorBidi"/>
                <w:iCs/>
                <w:color w:val="auto"/>
                <w:szCs w:val="22"/>
              </w:rPr>
            </w:pPr>
            <w:r w:rsidRPr="000A21F1">
              <w:rPr>
                <w:rFonts w:ascii="Franklin Gothic Book" w:eastAsiaTheme="minorHAnsi" w:hAnsi="Franklin Gothic Book" w:cstheme="minorBidi"/>
                <w:iCs/>
                <w:color w:val="auto"/>
                <w:szCs w:val="22"/>
              </w:rPr>
              <w:t>MSAC recognised the clinical need for this type of genetic testing. Currently, neuromuscular disorders are diagnosed by muscle and/or nerve biopsies</w:t>
            </w:r>
            <w:r w:rsidR="006F551C">
              <w:rPr>
                <w:rFonts w:ascii="Franklin Gothic Book" w:eastAsiaTheme="minorHAnsi" w:hAnsi="Franklin Gothic Book" w:cstheme="minorBidi"/>
                <w:iCs/>
                <w:color w:val="auto"/>
                <w:szCs w:val="22"/>
              </w:rPr>
              <w:t xml:space="preserve">, though </w:t>
            </w:r>
            <w:r w:rsidR="00610FC1">
              <w:rPr>
                <w:rFonts w:ascii="Franklin Gothic Book" w:eastAsiaTheme="minorHAnsi" w:hAnsi="Franklin Gothic Book" w:cstheme="minorBidi"/>
                <w:iCs/>
                <w:color w:val="auto"/>
                <w:szCs w:val="22"/>
              </w:rPr>
              <w:t>biopsies</w:t>
            </w:r>
            <w:r w:rsidR="006F551C">
              <w:rPr>
                <w:rFonts w:ascii="Franklin Gothic Book" w:eastAsiaTheme="minorHAnsi" w:hAnsi="Franklin Gothic Book" w:cstheme="minorBidi"/>
                <w:iCs/>
                <w:color w:val="auto"/>
                <w:szCs w:val="22"/>
              </w:rPr>
              <w:t xml:space="preserve"> do not allow a genetic diagnosis to be made</w:t>
            </w:r>
            <w:r w:rsidRPr="000A21F1">
              <w:rPr>
                <w:rFonts w:ascii="Franklin Gothic Book" w:eastAsiaTheme="minorHAnsi" w:hAnsi="Franklin Gothic Book" w:cstheme="minorBidi"/>
                <w:iCs/>
                <w:color w:val="auto"/>
                <w:szCs w:val="22"/>
              </w:rPr>
              <w:t xml:space="preserve">. MSAC considered </w:t>
            </w:r>
            <w:r>
              <w:rPr>
                <w:rFonts w:ascii="Franklin Gothic Book" w:eastAsiaTheme="minorHAnsi" w:hAnsi="Franklin Gothic Book" w:cstheme="minorBidi"/>
                <w:iCs/>
                <w:color w:val="auto"/>
                <w:szCs w:val="22"/>
              </w:rPr>
              <w:t>single gene testing</w:t>
            </w:r>
            <w:r w:rsidRPr="000A21F1">
              <w:rPr>
                <w:rFonts w:ascii="Franklin Gothic Book" w:eastAsiaTheme="minorHAnsi" w:hAnsi="Franklin Gothic Book" w:cstheme="minorBidi"/>
                <w:iCs/>
                <w:color w:val="auto"/>
                <w:szCs w:val="22"/>
              </w:rPr>
              <w:t xml:space="preserve"> to be safer and more effective than </w:t>
            </w:r>
            <w:r w:rsidR="00610FC1">
              <w:rPr>
                <w:rFonts w:ascii="Franklin Gothic Book" w:eastAsiaTheme="minorHAnsi" w:hAnsi="Franklin Gothic Book" w:cstheme="minorBidi"/>
                <w:iCs/>
                <w:color w:val="auto"/>
                <w:szCs w:val="22"/>
              </w:rPr>
              <w:t>biopsy</w:t>
            </w:r>
            <w:r w:rsidRPr="000A21F1">
              <w:rPr>
                <w:rFonts w:ascii="Franklin Gothic Book" w:eastAsiaTheme="minorHAnsi" w:hAnsi="Franklin Gothic Book" w:cstheme="minorBidi"/>
                <w:iCs/>
                <w:color w:val="auto"/>
                <w:szCs w:val="22"/>
              </w:rPr>
              <w:t xml:space="preserve">. </w:t>
            </w:r>
            <w:r w:rsidR="00610FC1" w:rsidRPr="000A21F1">
              <w:rPr>
                <w:rFonts w:ascii="Franklin Gothic Book" w:eastAsiaTheme="minorHAnsi" w:hAnsi="Franklin Gothic Book" w:cstheme="minorBidi"/>
                <w:iCs/>
                <w:color w:val="auto"/>
                <w:szCs w:val="22"/>
              </w:rPr>
              <w:t xml:space="preserve">MSAC considered that the value for money of this testing </w:t>
            </w:r>
            <w:r w:rsidR="00610FC1">
              <w:rPr>
                <w:rFonts w:ascii="Franklin Gothic Book" w:eastAsiaTheme="minorHAnsi" w:hAnsi="Franklin Gothic Book" w:cstheme="minorBidi"/>
                <w:iCs/>
                <w:color w:val="auto"/>
                <w:szCs w:val="22"/>
              </w:rPr>
              <w:t>was</w:t>
            </w:r>
            <w:r w:rsidR="00610FC1" w:rsidRPr="000A21F1">
              <w:rPr>
                <w:rFonts w:ascii="Franklin Gothic Book" w:eastAsiaTheme="minorHAnsi" w:hAnsi="Franklin Gothic Book" w:cstheme="minorBidi"/>
                <w:iCs/>
                <w:color w:val="auto"/>
                <w:szCs w:val="22"/>
              </w:rPr>
              <w:t xml:space="preserve"> acceptable</w:t>
            </w:r>
            <w:r w:rsidR="00610FC1">
              <w:rPr>
                <w:rFonts w:ascii="Franklin Gothic Book" w:eastAsiaTheme="minorHAnsi" w:hAnsi="Franklin Gothic Book" w:cstheme="minorBidi"/>
                <w:iCs/>
                <w:color w:val="auto"/>
                <w:szCs w:val="22"/>
              </w:rPr>
              <w:t xml:space="preserve">. </w:t>
            </w:r>
            <w:r w:rsidRPr="000A21F1">
              <w:rPr>
                <w:rFonts w:ascii="Franklin Gothic Book" w:eastAsiaTheme="minorHAnsi" w:hAnsi="Franklin Gothic Book" w:cstheme="minorBidi"/>
                <w:iCs/>
                <w:color w:val="auto"/>
                <w:szCs w:val="22"/>
              </w:rPr>
              <w:t xml:space="preserve">MSAC considered that funding </w:t>
            </w:r>
            <w:r w:rsidR="00610FC1">
              <w:rPr>
                <w:rFonts w:ascii="Franklin Gothic Book" w:eastAsiaTheme="minorHAnsi" w:hAnsi="Franklin Gothic Book" w:cstheme="minorBidi"/>
                <w:iCs/>
                <w:color w:val="auto"/>
                <w:szCs w:val="22"/>
              </w:rPr>
              <w:t>single gene</w:t>
            </w:r>
            <w:r w:rsidRPr="000A21F1">
              <w:rPr>
                <w:rFonts w:ascii="Franklin Gothic Book" w:eastAsiaTheme="minorHAnsi" w:hAnsi="Franklin Gothic Book" w:cstheme="minorBidi"/>
                <w:iCs/>
                <w:color w:val="auto"/>
                <w:szCs w:val="22"/>
              </w:rPr>
              <w:t xml:space="preserve"> testing would reduce </w:t>
            </w:r>
            <w:r>
              <w:rPr>
                <w:rFonts w:ascii="Franklin Gothic Book" w:eastAsiaTheme="minorHAnsi" w:hAnsi="Franklin Gothic Book" w:cstheme="minorBidi"/>
                <w:iCs/>
                <w:color w:val="auto"/>
                <w:szCs w:val="22"/>
              </w:rPr>
              <w:t>biopsy</w:t>
            </w:r>
            <w:r w:rsidRPr="000A21F1">
              <w:rPr>
                <w:rFonts w:ascii="Franklin Gothic Book" w:eastAsiaTheme="minorHAnsi" w:hAnsi="Franklin Gothic Book" w:cstheme="minorBidi"/>
                <w:iCs/>
                <w:color w:val="auto"/>
                <w:szCs w:val="22"/>
              </w:rPr>
              <w:t xml:space="preserve"> costs to the MBS</w:t>
            </w:r>
            <w:r w:rsidR="006B1A66">
              <w:rPr>
                <w:rFonts w:ascii="Franklin Gothic Book" w:eastAsiaTheme="minorHAnsi" w:hAnsi="Franklin Gothic Book" w:cstheme="minorBidi"/>
                <w:iCs/>
                <w:color w:val="auto"/>
                <w:szCs w:val="22"/>
              </w:rPr>
              <w:t xml:space="preserve"> and would overall save money for the MBS</w:t>
            </w:r>
            <w:r w:rsidRPr="000A21F1">
              <w:rPr>
                <w:rFonts w:ascii="Franklin Gothic Book" w:eastAsiaTheme="minorHAnsi" w:hAnsi="Franklin Gothic Book" w:cstheme="minorBidi"/>
                <w:iCs/>
                <w:color w:val="auto"/>
                <w:szCs w:val="22"/>
              </w:rPr>
              <w:t xml:space="preserve">. </w:t>
            </w:r>
          </w:p>
          <w:p w14:paraId="0783A8B3" w14:textId="7315CEF9" w:rsidR="000A21F1" w:rsidRPr="000A21F1" w:rsidRDefault="000A21F1" w:rsidP="00644745">
            <w:pPr>
              <w:pStyle w:val="Default"/>
              <w:spacing w:after="240"/>
              <w:rPr>
                <w:rFonts w:ascii="Franklin Gothic Book" w:eastAsiaTheme="minorHAnsi" w:hAnsi="Franklin Gothic Book" w:cstheme="minorBidi"/>
                <w:b/>
                <w:bCs/>
                <w:iCs/>
                <w:color w:val="auto"/>
                <w:szCs w:val="22"/>
              </w:rPr>
            </w:pPr>
            <w:r w:rsidRPr="000A21F1">
              <w:rPr>
                <w:rFonts w:ascii="Franklin Gothic Book" w:eastAsiaTheme="minorHAnsi" w:hAnsi="Franklin Gothic Book" w:cstheme="minorBidi"/>
                <w:b/>
                <w:bCs/>
                <w:iCs/>
                <w:color w:val="auto"/>
                <w:szCs w:val="22"/>
              </w:rPr>
              <w:t xml:space="preserve">MSAC’s advice to the Commonwealth Minister for Health </w:t>
            </w:r>
            <w:r w:rsidR="00A442D0">
              <w:rPr>
                <w:rFonts w:ascii="Franklin Gothic Book" w:eastAsiaTheme="minorHAnsi" w:hAnsi="Franklin Gothic Book" w:cstheme="minorBidi"/>
                <w:b/>
                <w:bCs/>
                <w:iCs/>
                <w:color w:val="auto"/>
                <w:szCs w:val="22"/>
              </w:rPr>
              <w:t>and Aged Care</w:t>
            </w:r>
          </w:p>
          <w:p w14:paraId="04EE4EC7" w14:textId="3993A2E7" w:rsidR="000A21F1" w:rsidRPr="005F6A3D" w:rsidRDefault="000A21F1" w:rsidP="00644745">
            <w:pPr>
              <w:pStyle w:val="Default"/>
              <w:spacing w:after="240"/>
              <w:rPr>
                <w:rFonts w:ascii="Franklin Gothic Book" w:eastAsiaTheme="minorHAnsi" w:hAnsi="Franklin Gothic Book" w:cstheme="minorBidi"/>
                <w:iCs/>
                <w:color w:val="auto"/>
                <w:szCs w:val="22"/>
              </w:rPr>
            </w:pPr>
            <w:r w:rsidRPr="000A21F1">
              <w:rPr>
                <w:rFonts w:ascii="Franklin Gothic Book" w:eastAsiaTheme="minorHAnsi" w:hAnsi="Franklin Gothic Book" w:cstheme="minorBidi"/>
                <w:iCs/>
                <w:color w:val="auto"/>
                <w:szCs w:val="22"/>
              </w:rPr>
              <w:t xml:space="preserve">MSAC supported listing </w:t>
            </w:r>
            <w:r>
              <w:rPr>
                <w:rFonts w:ascii="Franklin Gothic Book" w:eastAsiaTheme="minorHAnsi" w:hAnsi="Franklin Gothic Book" w:cstheme="minorBidi"/>
                <w:iCs/>
                <w:color w:val="auto"/>
                <w:szCs w:val="22"/>
              </w:rPr>
              <w:t xml:space="preserve">single gene </w:t>
            </w:r>
            <w:r w:rsidRPr="000A21F1">
              <w:rPr>
                <w:rFonts w:ascii="Franklin Gothic Book" w:eastAsiaTheme="minorHAnsi" w:hAnsi="Franklin Gothic Book" w:cstheme="minorBidi"/>
                <w:iCs/>
                <w:color w:val="auto"/>
                <w:szCs w:val="22"/>
              </w:rPr>
              <w:t>testing for neuromuscular disorders on the MBS. MSAC considered the testing to be safe</w:t>
            </w:r>
            <w:r>
              <w:rPr>
                <w:rFonts w:ascii="Franklin Gothic Book" w:eastAsiaTheme="minorHAnsi" w:hAnsi="Franklin Gothic Book" w:cstheme="minorBidi"/>
                <w:iCs/>
                <w:color w:val="auto"/>
                <w:szCs w:val="22"/>
              </w:rPr>
              <w:t>,</w:t>
            </w:r>
            <w:r w:rsidRPr="000A21F1">
              <w:rPr>
                <w:rFonts w:ascii="Franklin Gothic Book" w:eastAsiaTheme="minorHAnsi" w:hAnsi="Franklin Gothic Book" w:cstheme="minorBidi"/>
                <w:iCs/>
                <w:color w:val="auto"/>
                <w:szCs w:val="22"/>
              </w:rPr>
              <w:t xml:space="preserve"> effective, cost-effective</w:t>
            </w:r>
            <w:r>
              <w:rPr>
                <w:rFonts w:ascii="Franklin Gothic Book" w:eastAsiaTheme="minorHAnsi" w:hAnsi="Franklin Gothic Book" w:cstheme="minorBidi"/>
                <w:iCs/>
                <w:color w:val="auto"/>
                <w:szCs w:val="22"/>
              </w:rPr>
              <w:t>, and with acceptable financial cost.</w:t>
            </w:r>
          </w:p>
        </w:tc>
      </w:tr>
    </w:tbl>
    <w:p w14:paraId="1232C00F" w14:textId="2FC02A5C" w:rsidR="00493F7D" w:rsidRDefault="00493F7D" w:rsidP="003F311A">
      <w:pPr>
        <w:pStyle w:val="Heading1"/>
        <w:ind w:hanging="720"/>
      </w:pPr>
      <w:r w:rsidRPr="005F6A3D">
        <w:t>Summary of consideration and rationale for MSAC’s advice</w:t>
      </w:r>
    </w:p>
    <w:p w14:paraId="6963F067" w14:textId="51A6AE34" w:rsidR="001326EB" w:rsidRDefault="00E655AA" w:rsidP="001326EB">
      <w:pPr>
        <w:pStyle w:val="Default"/>
        <w:spacing w:after="240"/>
        <w:rPr>
          <w:rFonts w:ascii="Franklin Gothic Book" w:eastAsiaTheme="minorHAnsi" w:hAnsi="Franklin Gothic Book" w:cstheme="minorBidi"/>
          <w:iCs/>
          <w:color w:val="auto"/>
          <w:sz w:val="22"/>
          <w:szCs w:val="22"/>
        </w:rPr>
      </w:pPr>
      <w:r>
        <w:rPr>
          <w:rFonts w:ascii="Franklin Gothic Book" w:eastAsiaTheme="minorHAnsi" w:hAnsi="Franklin Gothic Book" w:cstheme="minorBidi"/>
          <w:iCs/>
          <w:color w:val="auto"/>
          <w:sz w:val="22"/>
          <w:szCs w:val="22"/>
        </w:rPr>
        <w:t xml:space="preserve">The </w:t>
      </w:r>
      <w:r w:rsidR="00F33D59" w:rsidRPr="00F33D59">
        <w:rPr>
          <w:rFonts w:ascii="Franklin Gothic Book" w:eastAsiaTheme="minorHAnsi" w:hAnsi="Franklin Gothic Book" w:cstheme="minorBidi"/>
          <w:iCs/>
          <w:color w:val="auto"/>
          <w:sz w:val="22"/>
          <w:szCs w:val="22"/>
        </w:rPr>
        <w:t xml:space="preserve">MSAC </w:t>
      </w:r>
      <w:r>
        <w:rPr>
          <w:rFonts w:ascii="Franklin Gothic Book" w:eastAsiaTheme="minorHAnsi" w:hAnsi="Franklin Gothic Book" w:cstheme="minorBidi"/>
          <w:iCs/>
          <w:color w:val="auto"/>
          <w:sz w:val="22"/>
          <w:szCs w:val="22"/>
        </w:rPr>
        <w:t xml:space="preserve">Executive </w:t>
      </w:r>
      <w:r w:rsidR="00F33D59" w:rsidRPr="00F33D59">
        <w:rPr>
          <w:rFonts w:ascii="Franklin Gothic Book" w:eastAsiaTheme="minorHAnsi" w:hAnsi="Franklin Gothic Book" w:cstheme="minorBidi"/>
          <w:iCs/>
          <w:color w:val="auto"/>
          <w:sz w:val="22"/>
          <w:szCs w:val="22"/>
        </w:rPr>
        <w:t xml:space="preserve">noted </w:t>
      </w:r>
      <w:r>
        <w:rPr>
          <w:rFonts w:ascii="Franklin Gothic Book" w:eastAsiaTheme="minorHAnsi" w:hAnsi="Franklin Gothic Book" w:cstheme="minorBidi"/>
          <w:iCs/>
          <w:color w:val="auto"/>
          <w:sz w:val="22"/>
          <w:szCs w:val="22"/>
        </w:rPr>
        <w:t>that SGTs had not been assessed as part of the main assessment of Application 1585, and that this</w:t>
      </w:r>
      <w:r w:rsidR="00AD3D6B">
        <w:rPr>
          <w:rFonts w:ascii="Franklin Gothic Book" w:eastAsiaTheme="minorHAnsi" w:hAnsi="Franklin Gothic Book" w:cstheme="minorBidi"/>
          <w:iCs/>
          <w:color w:val="auto"/>
          <w:sz w:val="22"/>
          <w:szCs w:val="22"/>
        </w:rPr>
        <w:t xml:space="preserve"> Department Overview provide</w:t>
      </w:r>
      <w:r w:rsidR="006B1A66">
        <w:rPr>
          <w:rFonts w:ascii="Franklin Gothic Book" w:eastAsiaTheme="minorHAnsi" w:hAnsi="Franklin Gothic Book" w:cstheme="minorBidi"/>
          <w:iCs/>
          <w:color w:val="auto"/>
          <w:sz w:val="22"/>
          <w:szCs w:val="22"/>
        </w:rPr>
        <w:t>d</w:t>
      </w:r>
      <w:r>
        <w:rPr>
          <w:rFonts w:ascii="Franklin Gothic Book" w:eastAsiaTheme="minorHAnsi" w:hAnsi="Franklin Gothic Book" w:cstheme="minorBidi"/>
          <w:iCs/>
          <w:color w:val="auto"/>
          <w:sz w:val="22"/>
          <w:szCs w:val="22"/>
        </w:rPr>
        <w:t xml:space="preserve"> a</w:t>
      </w:r>
      <w:r w:rsidR="006F551C">
        <w:rPr>
          <w:rFonts w:ascii="Franklin Gothic Book" w:eastAsiaTheme="minorHAnsi" w:hAnsi="Franklin Gothic Book" w:cstheme="minorBidi"/>
          <w:iCs/>
          <w:color w:val="auto"/>
          <w:sz w:val="22"/>
          <w:szCs w:val="22"/>
        </w:rPr>
        <w:t>n</w:t>
      </w:r>
      <w:r>
        <w:rPr>
          <w:rFonts w:ascii="Franklin Gothic Book" w:eastAsiaTheme="minorHAnsi" w:hAnsi="Franklin Gothic Book" w:cstheme="minorBidi"/>
          <w:iCs/>
          <w:color w:val="auto"/>
          <w:sz w:val="22"/>
          <w:szCs w:val="22"/>
        </w:rPr>
        <w:t xml:space="preserve"> assessment</w:t>
      </w:r>
      <w:r w:rsidR="006F551C">
        <w:rPr>
          <w:rFonts w:ascii="Franklin Gothic Book" w:eastAsiaTheme="minorHAnsi" w:hAnsi="Franklin Gothic Book" w:cstheme="minorBidi"/>
          <w:iCs/>
          <w:color w:val="auto"/>
          <w:sz w:val="22"/>
          <w:szCs w:val="22"/>
        </w:rPr>
        <w:t xml:space="preserve"> of NMD SGTs as a supplement to the main assessment</w:t>
      </w:r>
      <w:r w:rsidR="006B1A66">
        <w:rPr>
          <w:rFonts w:ascii="Franklin Gothic Book" w:eastAsiaTheme="minorHAnsi" w:hAnsi="Franklin Gothic Book" w:cstheme="minorBidi"/>
          <w:iCs/>
          <w:color w:val="auto"/>
          <w:sz w:val="22"/>
          <w:szCs w:val="22"/>
        </w:rPr>
        <w:t>, which focussed on the gene panel but also included cascade, reproductive partner and fetal testing, and re-analysis</w:t>
      </w:r>
      <w:r>
        <w:rPr>
          <w:rFonts w:ascii="Franklin Gothic Book" w:eastAsiaTheme="minorHAnsi" w:hAnsi="Franklin Gothic Book" w:cstheme="minorBidi"/>
          <w:iCs/>
          <w:color w:val="auto"/>
          <w:sz w:val="22"/>
          <w:szCs w:val="22"/>
        </w:rPr>
        <w:t>.</w:t>
      </w:r>
    </w:p>
    <w:p w14:paraId="2C9C5E21" w14:textId="1E2A4B38" w:rsidR="00AD3D6B" w:rsidRDefault="00AD3D6B" w:rsidP="001326EB">
      <w:pPr>
        <w:pStyle w:val="Default"/>
        <w:spacing w:after="240"/>
        <w:rPr>
          <w:rFonts w:ascii="Franklin Gothic Book" w:eastAsiaTheme="minorHAnsi" w:hAnsi="Franklin Gothic Book" w:cstheme="minorBidi"/>
          <w:iCs/>
          <w:color w:val="auto"/>
          <w:sz w:val="22"/>
          <w:szCs w:val="22"/>
        </w:rPr>
      </w:pPr>
      <w:r>
        <w:rPr>
          <w:rFonts w:ascii="Franklin Gothic Book" w:eastAsiaTheme="minorHAnsi" w:hAnsi="Franklin Gothic Book" w:cstheme="minorBidi"/>
          <w:iCs/>
          <w:color w:val="auto"/>
          <w:sz w:val="22"/>
          <w:szCs w:val="22"/>
        </w:rPr>
        <w:t>The MSAC Executive noted that currently these patients are tested with muscle or nerve biopsies</w:t>
      </w:r>
      <w:r w:rsidR="006F551C">
        <w:rPr>
          <w:rFonts w:ascii="Franklin Gothic Book" w:eastAsiaTheme="minorHAnsi" w:hAnsi="Franklin Gothic Book" w:cstheme="minorBidi"/>
          <w:iCs/>
          <w:color w:val="auto"/>
          <w:sz w:val="22"/>
          <w:szCs w:val="22"/>
        </w:rPr>
        <w:t xml:space="preserve">. </w:t>
      </w:r>
      <w:r>
        <w:rPr>
          <w:rFonts w:ascii="Franklin Gothic Book" w:eastAsiaTheme="minorHAnsi" w:hAnsi="Franklin Gothic Book" w:cstheme="minorBidi"/>
          <w:iCs/>
          <w:color w:val="auto"/>
          <w:sz w:val="22"/>
          <w:szCs w:val="22"/>
        </w:rPr>
        <w:t>The MSAC Executive noted that a limited cost-effectiveness analysis was provided, with cost-effectiveness expressed in terms of cost per genetic diagnosis achieved, in line with the MSAC Executive’s March 2021 reforms to the approach for the assessment of gene panel tests, and subsequent relevant assessments.</w:t>
      </w:r>
      <w:r w:rsidR="006F551C">
        <w:rPr>
          <w:rFonts w:ascii="Franklin Gothic Book" w:eastAsiaTheme="minorHAnsi" w:hAnsi="Franklin Gothic Book" w:cstheme="minorBidi"/>
          <w:iCs/>
          <w:color w:val="auto"/>
          <w:sz w:val="22"/>
          <w:szCs w:val="22"/>
        </w:rPr>
        <w:t xml:space="preserve"> The MSAC Executive considered that SGTs have superior effectiveness compared to biopsy, as biopsy cannot provide a genetic diagnosis. The MSAC Executive noted the cost-effectiveness was provided for diagnostic yields (DYs) ranging from 60% to 95%, given the uncertain but high DY anticipated for these tests based on specific signs and symptoms</w:t>
      </w:r>
      <w:r w:rsidR="00B83362">
        <w:rPr>
          <w:rFonts w:ascii="Franklin Gothic Book" w:eastAsiaTheme="minorHAnsi" w:hAnsi="Franklin Gothic Book" w:cstheme="minorBidi"/>
          <w:iCs/>
          <w:color w:val="auto"/>
          <w:sz w:val="22"/>
          <w:szCs w:val="22"/>
        </w:rPr>
        <w:t>. The MSAC Executive noted that SGT for affected individuals only had dominant cost-effectiveness at all DYs, and that SGT for affected individuals plus cascade testing had ICERs ranging from $115 to $204 per genetic diagnosis achieved</w:t>
      </w:r>
      <w:r w:rsidR="006B1A66">
        <w:rPr>
          <w:rFonts w:ascii="Franklin Gothic Book" w:eastAsiaTheme="minorHAnsi" w:hAnsi="Franklin Gothic Book" w:cstheme="minorBidi"/>
          <w:iCs/>
          <w:color w:val="auto"/>
          <w:sz w:val="22"/>
          <w:szCs w:val="22"/>
        </w:rPr>
        <w:t>, depending on DY</w:t>
      </w:r>
      <w:r w:rsidR="00FC5722">
        <w:rPr>
          <w:rFonts w:ascii="Franklin Gothic Book" w:eastAsiaTheme="minorHAnsi" w:hAnsi="Franklin Gothic Book" w:cstheme="minorBidi"/>
          <w:iCs/>
          <w:color w:val="auto"/>
          <w:sz w:val="22"/>
          <w:szCs w:val="22"/>
        </w:rPr>
        <w:t xml:space="preserve">. The MSAC Executive noted this </w:t>
      </w:r>
      <w:r w:rsidR="00232AAC">
        <w:rPr>
          <w:rFonts w:ascii="Franklin Gothic Book" w:eastAsiaTheme="minorHAnsi" w:hAnsi="Franklin Gothic Book" w:cstheme="minorBidi"/>
          <w:iCs/>
          <w:color w:val="auto"/>
          <w:sz w:val="22"/>
          <w:szCs w:val="22"/>
        </w:rPr>
        <w:t xml:space="preserve">range </w:t>
      </w:r>
      <w:r w:rsidR="00FC5722">
        <w:rPr>
          <w:rFonts w:ascii="Franklin Gothic Book" w:eastAsiaTheme="minorHAnsi" w:hAnsi="Franklin Gothic Book" w:cstheme="minorBidi"/>
          <w:iCs/>
          <w:color w:val="auto"/>
          <w:sz w:val="22"/>
          <w:szCs w:val="22"/>
        </w:rPr>
        <w:t xml:space="preserve">is lower than the </w:t>
      </w:r>
      <w:r w:rsidR="00FC5722">
        <w:rPr>
          <w:rFonts w:ascii="Franklin Gothic Book" w:hAnsi="Franklin Gothic Book"/>
          <w:sz w:val="22"/>
          <w:szCs w:val="22"/>
        </w:rPr>
        <w:t>$1,144</w:t>
      </w:r>
      <w:r w:rsidR="00FC5722" w:rsidRPr="00264776">
        <w:rPr>
          <w:rFonts w:ascii="Franklin Gothic Book" w:hAnsi="Franklin Gothic Book"/>
          <w:sz w:val="22"/>
          <w:szCs w:val="22"/>
        </w:rPr>
        <w:t xml:space="preserve"> per diagnosis </w:t>
      </w:r>
      <w:r w:rsidR="00FC5722">
        <w:rPr>
          <w:rFonts w:ascii="Franklin Gothic Book" w:hAnsi="Franklin Gothic Book"/>
          <w:sz w:val="22"/>
          <w:szCs w:val="22"/>
        </w:rPr>
        <w:t xml:space="preserve">for the </w:t>
      </w:r>
      <w:r w:rsidR="003B6117">
        <w:rPr>
          <w:rFonts w:ascii="Franklin Gothic Book" w:hAnsi="Franklin Gothic Book"/>
          <w:sz w:val="22"/>
          <w:szCs w:val="22"/>
        </w:rPr>
        <w:t>1585 gene panel test.</w:t>
      </w:r>
    </w:p>
    <w:p w14:paraId="426FE446" w14:textId="0443ABC6" w:rsidR="00B83362" w:rsidRDefault="00B83362" w:rsidP="00B83362">
      <w:pPr>
        <w:pStyle w:val="Default"/>
        <w:spacing w:after="240"/>
        <w:rPr>
          <w:rFonts w:ascii="Franklin Gothic Book" w:eastAsiaTheme="minorHAnsi" w:hAnsi="Franklin Gothic Book" w:cstheme="minorBidi"/>
          <w:iCs/>
          <w:color w:val="auto"/>
          <w:sz w:val="22"/>
          <w:szCs w:val="22"/>
        </w:rPr>
      </w:pPr>
      <w:r>
        <w:rPr>
          <w:rFonts w:ascii="Franklin Gothic Book" w:eastAsiaTheme="minorHAnsi" w:hAnsi="Franklin Gothic Book" w:cstheme="minorBidi"/>
          <w:iCs/>
          <w:color w:val="auto"/>
          <w:sz w:val="22"/>
          <w:szCs w:val="22"/>
        </w:rPr>
        <w:t xml:space="preserve">The MSAC Executive noted that the population receiving SGTs does not overlap with those patients who can receive the gene panel upfront, as SGTs are proposed for fifteen NMDs that have relatively constrained phenotypes, in contrast to the gene panel for discriminating between phenotypes that cannot be readily distinguished. The MSAC Executive considered that clinical acumen would therefore be a component of the DY, which it noted was uncertain but estimated </w:t>
      </w:r>
      <w:r>
        <w:rPr>
          <w:rFonts w:ascii="Franklin Gothic Book" w:eastAsiaTheme="minorHAnsi" w:hAnsi="Franklin Gothic Book" w:cstheme="minorBidi"/>
          <w:iCs/>
          <w:color w:val="auto"/>
          <w:sz w:val="22"/>
          <w:szCs w:val="22"/>
        </w:rPr>
        <w:lastRenderedPageBreak/>
        <w:t>at 60% to 95%. The MSAC Executive noted that where a patient tested negative on a SGT or SGTs, they may then proceed to the panel and test positive to a mimic condition there, so there would be some overlap with the population of patients eligible for the gene panel after first line SGT.</w:t>
      </w:r>
    </w:p>
    <w:p w14:paraId="44470DCC" w14:textId="3CB96A6C" w:rsidR="00B83362" w:rsidRDefault="00B83362" w:rsidP="001326EB">
      <w:pPr>
        <w:pStyle w:val="Default"/>
        <w:spacing w:after="240"/>
        <w:rPr>
          <w:rFonts w:ascii="Franklin Gothic Book" w:eastAsiaTheme="minorHAnsi" w:hAnsi="Franklin Gothic Book" w:cstheme="minorBidi"/>
          <w:iCs/>
          <w:color w:val="auto"/>
          <w:sz w:val="22"/>
          <w:szCs w:val="22"/>
        </w:rPr>
      </w:pPr>
      <w:r w:rsidRPr="00B83362">
        <w:rPr>
          <w:rFonts w:ascii="Franklin Gothic Book" w:eastAsiaTheme="minorHAnsi" w:hAnsi="Franklin Gothic Book" w:cstheme="minorBidi"/>
          <w:iCs/>
          <w:color w:val="auto"/>
          <w:sz w:val="22"/>
          <w:szCs w:val="22"/>
        </w:rPr>
        <w:t xml:space="preserve">The </w:t>
      </w:r>
      <w:r>
        <w:rPr>
          <w:rFonts w:ascii="Franklin Gothic Book" w:eastAsiaTheme="minorHAnsi" w:hAnsi="Franklin Gothic Book" w:cstheme="minorBidi"/>
          <w:iCs/>
          <w:color w:val="auto"/>
          <w:sz w:val="22"/>
          <w:szCs w:val="22"/>
        </w:rPr>
        <w:t xml:space="preserve">MSAC Executive noted that the </w:t>
      </w:r>
      <w:r w:rsidRPr="00B83362">
        <w:rPr>
          <w:rFonts w:ascii="Franklin Gothic Book" w:eastAsiaTheme="minorHAnsi" w:hAnsi="Franklin Gothic Book" w:cstheme="minorBidi"/>
          <w:iCs/>
          <w:color w:val="auto"/>
          <w:sz w:val="22"/>
          <w:szCs w:val="22"/>
        </w:rPr>
        <w:t>estimated</w:t>
      </w:r>
      <w:r>
        <w:rPr>
          <w:rFonts w:ascii="Franklin Gothic Book" w:eastAsiaTheme="minorHAnsi" w:hAnsi="Franklin Gothic Book" w:cstheme="minorBidi"/>
          <w:iCs/>
          <w:color w:val="auto"/>
          <w:sz w:val="22"/>
          <w:szCs w:val="22"/>
        </w:rPr>
        <w:t xml:space="preserve"> </w:t>
      </w:r>
      <w:r w:rsidR="0072285D">
        <w:rPr>
          <w:rFonts w:ascii="Franklin Gothic Book" w:eastAsiaTheme="minorHAnsi" w:hAnsi="Franklin Gothic Book" w:cstheme="minorBidi"/>
          <w:iCs/>
          <w:color w:val="auto"/>
          <w:sz w:val="22"/>
          <w:szCs w:val="22"/>
        </w:rPr>
        <w:t xml:space="preserve">total </w:t>
      </w:r>
      <w:r>
        <w:rPr>
          <w:rFonts w:ascii="Franklin Gothic Book" w:eastAsiaTheme="minorHAnsi" w:hAnsi="Franklin Gothic Book" w:cstheme="minorBidi"/>
          <w:iCs/>
          <w:color w:val="auto"/>
          <w:sz w:val="22"/>
          <w:szCs w:val="22"/>
        </w:rPr>
        <w:t>financial</w:t>
      </w:r>
      <w:r w:rsidRPr="00B83362">
        <w:rPr>
          <w:rFonts w:ascii="Franklin Gothic Book" w:eastAsiaTheme="minorHAnsi" w:hAnsi="Franklin Gothic Book" w:cstheme="minorBidi"/>
          <w:iCs/>
          <w:color w:val="auto"/>
          <w:sz w:val="22"/>
          <w:szCs w:val="22"/>
        </w:rPr>
        <w:t xml:space="preserve"> </w:t>
      </w:r>
      <w:r>
        <w:rPr>
          <w:rFonts w:ascii="Franklin Gothic Book" w:eastAsiaTheme="minorHAnsi" w:hAnsi="Franklin Gothic Book" w:cstheme="minorBidi"/>
          <w:iCs/>
          <w:color w:val="auto"/>
          <w:sz w:val="22"/>
          <w:szCs w:val="22"/>
        </w:rPr>
        <w:t>cost</w:t>
      </w:r>
      <w:r w:rsidRPr="00B83362">
        <w:rPr>
          <w:rFonts w:ascii="Franklin Gothic Book" w:eastAsiaTheme="minorHAnsi" w:hAnsi="Franklin Gothic Book" w:cstheme="minorBidi"/>
          <w:iCs/>
          <w:color w:val="auto"/>
          <w:sz w:val="22"/>
          <w:szCs w:val="22"/>
        </w:rPr>
        <w:t xml:space="preserve"> of SGT</w:t>
      </w:r>
      <w:r>
        <w:rPr>
          <w:rFonts w:ascii="Franklin Gothic Book" w:eastAsiaTheme="minorHAnsi" w:hAnsi="Franklin Gothic Book" w:cstheme="minorBidi"/>
          <w:iCs/>
          <w:color w:val="auto"/>
          <w:sz w:val="22"/>
          <w:szCs w:val="22"/>
        </w:rPr>
        <w:t>s</w:t>
      </w:r>
      <w:r w:rsidRPr="00B83362">
        <w:rPr>
          <w:rFonts w:ascii="Franklin Gothic Book" w:eastAsiaTheme="minorHAnsi" w:hAnsi="Franklin Gothic Book" w:cstheme="minorBidi"/>
          <w:iCs/>
          <w:color w:val="auto"/>
          <w:sz w:val="22"/>
          <w:szCs w:val="22"/>
        </w:rPr>
        <w:t xml:space="preserve"> for the fifteen conditions ranges from $</w:t>
      </w:r>
      <w:r w:rsidR="0054134A">
        <w:rPr>
          <w:rFonts w:ascii="Franklin Gothic Book" w:eastAsiaTheme="minorHAnsi" w:hAnsi="Franklin Gothic Book" w:cstheme="minorBidi"/>
          <w:iCs/>
          <w:color w:val="auto"/>
          <w:sz w:val="22"/>
          <w:szCs w:val="22"/>
        </w:rPr>
        <w:t>5.</w:t>
      </w:r>
      <w:r w:rsidR="00C235EB">
        <w:rPr>
          <w:rFonts w:ascii="Franklin Gothic Book" w:eastAsiaTheme="minorHAnsi" w:hAnsi="Franklin Gothic Book" w:cstheme="minorBidi"/>
          <w:iCs/>
          <w:color w:val="auto"/>
          <w:sz w:val="22"/>
          <w:szCs w:val="22"/>
        </w:rPr>
        <w:t>2</w:t>
      </w:r>
      <w:r w:rsidRPr="00B83362">
        <w:rPr>
          <w:rFonts w:ascii="Franklin Gothic Book" w:eastAsiaTheme="minorHAnsi" w:hAnsi="Franklin Gothic Book" w:cstheme="minorBidi"/>
          <w:iCs/>
          <w:color w:val="auto"/>
          <w:sz w:val="22"/>
          <w:szCs w:val="22"/>
        </w:rPr>
        <w:t xml:space="preserve"> million to $</w:t>
      </w:r>
      <w:r w:rsidR="00FE12E8">
        <w:rPr>
          <w:rFonts w:ascii="Franklin Gothic Book" w:eastAsiaTheme="minorHAnsi" w:hAnsi="Franklin Gothic Book" w:cstheme="minorBidi"/>
          <w:iCs/>
          <w:color w:val="auto"/>
          <w:sz w:val="22"/>
          <w:szCs w:val="22"/>
        </w:rPr>
        <w:t>9</w:t>
      </w:r>
      <w:r w:rsidR="0072285D">
        <w:rPr>
          <w:rFonts w:ascii="Franklin Gothic Book" w:eastAsiaTheme="minorHAnsi" w:hAnsi="Franklin Gothic Book" w:cstheme="minorBidi"/>
          <w:iCs/>
          <w:color w:val="auto"/>
          <w:sz w:val="22"/>
          <w:szCs w:val="22"/>
        </w:rPr>
        <w:t>.9</w:t>
      </w:r>
      <w:r w:rsidRPr="00B83362">
        <w:rPr>
          <w:rFonts w:ascii="Franklin Gothic Book" w:eastAsiaTheme="minorHAnsi" w:hAnsi="Franklin Gothic Book" w:cstheme="minorBidi"/>
          <w:iCs/>
          <w:color w:val="auto"/>
          <w:sz w:val="22"/>
          <w:szCs w:val="22"/>
        </w:rPr>
        <w:t xml:space="preserve"> million over a six-year period, depending on </w:t>
      </w:r>
      <w:r>
        <w:rPr>
          <w:rFonts w:ascii="Franklin Gothic Book" w:eastAsiaTheme="minorHAnsi" w:hAnsi="Franklin Gothic Book" w:cstheme="minorBidi"/>
          <w:iCs/>
          <w:color w:val="auto"/>
          <w:sz w:val="22"/>
          <w:szCs w:val="22"/>
        </w:rPr>
        <w:t>DY</w:t>
      </w:r>
      <w:r w:rsidR="00FE12E8">
        <w:rPr>
          <w:rFonts w:ascii="Franklin Gothic Book" w:eastAsiaTheme="minorHAnsi" w:hAnsi="Franklin Gothic Book" w:cstheme="minorBidi"/>
          <w:iCs/>
          <w:color w:val="auto"/>
          <w:sz w:val="22"/>
          <w:szCs w:val="22"/>
        </w:rPr>
        <w:t xml:space="preserve"> (highest estimate and lowest estimate of DY, respectively</w:t>
      </w:r>
      <w:r w:rsidRPr="00B83362">
        <w:rPr>
          <w:rFonts w:ascii="Franklin Gothic Book" w:eastAsiaTheme="minorHAnsi" w:hAnsi="Franklin Gothic Book" w:cstheme="minorBidi"/>
          <w:iCs/>
          <w:color w:val="auto"/>
          <w:sz w:val="22"/>
          <w:szCs w:val="22"/>
        </w:rPr>
        <w:t xml:space="preserve">. </w:t>
      </w:r>
      <w:r w:rsidR="0072285D">
        <w:rPr>
          <w:rFonts w:ascii="Franklin Gothic Book" w:eastAsiaTheme="minorHAnsi" w:hAnsi="Franklin Gothic Book" w:cstheme="minorBidi"/>
          <w:iCs/>
          <w:color w:val="auto"/>
          <w:sz w:val="22"/>
          <w:szCs w:val="22"/>
        </w:rPr>
        <w:t xml:space="preserve">In the base case with highest DY, this is comprised of a net cost to the MBS of $12.9 million over six years, and a cost-offset of biopsy day admission costs of -$7.7 million over six years. </w:t>
      </w:r>
      <w:r>
        <w:rPr>
          <w:rFonts w:ascii="Franklin Gothic Book" w:eastAsiaTheme="minorHAnsi" w:hAnsi="Franklin Gothic Book" w:cstheme="minorBidi"/>
          <w:iCs/>
          <w:color w:val="auto"/>
          <w:sz w:val="22"/>
          <w:szCs w:val="22"/>
        </w:rPr>
        <w:t xml:space="preserve">The MSAC Executive considered that the cost-offsets have </w:t>
      </w:r>
      <w:r w:rsidR="006B1A66">
        <w:rPr>
          <w:rFonts w:ascii="Franklin Gothic Book" w:eastAsiaTheme="minorHAnsi" w:hAnsi="Franklin Gothic Book" w:cstheme="minorBidi"/>
          <w:iCs/>
          <w:color w:val="auto"/>
          <w:sz w:val="22"/>
          <w:szCs w:val="22"/>
        </w:rPr>
        <w:t xml:space="preserve">likely </w:t>
      </w:r>
      <w:r>
        <w:rPr>
          <w:rFonts w:ascii="Franklin Gothic Book" w:eastAsiaTheme="minorHAnsi" w:hAnsi="Franklin Gothic Book" w:cstheme="minorBidi"/>
          <w:iCs/>
          <w:color w:val="auto"/>
          <w:sz w:val="22"/>
          <w:szCs w:val="22"/>
        </w:rPr>
        <w:t xml:space="preserve">been over-estimated, as some patients would test negative on both SGT and </w:t>
      </w:r>
      <w:r w:rsidR="000A1D7B">
        <w:rPr>
          <w:rFonts w:ascii="Franklin Gothic Book" w:eastAsiaTheme="minorHAnsi" w:hAnsi="Franklin Gothic Book" w:cstheme="minorBidi"/>
          <w:iCs/>
          <w:color w:val="auto"/>
          <w:sz w:val="22"/>
          <w:szCs w:val="22"/>
        </w:rPr>
        <w:t xml:space="preserve">the </w:t>
      </w:r>
      <w:r>
        <w:rPr>
          <w:rFonts w:ascii="Franklin Gothic Book" w:eastAsiaTheme="minorHAnsi" w:hAnsi="Franklin Gothic Book" w:cstheme="minorBidi"/>
          <w:iCs/>
          <w:color w:val="auto"/>
          <w:sz w:val="22"/>
          <w:szCs w:val="22"/>
        </w:rPr>
        <w:t xml:space="preserve">gene panel, and </w:t>
      </w:r>
      <w:r w:rsidR="000A1D7B">
        <w:rPr>
          <w:rFonts w:ascii="Franklin Gothic Book" w:eastAsiaTheme="minorHAnsi" w:hAnsi="Franklin Gothic Book" w:cstheme="minorBidi"/>
          <w:iCs/>
          <w:color w:val="auto"/>
          <w:sz w:val="22"/>
          <w:szCs w:val="22"/>
        </w:rPr>
        <w:t xml:space="preserve">so will </w:t>
      </w:r>
      <w:r>
        <w:rPr>
          <w:rFonts w:ascii="Franklin Gothic Book" w:eastAsiaTheme="minorHAnsi" w:hAnsi="Franklin Gothic Book" w:cstheme="minorBidi"/>
          <w:iCs/>
          <w:color w:val="auto"/>
          <w:sz w:val="22"/>
          <w:szCs w:val="22"/>
        </w:rPr>
        <w:t xml:space="preserve">still receive </w:t>
      </w:r>
      <w:r w:rsidR="000A1D7B">
        <w:rPr>
          <w:rFonts w:ascii="Franklin Gothic Book" w:eastAsiaTheme="minorHAnsi" w:hAnsi="Franklin Gothic Book" w:cstheme="minorBidi"/>
          <w:iCs/>
          <w:color w:val="auto"/>
          <w:sz w:val="22"/>
          <w:szCs w:val="22"/>
        </w:rPr>
        <w:t xml:space="preserve">a </w:t>
      </w:r>
      <w:r>
        <w:rPr>
          <w:rFonts w:ascii="Franklin Gothic Book" w:eastAsiaTheme="minorHAnsi" w:hAnsi="Franklin Gothic Book" w:cstheme="minorBidi"/>
          <w:iCs/>
          <w:color w:val="auto"/>
          <w:sz w:val="22"/>
          <w:szCs w:val="22"/>
        </w:rPr>
        <w:t>muscle</w:t>
      </w:r>
      <w:r w:rsidR="000A1D7B">
        <w:rPr>
          <w:rFonts w:ascii="Franklin Gothic Book" w:eastAsiaTheme="minorHAnsi" w:hAnsi="Franklin Gothic Book" w:cstheme="minorBidi"/>
          <w:iCs/>
          <w:color w:val="auto"/>
          <w:sz w:val="22"/>
          <w:szCs w:val="22"/>
        </w:rPr>
        <w:t>/</w:t>
      </w:r>
      <w:r>
        <w:rPr>
          <w:rFonts w:ascii="Franklin Gothic Book" w:eastAsiaTheme="minorHAnsi" w:hAnsi="Franklin Gothic Book" w:cstheme="minorBidi"/>
          <w:iCs/>
          <w:color w:val="auto"/>
          <w:sz w:val="22"/>
          <w:szCs w:val="22"/>
        </w:rPr>
        <w:t>nerve biops</w:t>
      </w:r>
      <w:r w:rsidR="000A1D7B">
        <w:rPr>
          <w:rFonts w:ascii="Franklin Gothic Book" w:eastAsiaTheme="minorHAnsi" w:hAnsi="Franklin Gothic Book" w:cstheme="minorBidi"/>
          <w:iCs/>
          <w:color w:val="auto"/>
          <w:sz w:val="22"/>
          <w:szCs w:val="22"/>
        </w:rPr>
        <w:t>y</w:t>
      </w:r>
      <w:r>
        <w:rPr>
          <w:rFonts w:ascii="Franklin Gothic Book" w:eastAsiaTheme="minorHAnsi" w:hAnsi="Franklin Gothic Book" w:cstheme="minorBidi"/>
          <w:iCs/>
          <w:color w:val="auto"/>
          <w:sz w:val="22"/>
          <w:szCs w:val="22"/>
        </w:rPr>
        <w:t xml:space="preserve">. </w:t>
      </w:r>
      <w:r w:rsidR="00D75654">
        <w:rPr>
          <w:rFonts w:ascii="Franklin Gothic Book" w:eastAsiaTheme="minorHAnsi" w:hAnsi="Franklin Gothic Book" w:cstheme="minorBidi"/>
          <w:iCs/>
          <w:color w:val="auto"/>
          <w:sz w:val="22"/>
          <w:szCs w:val="22"/>
        </w:rPr>
        <w:t>I</w:t>
      </w:r>
      <w:r w:rsidR="000A1D7B">
        <w:rPr>
          <w:rFonts w:ascii="Franklin Gothic Book" w:eastAsiaTheme="minorHAnsi" w:hAnsi="Franklin Gothic Book" w:cstheme="minorBidi"/>
          <w:iCs/>
          <w:color w:val="auto"/>
          <w:sz w:val="22"/>
          <w:szCs w:val="22"/>
        </w:rPr>
        <w:t>f</w:t>
      </w:r>
      <w:r>
        <w:rPr>
          <w:rFonts w:ascii="Franklin Gothic Book" w:eastAsiaTheme="minorHAnsi" w:hAnsi="Franklin Gothic Book" w:cstheme="minorBidi"/>
          <w:iCs/>
          <w:color w:val="auto"/>
          <w:sz w:val="22"/>
          <w:szCs w:val="22"/>
        </w:rPr>
        <w:t xml:space="preserve"> the DY is towards the lower end of the estimated range, the proportion of offsets that are unrealised would </w:t>
      </w:r>
      <w:r w:rsidR="00D75654">
        <w:rPr>
          <w:rFonts w:ascii="Franklin Gothic Book" w:eastAsiaTheme="minorHAnsi" w:hAnsi="Franklin Gothic Book" w:cstheme="minorBidi"/>
          <w:iCs/>
          <w:color w:val="auto"/>
          <w:sz w:val="22"/>
          <w:szCs w:val="22"/>
        </w:rPr>
        <w:t xml:space="preserve">still </w:t>
      </w:r>
      <w:r>
        <w:rPr>
          <w:rFonts w:ascii="Franklin Gothic Book" w:eastAsiaTheme="minorHAnsi" w:hAnsi="Franklin Gothic Book" w:cstheme="minorBidi"/>
          <w:iCs/>
          <w:color w:val="auto"/>
          <w:sz w:val="22"/>
          <w:szCs w:val="22"/>
        </w:rPr>
        <w:t>be moderate</w:t>
      </w:r>
      <w:r w:rsidR="00D75654">
        <w:rPr>
          <w:rFonts w:ascii="Franklin Gothic Book" w:eastAsiaTheme="minorHAnsi" w:hAnsi="Franklin Gothic Book" w:cstheme="minorBidi"/>
          <w:iCs/>
          <w:color w:val="auto"/>
          <w:sz w:val="22"/>
          <w:szCs w:val="22"/>
        </w:rPr>
        <w:t xml:space="preserve">, as there </w:t>
      </w:r>
      <w:r w:rsidR="004702AD">
        <w:rPr>
          <w:rFonts w:ascii="Franklin Gothic Book" w:eastAsiaTheme="minorHAnsi" w:hAnsi="Franklin Gothic Book" w:cstheme="minorBidi"/>
          <w:iCs/>
          <w:color w:val="auto"/>
          <w:sz w:val="22"/>
          <w:szCs w:val="22"/>
        </w:rPr>
        <w:t>would be</w:t>
      </w:r>
      <w:r w:rsidR="00D75654">
        <w:rPr>
          <w:rFonts w:ascii="Franklin Gothic Book" w:eastAsiaTheme="minorHAnsi" w:hAnsi="Franklin Gothic Book" w:cstheme="minorBidi"/>
          <w:iCs/>
          <w:color w:val="auto"/>
          <w:sz w:val="22"/>
          <w:szCs w:val="22"/>
        </w:rPr>
        <w:t xml:space="preserve"> an estimated 664</w:t>
      </w:r>
      <w:r w:rsidR="004702AD">
        <w:rPr>
          <w:rFonts w:ascii="Franklin Gothic Book" w:eastAsiaTheme="minorHAnsi" w:hAnsi="Franklin Gothic Book" w:cstheme="minorBidi"/>
          <w:iCs/>
          <w:color w:val="auto"/>
          <w:sz w:val="22"/>
          <w:szCs w:val="22"/>
        </w:rPr>
        <w:t xml:space="preserve"> of the 2</w:t>
      </w:r>
      <w:r w:rsidR="00330A60">
        <w:rPr>
          <w:rFonts w:ascii="Franklin Gothic Book" w:eastAsiaTheme="minorHAnsi" w:hAnsi="Franklin Gothic Book" w:cstheme="minorBidi"/>
          <w:iCs/>
          <w:color w:val="auto"/>
          <w:sz w:val="22"/>
          <w:szCs w:val="22"/>
        </w:rPr>
        <w:t>,</w:t>
      </w:r>
      <w:r w:rsidR="004702AD">
        <w:rPr>
          <w:rFonts w:ascii="Franklin Gothic Book" w:eastAsiaTheme="minorHAnsi" w:hAnsi="Franklin Gothic Book" w:cstheme="minorBidi"/>
          <w:iCs/>
          <w:color w:val="auto"/>
          <w:sz w:val="22"/>
          <w:szCs w:val="22"/>
        </w:rPr>
        <w:t>076</w:t>
      </w:r>
      <w:r w:rsidR="00D75654">
        <w:rPr>
          <w:rFonts w:ascii="Franklin Gothic Book" w:eastAsiaTheme="minorHAnsi" w:hAnsi="Franklin Gothic Book" w:cstheme="minorBidi"/>
          <w:iCs/>
          <w:color w:val="auto"/>
          <w:sz w:val="22"/>
          <w:szCs w:val="22"/>
        </w:rPr>
        <w:t xml:space="preserve"> patients remaining without a genetic diagnosis eligible for biopsy</w:t>
      </w:r>
      <w:r>
        <w:rPr>
          <w:rFonts w:ascii="Franklin Gothic Book" w:eastAsiaTheme="minorHAnsi" w:hAnsi="Franklin Gothic Book" w:cstheme="minorBidi"/>
          <w:iCs/>
          <w:color w:val="auto"/>
          <w:sz w:val="22"/>
          <w:szCs w:val="22"/>
        </w:rPr>
        <w:t>.</w:t>
      </w:r>
      <w:r w:rsidR="006B1A66">
        <w:rPr>
          <w:rFonts w:ascii="Franklin Gothic Book" w:eastAsiaTheme="minorHAnsi" w:hAnsi="Franklin Gothic Book" w:cstheme="minorBidi"/>
          <w:iCs/>
          <w:color w:val="auto"/>
          <w:sz w:val="22"/>
          <w:szCs w:val="22"/>
        </w:rPr>
        <w:t xml:space="preserve"> Nevertheless, the MSAC Executive advised the net financial impact to be acceptable.</w:t>
      </w:r>
    </w:p>
    <w:p w14:paraId="67B77160" w14:textId="7F6AEE5B" w:rsidR="00E655AA" w:rsidRDefault="00E655AA" w:rsidP="001326EB">
      <w:pPr>
        <w:pStyle w:val="Default"/>
        <w:spacing w:after="240"/>
        <w:rPr>
          <w:rFonts w:ascii="Franklin Gothic Book" w:eastAsiaTheme="minorHAnsi" w:hAnsi="Franklin Gothic Book" w:cstheme="minorBidi"/>
          <w:iCs/>
          <w:color w:val="auto"/>
          <w:sz w:val="22"/>
          <w:szCs w:val="22"/>
        </w:rPr>
      </w:pPr>
      <w:r>
        <w:rPr>
          <w:rFonts w:ascii="Franklin Gothic Book" w:eastAsiaTheme="minorHAnsi" w:hAnsi="Franklin Gothic Book" w:cstheme="minorBidi"/>
          <w:iCs/>
          <w:color w:val="auto"/>
          <w:sz w:val="22"/>
          <w:szCs w:val="22"/>
        </w:rPr>
        <w:t xml:space="preserve">The MSAC Executive noted that the items MSAC had previously supported under the main 1585 assessment are scheduled to be listed on the MBS on 1 November 2022, and considered that it was important that the SGT (or SGTs) be conducted prior to the gene panel test, where applicable. The MSAC Executive </w:t>
      </w:r>
      <w:r w:rsidR="0069560D">
        <w:rPr>
          <w:rFonts w:ascii="Franklin Gothic Book" w:eastAsiaTheme="minorHAnsi" w:hAnsi="Franklin Gothic Book" w:cstheme="minorBidi"/>
          <w:iCs/>
          <w:color w:val="auto"/>
          <w:sz w:val="22"/>
          <w:szCs w:val="22"/>
        </w:rPr>
        <w:t>noted</w:t>
      </w:r>
      <w:r w:rsidR="006F303F">
        <w:rPr>
          <w:rFonts w:ascii="Franklin Gothic Book" w:eastAsiaTheme="minorHAnsi" w:hAnsi="Franklin Gothic Book" w:cstheme="minorBidi"/>
          <w:iCs/>
          <w:color w:val="auto"/>
          <w:sz w:val="22"/>
          <w:szCs w:val="22"/>
        </w:rPr>
        <w:t xml:space="preserve"> that</w:t>
      </w:r>
      <w:r>
        <w:rPr>
          <w:rFonts w:ascii="Franklin Gothic Book" w:eastAsiaTheme="minorHAnsi" w:hAnsi="Franklin Gothic Book" w:cstheme="minorBidi"/>
          <w:iCs/>
          <w:color w:val="auto"/>
          <w:sz w:val="22"/>
          <w:szCs w:val="22"/>
        </w:rPr>
        <w:t xml:space="preserve"> this would be addressed by the practice note </w:t>
      </w:r>
      <w:r w:rsidR="0069560D">
        <w:rPr>
          <w:rFonts w:ascii="Franklin Gothic Book" w:eastAsiaTheme="minorHAnsi" w:hAnsi="Franklin Gothic Book" w:cstheme="minorBidi"/>
          <w:iCs/>
          <w:color w:val="auto"/>
          <w:sz w:val="22"/>
          <w:szCs w:val="22"/>
        </w:rPr>
        <w:t xml:space="preserve">already </w:t>
      </w:r>
      <w:r w:rsidR="006F303F">
        <w:rPr>
          <w:rFonts w:ascii="Franklin Gothic Book" w:eastAsiaTheme="minorHAnsi" w:hAnsi="Franklin Gothic Book" w:cstheme="minorBidi"/>
          <w:iCs/>
          <w:color w:val="auto"/>
          <w:sz w:val="22"/>
          <w:szCs w:val="22"/>
        </w:rPr>
        <w:t xml:space="preserve">supported </w:t>
      </w:r>
      <w:r>
        <w:rPr>
          <w:rFonts w:ascii="Franklin Gothic Book" w:eastAsiaTheme="minorHAnsi" w:hAnsi="Franklin Gothic Book" w:cstheme="minorBidi"/>
          <w:iCs/>
          <w:color w:val="auto"/>
          <w:sz w:val="22"/>
          <w:szCs w:val="22"/>
        </w:rPr>
        <w:t>for gene panel</w:t>
      </w:r>
      <w:r w:rsidR="006F303F">
        <w:rPr>
          <w:rFonts w:ascii="Franklin Gothic Book" w:eastAsiaTheme="minorHAnsi" w:hAnsi="Franklin Gothic Book" w:cstheme="minorBidi"/>
          <w:iCs/>
          <w:color w:val="auto"/>
          <w:sz w:val="22"/>
          <w:szCs w:val="22"/>
        </w:rPr>
        <w:t xml:space="preserve"> testing item (AAAA in the 1585 main assessment)</w:t>
      </w:r>
      <w:r>
        <w:rPr>
          <w:rFonts w:ascii="Franklin Gothic Book" w:eastAsiaTheme="minorHAnsi" w:hAnsi="Franklin Gothic Book" w:cstheme="minorBidi"/>
          <w:iCs/>
          <w:color w:val="auto"/>
          <w:sz w:val="22"/>
          <w:szCs w:val="22"/>
        </w:rPr>
        <w:t>:</w:t>
      </w:r>
    </w:p>
    <w:p w14:paraId="19724D9A" w14:textId="77777777" w:rsidR="00E655AA" w:rsidRPr="00E655AA" w:rsidRDefault="00E655AA" w:rsidP="00E655AA">
      <w:pPr>
        <w:pStyle w:val="TableText1"/>
        <w:rPr>
          <w:sz w:val="22"/>
          <w:szCs w:val="24"/>
        </w:rPr>
      </w:pPr>
      <w:r w:rsidRPr="00E655AA">
        <w:rPr>
          <w:sz w:val="22"/>
          <w:szCs w:val="24"/>
        </w:rPr>
        <w:t>Practice notes:</w:t>
      </w:r>
    </w:p>
    <w:p w14:paraId="397C0DFA" w14:textId="77777777" w:rsidR="00E655AA" w:rsidRPr="00E655AA" w:rsidRDefault="00E655AA" w:rsidP="00E655AA">
      <w:pPr>
        <w:pStyle w:val="TableText1"/>
        <w:ind w:left="720"/>
        <w:rPr>
          <w:sz w:val="22"/>
          <w:szCs w:val="24"/>
        </w:rPr>
      </w:pPr>
      <w:r w:rsidRPr="00E655AA">
        <w:rPr>
          <w:sz w:val="22"/>
          <w:szCs w:val="24"/>
        </w:rPr>
        <w:t>PN.15.1</w:t>
      </w:r>
    </w:p>
    <w:p w14:paraId="1FAE2612" w14:textId="450DB240" w:rsidR="00E655AA" w:rsidRPr="00E655AA" w:rsidRDefault="00E655AA" w:rsidP="00E655AA">
      <w:pPr>
        <w:pStyle w:val="TableText1"/>
        <w:spacing w:after="240"/>
        <w:ind w:left="720"/>
        <w:rPr>
          <w:sz w:val="22"/>
          <w:szCs w:val="24"/>
        </w:rPr>
      </w:pPr>
      <w:r w:rsidRPr="00E655AA">
        <w:rPr>
          <w:sz w:val="22"/>
          <w:szCs w:val="24"/>
        </w:rPr>
        <w:t xml:space="preserve">Single gene tests for variants that are not detectable using NGS methods (such as in </w:t>
      </w:r>
      <w:r w:rsidRPr="006F303F">
        <w:rPr>
          <w:i/>
          <w:iCs/>
          <w:sz w:val="22"/>
          <w:szCs w:val="24"/>
        </w:rPr>
        <w:t>SMN1</w:t>
      </w:r>
      <w:r w:rsidRPr="00E655AA">
        <w:rPr>
          <w:sz w:val="22"/>
          <w:szCs w:val="24"/>
        </w:rPr>
        <w:t xml:space="preserve">, </w:t>
      </w:r>
      <w:r w:rsidRPr="006F303F">
        <w:rPr>
          <w:i/>
          <w:iCs/>
          <w:sz w:val="22"/>
          <w:szCs w:val="24"/>
        </w:rPr>
        <w:t>DMPK1</w:t>
      </w:r>
      <w:r w:rsidRPr="00E655AA">
        <w:rPr>
          <w:sz w:val="22"/>
          <w:szCs w:val="24"/>
        </w:rPr>
        <w:t xml:space="preserve">, </w:t>
      </w:r>
      <w:r w:rsidRPr="006F303F">
        <w:rPr>
          <w:i/>
          <w:iCs/>
          <w:sz w:val="22"/>
          <w:szCs w:val="24"/>
        </w:rPr>
        <w:t>DUX4</w:t>
      </w:r>
      <w:r w:rsidRPr="00E655AA">
        <w:rPr>
          <w:sz w:val="22"/>
          <w:szCs w:val="24"/>
        </w:rPr>
        <w:t xml:space="preserve"> or </w:t>
      </w:r>
      <w:r w:rsidRPr="006F303F">
        <w:rPr>
          <w:i/>
          <w:iCs/>
          <w:sz w:val="22"/>
          <w:szCs w:val="24"/>
        </w:rPr>
        <w:t>DMD</w:t>
      </w:r>
      <w:r w:rsidRPr="00E655AA">
        <w:rPr>
          <w:sz w:val="22"/>
          <w:szCs w:val="24"/>
        </w:rPr>
        <w:t>) should be conducted before panel testing, where one of these NMDs is clinically suspected.</w:t>
      </w:r>
    </w:p>
    <w:p w14:paraId="6F821821" w14:textId="36231CF1" w:rsidR="00E655AA" w:rsidRDefault="00E655AA" w:rsidP="001326EB">
      <w:pPr>
        <w:pStyle w:val="Default"/>
        <w:spacing w:after="240"/>
        <w:rPr>
          <w:rFonts w:ascii="Franklin Gothic Book" w:eastAsiaTheme="minorHAnsi" w:hAnsi="Franklin Gothic Book" w:cstheme="minorBidi"/>
          <w:iCs/>
          <w:color w:val="auto"/>
          <w:sz w:val="22"/>
          <w:szCs w:val="22"/>
        </w:rPr>
      </w:pPr>
      <w:r>
        <w:rPr>
          <w:rFonts w:ascii="Franklin Gothic Book" w:eastAsiaTheme="minorHAnsi" w:hAnsi="Franklin Gothic Book" w:cstheme="minorBidi"/>
          <w:iCs/>
          <w:color w:val="auto"/>
          <w:sz w:val="22"/>
          <w:szCs w:val="22"/>
        </w:rPr>
        <w:t xml:space="preserve">The MSAC Executive noted the proposed item descriptors </w:t>
      </w:r>
      <w:r w:rsidR="000915FE">
        <w:rPr>
          <w:rFonts w:ascii="Franklin Gothic Book" w:eastAsiaTheme="minorHAnsi" w:hAnsi="Franklin Gothic Book" w:cstheme="minorBidi"/>
          <w:iCs/>
          <w:color w:val="auto"/>
          <w:sz w:val="22"/>
          <w:szCs w:val="22"/>
        </w:rPr>
        <w:t xml:space="preserve">grouped together the SGTs for multiple NMDs, and that it had been presented with the </w:t>
      </w:r>
      <w:r>
        <w:rPr>
          <w:rFonts w:ascii="Franklin Gothic Book" w:eastAsiaTheme="minorHAnsi" w:hAnsi="Franklin Gothic Book" w:cstheme="minorBidi"/>
          <w:iCs/>
          <w:color w:val="auto"/>
          <w:sz w:val="22"/>
          <w:szCs w:val="22"/>
        </w:rPr>
        <w:t xml:space="preserve">option </w:t>
      </w:r>
      <w:r w:rsidR="000915FE">
        <w:rPr>
          <w:rFonts w:ascii="Franklin Gothic Book" w:eastAsiaTheme="minorHAnsi" w:hAnsi="Franklin Gothic Book" w:cstheme="minorBidi"/>
          <w:iCs/>
          <w:color w:val="auto"/>
          <w:sz w:val="22"/>
          <w:szCs w:val="22"/>
        </w:rPr>
        <w:t>for</w:t>
      </w:r>
      <w:r>
        <w:rPr>
          <w:rFonts w:ascii="Franklin Gothic Book" w:eastAsiaTheme="minorHAnsi" w:hAnsi="Franklin Gothic Book" w:cstheme="minorBidi"/>
          <w:iCs/>
          <w:color w:val="auto"/>
          <w:sz w:val="22"/>
          <w:szCs w:val="22"/>
        </w:rPr>
        <w:t xml:space="preserve"> </w:t>
      </w:r>
      <w:r w:rsidR="00607988" w:rsidRPr="000915FE">
        <w:rPr>
          <w:rFonts w:ascii="Franklin Gothic Book" w:eastAsiaTheme="minorHAnsi" w:hAnsi="Franklin Gothic Book" w:cstheme="minorBidi"/>
          <w:i/>
          <w:color w:val="auto"/>
          <w:sz w:val="22"/>
          <w:szCs w:val="22"/>
        </w:rPr>
        <w:t>DUX4</w:t>
      </w:r>
      <w:r w:rsidR="00607988">
        <w:rPr>
          <w:rFonts w:ascii="Franklin Gothic Book" w:eastAsiaTheme="minorHAnsi" w:hAnsi="Franklin Gothic Book" w:cstheme="minorBidi"/>
          <w:iCs/>
          <w:color w:val="auto"/>
          <w:sz w:val="22"/>
          <w:szCs w:val="22"/>
        </w:rPr>
        <w:t xml:space="preserve"> testing to be provided separately, or </w:t>
      </w:r>
      <w:r w:rsidR="000915FE">
        <w:rPr>
          <w:rFonts w:ascii="Franklin Gothic Book" w:eastAsiaTheme="minorHAnsi" w:hAnsi="Franklin Gothic Book" w:cstheme="minorBidi"/>
          <w:iCs/>
          <w:color w:val="auto"/>
          <w:sz w:val="22"/>
          <w:szCs w:val="22"/>
        </w:rPr>
        <w:t xml:space="preserve">alternatively </w:t>
      </w:r>
      <w:r w:rsidR="00607988">
        <w:rPr>
          <w:rFonts w:ascii="Franklin Gothic Book" w:eastAsiaTheme="minorHAnsi" w:hAnsi="Franklin Gothic Book" w:cstheme="minorBidi"/>
          <w:iCs/>
          <w:color w:val="auto"/>
          <w:sz w:val="22"/>
          <w:szCs w:val="22"/>
        </w:rPr>
        <w:t xml:space="preserve">for it to be </w:t>
      </w:r>
      <w:r w:rsidR="000A1D7B">
        <w:rPr>
          <w:rFonts w:ascii="Franklin Gothic Book" w:eastAsiaTheme="minorHAnsi" w:hAnsi="Franklin Gothic Book" w:cstheme="minorBidi"/>
          <w:iCs/>
          <w:color w:val="auto"/>
          <w:sz w:val="22"/>
          <w:szCs w:val="22"/>
        </w:rPr>
        <w:t>combined in a single item descriptor</w:t>
      </w:r>
      <w:r w:rsidR="00607988">
        <w:rPr>
          <w:rFonts w:ascii="Franklin Gothic Book" w:eastAsiaTheme="minorHAnsi" w:hAnsi="Franklin Gothic Book" w:cstheme="minorBidi"/>
          <w:iCs/>
          <w:color w:val="auto"/>
          <w:sz w:val="22"/>
          <w:szCs w:val="22"/>
        </w:rPr>
        <w:t xml:space="preserve"> with the other NMD SGTs.</w:t>
      </w:r>
      <w:r w:rsidR="000915FE">
        <w:rPr>
          <w:rFonts w:ascii="Franklin Gothic Book" w:eastAsiaTheme="minorHAnsi" w:hAnsi="Franklin Gothic Book" w:cstheme="minorBidi"/>
          <w:iCs/>
          <w:color w:val="auto"/>
          <w:sz w:val="22"/>
          <w:szCs w:val="22"/>
        </w:rPr>
        <w:t xml:space="preserve"> The MSAC Executive noted the disparity between the fees proposed for the two items, and the RCPA’s justification for the increased fee for Southern blotting of </w:t>
      </w:r>
      <w:r w:rsidR="000915FE">
        <w:rPr>
          <w:rFonts w:ascii="Franklin Gothic Book" w:eastAsiaTheme="minorHAnsi" w:hAnsi="Franklin Gothic Book" w:cstheme="minorBidi"/>
          <w:i/>
          <w:color w:val="auto"/>
          <w:sz w:val="22"/>
          <w:szCs w:val="22"/>
        </w:rPr>
        <w:t xml:space="preserve">DUX4 </w:t>
      </w:r>
      <w:r w:rsidR="000915FE">
        <w:rPr>
          <w:rFonts w:ascii="Franklin Gothic Book" w:eastAsiaTheme="minorHAnsi" w:hAnsi="Franklin Gothic Book" w:cstheme="minorBidi"/>
          <w:iCs/>
          <w:color w:val="auto"/>
          <w:sz w:val="22"/>
          <w:szCs w:val="22"/>
        </w:rPr>
        <w:t xml:space="preserve">compared to </w:t>
      </w:r>
      <w:r w:rsidR="000915FE">
        <w:rPr>
          <w:rFonts w:ascii="Franklin Gothic Book" w:eastAsiaTheme="minorHAnsi" w:hAnsi="Franklin Gothic Book" w:cstheme="minorBidi"/>
          <w:i/>
          <w:color w:val="auto"/>
          <w:sz w:val="22"/>
          <w:szCs w:val="22"/>
        </w:rPr>
        <w:t>FMR1</w:t>
      </w:r>
      <w:r w:rsidR="000915FE">
        <w:rPr>
          <w:rFonts w:ascii="Franklin Gothic Book" w:eastAsiaTheme="minorHAnsi" w:hAnsi="Franklin Gothic Book" w:cstheme="minorBidi"/>
          <w:iCs/>
          <w:color w:val="auto"/>
          <w:sz w:val="22"/>
          <w:szCs w:val="22"/>
        </w:rPr>
        <w:t xml:space="preserve"> </w:t>
      </w:r>
      <w:r w:rsidR="000915FE" w:rsidRPr="000915FE">
        <w:rPr>
          <w:rFonts w:ascii="Franklin Gothic Book" w:eastAsiaTheme="minorHAnsi" w:hAnsi="Franklin Gothic Book" w:cstheme="minorBidi"/>
          <w:iCs/>
          <w:color w:val="auto"/>
          <w:sz w:val="22"/>
          <w:szCs w:val="22"/>
        </w:rPr>
        <w:t>($202.65, MBS item 73305)</w:t>
      </w:r>
      <w:r w:rsidR="000915FE">
        <w:rPr>
          <w:rFonts w:ascii="Franklin Gothic Book" w:eastAsiaTheme="minorHAnsi" w:hAnsi="Franklin Gothic Book" w:cstheme="minorBidi"/>
          <w:iCs/>
          <w:color w:val="auto"/>
          <w:sz w:val="22"/>
          <w:szCs w:val="22"/>
        </w:rPr>
        <w:t xml:space="preserve"> based on it being more complex and more time- and labour-consuming. </w:t>
      </w:r>
      <w:r w:rsidR="00AD64F6">
        <w:rPr>
          <w:rFonts w:ascii="Franklin Gothic Book" w:eastAsiaTheme="minorHAnsi" w:hAnsi="Franklin Gothic Book" w:cstheme="minorBidi"/>
          <w:iCs/>
          <w:color w:val="auto"/>
          <w:sz w:val="22"/>
          <w:szCs w:val="22"/>
        </w:rPr>
        <w:t xml:space="preserve">The MSAC Executive noted that </w:t>
      </w:r>
      <w:r w:rsidR="00AD64F6">
        <w:rPr>
          <w:rFonts w:ascii="Franklin Gothic Book" w:eastAsiaTheme="minorHAnsi" w:hAnsi="Franklin Gothic Book" w:cstheme="minorBidi"/>
          <w:i/>
          <w:color w:val="auto"/>
          <w:sz w:val="22"/>
          <w:szCs w:val="22"/>
        </w:rPr>
        <w:t>DUX4</w:t>
      </w:r>
      <w:r w:rsidR="00AD64F6">
        <w:rPr>
          <w:rFonts w:ascii="Franklin Gothic Book" w:eastAsiaTheme="minorHAnsi" w:hAnsi="Franklin Gothic Book" w:cstheme="minorBidi"/>
          <w:iCs/>
          <w:color w:val="auto"/>
          <w:sz w:val="22"/>
          <w:szCs w:val="22"/>
        </w:rPr>
        <w:t xml:space="preserve"> Southern blotting is only provided in one lab in Australia at present, and that the providers intend to lodge an MSAC application when the methodology used for this testing advances. </w:t>
      </w:r>
      <w:r w:rsidR="000915FE">
        <w:rPr>
          <w:rFonts w:ascii="Franklin Gothic Book" w:eastAsiaTheme="minorHAnsi" w:hAnsi="Franklin Gothic Book" w:cstheme="minorBidi"/>
          <w:iCs/>
          <w:color w:val="auto"/>
          <w:sz w:val="22"/>
          <w:szCs w:val="22"/>
        </w:rPr>
        <w:t xml:space="preserve">The MSAC Executive considered that a </w:t>
      </w:r>
      <w:r w:rsidR="000A1D7B">
        <w:rPr>
          <w:rFonts w:ascii="Franklin Gothic Book" w:eastAsiaTheme="minorHAnsi" w:hAnsi="Franklin Gothic Book" w:cstheme="minorBidi"/>
          <w:iCs/>
          <w:color w:val="auto"/>
          <w:sz w:val="22"/>
          <w:szCs w:val="22"/>
        </w:rPr>
        <w:t>combined</w:t>
      </w:r>
      <w:r w:rsidR="000915FE">
        <w:rPr>
          <w:rFonts w:ascii="Franklin Gothic Book" w:eastAsiaTheme="minorHAnsi" w:hAnsi="Franklin Gothic Book" w:cstheme="minorBidi"/>
          <w:iCs/>
          <w:color w:val="auto"/>
          <w:sz w:val="22"/>
          <w:szCs w:val="22"/>
        </w:rPr>
        <w:t xml:space="preserve"> item would have a significant chance of </w:t>
      </w:r>
      <w:r w:rsidR="00AD3D6B">
        <w:rPr>
          <w:rFonts w:ascii="Franklin Gothic Book" w:eastAsiaTheme="minorHAnsi" w:hAnsi="Franklin Gothic Book" w:cstheme="minorBidi"/>
          <w:iCs/>
          <w:color w:val="auto"/>
          <w:sz w:val="22"/>
          <w:szCs w:val="22"/>
        </w:rPr>
        <w:t>co-payments</w:t>
      </w:r>
      <w:r w:rsidR="000915FE">
        <w:rPr>
          <w:rFonts w:ascii="Franklin Gothic Book" w:eastAsiaTheme="minorHAnsi" w:hAnsi="Franklin Gothic Book" w:cstheme="minorBidi"/>
          <w:iCs/>
          <w:color w:val="auto"/>
          <w:sz w:val="22"/>
          <w:szCs w:val="22"/>
        </w:rPr>
        <w:t xml:space="preserve"> being charged to patients for </w:t>
      </w:r>
      <w:r w:rsidR="000915FE">
        <w:rPr>
          <w:rFonts w:ascii="Franklin Gothic Book" w:eastAsiaTheme="minorHAnsi" w:hAnsi="Franklin Gothic Book" w:cstheme="minorBidi"/>
          <w:i/>
          <w:color w:val="auto"/>
          <w:sz w:val="22"/>
          <w:szCs w:val="22"/>
        </w:rPr>
        <w:t>DUX4</w:t>
      </w:r>
      <w:r w:rsidR="000915FE">
        <w:rPr>
          <w:rFonts w:ascii="Franklin Gothic Book" w:eastAsiaTheme="minorHAnsi" w:hAnsi="Franklin Gothic Book" w:cstheme="minorBidi"/>
          <w:iCs/>
          <w:color w:val="auto"/>
          <w:sz w:val="22"/>
          <w:szCs w:val="22"/>
        </w:rPr>
        <w:t xml:space="preserve"> Southern blotting, given the cost to conduct this test is nearly </w:t>
      </w:r>
      <w:r w:rsidR="00AD3D6B">
        <w:rPr>
          <w:rFonts w:ascii="Franklin Gothic Book" w:eastAsiaTheme="minorHAnsi" w:hAnsi="Franklin Gothic Book" w:cstheme="minorBidi"/>
          <w:iCs/>
          <w:color w:val="auto"/>
          <w:sz w:val="22"/>
          <w:szCs w:val="22"/>
        </w:rPr>
        <w:t>three-fold</w:t>
      </w:r>
      <w:r w:rsidR="000915FE">
        <w:rPr>
          <w:rFonts w:ascii="Franklin Gothic Book" w:eastAsiaTheme="minorHAnsi" w:hAnsi="Franklin Gothic Book" w:cstheme="minorBidi"/>
          <w:iCs/>
          <w:color w:val="auto"/>
          <w:sz w:val="22"/>
          <w:szCs w:val="22"/>
        </w:rPr>
        <w:t xml:space="preserve"> higher than the other tests. The MSAC Executive also noted that test methods for </w:t>
      </w:r>
      <w:r w:rsidR="000915FE">
        <w:rPr>
          <w:rFonts w:ascii="Franklin Gothic Book" w:eastAsiaTheme="minorHAnsi" w:hAnsi="Franklin Gothic Book" w:cstheme="minorBidi"/>
          <w:i/>
          <w:color w:val="auto"/>
          <w:sz w:val="22"/>
          <w:szCs w:val="22"/>
        </w:rPr>
        <w:t>DUX4</w:t>
      </w:r>
      <w:r w:rsidR="000915FE">
        <w:rPr>
          <w:rFonts w:ascii="Franklin Gothic Book" w:eastAsiaTheme="minorHAnsi" w:hAnsi="Franklin Gothic Book" w:cstheme="minorBidi"/>
          <w:iCs/>
          <w:color w:val="auto"/>
          <w:sz w:val="22"/>
          <w:szCs w:val="22"/>
        </w:rPr>
        <w:t xml:space="preserve"> may change from Southern blotting in the future, and that </w:t>
      </w:r>
      <w:r w:rsidR="000915FE">
        <w:rPr>
          <w:rFonts w:ascii="Franklin Gothic Book" w:eastAsiaTheme="minorHAnsi" w:hAnsi="Franklin Gothic Book" w:cstheme="minorBidi"/>
          <w:i/>
          <w:color w:val="auto"/>
          <w:sz w:val="22"/>
          <w:szCs w:val="22"/>
        </w:rPr>
        <w:t>DUX4</w:t>
      </w:r>
      <w:r w:rsidR="000915FE">
        <w:rPr>
          <w:rFonts w:ascii="Franklin Gothic Book" w:eastAsiaTheme="minorHAnsi" w:hAnsi="Franklin Gothic Book" w:cstheme="minorBidi"/>
          <w:iCs/>
          <w:color w:val="auto"/>
          <w:sz w:val="22"/>
          <w:szCs w:val="22"/>
        </w:rPr>
        <w:t xml:space="preserve"> testing was proposed to have a relatively low number of services per year. On balance, the MSAC Executive advised that </w:t>
      </w:r>
      <w:r w:rsidR="000915FE">
        <w:rPr>
          <w:rFonts w:ascii="Franklin Gothic Book" w:eastAsiaTheme="minorHAnsi" w:hAnsi="Franklin Gothic Book" w:cstheme="minorBidi"/>
          <w:i/>
          <w:color w:val="auto"/>
          <w:sz w:val="22"/>
          <w:szCs w:val="22"/>
        </w:rPr>
        <w:t>DUX4</w:t>
      </w:r>
      <w:r w:rsidR="000915FE">
        <w:rPr>
          <w:rFonts w:ascii="Franklin Gothic Book" w:eastAsiaTheme="minorHAnsi" w:hAnsi="Franklin Gothic Book" w:cstheme="minorBidi"/>
          <w:iCs/>
          <w:color w:val="auto"/>
          <w:sz w:val="22"/>
          <w:szCs w:val="22"/>
        </w:rPr>
        <w:t xml:space="preserve"> Southern blotting should be separated out from the other NMD SGTs, to avoid the risk of patient </w:t>
      </w:r>
      <w:r w:rsidR="00AD3D6B">
        <w:rPr>
          <w:rFonts w:ascii="Franklin Gothic Book" w:eastAsiaTheme="minorHAnsi" w:hAnsi="Franklin Gothic Book" w:cstheme="minorBidi"/>
          <w:iCs/>
          <w:color w:val="auto"/>
          <w:sz w:val="22"/>
          <w:szCs w:val="22"/>
        </w:rPr>
        <w:t>co-payments</w:t>
      </w:r>
      <w:r w:rsidR="000915FE">
        <w:rPr>
          <w:rFonts w:ascii="Franklin Gothic Book" w:eastAsiaTheme="minorHAnsi" w:hAnsi="Franklin Gothic Book" w:cstheme="minorBidi"/>
          <w:iCs/>
          <w:color w:val="auto"/>
          <w:sz w:val="22"/>
          <w:szCs w:val="22"/>
        </w:rPr>
        <w:t>.</w:t>
      </w:r>
    </w:p>
    <w:p w14:paraId="3BE1D82E" w14:textId="599F06A7" w:rsidR="00A170D8" w:rsidRPr="007F472D" w:rsidRDefault="005F3E0D" w:rsidP="00CA6B6E">
      <w:pPr>
        <w:pStyle w:val="Default"/>
        <w:spacing w:after="240"/>
        <w:rPr>
          <w:rFonts w:ascii="Franklin Gothic Book" w:eastAsiaTheme="minorHAnsi" w:hAnsi="Franklin Gothic Book" w:cstheme="minorBidi"/>
          <w:iCs/>
          <w:color w:val="auto"/>
          <w:sz w:val="22"/>
          <w:szCs w:val="22"/>
        </w:rPr>
      </w:pPr>
      <w:bookmarkStart w:id="2" w:name="_Hlk109139146"/>
      <w:r w:rsidRPr="005F3E0D">
        <w:rPr>
          <w:rFonts w:ascii="Franklin Gothic Book" w:eastAsiaTheme="minorHAnsi" w:hAnsi="Franklin Gothic Book" w:cstheme="minorBidi"/>
          <w:iCs/>
          <w:color w:val="auto"/>
          <w:sz w:val="22"/>
          <w:szCs w:val="22"/>
        </w:rPr>
        <w:t xml:space="preserve">The MSAC Executive </w:t>
      </w:r>
      <w:r>
        <w:rPr>
          <w:rFonts w:ascii="Franklin Gothic Book" w:eastAsiaTheme="minorHAnsi" w:hAnsi="Franklin Gothic Book" w:cstheme="minorBidi"/>
          <w:iCs/>
          <w:color w:val="auto"/>
          <w:sz w:val="22"/>
          <w:szCs w:val="22"/>
        </w:rPr>
        <w:t>considered</w:t>
      </w:r>
      <w:r w:rsidRPr="005F3E0D">
        <w:rPr>
          <w:rFonts w:ascii="Franklin Gothic Book" w:eastAsiaTheme="minorHAnsi" w:hAnsi="Franklin Gothic Book" w:cstheme="minorBidi"/>
          <w:iCs/>
          <w:color w:val="auto"/>
          <w:sz w:val="22"/>
          <w:szCs w:val="22"/>
        </w:rPr>
        <w:t xml:space="preserve"> that reproductive partner testing </w:t>
      </w:r>
      <w:r w:rsidR="00CE734D">
        <w:rPr>
          <w:rFonts w:ascii="Franklin Gothic Book" w:eastAsiaTheme="minorHAnsi" w:hAnsi="Franklin Gothic Book" w:cstheme="minorBidi"/>
          <w:iCs/>
          <w:color w:val="auto"/>
          <w:sz w:val="22"/>
          <w:szCs w:val="22"/>
        </w:rPr>
        <w:t>is</w:t>
      </w:r>
      <w:r w:rsidRPr="005F3E0D">
        <w:rPr>
          <w:rFonts w:ascii="Franklin Gothic Book" w:eastAsiaTheme="minorHAnsi" w:hAnsi="Franklin Gothic Book" w:cstheme="minorBidi"/>
          <w:iCs/>
          <w:color w:val="auto"/>
          <w:sz w:val="22"/>
          <w:szCs w:val="22"/>
        </w:rPr>
        <w:t xml:space="preserve"> only </w:t>
      </w:r>
      <w:r w:rsidR="005342A2">
        <w:rPr>
          <w:rFonts w:ascii="Franklin Gothic Book" w:eastAsiaTheme="minorHAnsi" w:hAnsi="Franklin Gothic Book" w:cstheme="minorBidi"/>
          <w:iCs/>
          <w:color w:val="auto"/>
          <w:sz w:val="22"/>
          <w:szCs w:val="22"/>
        </w:rPr>
        <w:t>appropriate</w:t>
      </w:r>
      <w:r w:rsidRPr="005F3E0D">
        <w:rPr>
          <w:rFonts w:ascii="Franklin Gothic Book" w:eastAsiaTheme="minorHAnsi" w:hAnsi="Franklin Gothic Book" w:cstheme="minorBidi"/>
          <w:iCs/>
          <w:color w:val="auto"/>
          <w:sz w:val="22"/>
          <w:szCs w:val="22"/>
        </w:rPr>
        <w:t xml:space="preserve"> where the pathogenic</w:t>
      </w:r>
      <w:r>
        <w:rPr>
          <w:rFonts w:ascii="Franklin Gothic Book" w:eastAsiaTheme="minorHAnsi" w:hAnsi="Franklin Gothic Book" w:cstheme="minorBidi"/>
          <w:iCs/>
          <w:color w:val="auto"/>
          <w:sz w:val="22"/>
          <w:szCs w:val="22"/>
        </w:rPr>
        <w:t xml:space="preserve"> or likely pathogenic</w:t>
      </w:r>
      <w:r w:rsidRPr="005F3E0D">
        <w:rPr>
          <w:rFonts w:ascii="Franklin Gothic Book" w:eastAsiaTheme="minorHAnsi" w:hAnsi="Franklin Gothic Book" w:cstheme="minorBidi"/>
          <w:iCs/>
          <w:color w:val="auto"/>
          <w:sz w:val="22"/>
          <w:szCs w:val="22"/>
        </w:rPr>
        <w:t xml:space="preserve"> variant identified in the proband has a recessive mode of inheritance, and requested that XXXX specify this.</w:t>
      </w:r>
      <w:bookmarkEnd w:id="2"/>
    </w:p>
    <w:p w14:paraId="26B18B81" w14:textId="7925ABDE" w:rsidR="006E4B29" w:rsidRDefault="00BD6B08" w:rsidP="00CA6B6E">
      <w:pPr>
        <w:pStyle w:val="Default"/>
        <w:spacing w:after="240"/>
        <w:rPr>
          <w:rFonts w:ascii="Franklin Gothic Book" w:eastAsiaTheme="minorHAnsi" w:hAnsi="Franklin Gothic Book" w:cstheme="minorBidi"/>
          <w:iCs/>
          <w:color w:val="auto"/>
          <w:sz w:val="22"/>
          <w:szCs w:val="22"/>
        </w:rPr>
      </w:pPr>
      <w:bookmarkStart w:id="3" w:name="_Hlk109141662"/>
      <w:bookmarkStart w:id="4" w:name="_Hlk109141595"/>
      <w:r w:rsidRPr="00BD6B08">
        <w:rPr>
          <w:rFonts w:ascii="Franklin Gothic Book" w:eastAsiaTheme="minorHAnsi" w:hAnsi="Franklin Gothic Book" w:cstheme="minorBidi"/>
          <w:iCs/>
          <w:color w:val="auto"/>
          <w:sz w:val="22"/>
          <w:szCs w:val="22"/>
        </w:rPr>
        <w:t xml:space="preserve">The MSAC Executive noted the RCPA’s comment on the </w:t>
      </w:r>
      <w:r w:rsidR="00EE43FD">
        <w:rPr>
          <w:rFonts w:ascii="Franklin Gothic Book" w:eastAsiaTheme="minorHAnsi" w:hAnsi="Franklin Gothic Book" w:cstheme="minorBidi"/>
          <w:iCs/>
          <w:color w:val="auto"/>
          <w:sz w:val="22"/>
          <w:szCs w:val="22"/>
        </w:rPr>
        <w:t>public summary document (</w:t>
      </w:r>
      <w:r w:rsidRPr="00BD6B08">
        <w:rPr>
          <w:rFonts w:ascii="Franklin Gothic Book" w:eastAsiaTheme="minorHAnsi" w:hAnsi="Franklin Gothic Book" w:cstheme="minorBidi"/>
          <w:iCs/>
          <w:color w:val="auto"/>
          <w:sz w:val="22"/>
          <w:szCs w:val="22"/>
        </w:rPr>
        <w:t>PSD</w:t>
      </w:r>
      <w:r w:rsidR="00EE43FD">
        <w:rPr>
          <w:rFonts w:ascii="Franklin Gothic Book" w:eastAsiaTheme="minorHAnsi" w:hAnsi="Franklin Gothic Book" w:cstheme="minorBidi"/>
          <w:iCs/>
          <w:color w:val="auto"/>
          <w:sz w:val="22"/>
          <w:szCs w:val="22"/>
        </w:rPr>
        <w:t>)</w:t>
      </w:r>
      <w:r w:rsidRPr="00BD6B08">
        <w:rPr>
          <w:rFonts w:ascii="Franklin Gothic Book" w:eastAsiaTheme="minorHAnsi" w:hAnsi="Franklin Gothic Book" w:cstheme="minorBidi"/>
          <w:iCs/>
          <w:color w:val="auto"/>
          <w:sz w:val="22"/>
          <w:szCs w:val="22"/>
        </w:rPr>
        <w:t xml:space="preserve">, that </w:t>
      </w:r>
      <w:r w:rsidR="007808FD">
        <w:rPr>
          <w:rFonts w:ascii="Franklin Gothic Book" w:eastAsiaTheme="minorHAnsi" w:hAnsi="Franklin Gothic Book" w:cstheme="minorBidi"/>
          <w:iCs/>
          <w:color w:val="auto"/>
          <w:sz w:val="22"/>
          <w:szCs w:val="22"/>
        </w:rPr>
        <w:t xml:space="preserve">while </w:t>
      </w:r>
      <w:r w:rsidRPr="00BD6B08">
        <w:rPr>
          <w:rFonts w:ascii="Franklin Gothic Book" w:eastAsiaTheme="minorHAnsi" w:hAnsi="Franklin Gothic Book" w:cstheme="minorBidi"/>
          <w:iCs/>
          <w:color w:val="auto"/>
          <w:sz w:val="22"/>
          <w:szCs w:val="22"/>
        </w:rPr>
        <w:t xml:space="preserve">reproductive partners may </w:t>
      </w:r>
      <w:r w:rsidR="007808FD">
        <w:rPr>
          <w:rFonts w:ascii="Franklin Gothic Book" w:eastAsiaTheme="minorHAnsi" w:hAnsi="Franklin Gothic Book" w:cstheme="minorBidi"/>
          <w:iCs/>
          <w:color w:val="auto"/>
          <w:sz w:val="22"/>
          <w:szCs w:val="22"/>
        </w:rPr>
        <w:t>carry</w:t>
      </w:r>
      <w:r w:rsidRPr="00BD6B08">
        <w:rPr>
          <w:rFonts w:ascii="Franklin Gothic Book" w:eastAsiaTheme="minorHAnsi" w:hAnsi="Franklin Gothic Book" w:cstheme="minorBidi"/>
          <w:iCs/>
          <w:color w:val="auto"/>
          <w:sz w:val="22"/>
          <w:szCs w:val="22"/>
        </w:rPr>
        <w:t xml:space="preserve"> variants of the type tested by for by the </w:t>
      </w:r>
      <w:r w:rsidR="007808FD">
        <w:rPr>
          <w:rFonts w:ascii="Franklin Gothic Book" w:eastAsiaTheme="minorHAnsi" w:hAnsi="Franklin Gothic Book" w:cstheme="minorBidi"/>
          <w:iCs/>
          <w:color w:val="auto"/>
          <w:sz w:val="22"/>
          <w:szCs w:val="22"/>
        </w:rPr>
        <w:t xml:space="preserve">relevant </w:t>
      </w:r>
      <w:r w:rsidRPr="00BD6B08">
        <w:rPr>
          <w:rFonts w:ascii="Franklin Gothic Book" w:eastAsiaTheme="minorHAnsi" w:hAnsi="Franklin Gothic Book" w:cstheme="minorBidi"/>
          <w:iCs/>
          <w:color w:val="auto"/>
          <w:sz w:val="22"/>
          <w:szCs w:val="22"/>
        </w:rPr>
        <w:t>SGT</w:t>
      </w:r>
      <w:r w:rsidR="00270E23">
        <w:rPr>
          <w:rFonts w:ascii="Franklin Gothic Book" w:eastAsiaTheme="minorHAnsi" w:hAnsi="Franklin Gothic Book" w:cstheme="minorBidi"/>
          <w:iCs/>
          <w:color w:val="auto"/>
          <w:sz w:val="22"/>
          <w:szCs w:val="22"/>
        </w:rPr>
        <w:t xml:space="preserve"> </w:t>
      </w:r>
      <w:r w:rsidR="00C15906">
        <w:rPr>
          <w:rFonts w:ascii="Franklin Gothic Book" w:eastAsiaTheme="minorHAnsi" w:hAnsi="Franklin Gothic Book" w:cstheme="minorBidi"/>
          <w:iCs/>
          <w:color w:val="auto"/>
          <w:sz w:val="22"/>
          <w:szCs w:val="22"/>
        </w:rPr>
        <w:br/>
      </w:r>
      <w:r w:rsidR="00270E23">
        <w:rPr>
          <w:rFonts w:ascii="Franklin Gothic Book" w:eastAsiaTheme="minorHAnsi" w:hAnsi="Franklin Gothic Book" w:cstheme="minorBidi"/>
          <w:iCs/>
          <w:color w:val="auto"/>
          <w:sz w:val="22"/>
          <w:szCs w:val="22"/>
        </w:rPr>
        <w:t>(e.g. triplet repeat expansions)</w:t>
      </w:r>
      <w:r w:rsidRPr="00BD6B08">
        <w:rPr>
          <w:rFonts w:ascii="Franklin Gothic Book" w:eastAsiaTheme="minorHAnsi" w:hAnsi="Franklin Gothic Book" w:cstheme="minorBidi"/>
          <w:iCs/>
          <w:color w:val="auto"/>
          <w:sz w:val="22"/>
          <w:szCs w:val="22"/>
        </w:rPr>
        <w:t xml:space="preserve">, </w:t>
      </w:r>
      <w:r w:rsidR="007808FD">
        <w:rPr>
          <w:rFonts w:ascii="Franklin Gothic Book" w:eastAsiaTheme="minorHAnsi" w:hAnsi="Franklin Gothic Book" w:cstheme="minorBidi"/>
          <w:iCs/>
          <w:color w:val="auto"/>
          <w:sz w:val="22"/>
          <w:szCs w:val="22"/>
        </w:rPr>
        <w:t>other</w:t>
      </w:r>
      <w:r w:rsidRPr="00BD6B08">
        <w:rPr>
          <w:rFonts w:ascii="Franklin Gothic Book" w:eastAsiaTheme="minorHAnsi" w:hAnsi="Franklin Gothic Book" w:cstheme="minorBidi"/>
          <w:iCs/>
          <w:color w:val="auto"/>
          <w:sz w:val="22"/>
          <w:szCs w:val="22"/>
        </w:rPr>
        <w:t xml:space="preserve"> </w:t>
      </w:r>
      <w:r w:rsidR="007808FD">
        <w:rPr>
          <w:rFonts w:ascii="Franklin Gothic Book" w:eastAsiaTheme="minorHAnsi" w:hAnsi="Franklin Gothic Book" w:cstheme="minorBidi"/>
          <w:iCs/>
          <w:color w:val="auto"/>
          <w:sz w:val="22"/>
          <w:szCs w:val="22"/>
        </w:rPr>
        <w:t xml:space="preserve">types of </w:t>
      </w:r>
      <w:r w:rsidRPr="00BD6B08">
        <w:rPr>
          <w:rFonts w:ascii="Franklin Gothic Book" w:eastAsiaTheme="minorHAnsi" w:hAnsi="Franklin Gothic Book" w:cstheme="minorBidi"/>
          <w:iCs/>
          <w:color w:val="auto"/>
          <w:sz w:val="22"/>
          <w:szCs w:val="22"/>
        </w:rPr>
        <w:t>sequence variation (e.g. point variants) may also be relevant</w:t>
      </w:r>
      <w:r w:rsidR="00F20C93" w:rsidRPr="00F20C93">
        <w:rPr>
          <w:rFonts w:ascii="Franklin Gothic Book" w:eastAsiaTheme="minorHAnsi" w:hAnsi="Franklin Gothic Book" w:cstheme="minorBidi"/>
          <w:iCs/>
          <w:color w:val="auto"/>
          <w:sz w:val="22"/>
          <w:szCs w:val="22"/>
        </w:rPr>
        <w:t>.</w:t>
      </w:r>
      <w:r w:rsidR="00F20C93">
        <w:rPr>
          <w:rFonts w:ascii="Franklin Gothic Book" w:eastAsiaTheme="minorHAnsi" w:hAnsi="Franklin Gothic Book" w:cstheme="minorBidi"/>
          <w:iCs/>
          <w:color w:val="auto"/>
          <w:sz w:val="22"/>
          <w:szCs w:val="22"/>
        </w:rPr>
        <w:t xml:space="preserve"> T</w:t>
      </w:r>
      <w:r w:rsidRPr="00BD6B08">
        <w:rPr>
          <w:rFonts w:ascii="Franklin Gothic Book" w:eastAsiaTheme="minorHAnsi" w:hAnsi="Franklin Gothic Book" w:cstheme="minorBidi"/>
          <w:iCs/>
          <w:color w:val="auto"/>
          <w:sz w:val="22"/>
          <w:szCs w:val="22"/>
        </w:rPr>
        <w:t xml:space="preserve">he MSAC Executive considered that for reproductive partner testing items MSAC has recently supported, it had supported </w:t>
      </w:r>
      <w:r w:rsidR="005264A3">
        <w:rPr>
          <w:rFonts w:ascii="Franklin Gothic Book" w:eastAsiaTheme="minorHAnsi" w:hAnsi="Franklin Gothic Book" w:cstheme="minorBidi"/>
          <w:iCs/>
          <w:color w:val="auto"/>
          <w:sz w:val="22"/>
          <w:szCs w:val="22"/>
        </w:rPr>
        <w:t xml:space="preserve">a fee commensurate with </w:t>
      </w:r>
      <w:r w:rsidRPr="00BD6B08">
        <w:rPr>
          <w:rFonts w:ascii="Franklin Gothic Book" w:eastAsiaTheme="minorHAnsi" w:hAnsi="Franklin Gothic Book" w:cstheme="minorBidi"/>
          <w:iCs/>
          <w:color w:val="auto"/>
          <w:sz w:val="22"/>
          <w:szCs w:val="22"/>
        </w:rPr>
        <w:t xml:space="preserve">gene sequencing </w:t>
      </w:r>
      <w:r w:rsidR="005264A3">
        <w:rPr>
          <w:rFonts w:ascii="Franklin Gothic Book" w:eastAsiaTheme="minorHAnsi" w:hAnsi="Franklin Gothic Book" w:cstheme="minorBidi"/>
          <w:iCs/>
          <w:color w:val="auto"/>
          <w:sz w:val="22"/>
          <w:szCs w:val="22"/>
        </w:rPr>
        <w:t>because</w:t>
      </w:r>
      <w:r w:rsidRPr="00BD6B08">
        <w:rPr>
          <w:rFonts w:ascii="Franklin Gothic Book" w:eastAsiaTheme="minorHAnsi" w:hAnsi="Franklin Gothic Book" w:cstheme="minorBidi"/>
          <w:iCs/>
          <w:color w:val="auto"/>
          <w:sz w:val="22"/>
          <w:szCs w:val="22"/>
        </w:rPr>
        <w:t xml:space="preserve"> its intent was that reproductive partner testing should detect all variants in the relevant gene, to enable patients to make fully informed reproductive decisions. </w:t>
      </w:r>
      <w:bookmarkEnd w:id="3"/>
      <w:r w:rsidRPr="00BD6B08">
        <w:rPr>
          <w:rFonts w:ascii="Franklin Gothic Book" w:eastAsiaTheme="minorHAnsi" w:hAnsi="Franklin Gothic Book" w:cstheme="minorBidi"/>
          <w:iCs/>
          <w:color w:val="auto"/>
          <w:sz w:val="22"/>
          <w:szCs w:val="22"/>
        </w:rPr>
        <w:t xml:space="preserve">The MSAC Executive considered that </w:t>
      </w:r>
      <w:r w:rsidR="00401F6F">
        <w:rPr>
          <w:rFonts w:ascii="Franklin Gothic Book" w:eastAsiaTheme="minorHAnsi" w:hAnsi="Franklin Gothic Book" w:cstheme="minorBidi"/>
          <w:iCs/>
          <w:color w:val="auto"/>
          <w:sz w:val="22"/>
          <w:szCs w:val="22"/>
        </w:rPr>
        <w:t>in this case,</w:t>
      </w:r>
      <w:r w:rsidRPr="00BD6B08">
        <w:rPr>
          <w:rFonts w:ascii="Franklin Gothic Book" w:eastAsiaTheme="minorHAnsi" w:hAnsi="Franklin Gothic Book" w:cstheme="minorBidi"/>
          <w:iCs/>
          <w:color w:val="auto"/>
          <w:sz w:val="22"/>
          <w:szCs w:val="22"/>
        </w:rPr>
        <w:t xml:space="preserve"> a SGT and gene sequencing would be required to detect all relevant variants in the reproductive partner. The MSAC Executive noted the RCPA’s recommendation that first-tier testing of reproductive partners eligible under XXXX should use the SGT and second-tier testing should use gene sequencing, and considered this to be reasonable given the higher fee for gene sequencing. </w:t>
      </w:r>
    </w:p>
    <w:p w14:paraId="062DF8AB" w14:textId="5C198DFD" w:rsidR="006E4B29" w:rsidRDefault="00A170D8" w:rsidP="00CA6B6E">
      <w:pPr>
        <w:pStyle w:val="Default"/>
        <w:spacing w:after="240"/>
        <w:rPr>
          <w:rFonts w:ascii="Franklin Gothic Book" w:eastAsiaTheme="minorHAnsi" w:hAnsi="Franklin Gothic Book" w:cstheme="minorBidi"/>
          <w:iCs/>
          <w:color w:val="auto"/>
          <w:sz w:val="22"/>
          <w:szCs w:val="22"/>
        </w:rPr>
      </w:pPr>
      <w:r>
        <w:rPr>
          <w:rFonts w:ascii="Franklin Gothic Book" w:eastAsiaTheme="minorHAnsi" w:hAnsi="Franklin Gothic Book" w:cstheme="minorBidi"/>
          <w:iCs/>
          <w:color w:val="auto"/>
          <w:sz w:val="22"/>
          <w:szCs w:val="22"/>
        </w:rPr>
        <w:t xml:space="preserve">The MSAC Executive considered the financial impact of this </w:t>
      </w:r>
      <w:r w:rsidR="006E4B29">
        <w:rPr>
          <w:rFonts w:ascii="Franklin Gothic Book" w:eastAsiaTheme="minorHAnsi" w:hAnsi="Franklin Gothic Book" w:cstheme="minorBidi"/>
          <w:iCs/>
          <w:color w:val="auto"/>
          <w:sz w:val="22"/>
          <w:szCs w:val="22"/>
        </w:rPr>
        <w:t>proposal</w:t>
      </w:r>
      <w:r>
        <w:rPr>
          <w:rFonts w:ascii="Franklin Gothic Book" w:eastAsiaTheme="minorHAnsi" w:hAnsi="Franklin Gothic Book" w:cstheme="minorBidi"/>
          <w:iCs/>
          <w:color w:val="auto"/>
          <w:sz w:val="22"/>
          <w:szCs w:val="22"/>
        </w:rPr>
        <w:t xml:space="preserve"> to be very low given the estimated number of reproductive partner tests</w:t>
      </w:r>
      <w:r w:rsidR="00CC2520">
        <w:rPr>
          <w:rFonts w:ascii="Franklin Gothic Book" w:eastAsiaTheme="minorHAnsi" w:hAnsi="Franklin Gothic Book" w:cstheme="minorBidi"/>
          <w:iCs/>
          <w:color w:val="auto"/>
          <w:sz w:val="22"/>
          <w:szCs w:val="22"/>
        </w:rPr>
        <w:t xml:space="preserve"> (8-13 </w:t>
      </w:r>
      <w:r w:rsidR="007D58A3">
        <w:rPr>
          <w:rFonts w:ascii="Franklin Gothic Book" w:eastAsiaTheme="minorHAnsi" w:hAnsi="Franklin Gothic Book" w:cstheme="minorBidi"/>
          <w:iCs/>
          <w:color w:val="auto"/>
          <w:sz w:val="22"/>
          <w:szCs w:val="22"/>
        </w:rPr>
        <w:t xml:space="preserve">tests </w:t>
      </w:r>
      <w:r w:rsidR="00CC2520">
        <w:rPr>
          <w:rFonts w:ascii="Franklin Gothic Book" w:eastAsiaTheme="minorHAnsi" w:hAnsi="Franklin Gothic Book" w:cstheme="minorBidi"/>
          <w:iCs/>
          <w:color w:val="auto"/>
          <w:sz w:val="22"/>
          <w:szCs w:val="22"/>
        </w:rPr>
        <w:t>in the first year, depending on DY</w:t>
      </w:r>
      <w:r w:rsidR="004644F4">
        <w:rPr>
          <w:rFonts w:ascii="Franklin Gothic Book" w:eastAsiaTheme="minorHAnsi" w:hAnsi="Franklin Gothic Book" w:cstheme="minorBidi"/>
          <w:iCs/>
          <w:color w:val="auto"/>
          <w:sz w:val="22"/>
          <w:szCs w:val="22"/>
        </w:rPr>
        <w:t xml:space="preserve"> – incremental cost to the MBS only $13,955 in the first year at 95% DY</w:t>
      </w:r>
      <w:r w:rsidR="00CC2520">
        <w:rPr>
          <w:rFonts w:ascii="Franklin Gothic Book" w:eastAsiaTheme="minorHAnsi" w:hAnsi="Franklin Gothic Book" w:cstheme="minorBidi"/>
          <w:iCs/>
          <w:color w:val="auto"/>
          <w:sz w:val="22"/>
          <w:szCs w:val="22"/>
        </w:rPr>
        <w:t>)</w:t>
      </w:r>
      <w:r w:rsidR="00172488">
        <w:rPr>
          <w:rFonts w:ascii="Franklin Gothic Book" w:eastAsiaTheme="minorHAnsi" w:hAnsi="Franklin Gothic Book" w:cstheme="minorBidi"/>
          <w:iCs/>
          <w:color w:val="auto"/>
          <w:sz w:val="22"/>
          <w:szCs w:val="22"/>
        </w:rPr>
        <w:t xml:space="preserve">, however </w:t>
      </w:r>
      <w:r w:rsidR="007D58A3">
        <w:rPr>
          <w:rFonts w:ascii="Franklin Gothic Book" w:eastAsiaTheme="minorHAnsi" w:hAnsi="Franklin Gothic Book" w:cstheme="minorBidi"/>
          <w:iCs/>
          <w:color w:val="auto"/>
          <w:sz w:val="22"/>
          <w:szCs w:val="22"/>
        </w:rPr>
        <w:t xml:space="preserve">was concerned the addition of gene sequencing </w:t>
      </w:r>
      <w:r w:rsidR="0067402A">
        <w:rPr>
          <w:rFonts w:ascii="Franklin Gothic Book" w:eastAsiaTheme="minorHAnsi" w:hAnsi="Franklin Gothic Book" w:cstheme="minorBidi"/>
          <w:iCs/>
          <w:color w:val="auto"/>
          <w:sz w:val="22"/>
          <w:szCs w:val="22"/>
        </w:rPr>
        <w:t xml:space="preserve">to reproductive partner testing </w:t>
      </w:r>
      <w:r w:rsidR="007D58A3">
        <w:rPr>
          <w:rFonts w:ascii="Franklin Gothic Book" w:eastAsiaTheme="minorHAnsi" w:hAnsi="Franklin Gothic Book" w:cstheme="minorBidi"/>
          <w:iCs/>
          <w:color w:val="auto"/>
          <w:sz w:val="22"/>
          <w:szCs w:val="22"/>
        </w:rPr>
        <w:t>may not be cost-effective</w:t>
      </w:r>
      <w:r w:rsidR="0067402A">
        <w:rPr>
          <w:rFonts w:ascii="Franklin Gothic Book" w:eastAsiaTheme="minorHAnsi" w:hAnsi="Franklin Gothic Book" w:cstheme="minorBidi"/>
          <w:iCs/>
          <w:color w:val="auto"/>
          <w:sz w:val="22"/>
          <w:szCs w:val="22"/>
        </w:rPr>
        <w:t>, given the rarity of point variants</w:t>
      </w:r>
      <w:r w:rsidR="007D58A3">
        <w:rPr>
          <w:rFonts w:ascii="Franklin Gothic Book" w:eastAsiaTheme="minorHAnsi" w:hAnsi="Franklin Gothic Book" w:cstheme="minorBidi"/>
          <w:iCs/>
          <w:color w:val="auto"/>
          <w:sz w:val="22"/>
          <w:szCs w:val="22"/>
        </w:rPr>
        <w:t>. The MSAC Executive n</w:t>
      </w:r>
      <w:r w:rsidR="00172488">
        <w:rPr>
          <w:rFonts w:ascii="Franklin Gothic Book" w:eastAsiaTheme="minorHAnsi" w:hAnsi="Franklin Gothic Book" w:cstheme="minorBidi"/>
          <w:iCs/>
          <w:color w:val="auto"/>
          <w:sz w:val="22"/>
          <w:szCs w:val="22"/>
        </w:rPr>
        <w:t xml:space="preserve">oted </w:t>
      </w:r>
      <w:r w:rsidR="007D58A3">
        <w:rPr>
          <w:rFonts w:ascii="Franklin Gothic Book" w:eastAsiaTheme="minorHAnsi" w:hAnsi="Franklin Gothic Book" w:cstheme="minorBidi"/>
          <w:iCs/>
          <w:color w:val="auto"/>
          <w:sz w:val="22"/>
          <w:szCs w:val="22"/>
        </w:rPr>
        <w:t xml:space="preserve">the Department estimated the cost-effectiveness of reproductive partner testing using only SGTs was $19,600 per carrier couple identified, </w:t>
      </w:r>
      <w:r w:rsidR="00401F6F">
        <w:rPr>
          <w:rFonts w:ascii="Franklin Gothic Book" w:eastAsiaTheme="minorHAnsi" w:hAnsi="Franklin Gothic Book" w:cstheme="minorBidi"/>
          <w:iCs/>
          <w:color w:val="auto"/>
          <w:sz w:val="22"/>
          <w:szCs w:val="22"/>
        </w:rPr>
        <w:t>whereas</w:t>
      </w:r>
      <w:r w:rsidR="007D58A3">
        <w:rPr>
          <w:rFonts w:ascii="Franklin Gothic Book" w:eastAsiaTheme="minorHAnsi" w:hAnsi="Franklin Gothic Book" w:cstheme="minorBidi"/>
          <w:iCs/>
          <w:color w:val="auto"/>
          <w:sz w:val="22"/>
          <w:szCs w:val="22"/>
        </w:rPr>
        <w:t xml:space="preserve"> </w:t>
      </w:r>
      <w:r w:rsidR="00172488">
        <w:rPr>
          <w:rFonts w:ascii="Franklin Gothic Book" w:eastAsiaTheme="minorHAnsi" w:hAnsi="Franklin Gothic Book" w:cstheme="minorBidi"/>
          <w:iCs/>
          <w:color w:val="auto"/>
          <w:sz w:val="22"/>
          <w:szCs w:val="22"/>
        </w:rPr>
        <w:t xml:space="preserve">the cost-effectiveness of the </w:t>
      </w:r>
      <w:r w:rsidR="00401F6F">
        <w:rPr>
          <w:rFonts w:ascii="Franklin Gothic Book" w:eastAsiaTheme="minorHAnsi" w:hAnsi="Franklin Gothic Book" w:cstheme="minorBidi"/>
          <w:iCs/>
          <w:color w:val="auto"/>
          <w:sz w:val="22"/>
          <w:szCs w:val="22"/>
        </w:rPr>
        <w:t xml:space="preserve">RCPA’s </w:t>
      </w:r>
      <w:r w:rsidR="00172488">
        <w:rPr>
          <w:rFonts w:ascii="Franklin Gothic Book" w:eastAsiaTheme="minorHAnsi" w:hAnsi="Franklin Gothic Book" w:cstheme="minorBidi"/>
          <w:iCs/>
          <w:color w:val="auto"/>
          <w:sz w:val="22"/>
          <w:szCs w:val="22"/>
        </w:rPr>
        <w:t xml:space="preserve">proposal would be an additional </w:t>
      </w:r>
      <w:r w:rsidR="007D58A3">
        <w:rPr>
          <w:rFonts w:ascii="Franklin Gothic Book" w:eastAsiaTheme="minorHAnsi" w:hAnsi="Franklin Gothic Book" w:cstheme="minorBidi"/>
          <w:iCs/>
          <w:color w:val="auto"/>
          <w:sz w:val="22"/>
          <w:szCs w:val="22"/>
        </w:rPr>
        <w:t xml:space="preserve">$2,584,615 per additional carrier couple identified, from pragmatic cost-effectiveness analyses </w:t>
      </w:r>
      <w:r w:rsidR="00E618D6">
        <w:rPr>
          <w:rFonts w:ascii="Franklin Gothic Book" w:eastAsiaTheme="minorHAnsi" w:hAnsi="Franklin Gothic Book" w:cstheme="minorBidi"/>
          <w:iCs/>
          <w:color w:val="auto"/>
          <w:sz w:val="22"/>
          <w:szCs w:val="22"/>
        </w:rPr>
        <w:t>of the</w:t>
      </w:r>
      <w:r w:rsidR="007D58A3">
        <w:rPr>
          <w:rFonts w:ascii="Franklin Gothic Book" w:eastAsiaTheme="minorHAnsi" w:hAnsi="Franklin Gothic Book" w:cstheme="minorBidi"/>
          <w:iCs/>
          <w:color w:val="auto"/>
          <w:sz w:val="22"/>
          <w:szCs w:val="22"/>
        </w:rPr>
        <w:t xml:space="preserve"> cost of testing</w:t>
      </w:r>
      <w:r w:rsidR="0067402A">
        <w:rPr>
          <w:rFonts w:ascii="Franklin Gothic Book" w:eastAsiaTheme="minorHAnsi" w:hAnsi="Franklin Gothic Book" w:cstheme="minorBidi"/>
          <w:iCs/>
          <w:color w:val="auto"/>
          <w:sz w:val="22"/>
          <w:szCs w:val="22"/>
        </w:rPr>
        <w:t xml:space="preserve"> (</w:t>
      </w:r>
      <w:r w:rsidR="0067402A">
        <w:rPr>
          <w:rFonts w:ascii="Franklin Gothic Book" w:eastAsiaTheme="minorHAnsi" w:hAnsi="Franklin Gothic Book" w:cstheme="minorBidi"/>
          <w:iCs/>
          <w:color w:val="auto"/>
          <w:sz w:val="22"/>
          <w:szCs w:val="22"/>
        </w:rPr>
        <w:fldChar w:fldCharType="begin"/>
      </w:r>
      <w:r w:rsidR="0067402A">
        <w:rPr>
          <w:rFonts w:ascii="Franklin Gothic Book" w:eastAsiaTheme="minorHAnsi" w:hAnsi="Franklin Gothic Book" w:cstheme="minorBidi"/>
          <w:iCs/>
          <w:color w:val="auto"/>
          <w:sz w:val="22"/>
          <w:szCs w:val="22"/>
        </w:rPr>
        <w:instrText xml:space="preserve"> REF _Ref114229783  \* MERGEFORMAT </w:instrText>
      </w:r>
      <w:r w:rsidR="0067402A">
        <w:rPr>
          <w:rFonts w:ascii="Franklin Gothic Book" w:eastAsiaTheme="minorHAnsi" w:hAnsi="Franklin Gothic Book" w:cstheme="minorBidi"/>
          <w:iCs/>
          <w:color w:val="auto"/>
          <w:sz w:val="22"/>
          <w:szCs w:val="22"/>
        </w:rPr>
        <w:fldChar w:fldCharType="separate"/>
      </w:r>
      <w:r w:rsidR="008260AB" w:rsidRPr="008260AB">
        <w:rPr>
          <w:rFonts w:ascii="Franklin Gothic Book" w:eastAsiaTheme="minorHAnsi" w:hAnsi="Franklin Gothic Book" w:cstheme="minorBidi"/>
          <w:iCs/>
          <w:color w:val="auto"/>
          <w:sz w:val="22"/>
          <w:szCs w:val="22"/>
        </w:rPr>
        <w:t>Table 1</w:t>
      </w:r>
      <w:r w:rsidR="0067402A">
        <w:rPr>
          <w:rFonts w:ascii="Franklin Gothic Book" w:eastAsiaTheme="minorHAnsi" w:hAnsi="Franklin Gothic Book" w:cstheme="minorBidi"/>
          <w:iCs/>
          <w:color w:val="auto"/>
          <w:sz w:val="22"/>
          <w:szCs w:val="22"/>
        </w:rPr>
        <w:fldChar w:fldCharType="end"/>
      </w:r>
      <w:r w:rsidR="0067402A">
        <w:rPr>
          <w:rFonts w:ascii="Franklin Gothic Book" w:eastAsiaTheme="minorHAnsi" w:hAnsi="Franklin Gothic Book" w:cstheme="minorBidi"/>
          <w:iCs/>
          <w:color w:val="auto"/>
          <w:sz w:val="22"/>
          <w:szCs w:val="22"/>
        </w:rPr>
        <w:t>)</w:t>
      </w:r>
      <w:r>
        <w:rPr>
          <w:rFonts w:ascii="Franklin Gothic Book" w:eastAsiaTheme="minorHAnsi" w:hAnsi="Franklin Gothic Book" w:cstheme="minorBidi"/>
          <w:iCs/>
          <w:color w:val="auto"/>
          <w:sz w:val="22"/>
          <w:szCs w:val="22"/>
        </w:rPr>
        <w:t xml:space="preserve">. </w:t>
      </w:r>
      <w:bookmarkEnd w:id="4"/>
    </w:p>
    <w:p w14:paraId="7DD16115" w14:textId="787DDE97" w:rsidR="006E4B29" w:rsidRPr="00FD2128" w:rsidRDefault="006E4B29" w:rsidP="006E4B29">
      <w:pPr>
        <w:pStyle w:val="Caption"/>
        <w:rPr>
          <w:b w:val="0"/>
          <w:bCs w:val="0"/>
          <w:lang w:eastAsia="en-AU"/>
        </w:rPr>
      </w:pPr>
      <w:bookmarkStart w:id="5" w:name="_Ref114229783"/>
      <w:r w:rsidRPr="00FD2128">
        <w:t xml:space="preserve">Table </w:t>
      </w:r>
      <w:r w:rsidR="008260AB">
        <w:fldChar w:fldCharType="begin"/>
      </w:r>
      <w:r w:rsidR="008260AB">
        <w:instrText xml:space="preserve"> SEQ Table \* ARABIC </w:instrText>
      </w:r>
      <w:r w:rsidR="008260AB">
        <w:fldChar w:fldCharType="separate"/>
      </w:r>
      <w:r w:rsidR="008260AB">
        <w:rPr>
          <w:noProof/>
        </w:rPr>
        <w:t>1</w:t>
      </w:r>
      <w:r w:rsidR="008260AB">
        <w:rPr>
          <w:noProof/>
        </w:rPr>
        <w:fldChar w:fldCharType="end"/>
      </w:r>
      <w:bookmarkEnd w:id="5"/>
      <w:r w:rsidRPr="00FD2128">
        <w:t xml:space="preserve"> </w:t>
      </w:r>
      <w:r w:rsidRPr="00FD2128">
        <w:rPr>
          <w:lang w:eastAsia="en-AU"/>
        </w:rPr>
        <w:t>Assessment of the cost-effectiveness of</w:t>
      </w:r>
      <w:r>
        <w:rPr>
          <w:lang w:eastAsia="en-AU"/>
        </w:rPr>
        <w:t xml:space="preserve"> adding gene sequencing to</w:t>
      </w:r>
      <w:r w:rsidRPr="00FD2128">
        <w:rPr>
          <w:lang w:eastAsia="en-AU"/>
        </w:rPr>
        <w:t xml:space="preserve"> </w:t>
      </w:r>
      <w:r>
        <w:rPr>
          <w:lang w:eastAsia="en-AU"/>
        </w:rPr>
        <w:t>reproductive partner testing using SGTs</w:t>
      </w:r>
      <w:r w:rsidRPr="00FD2128">
        <w:rPr>
          <w:lang w:eastAsia="en-AU"/>
        </w:rPr>
        <w:t xml:space="preserve">. Effectiveness is expressed in terms of </w:t>
      </w:r>
      <w:r>
        <w:rPr>
          <w:lang w:eastAsia="en-AU"/>
        </w:rPr>
        <w:t>cost of testing per carrier couple identified</w:t>
      </w:r>
      <w:r w:rsidRPr="00FD2128">
        <w:rPr>
          <w:lang w:eastAsia="en-AU"/>
        </w:rPr>
        <w:t>.</w:t>
      </w:r>
    </w:p>
    <w:tbl>
      <w:tblPr>
        <w:tblStyle w:val="TableGrid2"/>
        <w:tblW w:w="9067" w:type="dxa"/>
        <w:tblLook w:val="04A0" w:firstRow="1" w:lastRow="0" w:firstColumn="1" w:lastColumn="0" w:noHBand="0" w:noVBand="1"/>
      </w:tblPr>
      <w:tblGrid>
        <w:gridCol w:w="1192"/>
        <w:gridCol w:w="3056"/>
        <w:gridCol w:w="2551"/>
        <w:gridCol w:w="1134"/>
        <w:gridCol w:w="1134"/>
      </w:tblGrid>
      <w:tr w:rsidR="006E4B29" w:rsidRPr="00F34E2D" w14:paraId="71D9D800" w14:textId="77777777" w:rsidTr="008E78AC">
        <w:trPr>
          <w:cnfStyle w:val="100000000000" w:firstRow="1" w:lastRow="0" w:firstColumn="0" w:lastColumn="0" w:oddVBand="0" w:evenVBand="0" w:oddHBand="0" w:evenHBand="0" w:firstRowFirstColumn="0" w:firstRowLastColumn="0" w:lastRowFirstColumn="0" w:lastRowLastColumn="0"/>
          <w:trHeight w:val="20"/>
        </w:trPr>
        <w:tc>
          <w:tcPr>
            <w:tcW w:w="1192" w:type="dxa"/>
            <w:hideMark/>
          </w:tcPr>
          <w:p w14:paraId="6486592A" w14:textId="77777777" w:rsidR="006E4B29" w:rsidRPr="00F34E2D" w:rsidRDefault="006E4B29" w:rsidP="008E78AC">
            <w:pPr>
              <w:spacing w:line="276" w:lineRule="auto"/>
              <w:rPr>
                <w:rFonts w:ascii="Arial Narrow" w:hAnsi="Arial Narrow"/>
                <w:b/>
                <w:bCs/>
              </w:rPr>
            </w:pPr>
          </w:p>
        </w:tc>
        <w:tc>
          <w:tcPr>
            <w:tcW w:w="3056" w:type="dxa"/>
            <w:hideMark/>
          </w:tcPr>
          <w:p w14:paraId="111787E3" w14:textId="0A53D2F8" w:rsidR="006E4B29" w:rsidRPr="00F34E2D" w:rsidRDefault="006E4B29" w:rsidP="008E78AC">
            <w:pPr>
              <w:spacing w:line="276" w:lineRule="auto"/>
              <w:jc w:val="center"/>
              <w:rPr>
                <w:rFonts w:ascii="Arial Narrow" w:hAnsi="Arial Narrow"/>
                <w:b/>
                <w:bCs/>
              </w:rPr>
            </w:pPr>
            <w:r w:rsidRPr="00F34E2D">
              <w:rPr>
                <w:rFonts w:ascii="Arial Narrow" w:hAnsi="Arial Narrow"/>
                <w:b/>
                <w:bCs/>
              </w:rPr>
              <w:t xml:space="preserve">Intervention: </w:t>
            </w:r>
            <w:r>
              <w:rPr>
                <w:rFonts w:ascii="Arial Narrow" w:hAnsi="Arial Narrow"/>
                <w:b/>
                <w:bCs/>
              </w:rPr>
              <w:t>reproductive partner testing using SGT and gene sequencing</w:t>
            </w:r>
          </w:p>
        </w:tc>
        <w:tc>
          <w:tcPr>
            <w:tcW w:w="2551" w:type="dxa"/>
            <w:hideMark/>
          </w:tcPr>
          <w:p w14:paraId="4EC4CAF5" w14:textId="41E81475" w:rsidR="006E4B29" w:rsidRPr="00F34E2D" w:rsidRDefault="006E4B29" w:rsidP="008E78AC">
            <w:pPr>
              <w:spacing w:line="276" w:lineRule="auto"/>
              <w:jc w:val="center"/>
              <w:rPr>
                <w:rFonts w:ascii="Arial Narrow" w:hAnsi="Arial Narrow"/>
                <w:b/>
                <w:bCs/>
              </w:rPr>
            </w:pPr>
            <w:r w:rsidRPr="00F34E2D">
              <w:rPr>
                <w:rFonts w:ascii="Arial Narrow" w:hAnsi="Arial Narrow"/>
                <w:b/>
                <w:bCs/>
              </w:rPr>
              <w:t xml:space="preserve">Comparator: </w:t>
            </w:r>
            <w:r>
              <w:rPr>
                <w:rFonts w:ascii="Arial Narrow" w:hAnsi="Arial Narrow"/>
                <w:b/>
                <w:bCs/>
              </w:rPr>
              <w:t>reproductive partner testing using SGT</w:t>
            </w:r>
          </w:p>
        </w:tc>
        <w:tc>
          <w:tcPr>
            <w:tcW w:w="1134" w:type="dxa"/>
            <w:hideMark/>
          </w:tcPr>
          <w:p w14:paraId="6EAAFB62" w14:textId="77777777" w:rsidR="006E4B29" w:rsidRPr="00F34E2D" w:rsidRDefault="006E4B29" w:rsidP="008E78AC">
            <w:pPr>
              <w:spacing w:line="276" w:lineRule="auto"/>
              <w:jc w:val="center"/>
              <w:rPr>
                <w:rFonts w:ascii="Arial Narrow" w:hAnsi="Arial Narrow"/>
                <w:b/>
                <w:bCs/>
              </w:rPr>
            </w:pPr>
            <w:r w:rsidRPr="00F34E2D">
              <w:rPr>
                <w:rFonts w:ascii="Arial Narrow" w:hAnsi="Arial Narrow"/>
                <w:b/>
                <w:bCs/>
              </w:rPr>
              <w:t>Increment</w:t>
            </w:r>
          </w:p>
        </w:tc>
        <w:tc>
          <w:tcPr>
            <w:tcW w:w="1134" w:type="dxa"/>
            <w:hideMark/>
          </w:tcPr>
          <w:p w14:paraId="307ACB66" w14:textId="77777777" w:rsidR="006E4B29" w:rsidRPr="00F34E2D" w:rsidRDefault="006E4B29" w:rsidP="008E78AC">
            <w:pPr>
              <w:spacing w:line="276" w:lineRule="auto"/>
              <w:jc w:val="center"/>
              <w:rPr>
                <w:rFonts w:ascii="Arial Narrow" w:hAnsi="Arial Narrow"/>
                <w:b/>
                <w:bCs/>
              </w:rPr>
            </w:pPr>
            <w:r w:rsidRPr="00F34E2D">
              <w:rPr>
                <w:rFonts w:ascii="Arial Narrow" w:hAnsi="Arial Narrow"/>
                <w:b/>
                <w:bCs/>
              </w:rPr>
              <w:t>ICER</w:t>
            </w:r>
          </w:p>
        </w:tc>
      </w:tr>
      <w:tr w:rsidR="006E4B29" w:rsidRPr="00F34E2D" w14:paraId="402BD058" w14:textId="77777777" w:rsidTr="006E4B29">
        <w:trPr>
          <w:trHeight w:val="20"/>
        </w:trPr>
        <w:tc>
          <w:tcPr>
            <w:tcW w:w="1192" w:type="dxa"/>
            <w:hideMark/>
          </w:tcPr>
          <w:p w14:paraId="4D4070EF" w14:textId="77777777" w:rsidR="006E4B29" w:rsidRPr="000B2F94" w:rsidRDefault="006E4B29" w:rsidP="006E4B29">
            <w:pPr>
              <w:spacing w:line="276" w:lineRule="auto"/>
            </w:pPr>
            <w:r w:rsidRPr="000B2F94">
              <w:t>Cost</w:t>
            </w:r>
          </w:p>
        </w:tc>
        <w:tc>
          <w:tcPr>
            <w:tcW w:w="3056" w:type="dxa"/>
          </w:tcPr>
          <w:p w14:paraId="3C396142" w14:textId="45F74403" w:rsidR="006E4B29" w:rsidRPr="000B2F94" w:rsidRDefault="006E4B29" w:rsidP="006E4B29">
            <w:pPr>
              <w:spacing w:line="276" w:lineRule="auto"/>
              <w:jc w:val="center"/>
            </w:pPr>
            <w:r>
              <w:t>$1,568</w:t>
            </w:r>
          </w:p>
        </w:tc>
        <w:tc>
          <w:tcPr>
            <w:tcW w:w="2551" w:type="dxa"/>
            <w:hideMark/>
          </w:tcPr>
          <w:p w14:paraId="0054F20E" w14:textId="3B1D08AF" w:rsidR="006E4B29" w:rsidRPr="000B2F94" w:rsidRDefault="006E4B29" w:rsidP="006E4B29">
            <w:pPr>
              <w:spacing w:line="276" w:lineRule="auto"/>
              <w:jc w:val="center"/>
            </w:pPr>
            <w:r>
              <w:rPr>
                <w:rFonts w:cs="Calibri"/>
                <w:color w:val="000000"/>
              </w:rPr>
              <w:t>$392</w:t>
            </w:r>
          </w:p>
        </w:tc>
        <w:tc>
          <w:tcPr>
            <w:tcW w:w="1134" w:type="dxa"/>
            <w:hideMark/>
          </w:tcPr>
          <w:p w14:paraId="55D6A4BA" w14:textId="71764C35" w:rsidR="006E4B29" w:rsidRPr="000B2F94" w:rsidRDefault="006E4B29" w:rsidP="006E4B29">
            <w:pPr>
              <w:spacing w:line="276" w:lineRule="auto"/>
              <w:jc w:val="center"/>
            </w:pPr>
            <w:r>
              <w:rPr>
                <w:rFonts w:cs="Calibri"/>
                <w:color w:val="000000"/>
              </w:rPr>
              <w:t>$</w:t>
            </w:r>
            <w:r w:rsidR="00E8729E">
              <w:rPr>
                <w:rFonts w:cs="Calibri"/>
                <w:color w:val="000000"/>
              </w:rPr>
              <w:t>1,176</w:t>
            </w:r>
          </w:p>
        </w:tc>
        <w:tc>
          <w:tcPr>
            <w:tcW w:w="1134" w:type="dxa"/>
            <w:vMerge w:val="restart"/>
            <w:vAlign w:val="center"/>
            <w:hideMark/>
          </w:tcPr>
          <w:p w14:paraId="267A62C4" w14:textId="530E6C8E" w:rsidR="006E4B29" w:rsidRPr="00AC62D4" w:rsidRDefault="006E4B29" w:rsidP="006E4B29">
            <w:pPr>
              <w:spacing w:line="276" w:lineRule="auto"/>
              <w:jc w:val="center"/>
            </w:pPr>
            <w:r>
              <w:t>$2,584,615</w:t>
            </w:r>
          </w:p>
        </w:tc>
      </w:tr>
      <w:tr w:rsidR="006E4B29" w:rsidRPr="00F34E2D" w14:paraId="28ABDEF7" w14:textId="77777777" w:rsidTr="006E4B29">
        <w:trPr>
          <w:trHeight w:val="20"/>
        </w:trPr>
        <w:tc>
          <w:tcPr>
            <w:tcW w:w="1192" w:type="dxa"/>
            <w:hideMark/>
          </w:tcPr>
          <w:p w14:paraId="6BE4A352" w14:textId="77777777" w:rsidR="006E4B29" w:rsidRPr="000B2F94" w:rsidRDefault="006E4B29" w:rsidP="006E4B29">
            <w:pPr>
              <w:spacing w:line="276" w:lineRule="auto"/>
            </w:pPr>
            <w:r w:rsidRPr="000B2F94">
              <w:t>Effectiveness</w:t>
            </w:r>
          </w:p>
        </w:tc>
        <w:tc>
          <w:tcPr>
            <w:tcW w:w="3056" w:type="dxa"/>
          </w:tcPr>
          <w:p w14:paraId="3D5A7B72" w14:textId="47637507" w:rsidR="006E4B29" w:rsidRPr="000B2F94" w:rsidRDefault="006E4B29" w:rsidP="006E4B29">
            <w:pPr>
              <w:spacing w:line="276" w:lineRule="auto"/>
              <w:jc w:val="center"/>
            </w:pPr>
            <w:r>
              <w:t>0.020455</w:t>
            </w:r>
          </w:p>
        </w:tc>
        <w:tc>
          <w:tcPr>
            <w:tcW w:w="2551" w:type="dxa"/>
            <w:hideMark/>
          </w:tcPr>
          <w:p w14:paraId="533EAB97" w14:textId="122A3B01" w:rsidR="006E4B29" w:rsidRPr="000B2F94" w:rsidRDefault="006E4B29" w:rsidP="006E4B29">
            <w:pPr>
              <w:spacing w:line="276" w:lineRule="auto"/>
              <w:jc w:val="center"/>
            </w:pPr>
            <w:r>
              <w:t>0.020000</w:t>
            </w:r>
          </w:p>
        </w:tc>
        <w:tc>
          <w:tcPr>
            <w:tcW w:w="1134" w:type="dxa"/>
            <w:hideMark/>
          </w:tcPr>
          <w:p w14:paraId="26499E44" w14:textId="6BE9B098" w:rsidR="006E4B29" w:rsidRPr="000B2F94" w:rsidRDefault="006E4B29" w:rsidP="006E4B29">
            <w:pPr>
              <w:spacing w:line="276" w:lineRule="auto"/>
              <w:jc w:val="center"/>
            </w:pPr>
            <w:r>
              <w:t>0.0</w:t>
            </w:r>
            <w:r w:rsidR="00E8729E">
              <w:t>00455</w:t>
            </w:r>
          </w:p>
        </w:tc>
        <w:tc>
          <w:tcPr>
            <w:tcW w:w="1134" w:type="dxa"/>
            <w:vMerge/>
            <w:hideMark/>
          </w:tcPr>
          <w:p w14:paraId="71496B72" w14:textId="77777777" w:rsidR="006E4B29" w:rsidRPr="00AC62D4" w:rsidRDefault="006E4B29" w:rsidP="006E4B29">
            <w:pPr>
              <w:spacing w:line="276" w:lineRule="auto"/>
              <w:jc w:val="center"/>
            </w:pPr>
          </w:p>
        </w:tc>
      </w:tr>
    </w:tbl>
    <w:p w14:paraId="64956898" w14:textId="31249120" w:rsidR="006E4B29" w:rsidRDefault="006E4B29" w:rsidP="006E4B29">
      <w:pPr>
        <w:rPr>
          <w:rFonts w:ascii="Arial Narrow" w:hAnsi="Arial Narrow"/>
          <w:sz w:val="18"/>
          <w:szCs w:val="18"/>
        </w:rPr>
      </w:pPr>
      <w:r w:rsidRPr="004A0048">
        <w:rPr>
          <w:rFonts w:ascii="Arial Narrow" w:hAnsi="Arial Narrow"/>
          <w:sz w:val="18"/>
          <w:szCs w:val="18"/>
        </w:rPr>
        <w:t>ICER = incremental cost-effectiveness ratio; SGT = single gene testing.</w:t>
      </w:r>
      <w:r w:rsidR="00E618D6">
        <w:rPr>
          <w:rFonts w:ascii="Arial Narrow" w:hAnsi="Arial Narrow"/>
          <w:sz w:val="18"/>
          <w:szCs w:val="18"/>
        </w:rPr>
        <w:t xml:space="preserve"> </w:t>
      </w:r>
      <w:r w:rsidR="00E618D6" w:rsidRPr="00E618D6">
        <w:rPr>
          <w:rFonts w:ascii="Arial Narrow" w:hAnsi="Arial Narrow"/>
          <w:sz w:val="18"/>
          <w:szCs w:val="18"/>
        </w:rPr>
        <w:t>Reproductive partners were assumed to have the carrier frequency of the general population</w:t>
      </w:r>
      <w:r w:rsidR="00751B8B">
        <w:rPr>
          <w:rFonts w:ascii="Arial Narrow" w:hAnsi="Arial Narrow"/>
          <w:sz w:val="18"/>
          <w:szCs w:val="18"/>
        </w:rPr>
        <w:t>:</w:t>
      </w:r>
      <w:r w:rsidR="00E618D6" w:rsidRPr="00E618D6">
        <w:rPr>
          <w:rFonts w:ascii="Arial Narrow" w:hAnsi="Arial Narrow"/>
          <w:sz w:val="18"/>
          <w:szCs w:val="18"/>
        </w:rPr>
        <w:t xml:space="preserve"> </w:t>
      </w:r>
      <w:r w:rsidR="00E618D6">
        <w:rPr>
          <w:rFonts w:ascii="Arial Narrow" w:hAnsi="Arial Narrow"/>
          <w:sz w:val="18"/>
          <w:szCs w:val="18"/>
        </w:rPr>
        <w:t>as detailed in section 10 for variants detected using SGTs, and for point variants 1:5000 for FA</w:t>
      </w:r>
      <w:r w:rsidR="00E618D6">
        <w:rPr>
          <w:rStyle w:val="FootnoteReference"/>
          <w:rFonts w:ascii="Arial Narrow" w:hAnsi="Arial Narrow"/>
          <w:sz w:val="18"/>
          <w:szCs w:val="18"/>
        </w:rPr>
        <w:footnoteReference w:id="2"/>
      </w:r>
      <w:r w:rsidR="00E618D6">
        <w:rPr>
          <w:rFonts w:ascii="Arial Narrow" w:hAnsi="Arial Narrow"/>
          <w:sz w:val="18"/>
          <w:szCs w:val="18"/>
        </w:rPr>
        <w:t xml:space="preserve"> and 1:1600 for SMA</w:t>
      </w:r>
      <w:r w:rsidR="00E618D6">
        <w:rPr>
          <w:rStyle w:val="FootnoteReference"/>
          <w:rFonts w:ascii="Arial Narrow" w:hAnsi="Arial Narrow"/>
          <w:sz w:val="18"/>
          <w:szCs w:val="18"/>
        </w:rPr>
        <w:footnoteReference w:id="3"/>
      </w:r>
      <w:r w:rsidR="00E618D6">
        <w:rPr>
          <w:rFonts w:ascii="Arial Narrow" w:hAnsi="Arial Narrow"/>
          <w:sz w:val="18"/>
          <w:szCs w:val="18"/>
        </w:rPr>
        <w:t>.</w:t>
      </w:r>
    </w:p>
    <w:p w14:paraId="1269C3D8" w14:textId="5FCE23F8" w:rsidR="00CA6B6E" w:rsidRPr="00CA6B6E" w:rsidRDefault="00CA6B6E" w:rsidP="007D4B83">
      <w:pPr>
        <w:pStyle w:val="Default"/>
        <w:spacing w:before="240" w:after="240"/>
        <w:rPr>
          <w:rFonts w:ascii="Franklin Gothic Book" w:eastAsiaTheme="minorHAnsi" w:hAnsi="Franklin Gothic Book" w:cstheme="minorBidi"/>
          <w:iCs/>
          <w:color w:val="auto"/>
          <w:sz w:val="22"/>
          <w:szCs w:val="22"/>
        </w:rPr>
      </w:pPr>
      <w:r w:rsidRPr="00CA6B6E">
        <w:rPr>
          <w:rFonts w:ascii="Franklin Gothic Book" w:eastAsiaTheme="minorHAnsi" w:hAnsi="Franklin Gothic Book" w:cstheme="minorBidi"/>
          <w:iCs/>
          <w:color w:val="auto"/>
          <w:sz w:val="22"/>
          <w:szCs w:val="22"/>
        </w:rPr>
        <w:t xml:space="preserve">The MSAC Executive </w:t>
      </w:r>
      <w:r w:rsidR="004644F4">
        <w:rPr>
          <w:rFonts w:ascii="Franklin Gothic Book" w:eastAsiaTheme="minorHAnsi" w:hAnsi="Franklin Gothic Book" w:cstheme="minorBidi"/>
          <w:iCs/>
          <w:color w:val="auto"/>
          <w:sz w:val="22"/>
          <w:szCs w:val="22"/>
        </w:rPr>
        <w:t xml:space="preserve">considered that adding gene sequencing would be pragmatic based on the very low financial impact and risk, and that the poor cost-effectiveness was uniquely acceptable in this specific situation, and </w:t>
      </w:r>
      <w:r w:rsidR="00B15DE2">
        <w:rPr>
          <w:rFonts w:ascii="Franklin Gothic Book" w:eastAsiaTheme="minorHAnsi" w:hAnsi="Franklin Gothic Book" w:cstheme="minorBidi"/>
          <w:iCs/>
          <w:color w:val="auto"/>
          <w:sz w:val="22"/>
          <w:szCs w:val="22"/>
        </w:rPr>
        <w:t xml:space="preserve">therefore </w:t>
      </w:r>
      <w:r w:rsidR="00CC2520">
        <w:rPr>
          <w:rFonts w:ascii="Franklin Gothic Book" w:eastAsiaTheme="minorHAnsi" w:hAnsi="Franklin Gothic Book" w:cstheme="minorBidi"/>
          <w:iCs/>
          <w:color w:val="auto"/>
          <w:sz w:val="22"/>
          <w:szCs w:val="22"/>
        </w:rPr>
        <w:t>advised</w:t>
      </w:r>
      <w:r w:rsidRPr="00CA6B6E">
        <w:rPr>
          <w:rFonts w:ascii="Franklin Gothic Book" w:eastAsiaTheme="minorHAnsi" w:hAnsi="Franklin Gothic Book" w:cstheme="minorBidi"/>
          <w:iCs/>
          <w:color w:val="auto"/>
          <w:sz w:val="22"/>
          <w:szCs w:val="22"/>
        </w:rPr>
        <w:t xml:space="preserve"> that </w:t>
      </w:r>
      <w:r w:rsidR="00B15DE2">
        <w:rPr>
          <w:rFonts w:ascii="Franklin Gothic Book" w:eastAsiaTheme="minorHAnsi" w:hAnsi="Franklin Gothic Book" w:cstheme="minorBidi"/>
          <w:iCs/>
          <w:color w:val="auto"/>
          <w:sz w:val="22"/>
          <w:szCs w:val="22"/>
        </w:rPr>
        <w:t xml:space="preserve">on balance </w:t>
      </w:r>
      <w:r w:rsidR="007D58A3">
        <w:rPr>
          <w:rFonts w:ascii="Franklin Gothic Book" w:eastAsiaTheme="minorHAnsi" w:hAnsi="Franklin Gothic Book" w:cstheme="minorBidi"/>
          <w:iCs/>
          <w:color w:val="auto"/>
          <w:sz w:val="22"/>
          <w:szCs w:val="22"/>
        </w:rPr>
        <w:t>it supported the RCPA’s proposal</w:t>
      </w:r>
      <w:r w:rsidR="0067402A">
        <w:rPr>
          <w:rFonts w:ascii="Franklin Gothic Book" w:eastAsiaTheme="minorHAnsi" w:hAnsi="Franklin Gothic Book" w:cstheme="minorBidi"/>
          <w:iCs/>
          <w:color w:val="auto"/>
          <w:sz w:val="22"/>
          <w:szCs w:val="22"/>
        </w:rPr>
        <w:t xml:space="preserve"> to </w:t>
      </w:r>
      <w:r w:rsidR="00701A95">
        <w:rPr>
          <w:rFonts w:ascii="Franklin Gothic Book" w:eastAsiaTheme="minorHAnsi" w:hAnsi="Franklin Gothic Book" w:cstheme="minorBidi"/>
          <w:iCs/>
          <w:color w:val="auto"/>
          <w:sz w:val="22"/>
          <w:szCs w:val="22"/>
        </w:rPr>
        <w:t>use</w:t>
      </w:r>
      <w:r w:rsidR="0067402A">
        <w:rPr>
          <w:rFonts w:ascii="Franklin Gothic Book" w:eastAsiaTheme="minorHAnsi" w:hAnsi="Franklin Gothic Book" w:cstheme="minorBidi"/>
          <w:iCs/>
          <w:color w:val="auto"/>
          <w:sz w:val="22"/>
          <w:szCs w:val="22"/>
        </w:rPr>
        <w:t xml:space="preserve"> gene sequencing </w:t>
      </w:r>
      <w:r w:rsidR="00701A95">
        <w:rPr>
          <w:rFonts w:ascii="Franklin Gothic Book" w:eastAsiaTheme="minorHAnsi" w:hAnsi="Franklin Gothic Book" w:cstheme="minorBidi"/>
          <w:iCs/>
          <w:color w:val="auto"/>
          <w:sz w:val="22"/>
          <w:szCs w:val="22"/>
        </w:rPr>
        <w:t>in addition to SGTs for</w:t>
      </w:r>
      <w:r w:rsidR="0067402A">
        <w:rPr>
          <w:rFonts w:ascii="Franklin Gothic Book" w:eastAsiaTheme="minorHAnsi" w:hAnsi="Franklin Gothic Book" w:cstheme="minorBidi"/>
          <w:iCs/>
          <w:color w:val="auto"/>
          <w:sz w:val="22"/>
          <w:szCs w:val="22"/>
        </w:rPr>
        <w:t xml:space="preserve"> reproductive partner testing</w:t>
      </w:r>
      <w:r w:rsidR="00701A95">
        <w:rPr>
          <w:rFonts w:ascii="Franklin Gothic Book" w:eastAsiaTheme="minorHAnsi" w:hAnsi="Franklin Gothic Book" w:cstheme="minorBidi"/>
          <w:iCs/>
          <w:color w:val="auto"/>
          <w:sz w:val="22"/>
          <w:szCs w:val="22"/>
        </w:rPr>
        <w:t>.</w:t>
      </w:r>
      <w:r w:rsidR="004644F4">
        <w:rPr>
          <w:rFonts w:ascii="Franklin Gothic Book" w:eastAsiaTheme="minorHAnsi" w:hAnsi="Franklin Gothic Book" w:cstheme="minorBidi"/>
          <w:iCs/>
          <w:color w:val="auto"/>
          <w:sz w:val="22"/>
          <w:szCs w:val="22"/>
        </w:rPr>
        <w:t xml:space="preserve"> </w:t>
      </w:r>
      <w:r w:rsidR="00401F6F">
        <w:rPr>
          <w:rFonts w:ascii="Franklin Gothic Book" w:eastAsiaTheme="minorHAnsi" w:hAnsi="Franklin Gothic Book" w:cstheme="minorBidi"/>
          <w:iCs/>
          <w:color w:val="auto"/>
          <w:sz w:val="22"/>
          <w:szCs w:val="22"/>
        </w:rPr>
        <w:t xml:space="preserve">The MSAC Executive </w:t>
      </w:r>
      <w:r w:rsidR="0067402A" w:rsidRPr="00BD6B08">
        <w:rPr>
          <w:rFonts w:ascii="Franklin Gothic Book" w:eastAsiaTheme="minorHAnsi" w:hAnsi="Franklin Gothic Book" w:cstheme="minorBidi"/>
          <w:iCs/>
          <w:color w:val="auto"/>
          <w:sz w:val="22"/>
          <w:szCs w:val="22"/>
        </w:rPr>
        <w:t xml:space="preserve">therefore </w:t>
      </w:r>
      <w:r w:rsidR="00401F6F">
        <w:rPr>
          <w:rFonts w:ascii="Franklin Gothic Book" w:eastAsiaTheme="minorHAnsi" w:hAnsi="Franklin Gothic Book" w:cstheme="minorBidi"/>
          <w:iCs/>
          <w:color w:val="auto"/>
          <w:sz w:val="22"/>
          <w:szCs w:val="22"/>
        </w:rPr>
        <w:t xml:space="preserve">advised </w:t>
      </w:r>
      <w:r w:rsidR="0067402A" w:rsidRPr="00BD6B08">
        <w:rPr>
          <w:rFonts w:ascii="Franklin Gothic Book" w:eastAsiaTheme="minorHAnsi" w:hAnsi="Franklin Gothic Book" w:cstheme="minorBidi"/>
          <w:iCs/>
          <w:color w:val="auto"/>
          <w:sz w:val="22"/>
          <w:szCs w:val="22"/>
        </w:rPr>
        <w:t xml:space="preserve">it would be appropriate to also make gene sequencing </w:t>
      </w:r>
      <w:bookmarkStart w:id="6" w:name="_Hlk109141700"/>
      <w:r w:rsidR="0067402A">
        <w:rPr>
          <w:rFonts w:ascii="Franklin Gothic Book" w:eastAsiaTheme="minorHAnsi" w:hAnsi="Franklin Gothic Book" w:cstheme="minorBidi"/>
          <w:iCs/>
          <w:color w:val="auto"/>
          <w:sz w:val="22"/>
          <w:szCs w:val="22"/>
        </w:rPr>
        <w:t xml:space="preserve">of the relevant gene/s </w:t>
      </w:r>
      <w:bookmarkEnd w:id="6"/>
      <w:r w:rsidR="0067402A" w:rsidRPr="00BD6B08">
        <w:rPr>
          <w:rFonts w:ascii="Franklin Gothic Book" w:eastAsiaTheme="minorHAnsi" w:hAnsi="Franklin Gothic Book" w:cstheme="minorBidi"/>
          <w:iCs/>
          <w:color w:val="auto"/>
          <w:sz w:val="22"/>
          <w:szCs w:val="22"/>
        </w:rPr>
        <w:t>available to reproductive partners of patients in whom a recessive variant has been identified using XXXX</w:t>
      </w:r>
      <w:r w:rsidR="0067402A">
        <w:rPr>
          <w:rFonts w:ascii="Franklin Gothic Book" w:eastAsiaTheme="minorHAnsi" w:hAnsi="Franklin Gothic Book" w:cstheme="minorBidi"/>
          <w:iCs/>
          <w:color w:val="auto"/>
          <w:sz w:val="22"/>
          <w:szCs w:val="22"/>
        </w:rPr>
        <w:t>. T</w:t>
      </w:r>
      <w:r w:rsidRPr="00CA6B6E">
        <w:rPr>
          <w:rFonts w:ascii="Franklin Gothic Book" w:eastAsiaTheme="minorHAnsi" w:hAnsi="Franklin Gothic Book" w:cstheme="minorBidi"/>
          <w:iCs/>
          <w:color w:val="auto"/>
          <w:sz w:val="22"/>
          <w:szCs w:val="22"/>
        </w:rPr>
        <w:t xml:space="preserve">he 1585 reproductive partner testing item EEEE </w:t>
      </w:r>
      <w:r w:rsidR="00CC2520">
        <w:rPr>
          <w:rFonts w:ascii="Franklin Gothic Book" w:eastAsiaTheme="minorHAnsi" w:hAnsi="Franklin Gothic Book" w:cstheme="minorBidi"/>
          <w:iCs/>
          <w:color w:val="auto"/>
          <w:sz w:val="22"/>
          <w:szCs w:val="22"/>
        </w:rPr>
        <w:t xml:space="preserve">should </w:t>
      </w:r>
      <w:r w:rsidR="0067402A">
        <w:rPr>
          <w:rFonts w:ascii="Franklin Gothic Book" w:eastAsiaTheme="minorHAnsi" w:hAnsi="Franklin Gothic Book" w:cstheme="minorBidi"/>
          <w:iCs/>
          <w:color w:val="auto"/>
          <w:sz w:val="22"/>
          <w:szCs w:val="22"/>
        </w:rPr>
        <w:t xml:space="preserve">therefore </w:t>
      </w:r>
      <w:r w:rsidRPr="00CA6B6E">
        <w:rPr>
          <w:rFonts w:ascii="Franklin Gothic Book" w:eastAsiaTheme="minorHAnsi" w:hAnsi="Franklin Gothic Book" w:cstheme="minorBidi"/>
          <w:iCs/>
          <w:color w:val="auto"/>
          <w:sz w:val="22"/>
          <w:szCs w:val="22"/>
        </w:rPr>
        <w:t>be expanded (“</w:t>
      </w:r>
      <w:bookmarkStart w:id="7" w:name="_Hlk109135908"/>
      <w:r w:rsidRPr="00CA6B6E">
        <w:rPr>
          <w:rFonts w:ascii="Franklin Gothic Book" w:eastAsiaTheme="minorHAnsi" w:hAnsi="Franklin Gothic Book" w:cstheme="minorBidi"/>
          <w:iCs/>
          <w:color w:val="auto"/>
          <w:sz w:val="22"/>
          <w:szCs w:val="22"/>
        </w:rPr>
        <w:t>in which a reproductive partner has a documented pathogenic germline recessive gene variant for a neuromuscular disorder identified by item number AAAA, DDDD1</w:t>
      </w:r>
      <w:r w:rsidRPr="00AE386B">
        <w:rPr>
          <w:rFonts w:ascii="Franklin Gothic Book" w:eastAsiaTheme="minorHAnsi" w:hAnsi="Franklin Gothic Book" w:cstheme="minorBidi"/>
          <w:i/>
          <w:color w:val="auto"/>
          <w:sz w:val="22"/>
          <w:szCs w:val="22"/>
        </w:rPr>
        <w:t>,</w:t>
      </w:r>
      <w:r w:rsidRPr="00CA6B6E">
        <w:rPr>
          <w:rFonts w:ascii="Franklin Gothic Book" w:eastAsiaTheme="minorHAnsi" w:hAnsi="Franklin Gothic Book" w:cstheme="minorBidi"/>
          <w:iCs/>
          <w:color w:val="auto"/>
          <w:sz w:val="22"/>
          <w:szCs w:val="22"/>
        </w:rPr>
        <w:t xml:space="preserve"> </w:t>
      </w:r>
      <w:r w:rsidRPr="00AE386B">
        <w:rPr>
          <w:rFonts w:ascii="Franklin Gothic Book" w:eastAsiaTheme="minorHAnsi" w:hAnsi="Franklin Gothic Book" w:cstheme="minorBidi"/>
          <w:iCs/>
          <w:strike/>
          <w:color w:val="auto"/>
          <w:sz w:val="22"/>
          <w:szCs w:val="22"/>
        </w:rPr>
        <w:t>or</w:t>
      </w:r>
      <w:r w:rsidRPr="00CA6B6E">
        <w:rPr>
          <w:rFonts w:ascii="Franklin Gothic Book" w:eastAsiaTheme="minorHAnsi" w:hAnsi="Franklin Gothic Book" w:cstheme="minorBidi"/>
          <w:iCs/>
          <w:color w:val="auto"/>
          <w:sz w:val="22"/>
          <w:szCs w:val="22"/>
        </w:rPr>
        <w:t xml:space="preserve"> DDDD2</w:t>
      </w:r>
      <w:r w:rsidRPr="00AE386B">
        <w:rPr>
          <w:rFonts w:ascii="Franklin Gothic Book" w:eastAsiaTheme="minorHAnsi" w:hAnsi="Franklin Gothic Book" w:cstheme="minorBidi"/>
          <w:i/>
          <w:color w:val="auto"/>
          <w:sz w:val="22"/>
          <w:szCs w:val="22"/>
        </w:rPr>
        <w:t xml:space="preserve">, or XXXX where XXXX </w:t>
      </w:r>
      <w:r w:rsidR="00AE386B" w:rsidRPr="00457F07">
        <w:rPr>
          <w:rFonts w:ascii="Franklin Gothic Book" w:eastAsiaTheme="minorHAnsi" w:hAnsi="Franklin Gothic Book" w:cstheme="minorBidi"/>
          <w:i/>
          <w:color w:val="auto"/>
          <w:sz w:val="22"/>
          <w:szCs w:val="22"/>
        </w:rPr>
        <w:t xml:space="preserve">has not identified a </w:t>
      </w:r>
      <w:r w:rsidR="008E0CED">
        <w:rPr>
          <w:rFonts w:ascii="Franklin Gothic Book" w:eastAsiaTheme="minorHAnsi" w:hAnsi="Franklin Gothic Book" w:cstheme="minorBidi"/>
          <w:i/>
          <w:color w:val="auto"/>
          <w:sz w:val="22"/>
          <w:szCs w:val="22"/>
        </w:rPr>
        <w:t xml:space="preserve">relevant </w:t>
      </w:r>
      <w:r w:rsidR="00AE386B" w:rsidRPr="00457F07">
        <w:rPr>
          <w:rFonts w:ascii="Franklin Gothic Book" w:eastAsiaTheme="minorHAnsi" w:hAnsi="Franklin Gothic Book" w:cstheme="minorBidi"/>
          <w:i/>
          <w:color w:val="auto"/>
          <w:sz w:val="22"/>
          <w:szCs w:val="22"/>
        </w:rPr>
        <w:t>variant</w:t>
      </w:r>
      <w:r w:rsidR="00AE386B" w:rsidRPr="00AE386B">
        <w:rPr>
          <w:rFonts w:ascii="Franklin Gothic Book" w:eastAsiaTheme="minorHAnsi" w:hAnsi="Franklin Gothic Book" w:cstheme="minorBidi"/>
          <w:i/>
          <w:color w:val="auto"/>
          <w:sz w:val="22"/>
          <w:szCs w:val="22"/>
        </w:rPr>
        <w:t xml:space="preserve"> </w:t>
      </w:r>
      <w:r w:rsidRPr="00AE386B">
        <w:rPr>
          <w:rFonts w:ascii="Franklin Gothic Book" w:eastAsiaTheme="minorHAnsi" w:hAnsi="Franklin Gothic Book" w:cstheme="minorBidi"/>
          <w:i/>
          <w:color w:val="auto"/>
          <w:sz w:val="22"/>
          <w:szCs w:val="22"/>
        </w:rPr>
        <w:t>in the reproductive partner</w:t>
      </w:r>
      <w:bookmarkEnd w:id="7"/>
      <w:r w:rsidRPr="00CA6B6E">
        <w:rPr>
          <w:rFonts w:ascii="Franklin Gothic Book" w:eastAsiaTheme="minorHAnsi" w:hAnsi="Franklin Gothic Book" w:cstheme="minorBidi"/>
          <w:iCs/>
          <w:color w:val="auto"/>
          <w:sz w:val="22"/>
          <w:szCs w:val="22"/>
        </w:rPr>
        <w:t>”), and a practice note be added to XXXX:</w:t>
      </w:r>
    </w:p>
    <w:p w14:paraId="2B1494B8" w14:textId="4F9A1F39" w:rsidR="007D4B83" w:rsidRPr="007D4B83" w:rsidRDefault="00CA6B6E" w:rsidP="007D4B83">
      <w:pPr>
        <w:pStyle w:val="TableText1"/>
        <w:spacing w:after="240"/>
        <w:ind w:left="720"/>
        <w:rPr>
          <w:sz w:val="22"/>
          <w:szCs w:val="24"/>
        </w:rPr>
      </w:pPr>
      <w:r w:rsidRPr="00AE386B">
        <w:rPr>
          <w:sz w:val="22"/>
          <w:szCs w:val="24"/>
        </w:rPr>
        <w:t xml:space="preserve">Where a recessive variant has been identified using </w:t>
      </w:r>
      <w:r w:rsidR="001D60E0">
        <w:rPr>
          <w:sz w:val="22"/>
          <w:szCs w:val="24"/>
        </w:rPr>
        <w:t>XXXX</w:t>
      </w:r>
      <w:r w:rsidRPr="00AE386B">
        <w:rPr>
          <w:sz w:val="22"/>
          <w:szCs w:val="24"/>
        </w:rPr>
        <w:t xml:space="preserve">, </w:t>
      </w:r>
      <w:bookmarkStart w:id="8" w:name="_Hlk109131855"/>
      <w:r w:rsidRPr="00AE386B">
        <w:rPr>
          <w:sz w:val="22"/>
          <w:szCs w:val="24"/>
        </w:rPr>
        <w:t xml:space="preserve">reproductive partners should </w:t>
      </w:r>
      <w:r>
        <w:rPr>
          <w:sz w:val="22"/>
          <w:szCs w:val="24"/>
        </w:rPr>
        <w:t xml:space="preserve">first </w:t>
      </w:r>
      <w:r w:rsidRPr="00AE386B">
        <w:rPr>
          <w:sz w:val="22"/>
          <w:szCs w:val="24"/>
        </w:rPr>
        <w:t xml:space="preserve">be tested using </w:t>
      </w:r>
      <w:r w:rsidR="00AE386B">
        <w:rPr>
          <w:sz w:val="22"/>
          <w:szCs w:val="24"/>
        </w:rPr>
        <w:t>XXXX</w:t>
      </w:r>
      <w:r>
        <w:rPr>
          <w:sz w:val="22"/>
          <w:szCs w:val="24"/>
        </w:rPr>
        <w:t>,</w:t>
      </w:r>
      <w:r w:rsidRPr="00AE386B">
        <w:rPr>
          <w:sz w:val="22"/>
          <w:szCs w:val="24"/>
        </w:rPr>
        <w:t xml:space="preserve"> </w:t>
      </w:r>
      <w:r>
        <w:rPr>
          <w:sz w:val="22"/>
          <w:szCs w:val="24"/>
        </w:rPr>
        <w:t>prior to</w:t>
      </w:r>
      <w:r w:rsidRPr="00AE386B">
        <w:rPr>
          <w:sz w:val="22"/>
          <w:szCs w:val="24"/>
        </w:rPr>
        <w:t xml:space="preserve"> gene sequencing under EEEE </w:t>
      </w:r>
      <w:r>
        <w:rPr>
          <w:sz w:val="22"/>
          <w:szCs w:val="24"/>
        </w:rPr>
        <w:t xml:space="preserve">where no </w:t>
      </w:r>
      <w:r w:rsidR="002F6DA3">
        <w:rPr>
          <w:sz w:val="22"/>
          <w:szCs w:val="24"/>
        </w:rPr>
        <w:t>relevant</w:t>
      </w:r>
      <w:r>
        <w:rPr>
          <w:sz w:val="22"/>
          <w:szCs w:val="24"/>
        </w:rPr>
        <w:t xml:space="preserve"> variant was detected by </w:t>
      </w:r>
      <w:bookmarkEnd w:id="8"/>
      <w:r w:rsidR="00AE386B">
        <w:rPr>
          <w:sz w:val="22"/>
          <w:szCs w:val="24"/>
        </w:rPr>
        <w:t>XXXX</w:t>
      </w:r>
      <w:r w:rsidRPr="00AE386B">
        <w:rPr>
          <w:sz w:val="22"/>
          <w:szCs w:val="24"/>
        </w:rPr>
        <w:t>.</w:t>
      </w:r>
      <w:bookmarkStart w:id="9" w:name="_Ref101363581"/>
      <w:r w:rsidR="007D4B83">
        <w:br w:type="page"/>
      </w:r>
    </w:p>
    <w:p w14:paraId="53986E20" w14:textId="46EEA175" w:rsidR="00005F22" w:rsidRPr="00CE28E3" w:rsidRDefault="00005F22" w:rsidP="00005F22">
      <w:pPr>
        <w:pStyle w:val="Caption"/>
      </w:pPr>
      <w:r>
        <w:t>Table </w:t>
      </w:r>
      <w:fldSimple w:instr=" SEQ Table \* ARABIC ">
        <w:r w:rsidR="008260AB">
          <w:rPr>
            <w:noProof/>
          </w:rPr>
          <w:t>2</w:t>
        </w:r>
      </w:fldSimple>
      <w:bookmarkEnd w:id="9"/>
      <w:r w:rsidRPr="00CE28E3">
        <w:tab/>
      </w:r>
      <w:r>
        <w:t xml:space="preserve">MSAC’s </w:t>
      </w:r>
      <w:r w:rsidR="00CB2B61">
        <w:t>supported</w:t>
      </w:r>
      <w:r w:rsidRPr="00CE28E3">
        <w:t xml:space="preserve"> MBS item </w:t>
      </w:r>
      <w:r>
        <w:t>descriptor</w:t>
      </w:r>
      <w:r w:rsidR="001326EB">
        <w:t>s</w:t>
      </w:r>
    </w:p>
    <w:tbl>
      <w:tblPr>
        <w:tblStyle w:val="TableGrid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ESC’s revised MBS item descriptor"/>
      </w:tblPr>
      <w:tblGrid>
        <w:gridCol w:w="9016"/>
      </w:tblGrid>
      <w:tr w:rsidR="00005F22" w:rsidRPr="00CE28E3" w14:paraId="7F49864A" w14:textId="77777777" w:rsidTr="000A1D7B">
        <w:trPr>
          <w:cnfStyle w:val="100000000000" w:firstRow="1" w:lastRow="0" w:firstColumn="0" w:lastColumn="0" w:oddVBand="0" w:evenVBand="0" w:oddHBand="0" w:evenHBand="0" w:firstRowFirstColumn="0" w:firstRowLastColumn="0" w:lastRowFirstColumn="0" w:lastRowLastColumn="0"/>
        </w:trPr>
        <w:tc>
          <w:tcPr>
            <w:tcW w:w="5000" w:type="pct"/>
            <w:tcBorders>
              <w:top w:val="single" w:sz="4" w:space="0" w:color="000000"/>
              <w:left w:val="single" w:sz="4" w:space="0" w:color="000000"/>
              <w:bottom w:val="single" w:sz="4" w:space="0" w:color="auto"/>
              <w:right w:val="single" w:sz="4" w:space="0" w:color="000000"/>
            </w:tcBorders>
            <w:hideMark/>
          </w:tcPr>
          <w:p w14:paraId="4C5213EF" w14:textId="767DCB87" w:rsidR="000A1D7B" w:rsidRPr="000A1D7B" w:rsidRDefault="000A1D7B" w:rsidP="000A1D7B">
            <w:pPr>
              <w:spacing w:after="120"/>
              <w:jc w:val="right"/>
              <w:rPr>
                <w:rFonts w:ascii="Arial Narrow" w:hAnsi="Arial Narrow"/>
                <w:lang w:eastAsia="ja-JP"/>
              </w:rPr>
            </w:pPr>
            <w:bookmarkStart w:id="10" w:name="_Hlk109137693"/>
            <w:r w:rsidRPr="000A1D7B">
              <w:rPr>
                <w:rFonts w:ascii="Arial Narrow" w:hAnsi="Arial Narrow"/>
                <w:lang w:eastAsia="ja-JP"/>
              </w:rPr>
              <w:t xml:space="preserve">Category </w:t>
            </w:r>
            <w:r w:rsidR="0014507D">
              <w:rPr>
                <w:rFonts w:ascii="Arial Narrow" w:hAnsi="Arial Narrow"/>
                <w:lang w:eastAsia="ja-JP"/>
              </w:rPr>
              <w:t>6</w:t>
            </w:r>
            <w:r w:rsidRPr="000A1D7B">
              <w:rPr>
                <w:rFonts w:ascii="Arial Narrow" w:hAnsi="Arial Narrow"/>
                <w:lang w:eastAsia="ja-JP"/>
              </w:rPr>
              <w:t xml:space="preserve"> – Pathology Services – Group P7 Genetics</w:t>
            </w:r>
          </w:p>
          <w:p w14:paraId="609A67A3" w14:textId="12D9E5D0" w:rsidR="000A1D7B" w:rsidRPr="000A1D7B" w:rsidRDefault="000A1D7B" w:rsidP="000A1D7B">
            <w:pPr>
              <w:spacing w:after="120"/>
              <w:rPr>
                <w:rFonts w:ascii="Arial Narrow" w:hAnsi="Arial Narrow"/>
                <w:lang w:eastAsia="ja-JP"/>
              </w:rPr>
            </w:pPr>
            <w:r w:rsidRPr="000A1D7B">
              <w:rPr>
                <w:rFonts w:ascii="Arial Narrow" w:hAnsi="Arial Narrow"/>
                <w:lang w:eastAsia="ja-JP"/>
              </w:rPr>
              <w:t>Item XXXX</w:t>
            </w:r>
          </w:p>
          <w:p w14:paraId="1E86C098" w14:textId="6051B5C4" w:rsidR="000A1D7B" w:rsidRPr="000A1D7B" w:rsidRDefault="000A1D7B" w:rsidP="000A1D7B">
            <w:pPr>
              <w:spacing w:after="120"/>
              <w:rPr>
                <w:rFonts w:ascii="Arial Narrow" w:hAnsi="Arial Narrow"/>
                <w:lang w:eastAsia="ja-JP"/>
              </w:rPr>
            </w:pPr>
            <w:r w:rsidRPr="000A1D7B">
              <w:rPr>
                <w:rFonts w:ascii="Arial Narrow" w:hAnsi="Arial Narrow"/>
                <w:lang w:eastAsia="ja-JP"/>
              </w:rPr>
              <w:t>Detection of pathogenic or likely pathogenic gene variants in a patient with suspected neuromuscular disorder (NMD), a relative of a patient with a pathogenic or likely pathogenic germline gene variant confirmed by laboratory findings</w:t>
            </w:r>
            <w:r w:rsidR="001D60E0">
              <w:rPr>
                <w:rFonts w:ascii="Arial Narrow" w:hAnsi="Arial Narrow"/>
                <w:lang w:eastAsia="ja-JP"/>
              </w:rPr>
              <w:t>,</w:t>
            </w:r>
            <w:r w:rsidRPr="000A1D7B">
              <w:rPr>
                <w:rFonts w:ascii="Arial Narrow" w:hAnsi="Arial Narrow"/>
                <w:lang w:eastAsia="ja-JP"/>
              </w:rPr>
              <w:t xml:space="preserve"> or the reproductive partner</w:t>
            </w:r>
            <w:r w:rsidR="001D60E0">
              <w:rPr>
                <w:rFonts w:ascii="Arial Narrow" w:hAnsi="Arial Narrow"/>
                <w:lang w:eastAsia="ja-JP"/>
              </w:rPr>
              <w:t xml:space="preserve"> of a patient with a recessive pathogenic or likely pathogenic germline gene variant confirmed by laboratory findings</w:t>
            </w:r>
            <w:r w:rsidRPr="000A1D7B">
              <w:rPr>
                <w:rFonts w:ascii="Arial Narrow" w:hAnsi="Arial Narrow"/>
                <w:lang w:eastAsia="ja-JP"/>
              </w:rPr>
              <w:t xml:space="preserve"> (requested by specialist or consultant physician):</w:t>
            </w:r>
          </w:p>
          <w:p w14:paraId="32973BAB" w14:textId="39B6FFAA" w:rsidR="000A1D7B" w:rsidRPr="000A1D7B" w:rsidRDefault="000A1D7B" w:rsidP="000A1D7B">
            <w:pPr>
              <w:numPr>
                <w:ilvl w:val="0"/>
                <w:numId w:val="41"/>
              </w:numPr>
              <w:spacing w:after="120"/>
              <w:rPr>
                <w:rFonts w:ascii="Arial Narrow" w:hAnsi="Arial Narrow"/>
                <w:lang w:eastAsia="ja-JP"/>
              </w:rPr>
            </w:pPr>
            <w:r w:rsidRPr="000A1D7B">
              <w:rPr>
                <w:rFonts w:ascii="Arial Narrow" w:hAnsi="Arial Narrow"/>
                <w:lang w:eastAsia="ja-JP"/>
              </w:rPr>
              <w:t xml:space="preserve">in any one of the following genes: </w:t>
            </w:r>
            <w:r w:rsidRPr="000A1D7B">
              <w:rPr>
                <w:rFonts w:ascii="Arial Narrow" w:hAnsi="Arial Narrow"/>
                <w:i/>
                <w:iCs/>
                <w:lang w:eastAsia="ja-JP"/>
              </w:rPr>
              <w:t xml:space="preserve">DMPK, CNBP, HTT, PABPN1, C9orf72, AR, SMN1, PRNP, MT-ND1, MT-ND4, MT-ND4L, MT-ND6, MT-TK, MT-TL1, MT-ATP6, </w:t>
            </w:r>
            <w:r w:rsidR="00BF49D4">
              <w:rPr>
                <w:rFonts w:ascii="Arial Narrow" w:hAnsi="Arial Narrow"/>
                <w:i/>
                <w:iCs/>
                <w:lang w:eastAsia="ja-JP"/>
              </w:rPr>
              <w:t>FXN</w:t>
            </w:r>
            <w:r w:rsidRPr="000A1D7B">
              <w:rPr>
                <w:rFonts w:ascii="Arial Narrow" w:hAnsi="Arial Narrow"/>
                <w:i/>
                <w:iCs/>
                <w:lang w:eastAsia="ja-JP"/>
              </w:rPr>
              <w:t>, ATN1</w:t>
            </w:r>
            <w:r w:rsidRPr="000A1D7B">
              <w:rPr>
                <w:rFonts w:ascii="Arial Narrow" w:hAnsi="Arial Narrow"/>
                <w:lang w:eastAsia="ja-JP"/>
              </w:rPr>
              <w:t>; or</w:t>
            </w:r>
            <w:r w:rsidRPr="000A1D7B">
              <w:rPr>
                <w:rFonts w:ascii="Arial Narrow" w:hAnsi="Arial Narrow"/>
                <w:i/>
                <w:iCs/>
                <w:lang w:eastAsia="ja-JP"/>
              </w:rPr>
              <w:t xml:space="preserve"> </w:t>
            </w:r>
          </w:p>
          <w:p w14:paraId="6ED8EEA7" w14:textId="3C7ADFF8" w:rsidR="000A1D7B" w:rsidRPr="000A1D7B" w:rsidRDefault="000A1D7B" w:rsidP="000A1D7B">
            <w:pPr>
              <w:numPr>
                <w:ilvl w:val="0"/>
                <w:numId w:val="41"/>
              </w:numPr>
              <w:spacing w:after="120"/>
              <w:rPr>
                <w:rFonts w:ascii="Arial Narrow" w:hAnsi="Arial Narrow"/>
                <w:lang w:eastAsia="ja-JP"/>
              </w:rPr>
            </w:pPr>
            <w:r w:rsidRPr="000A1D7B">
              <w:rPr>
                <w:rFonts w:ascii="Arial Narrow" w:hAnsi="Arial Narrow"/>
                <w:lang w:eastAsia="ja-JP"/>
              </w:rPr>
              <w:t>all five of the following genes</w:t>
            </w:r>
            <w:r w:rsidRPr="000A1D7B">
              <w:rPr>
                <w:rFonts w:ascii="Arial Narrow" w:hAnsi="Arial Narrow"/>
                <w:i/>
                <w:iCs/>
                <w:lang w:eastAsia="ja-JP"/>
              </w:rPr>
              <w:t xml:space="preserve">: </w:t>
            </w:r>
            <w:bookmarkStart w:id="11" w:name="_Hlk109132993"/>
            <w:r w:rsidR="00BF49D4">
              <w:rPr>
                <w:rFonts w:ascii="Arial Narrow" w:hAnsi="Arial Narrow"/>
                <w:i/>
                <w:iCs/>
                <w:lang w:eastAsia="ja-JP"/>
              </w:rPr>
              <w:t>ATXN1, ATXN2, ATXN3, CACNA1A, ATXN7</w:t>
            </w:r>
            <w:bookmarkEnd w:id="11"/>
          </w:p>
          <w:p w14:paraId="78B8E10D" w14:textId="0591E287" w:rsidR="007F472D" w:rsidRPr="007F472D" w:rsidRDefault="000A1D7B" w:rsidP="000A1D7B">
            <w:pPr>
              <w:spacing w:after="120"/>
              <w:rPr>
                <w:rFonts w:ascii="Arial Narrow" w:hAnsi="Arial Narrow"/>
                <w:lang w:eastAsia="ja-JP"/>
              </w:rPr>
            </w:pPr>
            <w:r w:rsidRPr="000A1D7B">
              <w:rPr>
                <w:rFonts w:ascii="Arial Narrow" w:hAnsi="Arial Narrow"/>
                <w:lang w:eastAsia="ja-JP"/>
              </w:rPr>
              <w:t>Subject to rule 25 – once per gene per lifetime</w:t>
            </w:r>
          </w:p>
          <w:p w14:paraId="06BF987C" w14:textId="4B492035" w:rsidR="000A1D7B" w:rsidRPr="004C2B2A" w:rsidRDefault="000A1D7B" w:rsidP="000A1D7B">
            <w:pPr>
              <w:spacing w:after="120"/>
              <w:rPr>
                <w:lang w:val="en-US" w:eastAsia="ja-JP"/>
              </w:rPr>
            </w:pPr>
            <w:r w:rsidRPr="000A1D7B">
              <w:rPr>
                <w:rFonts w:ascii="Arial Narrow" w:hAnsi="Arial Narrow"/>
                <w:b/>
                <w:bCs/>
                <w:lang w:eastAsia="ja-JP"/>
              </w:rPr>
              <w:t>Fee</w:t>
            </w:r>
            <w:r w:rsidRPr="000A1D7B">
              <w:rPr>
                <w:rFonts w:ascii="Arial Narrow" w:hAnsi="Arial Narrow"/>
                <w:lang w:eastAsia="ja-JP"/>
              </w:rPr>
              <w:t>: $392.00</w:t>
            </w:r>
            <w:r w:rsidRPr="000A1D7B">
              <w:rPr>
                <w:rFonts w:ascii="Arial Narrow" w:hAnsi="Arial Narrow"/>
                <w:lang w:eastAsia="ja-JP"/>
              </w:rPr>
              <w:tab/>
            </w:r>
            <w:r w:rsidRPr="000A1D7B">
              <w:rPr>
                <w:rFonts w:ascii="Arial Narrow" w:hAnsi="Arial Narrow"/>
                <w:b/>
                <w:bCs/>
                <w:lang w:eastAsia="ja-JP"/>
              </w:rPr>
              <w:t>Benefit</w:t>
            </w:r>
            <w:r w:rsidRPr="000A1D7B">
              <w:rPr>
                <w:rFonts w:ascii="Arial Narrow" w:hAnsi="Arial Narrow"/>
                <w:lang w:eastAsia="ja-JP"/>
              </w:rPr>
              <w:t>: 75% = $310.50      85% = $333.20</w:t>
            </w:r>
          </w:p>
        </w:tc>
      </w:tr>
      <w:bookmarkEnd w:id="10"/>
      <w:tr w:rsidR="000A1D7B" w:rsidRPr="00CE28E3" w14:paraId="6E2714F6" w14:textId="77777777" w:rsidTr="000A1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hideMark/>
          </w:tcPr>
          <w:p w14:paraId="18E22E8B" w14:textId="418B34D7" w:rsidR="000A1D7B" w:rsidRPr="000A1D7B" w:rsidRDefault="000A1D7B" w:rsidP="009A1EDB">
            <w:pPr>
              <w:spacing w:after="120"/>
              <w:jc w:val="right"/>
              <w:rPr>
                <w:lang w:eastAsia="ja-JP"/>
              </w:rPr>
            </w:pPr>
            <w:r w:rsidRPr="000A1D7B">
              <w:rPr>
                <w:lang w:eastAsia="ja-JP"/>
              </w:rPr>
              <w:t xml:space="preserve">Category </w:t>
            </w:r>
            <w:r w:rsidR="0014507D">
              <w:rPr>
                <w:lang w:eastAsia="ja-JP"/>
              </w:rPr>
              <w:t>6</w:t>
            </w:r>
            <w:r w:rsidRPr="000A1D7B">
              <w:rPr>
                <w:lang w:eastAsia="ja-JP"/>
              </w:rPr>
              <w:t xml:space="preserve"> – Pathology Services – Group P7 Genetics</w:t>
            </w:r>
          </w:p>
          <w:p w14:paraId="382056C7" w14:textId="46F0E133" w:rsidR="000A1D7B" w:rsidRPr="000A1D7B" w:rsidRDefault="000A1D7B" w:rsidP="009A1EDB">
            <w:pPr>
              <w:spacing w:after="120"/>
              <w:rPr>
                <w:lang w:eastAsia="ja-JP"/>
              </w:rPr>
            </w:pPr>
            <w:r w:rsidRPr="000A1D7B">
              <w:rPr>
                <w:lang w:eastAsia="ja-JP"/>
              </w:rPr>
              <w:t xml:space="preserve">Item </w:t>
            </w:r>
            <w:r>
              <w:rPr>
                <w:lang w:eastAsia="ja-JP"/>
              </w:rPr>
              <w:t>YYYY</w:t>
            </w:r>
          </w:p>
          <w:p w14:paraId="6190A903" w14:textId="54E874C9" w:rsidR="000A1D7B" w:rsidRPr="000A1D7B" w:rsidRDefault="000A1D7B" w:rsidP="000A1D7B">
            <w:pPr>
              <w:spacing w:after="120"/>
              <w:rPr>
                <w:lang w:eastAsia="ja-JP"/>
              </w:rPr>
            </w:pPr>
            <w:r w:rsidRPr="000A1D7B">
              <w:rPr>
                <w:lang w:eastAsia="ja-JP"/>
              </w:rPr>
              <w:t xml:space="preserve">Detection of pathogenic or likely pathogenic </w:t>
            </w:r>
            <w:r w:rsidRPr="000A1D7B">
              <w:rPr>
                <w:i/>
                <w:iCs/>
                <w:lang w:eastAsia="ja-JP"/>
              </w:rPr>
              <w:t>DUX4</w:t>
            </w:r>
            <w:r w:rsidRPr="000A1D7B">
              <w:rPr>
                <w:lang w:eastAsia="ja-JP"/>
              </w:rPr>
              <w:t xml:space="preserve"> gene variants in a patient with suspected neuromuscular disorder, or a relative of a patient with a pathogenic or likely pathogenic germline gene variant confirmed by laboratory findings (requested by specialist or consultant physician).</w:t>
            </w:r>
          </w:p>
          <w:p w14:paraId="05B0BB60" w14:textId="77777777" w:rsidR="000A1D7B" w:rsidRDefault="000A1D7B" w:rsidP="009A1EDB">
            <w:pPr>
              <w:spacing w:after="120"/>
              <w:rPr>
                <w:lang w:eastAsia="ja-JP"/>
              </w:rPr>
            </w:pPr>
            <w:r w:rsidRPr="000A1D7B">
              <w:rPr>
                <w:lang w:eastAsia="ja-JP"/>
              </w:rPr>
              <w:t>Subject to rule 25 – once per gene per lifetime</w:t>
            </w:r>
          </w:p>
          <w:p w14:paraId="6810F8D6" w14:textId="728B032E" w:rsidR="000A1D7B" w:rsidRPr="004C2B2A" w:rsidRDefault="000A1D7B" w:rsidP="009A1EDB">
            <w:pPr>
              <w:spacing w:after="120"/>
              <w:rPr>
                <w:lang w:val="en-US" w:eastAsia="ja-JP"/>
              </w:rPr>
            </w:pPr>
            <w:r w:rsidRPr="000A1D7B">
              <w:rPr>
                <w:b/>
                <w:bCs/>
                <w:lang w:eastAsia="ja-JP"/>
              </w:rPr>
              <w:t>Fee</w:t>
            </w:r>
            <w:r w:rsidRPr="000A1D7B">
              <w:rPr>
                <w:lang w:eastAsia="ja-JP"/>
              </w:rPr>
              <w:t>: $</w:t>
            </w:r>
            <w:r>
              <w:rPr>
                <w:lang w:eastAsia="ja-JP"/>
              </w:rPr>
              <w:t>1000</w:t>
            </w:r>
            <w:r w:rsidRPr="000A1D7B">
              <w:rPr>
                <w:lang w:eastAsia="ja-JP"/>
              </w:rPr>
              <w:t>.00</w:t>
            </w:r>
            <w:r w:rsidRPr="000A1D7B">
              <w:rPr>
                <w:lang w:eastAsia="ja-JP"/>
              </w:rPr>
              <w:tab/>
            </w:r>
            <w:r w:rsidRPr="000A1D7B">
              <w:rPr>
                <w:b/>
                <w:bCs/>
                <w:lang w:eastAsia="ja-JP"/>
              </w:rPr>
              <w:t>Benefit</w:t>
            </w:r>
            <w:r w:rsidRPr="000A1D7B">
              <w:rPr>
                <w:lang w:eastAsia="ja-JP"/>
              </w:rPr>
              <w:t>: 75% = $</w:t>
            </w:r>
            <w:r>
              <w:rPr>
                <w:lang w:eastAsia="ja-JP"/>
              </w:rPr>
              <w:t>7</w:t>
            </w:r>
            <w:r w:rsidRPr="000A1D7B">
              <w:rPr>
                <w:lang w:eastAsia="ja-JP"/>
              </w:rPr>
              <w:t>50</w:t>
            </w:r>
            <w:r>
              <w:rPr>
                <w:lang w:eastAsia="ja-JP"/>
              </w:rPr>
              <w:t>.00</w:t>
            </w:r>
            <w:r w:rsidRPr="000A1D7B">
              <w:rPr>
                <w:lang w:eastAsia="ja-JP"/>
              </w:rPr>
              <w:t xml:space="preserve">      85% = $</w:t>
            </w:r>
            <w:r>
              <w:rPr>
                <w:lang w:eastAsia="ja-JP"/>
              </w:rPr>
              <w:t>912.1</w:t>
            </w:r>
            <w:r w:rsidRPr="000A1D7B">
              <w:rPr>
                <w:lang w:eastAsia="ja-JP"/>
              </w:rPr>
              <w:t>0</w:t>
            </w:r>
          </w:p>
        </w:tc>
      </w:tr>
    </w:tbl>
    <w:p w14:paraId="3D5EE48C" w14:textId="714E5CD3" w:rsidR="001326EB" w:rsidRDefault="00870B43" w:rsidP="000A1D7B">
      <w:pPr>
        <w:pStyle w:val="Tablenotes0"/>
      </w:pPr>
      <w:r>
        <w:t>Where applicable t</w:t>
      </w:r>
      <w:r w:rsidR="000A1D7B" w:rsidRPr="000A1D7B">
        <w:t>he 85% benefit</w:t>
      </w:r>
      <w:r w:rsidR="000A1D7B">
        <w:t xml:space="preserve"> </w:t>
      </w:r>
      <w:r w:rsidR="000A1D7B" w:rsidRPr="000A1D7B">
        <w:t>reflect</w:t>
      </w:r>
      <w:r w:rsidR="000A1D7B">
        <w:t>s</w:t>
      </w:r>
      <w:r w:rsidR="000A1D7B" w:rsidRPr="000A1D7B">
        <w:t xml:space="preserve"> the greatest permissible gap of $87</w:t>
      </w:r>
      <w:r w:rsidR="000A1D7B">
        <w:t>.9</w:t>
      </w:r>
      <w:r w:rsidR="000A1D7B" w:rsidRPr="000A1D7B">
        <w:t>0, as of 1 November 202</w:t>
      </w:r>
      <w:r w:rsidR="000A1D7B">
        <w:t>1</w:t>
      </w:r>
      <w:r w:rsidR="000A1D7B" w:rsidRPr="000A1D7B">
        <w:t>.</w:t>
      </w:r>
    </w:p>
    <w:p w14:paraId="403100F5" w14:textId="017DC391" w:rsidR="00B27FE3" w:rsidRDefault="00B27FE3" w:rsidP="001326EB">
      <w:pPr>
        <w:pStyle w:val="Default"/>
        <w:spacing w:after="240"/>
        <w:rPr>
          <w:rFonts w:ascii="Franklin Gothic Book" w:eastAsiaTheme="minorHAnsi" w:hAnsi="Franklin Gothic Book" w:cstheme="minorBidi"/>
          <w:iCs/>
          <w:color w:val="auto"/>
          <w:sz w:val="22"/>
          <w:szCs w:val="22"/>
        </w:rPr>
      </w:pPr>
      <w:r>
        <w:rPr>
          <w:rFonts w:ascii="Franklin Gothic Book" w:eastAsiaTheme="minorHAnsi" w:hAnsi="Franklin Gothic Book" w:cstheme="minorBidi"/>
          <w:iCs/>
          <w:color w:val="auto"/>
          <w:sz w:val="22"/>
          <w:szCs w:val="22"/>
        </w:rPr>
        <w:t xml:space="preserve">The MSAC Executive noted that the Murdoch Children’s Research Institute (MCRI) is also a </w:t>
      </w:r>
      <w:r w:rsidR="00610FC1">
        <w:rPr>
          <w:rFonts w:ascii="Franklin Gothic Book" w:eastAsiaTheme="minorHAnsi" w:hAnsi="Franklin Gothic Book" w:cstheme="minorBidi"/>
          <w:iCs/>
          <w:color w:val="auto"/>
          <w:sz w:val="22"/>
          <w:szCs w:val="22"/>
        </w:rPr>
        <w:t>key</w:t>
      </w:r>
      <w:r>
        <w:rPr>
          <w:rFonts w:ascii="Franklin Gothic Book" w:eastAsiaTheme="minorHAnsi" w:hAnsi="Franklin Gothic Book" w:cstheme="minorBidi"/>
          <w:iCs/>
          <w:color w:val="auto"/>
          <w:sz w:val="22"/>
          <w:szCs w:val="22"/>
        </w:rPr>
        <w:t xml:space="preserve"> stakeholder in NMD genetic testing, and requested the Department consult with the MCRI on its supported item descriptors.</w:t>
      </w:r>
    </w:p>
    <w:p w14:paraId="7B388BCC" w14:textId="00C9DC1D" w:rsidR="00AD3D6B" w:rsidRDefault="00AD3D6B" w:rsidP="001326EB">
      <w:pPr>
        <w:pStyle w:val="Default"/>
        <w:spacing w:after="240"/>
        <w:rPr>
          <w:rFonts w:ascii="Franklin Gothic Book" w:eastAsiaTheme="minorHAnsi" w:hAnsi="Franklin Gothic Book" w:cstheme="minorBidi"/>
          <w:iCs/>
          <w:color w:val="auto"/>
          <w:sz w:val="22"/>
          <w:szCs w:val="22"/>
        </w:rPr>
      </w:pPr>
      <w:r>
        <w:rPr>
          <w:rFonts w:ascii="Franklin Gothic Book" w:eastAsiaTheme="minorHAnsi" w:hAnsi="Franklin Gothic Book" w:cstheme="minorBidi"/>
          <w:iCs/>
          <w:color w:val="auto"/>
          <w:sz w:val="22"/>
          <w:szCs w:val="22"/>
        </w:rPr>
        <w:t>Given the uncertainty in the DY, the MSAC Executive requested these items be reviewed two years after listing. The MSAC Executive advised that ideally review should be concurrent with review of the items listed for the main 1585 assessment.</w:t>
      </w:r>
    </w:p>
    <w:p w14:paraId="489EBD14" w14:textId="44898F39" w:rsidR="00891601" w:rsidRPr="00F33D59" w:rsidRDefault="00607988" w:rsidP="001326EB">
      <w:pPr>
        <w:pStyle w:val="Default"/>
        <w:spacing w:after="240"/>
        <w:rPr>
          <w:rFonts w:ascii="Franklin Gothic Book" w:eastAsiaTheme="minorHAnsi" w:hAnsi="Franklin Gothic Book" w:cstheme="minorBidi"/>
          <w:iCs/>
          <w:color w:val="auto"/>
          <w:sz w:val="22"/>
          <w:szCs w:val="22"/>
        </w:rPr>
      </w:pPr>
      <w:r>
        <w:rPr>
          <w:rFonts w:ascii="Franklin Gothic Book" w:eastAsiaTheme="minorHAnsi" w:hAnsi="Franklin Gothic Book" w:cstheme="minorBidi"/>
          <w:iCs/>
          <w:color w:val="auto"/>
          <w:sz w:val="22"/>
          <w:szCs w:val="22"/>
        </w:rPr>
        <w:t xml:space="preserve">The MSAC Executive </w:t>
      </w:r>
      <w:r w:rsidR="00816AF5">
        <w:rPr>
          <w:rFonts w:ascii="Franklin Gothic Book" w:eastAsiaTheme="minorHAnsi" w:hAnsi="Franklin Gothic Book" w:cstheme="minorBidi"/>
          <w:iCs/>
          <w:color w:val="auto"/>
          <w:sz w:val="22"/>
          <w:szCs w:val="22"/>
        </w:rPr>
        <w:t xml:space="preserve">endorsed publishing </w:t>
      </w:r>
      <w:r>
        <w:rPr>
          <w:rFonts w:ascii="Franklin Gothic Book" w:eastAsiaTheme="minorHAnsi" w:hAnsi="Franklin Gothic Book" w:cstheme="minorBidi"/>
          <w:iCs/>
          <w:color w:val="auto"/>
          <w:sz w:val="22"/>
          <w:szCs w:val="22"/>
        </w:rPr>
        <w:t>th</w:t>
      </w:r>
      <w:r w:rsidR="00AD64F6">
        <w:rPr>
          <w:rFonts w:ascii="Franklin Gothic Book" w:eastAsiaTheme="minorHAnsi" w:hAnsi="Franklin Gothic Book" w:cstheme="minorBidi"/>
          <w:iCs/>
          <w:color w:val="auto"/>
          <w:sz w:val="22"/>
          <w:szCs w:val="22"/>
        </w:rPr>
        <w:t>e</w:t>
      </w:r>
      <w:r>
        <w:rPr>
          <w:rFonts w:ascii="Franklin Gothic Book" w:eastAsiaTheme="minorHAnsi" w:hAnsi="Franklin Gothic Book" w:cstheme="minorBidi"/>
          <w:iCs/>
          <w:color w:val="auto"/>
          <w:sz w:val="22"/>
          <w:szCs w:val="22"/>
        </w:rPr>
        <w:t xml:space="preserve"> Department Overview</w:t>
      </w:r>
      <w:r w:rsidR="00816AF5">
        <w:rPr>
          <w:rFonts w:ascii="Franklin Gothic Book" w:eastAsiaTheme="minorHAnsi" w:hAnsi="Franklin Gothic Book" w:cstheme="minorBidi"/>
          <w:iCs/>
          <w:color w:val="auto"/>
          <w:sz w:val="22"/>
          <w:szCs w:val="22"/>
        </w:rPr>
        <w:t xml:space="preserve"> assessment, along with its consideration and advice,</w:t>
      </w:r>
      <w:r>
        <w:rPr>
          <w:rFonts w:ascii="Franklin Gothic Book" w:eastAsiaTheme="minorHAnsi" w:hAnsi="Franklin Gothic Book" w:cstheme="minorBidi"/>
          <w:iCs/>
          <w:color w:val="auto"/>
          <w:sz w:val="22"/>
          <w:szCs w:val="22"/>
        </w:rPr>
        <w:t xml:space="preserve"> </w:t>
      </w:r>
      <w:r w:rsidR="00816AF5" w:rsidRPr="00816AF5">
        <w:rPr>
          <w:rFonts w:ascii="Franklin Gothic Book" w:eastAsiaTheme="minorHAnsi" w:hAnsi="Franklin Gothic Book" w:cstheme="minorBidi"/>
          <w:iCs/>
          <w:color w:val="auto"/>
          <w:sz w:val="22"/>
          <w:szCs w:val="22"/>
        </w:rPr>
        <w:t>as a PSD on the MSAC website</w:t>
      </w:r>
      <w:r>
        <w:rPr>
          <w:rFonts w:ascii="Franklin Gothic Book" w:eastAsiaTheme="minorHAnsi" w:hAnsi="Franklin Gothic Book" w:cstheme="minorBidi"/>
          <w:iCs/>
          <w:color w:val="auto"/>
          <w:sz w:val="22"/>
          <w:szCs w:val="22"/>
        </w:rPr>
        <w:t>.</w:t>
      </w:r>
    </w:p>
    <w:p w14:paraId="53FA4BDF" w14:textId="3BB4627A" w:rsidR="00B52FCF" w:rsidRPr="00A436C5" w:rsidRDefault="00065623" w:rsidP="003F311A">
      <w:pPr>
        <w:pStyle w:val="Heading1"/>
        <w:ind w:hanging="720"/>
      </w:pPr>
      <w:r w:rsidRPr="00A436C5">
        <w:t>Background</w:t>
      </w:r>
    </w:p>
    <w:p w14:paraId="4EBEBBF5" w14:textId="0DDB4573" w:rsidR="0052065A" w:rsidRPr="006F4EBA" w:rsidRDefault="00BE23D6" w:rsidP="001326EB">
      <w:pPr>
        <w:spacing w:after="240"/>
        <w:rPr>
          <w:rFonts w:ascii="Franklin Gothic Book" w:hAnsi="Franklin Gothic Book"/>
          <w:iCs/>
          <w:sz w:val="22"/>
          <w:szCs w:val="22"/>
        </w:rPr>
      </w:pPr>
      <w:r>
        <w:rPr>
          <w:rFonts w:ascii="Franklin Gothic Book" w:hAnsi="Franklin Gothic Book"/>
          <w:iCs/>
          <w:sz w:val="22"/>
          <w:szCs w:val="22"/>
        </w:rPr>
        <w:t xml:space="preserve">MSAC previously supported gene panel testing for neuromuscular diseases under the main assessment of Application 1585, along with </w:t>
      </w:r>
      <w:r>
        <w:rPr>
          <w:rFonts w:ascii="Franklin Gothic Book" w:eastAsiaTheme="minorHAnsi" w:hAnsi="Franklin Gothic Book" w:cstheme="minorBidi"/>
          <w:iCs/>
          <w:sz w:val="22"/>
          <w:szCs w:val="22"/>
        </w:rPr>
        <w:t>cascade, reproductive partner and fetal testing, and re-analysis. This Department Overview provided an assessment of NMD SGTs as a supplement to the main assessment.</w:t>
      </w:r>
    </w:p>
    <w:p w14:paraId="36E07551" w14:textId="36CC5330" w:rsidR="008A6C0C" w:rsidRPr="00A436C5" w:rsidRDefault="00065623" w:rsidP="003F311A">
      <w:pPr>
        <w:pStyle w:val="Heading1"/>
        <w:ind w:hanging="720"/>
      </w:pPr>
      <w:r w:rsidRPr="00A436C5">
        <w:t>Proposal for public funding</w:t>
      </w:r>
    </w:p>
    <w:p w14:paraId="7F8D1867" w14:textId="76A4445A" w:rsidR="001326EB" w:rsidRPr="001326EB" w:rsidRDefault="001326EB" w:rsidP="001326EB">
      <w:pPr>
        <w:spacing w:after="240"/>
        <w:rPr>
          <w:rFonts w:ascii="Franklin Gothic Book" w:hAnsi="Franklin Gothic Book"/>
          <w:iCs/>
          <w:sz w:val="22"/>
          <w:szCs w:val="22"/>
        </w:rPr>
      </w:pPr>
      <w:r w:rsidRPr="001326EB">
        <w:rPr>
          <w:rFonts w:ascii="Franklin Gothic Book" w:hAnsi="Franklin Gothic Book"/>
          <w:iCs/>
          <w:sz w:val="22"/>
          <w:szCs w:val="22"/>
        </w:rPr>
        <w:t>The list of conditions and associated SGTs relevant for the diagnosis of the NMDs identified by the applicant are shown in</w:t>
      </w:r>
      <w:r w:rsidR="00AD64F6">
        <w:rPr>
          <w:rFonts w:ascii="Franklin Gothic Book" w:hAnsi="Franklin Gothic Book"/>
          <w:iCs/>
          <w:sz w:val="22"/>
          <w:szCs w:val="22"/>
        </w:rPr>
        <w:t xml:space="preserve"> </w:t>
      </w:r>
      <w:r w:rsidR="00AD64F6">
        <w:rPr>
          <w:rFonts w:ascii="Franklin Gothic Book" w:hAnsi="Franklin Gothic Book"/>
          <w:iCs/>
          <w:sz w:val="22"/>
          <w:szCs w:val="22"/>
        </w:rPr>
        <w:fldChar w:fldCharType="begin"/>
      </w:r>
      <w:r w:rsidR="00AD64F6">
        <w:rPr>
          <w:rFonts w:ascii="Franklin Gothic Book" w:hAnsi="Franklin Gothic Book"/>
          <w:iCs/>
          <w:sz w:val="22"/>
          <w:szCs w:val="22"/>
        </w:rPr>
        <w:instrText xml:space="preserve"> REF _Ref104886090  \* MERGEFORMAT </w:instrText>
      </w:r>
      <w:r w:rsidR="00AD64F6">
        <w:rPr>
          <w:rFonts w:ascii="Franklin Gothic Book" w:hAnsi="Franklin Gothic Book"/>
          <w:iCs/>
          <w:sz w:val="22"/>
          <w:szCs w:val="22"/>
        </w:rPr>
        <w:fldChar w:fldCharType="separate"/>
      </w:r>
      <w:r w:rsidR="008260AB" w:rsidRPr="008260AB">
        <w:rPr>
          <w:rFonts w:ascii="Franklin Gothic Book" w:hAnsi="Franklin Gothic Book"/>
          <w:iCs/>
          <w:sz w:val="22"/>
          <w:szCs w:val="22"/>
        </w:rPr>
        <w:t>Table 3</w:t>
      </w:r>
      <w:r w:rsidR="00AD64F6">
        <w:rPr>
          <w:rFonts w:ascii="Franklin Gothic Book" w:hAnsi="Franklin Gothic Book"/>
          <w:iCs/>
          <w:sz w:val="22"/>
          <w:szCs w:val="22"/>
        </w:rPr>
        <w:fldChar w:fldCharType="end"/>
      </w:r>
      <w:r w:rsidRPr="001326EB">
        <w:rPr>
          <w:rFonts w:ascii="Franklin Gothic Book" w:hAnsi="Franklin Gothic Book"/>
          <w:iCs/>
          <w:sz w:val="22"/>
          <w:szCs w:val="22"/>
        </w:rPr>
        <w:t>. Given the heritable nature of each of the conditions in scope, where an individual is identified as being affected by the condition, cascade testing of their relatives is also required to provide information on personal risk, and reproductive partner testing for future pregnancy decision-making. In addition, the diagnosis of a potentially affected fetus where the parents have not had the opportunity, or choose not to, undergo pre-implantation genetic diagnosis is also required to ensure comprehensive test coverage in this population. The fee for each of the fetal test item and gene panel test supported under 1585 are considered the same for testing arising from SGTs for the purposes of this assessment.</w:t>
      </w:r>
    </w:p>
    <w:p w14:paraId="62EE345B" w14:textId="15139C62" w:rsidR="001326EB" w:rsidRPr="00FD2128" w:rsidRDefault="001326EB" w:rsidP="001326EB">
      <w:pPr>
        <w:pStyle w:val="Caption"/>
        <w:rPr>
          <w:b w:val="0"/>
          <w:bCs w:val="0"/>
          <w:lang w:eastAsia="en-AU"/>
        </w:rPr>
      </w:pPr>
      <w:bookmarkStart w:id="12" w:name="_Ref104886090"/>
      <w:r w:rsidRPr="00FD2128">
        <w:t xml:space="preserve">Table </w:t>
      </w:r>
      <w:fldSimple w:instr=" SEQ Table \* ARABIC ">
        <w:r w:rsidR="008260AB">
          <w:rPr>
            <w:noProof/>
          </w:rPr>
          <w:t>3</w:t>
        </w:r>
      </w:fldSimple>
      <w:bookmarkEnd w:id="12"/>
      <w:r w:rsidRPr="00FD2128">
        <w:rPr>
          <w:sz w:val="22"/>
          <w:szCs w:val="22"/>
          <w:lang w:eastAsia="en-AU"/>
        </w:rPr>
        <w:t xml:space="preserve"> </w:t>
      </w:r>
      <w:r w:rsidRPr="00FD2128">
        <w:rPr>
          <w:lang w:eastAsia="en-AU"/>
        </w:rPr>
        <w:t>Heritable neuromuscular conditions requiring single gene diagnostic testing, proposed test fee and estimated test volume and cost per year</w:t>
      </w:r>
    </w:p>
    <w:tbl>
      <w:tblPr>
        <w:tblStyle w:val="TableGrid"/>
        <w:tblpPr w:leftFromText="180" w:rightFromText="180" w:vertAnchor="text" w:tblpY="1"/>
        <w:tblOverlap w:val="never"/>
        <w:tblW w:w="9634" w:type="dxa"/>
        <w:tblLook w:val="04A0" w:firstRow="1" w:lastRow="0" w:firstColumn="1" w:lastColumn="0" w:noHBand="0" w:noVBand="1"/>
      </w:tblPr>
      <w:tblGrid>
        <w:gridCol w:w="1775"/>
        <w:gridCol w:w="1037"/>
        <w:gridCol w:w="1192"/>
        <w:gridCol w:w="994"/>
        <w:gridCol w:w="835"/>
        <w:gridCol w:w="1097"/>
        <w:gridCol w:w="1220"/>
        <w:gridCol w:w="1484"/>
      </w:tblGrid>
      <w:tr w:rsidR="001326EB" w:rsidRPr="0050418C" w14:paraId="5B4A5F92" w14:textId="77777777" w:rsidTr="00714A8B">
        <w:trPr>
          <w:tblHeader/>
        </w:trPr>
        <w:tc>
          <w:tcPr>
            <w:tcW w:w="1775" w:type="dxa"/>
          </w:tcPr>
          <w:p w14:paraId="675B7A85" w14:textId="77777777" w:rsidR="001326EB" w:rsidRPr="009B40C9" w:rsidRDefault="001326EB" w:rsidP="00714A8B">
            <w:pPr>
              <w:rPr>
                <w:rFonts w:ascii="Arial Narrow" w:hAnsi="Arial Narrow"/>
                <w:sz w:val="20"/>
              </w:rPr>
            </w:pPr>
            <w:r w:rsidRPr="009B40C9">
              <w:rPr>
                <w:rFonts w:ascii="Arial Narrow" w:hAnsi="Arial Narrow"/>
                <w:b/>
                <w:sz w:val="20"/>
              </w:rPr>
              <w:t>Condition</w:t>
            </w:r>
          </w:p>
        </w:tc>
        <w:tc>
          <w:tcPr>
            <w:tcW w:w="1009" w:type="dxa"/>
          </w:tcPr>
          <w:p w14:paraId="3B783CFF" w14:textId="77777777" w:rsidR="001326EB" w:rsidRPr="009B40C9" w:rsidRDefault="001326EB" w:rsidP="00714A8B">
            <w:pPr>
              <w:rPr>
                <w:rFonts w:ascii="Arial Narrow" w:hAnsi="Arial Narrow"/>
                <w:sz w:val="20"/>
              </w:rPr>
            </w:pPr>
            <w:r w:rsidRPr="009B40C9">
              <w:rPr>
                <w:rFonts w:ascii="Arial Narrow" w:hAnsi="Arial Narrow"/>
                <w:b/>
                <w:sz w:val="20"/>
              </w:rPr>
              <w:t xml:space="preserve">Gene(s) </w:t>
            </w:r>
          </w:p>
        </w:tc>
        <w:tc>
          <w:tcPr>
            <w:tcW w:w="1192" w:type="dxa"/>
          </w:tcPr>
          <w:p w14:paraId="0EC8E612" w14:textId="77777777" w:rsidR="001326EB" w:rsidRPr="009B40C9" w:rsidRDefault="001326EB" w:rsidP="00714A8B">
            <w:pPr>
              <w:rPr>
                <w:rFonts w:ascii="Arial Narrow" w:hAnsi="Arial Narrow"/>
                <w:b/>
                <w:sz w:val="20"/>
              </w:rPr>
            </w:pPr>
            <w:r w:rsidRPr="009B40C9">
              <w:rPr>
                <w:rFonts w:ascii="Arial Narrow" w:hAnsi="Arial Narrow"/>
                <w:b/>
                <w:sz w:val="20"/>
              </w:rPr>
              <w:t>Mode of inheritance</w:t>
            </w:r>
          </w:p>
        </w:tc>
        <w:tc>
          <w:tcPr>
            <w:tcW w:w="996" w:type="dxa"/>
          </w:tcPr>
          <w:p w14:paraId="4C2EF570" w14:textId="77777777" w:rsidR="001326EB" w:rsidRPr="009B40C9" w:rsidRDefault="001326EB" w:rsidP="00714A8B">
            <w:pPr>
              <w:rPr>
                <w:rFonts w:ascii="Arial Narrow" w:hAnsi="Arial Narrow"/>
                <w:sz w:val="20"/>
              </w:rPr>
            </w:pPr>
            <w:r w:rsidRPr="009B40C9">
              <w:rPr>
                <w:rFonts w:ascii="Arial Narrow" w:hAnsi="Arial Narrow"/>
                <w:b/>
                <w:sz w:val="20"/>
              </w:rPr>
              <w:t>RCPA proposed test fee</w:t>
            </w:r>
          </w:p>
        </w:tc>
        <w:tc>
          <w:tcPr>
            <w:tcW w:w="837" w:type="dxa"/>
          </w:tcPr>
          <w:p w14:paraId="408AACAB" w14:textId="77777777" w:rsidR="001326EB" w:rsidRPr="009B40C9" w:rsidRDefault="001326EB" w:rsidP="00714A8B">
            <w:pPr>
              <w:rPr>
                <w:rFonts w:ascii="Arial Narrow" w:hAnsi="Arial Narrow"/>
                <w:sz w:val="20"/>
              </w:rPr>
            </w:pPr>
            <w:r w:rsidRPr="009B40C9">
              <w:rPr>
                <w:rFonts w:ascii="Arial Narrow" w:hAnsi="Arial Narrow"/>
                <w:b/>
                <w:sz w:val="20"/>
              </w:rPr>
              <w:t>WA test volume per year</w:t>
            </w:r>
          </w:p>
        </w:tc>
        <w:tc>
          <w:tcPr>
            <w:tcW w:w="1102" w:type="dxa"/>
          </w:tcPr>
          <w:p w14:paraId="230EF3F0" w14:textId="77777777" w:rsidR="001326EB" w:rsidRPr="009B40C9" w:rsidRDefault="001326EB" w:rsidP="00714A8B">
            <w:pPr>
              <w:rPr>
                <w:rFonts w:ascii="Arial Narrow" w:hAnsi="Arial Narrow"/>
                <w:sz w:val="20"/>
              </w:rPr>
            </w:pPr>
            <w:r w:rsidRPr="009B40C9">
              <w:rPr>
                <w:rFonts w:ascii="Arial Narrow" w:hAnsi="Arial Narrow"/>
                <w:b/>
                <w:sz w:val="20"/>
              </w:rPr>
              <w:t>Estimated national total test number</w:t>
            </w:r>
          </w:p>
        </w:tc>
        <w:tc>
          <w:tcPr>
            <w:tcW w:w="1228" w:type="dxa"/>
          </w:tcPr>
          <w:p w14:paraId="0FB11389" w14:textId="77777777" w:rsidR="001326EB" w:rsidRPr="009B40C9" w:rsidRDefault="001326EB" w:rsidP="00714A8B">
            <w:pPr>
              <w:rPr>
                <w:rFonts w:ascii="Arial Narrow" w:hAnsi="Arial Narrow"/>
                <w:b/>
                <w:sz w:val="20"/>
              </w:rPr>
            </w:pPr>
            <w:r w:rsidRPr="009B40C9">
              <w:rPr>
                <w:rFonts w:ascii="Arial Narrow" w:hAnsi="Arial Narrow"/>
                <w:b/>
                <w:sz w:val="20"/>
              </w:rPr>
              <w:t>Test method</w:t>
            </w:r>
          </w:p>
          <w:p w14:paraId="17471DFA" w14:textId="77777777" w:rsidR="001326EB" w:rsidRPr="009B40C9" w:rsidRDefault="001326EB" w:rsidP="00714A8B">
            <w:pPr>
              <w:rPr>
                <w:rFonts w:ascii="Arial Narrow" w:hAnsi="Arial Narrow"/>
                <w:sz w:val="20"/>
              </w:rPr>
            </w:pPr>
          </w:p>
        </w:tc>
        <w:tc>
          <w:tcPr>
            <w:tcW w:w="1495" w:type="dxa"/>
          </w:tcPr>
          <w:p w14:paraId="1E55C3EF" w14:textId="6C484F14" w:rsidR="001326EB" w:rsidRPr="009B40C9" w:rsidRDefault="001326EB" w:rsidP="00714A8B">
            <w:pPr>
              <w:jc w:val="center"/>
              <w:rPr>
                <w:rFonts w:ascii="Arial Narrow" w:hAnsi="Arial Narrow"/>
                <w:sz w:val="20"/>
              </w:rPr>
            </w:pPr>
            <w:r w:rsidRPr="009B40C9">
              <w:rPr>
                <w:rFonts w:ascii="Arial Narrow" w:hAnsi="Arial Narrow"/>
                <w:b/>
                <w:sz w:val="20"/>
              </w:rPr>
              <w:t xml:space="preserve">Estimated total cost of </w:t>
            </w:r>
            <w:r>
              <w:rPr>
                <w:rFonts w:ascii="Arial Narrow" w:hAnsi="Arial Narrow"/>
                <w:b/>
                <w:sz w:val="20"/>
              </w:rPr>
              <w:t>SGT</w:t>
            </w:r>
            <w:r w:rsidRPr="009B40C9">
              <w:rPr>
                <w:rFonts w:ascii="Arial Narrow" w:hAnsi="Arial Narrow"/>
                <w:b/>
                <w:sz w:val="20"/>
              </w:rPr>
              <w:t xml:space="preserve"> nationally, per test methodology, </w:t>
            </w:r>
            <w:r w:rsidR="00090631">
              <w:rPr>
                <w:rFonts w:ascii="Arial Narrow" w:hAnsi="Arial Narrow"/>
                <w:b/>
                <w:sz w:val="20"/>
              </w:rPr>
              <w:t>first</w:t>
            </w:r>
            <w:r w:rsidR="00090631" w:rsidRPr="009B40C9">
              <w:rPr>
                <w:rFonts w:ascii="Arial Narrow" w:hAnsi="Arial Narrow"/>
                <w:b/>
                <w:sz w:val="20"/>
              </w:rPr>
              <w:t xml:space="preserve"> </w:t>
            </w:r>
            <w:r w:rsidRPr="009B40C9">
              <w:rPr>
                <w:rFonts w:ascii="Arial Narrow" w:hAnsi="Arial Narrow"/>
                <w:b/>
                <w:sz w:val="20"/>
              </w:rPr>
              <w:t>year</w:t>
            </w:r>
          </w:p>
        </w:tc>
      </w:tr>
      <w:tr w:rsidR="001326EB" w:rsidRPr="0050418C" w14:paraId="672B47B6" w14:textId="77777777" w:rsidTr="00714A8B">
        <w:tc>
          <w:tcPr>
            <w:tcW w:w="1775" w:type="dxa"/>
          </w:tcPr>
          <w:p w14:paraId="4F414346"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Myotonic dystrophy type 1</w:t>
            </w:r>
          </w:p>
        </w:tc>
        <w:tc>
          <w:tcPr>
            <w:tcW w:w="1009" w:type="dxa"/>
          </w:tcPr>
          <w:p w14:paraId="15BEA91A" w14:textId="77777777" w:rsidR="001326EB" w:rsidRPr="009B40C9" w:rsidRDefault="001326EB" w:rsidP="00714A8B">
            <w:pPr>
              <w:rPr>
                <w:rFonts w:ascii="Arial Narrow" w:hAnsi="Arial Narrow"/>
                <w:sz w:val="20"/>
              </w:rPr>
            </w:pPr>
            <w:r w:rsidRPr="009B40C9">
              <w:rPr>
                <w:rFonts w:ascii="Arial Narrow" w:hAnsi="Arial Narrow"/>
                <w:i/>
                <w:sz w:val="20"/>
              </w:rPr>
              <w:t>DMPK</w:t>
            </w:r>
          </w:p>
        </w:tc>
        <w:tc>
          <w:tcPr>
            <w:tcW w:w="1192" w:type="dxa"/>
          </w:tcPr>
          <w:p w14:paraId="4E6A07A9" w14:textId="77777777" w:rsidR="001326EB" w:rsidRPr="009B40C9" w:rsidRDefault="001326EB" w:rsidP="00714A8B">
            <w:pPr>
              <w:rPr>
                <w:rFonts w:ascii="Arial Narrow" w:hAnsi="Arial Narrow"/>
                <w:color w:val="000000" w:themeColor="text1"/>
                <w:sz w:val="20"/>
              </w:rPr>
            </w:pPr>
            <w:r w:rsidRPr="009B40C9">
              <w:rPr>
                <w:rFonts w:ascii="Arial Narrow" w:hAnsi="Arial Narrow"/>
                <w:color w:val="000000" w:themeColor="text1"/>
                <w:sz w:val="20"/>
              </w:rPr>
              <w:t>AD</w:t>
            </w:r>
          </w:p>
        </w:tc>
        <w:tc>
          <w:tcPr>
            <w:tcW w:w="996" w:type="dxa"/>
          </w:tcPr>
          <w:p w14:paraId="54B4C798"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$400</w:t>
            </w:r>
          </w:p>
        </w:tc>
        <w:tc>
          <w:tcPr>
            <w:tcW w:w="837" w:type="dxa"/>
          </w:tcPr>
          <w:p w14:paraId="3659ECF5"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10</w:t>
            </w:r>
          </w:p>
        </w:tc>
        <w:tc>
          <w:tcPr>
            <w:tcW w:w="1102" w:type="dxa"/>
          </w:tcPr>
          <w:p w14:paraId="32E44B92" w14:textId="77777777" w:rsidR="001326EB" w:rsidRPr="009B40C9" w:rsidRDefault="001326EB" w:rsidP="00714A8B">
            <w:pPr>
              <w:rPr>
                <w:rFonts w:ascii="Arial Narrow" w:hAnsi="Arial Narrow"/>
                <w:sz w:val="20"/>
              </w:rPr>
            </w:pPr>
            <w:r w:rsidRPr="009B40C9">
              <w:rPr>
                <w:rFonts w:ascii="Arial Narrow" w:hAnsi="Arial Narrow" w:cs="Calibri"/>
                <w:color w:val="000000"/>
                <w:sz w:val="20"/>
              </w:rPr>
              <w:t>96</w:t>
            </w:r>
          </w:p>
        </w:tc>
        <w:tc>
          <w:tcPr>
            <w:tcW w:w="1228" w:type="dxa"/>
            <w:vMerge w:val="restart"/>
          </w:tcPr>
          <w:p w14:paraId="7B33EE56" w14:textId="77777777" w:rsidR="001326EB" w:rsidRPr="009B40C9" w:rsidRDefault="001326EB" w:rsidP="00714A8B">
            <w:pPr>
              <w:rPr>
                <w:rFonts w:ascii="Arial Narrow" w:hAnsi="Arial Narrow"/>
                <w:color w:val="000000" w:themeColor="text1"/>
                <w:sz w:val="20"/>
              </w:rPr>
            </w:pPr>
            <w:r w:rsidRPr="009B40C9">
              <w:rPr>
                <w:rFonts w:ascii="Arial Narrow" w:hAnsi="Arial Narrow"/>
                <w:color w:val="000000" w:themeColor="text1"/>
                <w:sz w:val="20"/>
              </w:rPr>
              <w:t>RT-PCR</w:t>
            </w:r>
          </w:p>
          <w:p w14:paraId="124B5254" w14:textId="77777777" w:rsidR="001326EB" w:rsidRPr="009B40C9" w:rsidRDefault="001326EB" w:rsidP="00714A8B">
            <w:pPr>
              <w:rPr>
                <w:rFonts w:ascii="Arial Narrow" w:hAnsi="Arial Narrow"/>
                <w:sz w:val="20"/>
              </w:rPr>
            </w:pPr>
          </w:p>
        </w:tc>
        <w:tc>
          <w:tcPr>
            <w:tcW w:w="1495" w:type="dxa"/>
            <w:vMerge w:val="restart"/>
          </w:tcPr>
          <w:p w14:paraId="6EA2285F" w14:textId="77777777" w:rsidR="001326EB" w:rsidRPr="009B40C9" w:rsidRDefault="001326EB" w:rsidP="00714A8B">
            <w:pPr>
              <w:jc w:val="center"/>
              <w:rPr>
                <w:rFonts w:ascii="Arial Narrow" w:hAnsi="Arial Narrow"/>
                <w:color w:val="000000" w:themeColor="text1"/>
                <w:sz w:val="20"/>
              </w:rPr>
            </w:pPr>
            <w:r w:rsidRPr="009B40C9">
              <w:rPr>
                <w:rFonts w:ascii="Arial Narrow" w:hAnsi="Arial Narrow"/>
                <w:color w:val="000000" w:themeColor="text1"/>
                <w:sz w:val="20"/>
              </w:rPr>
              <w:t>$</w:t>
            </w:r>
            <w:r>
              <w:rPr>
                <w:rFonts w:ascii="Arial Narrow" w:hAnsi="Arial Narrow" w:cs="Calibri"/>
                <w:color w:val="000000"/>
                <w:sz w:val="20"/>
              </w:rPr>
              <w:t>366,364</w:t>
            </w:r>
          </w:p>
          <w:p w14:paraId="5DF3A5C4" w14:textId="77777777" w:rsidR="001326EB" w:rsidRPr="009B40C9" w:rsidRDefault="001326EB" w:rsidP="00714A8B">
            <w:pPr>
              <w:jc w:val="center"/>
              <w:rPr>
                <w:rFonts w:ascii="Arial Narrow" w:hAnsi="Arial Narrow"/>
                <w:sz w:val="20"/>
              </w:rPr>
            </w:pPr>
          </w:p>
        </w:tc>
      </w:tr>
      <w:tr w:rsidR="001326EB" w:rsidRPr="0050418C" w14:paraId="4383ECBD" w14:textId="77777777" w:rsidTr="00714A8B">
        <w:tc>
          <w:tcPr>
            <w:tcW w:w="1775" w:type="dxa"/>
          </w:tcPr>
          <w:p w14:paraId="026B0675"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Myotonic dystrophy type 2</w:t>
            </w:r>
          </w:p>
        </w:tc>
        <w:tc>
          <w:tcPr>
            <w:tcW w:w="1009" w:type="dxa"/>
          </w:tcPr>
          <w:p w14:paraId="5EE37B36" w14:textId="77777777" w:rsidR="001326EB" w:rsidRPr="009B40C9" w:rsidRDefault="001326EB" w:rsidP="00714A8B">
            <w:pPr>
              <w:rPr>
                <w:rFonts w:ascii="Arial Narrow" w:hAnsi="Arial Narrow"/>
                <w:sz w:val="20"/>
              </w:rPr>
            </w:pPr>
            <w:r w:rsidRPr="009B40C9">
              <w:rPr>
                <w:rFonts w:ascii="Arial Narrow" w:hAnsi="Arial Narrow"/>
                <w:i/>
                <w:sz w:val="20"/>
              </w:rPr>
              <w:t>CNBP</w:t>
            </w:r>
          </w:p>
        </w:tc>
        <w:tc>
          <w:tcPr>
            <w:tcW w:w="1192" w:type="dxa"/>
          </w:tcPr>
          <w:p w14:paraId="57FAB61D" w14:textId="77777777" w:rsidR="001326EB" w:rsidRPr="009B40C9" w:rsidRDefault="001326EB" w:rsidP="00714A8B">
            <w:pPr>
              <w:rPr>
                <w:rFonts w:ascii="Arial Narrow" w:hAnsi="Arial Narrow"/>
                <w:color w:val="000000" w:themeColor="text1"/>
                <w:sz w:val="20"/>
              </w:rPr>
            </w:pPr>
            <w:r w:rsidRPr="009B40C9">
              <w:rPr>
                <w:rFonts w:ascii="Arial Narrow" w:hAnsi="Arial Narrow"/>
                <w:color w:val="000000" w:themeColor="text1"/>
                <w:sz w:val="20"/>
              </w:rPr>
              <w:t>AD</w:t>
            </w:r>
          </w:p>
        </w:tc>
        <w:tc>
          <w:tcPr>
            <w:tcW w:w="996" w:type="dxa"/>
          </w:tcPr>
          <w:p w14:paraId="48294BCE"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$400</w:t>
            </w:r>
          </w:p>
        </w:tc>
        <w:tc>
          <w:tcPr>
            <w:tcW w:w="837" w:type="dxa"/>
          </w:tcPr>
          <w:p w14:paraId="734DEC6F" w14:textId="77777777" w:rsidR="001326EB" w:rsidRPr="009B40C9" w:rsidRDefault="001326EB" w:rsidP="00714A8B">
            <w:pPr>
              <w:rPr>
                <w:rFonts w:ascii="Arial Narrow" w:hAnsi="Arial Narrow"/>
                <w:sz w:val="20"/>
              </w:rPr>
            </w:pPr>
            <w:r>
              <w:rPr>
                <w:rFonts w:ascii="Arial Narrow" w:hAnsi="Arial Narrow"/>
                <w:color w:val="000000" w:themeColor="text1"/>
                <w:sz w:val="20"/>
              </w:rPr>
              <w:t>4</w:t>
            </w:r>
          </w:p>
        </w:tc>
        <w:tc>
          <w:tcPr>
            <w:tcW w:w="1102" w:type="dxa"/>
          </w:tcPr>
          <w:p w14:paraId="0F744CEC" w14:textId="77777777" w:rsidR="001326EB" w:rsidRPr="009B40C9" w:rsidRDefault="001326EB" w:rsidP="00714A8B">
            <w:pPr>
              <w:rPr>
                <w:rFonts w:ascii="Arial Narrow" w:hAnsi="Arial Narrow"/>
                <w:sz w:val="20"/>
              </w:rPr>
            </w:pPr>
            <w:r>
              <w:rPr>
                <w:rFonts w:ascii="Arial Narrow" w:hAnsi="Arial Narrow" w:cs="Calibri"/>
                <w:color w:val="000000"/>
                <w:sz w:val="20"/>
              </w:rPr>
              <w:t>40</w:t>
            </w:r>
          </w:p>
        </w:tc>
        <w:tc>
          <w:tcPr>
            <w:tcW w:w="1228" w:type="dxa"/>
            <w:vMerge/>
          </w:tcPr>
          <w:p w14:paraId="7BB7B11A" w14:textId="77777777" w:rsidR="001326EB" w:rsidRPr="009B40C9" w:rsidRDefault="001326EB" w:rsidP="00714A8B">
            <w:pPr>
              <w:rPr>
                <w:rFonts w:ascii="Arial Narrow" w:hAnsi="Arial Narrow"/>
                <w:sz w:val="20"/>
              </w:rPr>
            </w:pPr>
          </w:p>
        </w:tc>
        <w:tc>
          <w:tcPr>
            <w:tcW w:w="1495" w:type="dxa"/>
            <w:vMerge/>
          </w:tcPr>
          <w:p w14:paraId="51123B90" w14:textId="77777777" w:rsidR="001326EB" w:rsidRPr="009B40C9" w:rsidRDefault="001326EB" w:rsidP="00714A8B">
            <w:pPr>
              <w:jc w:val="center"/>
              <w:rPr>
                <w:rFonts w:ascii="Arial Narrow" w:hAnsi="Arial Narrow"/>
                <w:sz w:val="20"/>
              </w:rPr>
            </w:pPr>
          </w:p>
        </w:tc>
      </w:tr>
      <w:tr w:rsidR="001326EB" w:rsidRPr="0050418C" w14:paraId="26F472FA" w14:textId="77777777" w:rsidTr="00714A8B">
        <w:tc>
          <w:tcPr>
            <w:tcW w:w="1775" w:type="dxa"/>
          </w:tcPr>
          <w:p w14:paraId="371DD7F1"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Huntington disease</w:t>
            </w:r>
          </w:p>
        </w:tc>
        <w:tc>
          <w:tcPr>
            <w:tcW w:w="1009" w:type="dxa"/>
          </w:tcPr>
          <w:p w14:paraId="0EF204C2" w14:textId="77777777" w:rsidR="001326EB" w:rsidRPr="009B40C9" w:rsidRDefault="001326EB" w:rsidP="00714A8B">
            <w:pPr>
              <w:rPr>
                <w:rFonts w:ascii="Arial Narrow" w:hAnsi="Arial Narrow"/>
                <w:sz w:val="20"/>
              </w:rPr>
            </w:pPr>
            <w:r w:rsidRPr="009B40C9">
              <w:rPr>
                <w:rFonts w:ascii="Arial Narrow" w:hAnsi="Arial Narrow"/>
                <w:i/>
                <w:sz w:val="20"/>
              </w:rPr>
              <w:t>HTT</w:t>
            </w:r>
          </w:p>
        </w:tc>
        <w:tc>
          <w:tcPr>
            <w:tcW w:w="1192" w:type="dxa"/>
          </w:tcPr>
          <w:p w14:paraId="75AD2F89" w14:textId="77777777" w:rsidR="001326EB" w:rsidRPr="009B40C9" w:rsidRDefault="001326EB" w:rsidP="00714A8B">
            <w:pPr>
              <w:rPr>
                <w:rFonts w:ascii="Arial Narrow" w:hAnsi="Arial Narrow"/>
                <w:color w:val="000000" w:themeColor="text1"/>
                <w:sz w:val="20"/>
              </w:rPr>
            </w:pPr>
            <w:r w:rsidRPr="009B40C9">
              <w:rPr>
                <w:rFonts w:ascii="Arial Narrow" w:hAnsi="Arial Narrow"/>
                <w:color w:val="000000" w:themeColor="text1"/>
                <w:sz w:val="20"/>
              </w:rPr>
              <w:t>AD</w:t>
            </w:r>
          </w:p>
        </w:tc>
        <w:tc>
          <w:tcPr>
            <w:tcW w:w="996" w:type="dxa"/>
          </w:tcPr>
          <w:p w14:paraId="1005894B"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$400</w:t>
            </w:r>
          </w:p>
        </w:tc>
        <w:tc>
          <w:tcPr>
            <w:tcW w:w="837" w:type="dxa"/>
          </w:tcPr>
          <w:p w14:paraId="3F70B2BA"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40</w:t>
            </w:r>
          </w:p>
        </w:tc>
        <w:tc>
          <w:tcPr>
            <w:tcW w:w="1102" w:type="dxa"/>
          </w:tcPr>
          <w:p w14:paraId="6185510D" w14:textId="77777777" w:rsidR="001326EB" w:rsidRPr="009B40C9" w:rsidRDefault="001326EB" w:rsidP="00714A8B">
            <w:pPr>
              <w:rPr>
                <w:rFonts w:ascii="Arial Narrow" w:hAnsi="Arial Narrow"/>
                <w:sz w:val="20"/>
              </w:rPr>
            </w:pPr>
            <w:r w:rsidRPr="009B40C9">
              <w:rPr>
                <w:rFonts w:ascii="Arial Narrow" w:hAnsi="Arial Narrow" w:cs="Calibri"/>
                <w:color w:val="000000"/>
                <w:sz w:val="20"/>
              </w:rPr>
              <w:t>384</w:t>
            </w:r>
          </w:p>
        </w:tc>
        <w:tc>
          <w:tcPr>
            <w:tcW w:w="1228" w:type="dxa"/>
            <w:vMerge/>
          </w:tcPr>
          <w:p w14:paraId="52834480" w14:textId="77777777" w:rsidR="001326EB" w:rsidRPr="009B40C9" w:rsidRDefault="001326EB" w:rsidP="00714A8B">
            <w:pPr>
              <w:rPr>
                <w:rFonts w:ascii="Arial Narrow" w:hAnsi="Arial Narrow"/>
                <w:sz w:val="20"/>
              </w:rPr>
            </w:pPr>
          </w:p>
        </w:tc>
        <w:tc>
          <w:tcPr>
            <w:tcW w:w="1495" w:type="dxa"/>
            <w:vMerge/>
          </w:tcPr>
          <w:p w14:paraId="10E7C81B" w14:textId="77777777" w:rsidR="001326EB" w:rsidRPr="009B40C9" w:rsidRDefault="001326EB" w:rsidP="00714A8B">
            <w:pPr>
              <w:jc w:val="center"/>
              <w:rPr>
                <w:rFonts w:ascii="Arial Narrow" w:hAnsi="Arial Narrow"/>
                <w:sz w:val="20"/>
              </w:rPr>
            </w:pPr>
          </w:p>
        </w:tc>
      </w:tr>
      <w:tr w:rsidR="001326EB" w:rsidRPr="0050418C" w14:paraId="529BB57C" w14:textId="77777777" w:rsidTr="00714A8B">
        <w:tc>
          <w:tcPr>
            <w:tcW w:w="1775" w:type="dxa"/>
          </w:tcPr>
          <w:p w14:paraId="0AEB9905"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Oculopharyngeal muscular dystrophy</w:t>
            </w:r>
          </w:p>
        </w:tc>
        <w:tc>
          <w:tcPr>
            <w:tcW w:w="1009" w:type="dxa"/>
          </w:tcPr>
          <w:p w14:paraId="0B5A1123" w14:textId="77777777" w:rsidR="001326EB" w:rsidRPr="009B40C9" w:rsidRDefault="001326EB" w:rsidP="00714A8B">
            <w:pPr>
              <w:rPr>
                <w:rFonts w:ascii="Arial Narrow" w:hAnsi="Arial Narrow"/>
                <w:sz w:val="20"/>
              </w:rPr>
            </w:pPr>
            <w:r w:rsidRPr="009B40C9">
              <w:rPr>
                <w:rFonts w:ascii="Arial Narrow" w:hAnsi="Arial Narrow"/>
                <w:i/>
                <w:sz w:val="20"/>
              </w:rPr>
              <w:t>PABPN1</w:t>
            </w:r>
          </w:p>
        </w:tc>
        <w:tc>
          <w:tcPr>
            <w:tcW w:w="1192" w:type="dxa"/>
          </w:tcPr>
          <w:p w14:paraId="195027A9" w14:textId="77777777" w:rsidR="001326EB" w:rsidRPr="009B40C9" w:rsidRDefault="001326EB" w:rsidP="00714A8B">
            <w:pPr>
              <w:rPr>
                <w:rFonts w:ascii="Arial Narrow" w:hAnsi="Arial Narrow"/>
                <w:color w:val="000000" w:themeColor="text1"/>
                <w:sz w:val="20"/>
              </w:rPr>
            </w:pPr>
            <w:r w:rsidRPr="009B40C9">
              <w:rPr>
                <w:rFonts w:ascii="Arial Narrow" w:hAnsi="Arial Narrow"/>
                <w:color w:val="000000" w:themeColor="text1"/>
                <w:sz w:val="20"/>
              </w:rPr>
              <w:t>AD</w:t>
            </w:r>
          </w:p>
        </w:tc>
        <w:tc>
          <w:tcPr>
            <w:tcW w:w="996" w:type="dxa"/>
          </w:tcPr>
          <w:p w14:paraId="330E3DDC"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$400</w:t>
            </w:r>
          </w:p>
        </w:tc>
        <w:tc>
          <w:tcPr>
            <w:tcW w:w="837" w:type="dxa"/>
          </w:tcPr>
          <w:p w14:paraId="4467F4FE"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5</w:t>
            </w:r>
          </w:p>
        </w:tc>
        <w:tc>
          <w:tcPr>
            <w:tcW w:w="1102" w:type="dxa"/>
          </w:tcPr>
          <w:p w14:paraId="632E8678" w14:textId="77777777" w:rsidR="001326EB" w:rsidRPr="009B40C9" w:rsidRDefault="001326EB" w:rsidP="00714A8B">
            <w:pPr>
              <w:rPr>
                <w:rFonts w:ascii="Arial Narrow" w:hAnsi="Arial Narrow"/>
                <w:sz w:val="20"/>
              </w:rPr>
            </w:pPr>
            <w:r w:rsidRPr="009B40C9">
              <w:rPr>
                <w:rFonts w:ascii="Arial Narrow" w:hAnsi="Arial Narrow" w:cs="Calibri"/>
                <w:color w:val="000000"/>
                <w:sz w:val="20"/>
              </w:rPr>
              <w:t>48</w:t>
            </w:r>
          </w:p>
        </w:tc>
        <w:tc>
          <w:tcPr>
            <w:tcW w:w="1228" w:type="dxa"/>
            <w:vMerge/>
          </w:tcPr>
          <w:p w14:paraId="0AE98D67" w14:textId="77777777" w:rsidR="001326EB" w:rsidRPr="009B40C9" w:rsidRDefault="001326EB" w:rsidP="00714A8B">
            <w:pPr>
              <w:rPr>
                <w:rFonts w:ascii="Arial Narrow" w:hAnsi="Arial Narrow"/>
                <w:sz w:val="20"/>
              </w:rPr>
            </w:pPr>
          </w:p>
        </w:tc>
        <w:tc>
          <w:tcPr>
            <w:tcW w:w="1495" w:type="dxa"/>
            <w:vMerge/>
          </w:tcPr>
          <w:p w14:paraId="3CE259CC" w14:textId="77777777" w:rsidR="001326EB" w:rsidRPr="009B40C9" w:rsidRDefault="001326EB" w:rsidP="00714A8B">
            <w:pPr>
              <w:jc w:val="center"/>
              <w:rPr>
                <w:rFonts w:ascii="Arial Narrow" w:hAnsi="Arial Narrow"/>
                <w:sz w:val="20"/>
              </w:rPr>
            </w:pPr>
          </w:p>
        </w:tc>
      </w:tr>
      <w:tr w:rsidR="001326EB" w:rsidRPr="0050418C" w14:paraId="7475E17E" w14:textId="77777777" w:rsidTr="00714A8B">
        <w:tc>
          <w:tcPr>
            <w:tcW w:w="1775" w:type="dxa"/>
          </w:tcPr>
          <w:p w14:paraId="3A8E2FBD"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 xml:space="preserve">Motor Neuron Disease                                                                                                              </w:t>
            </w:r>
          </w:p>
        </w:tc>
        <w:tc>
          <w:tcPr>
            <w:tcW w:w="1009" w:type="dxa"/>
          </w:tcPr>
          <w:p w14:paraId="7BCA2964" w14:textId="77777777" w:rsidR="001326EB" w:rsidRPr="009B40C9" w:rsidRDefault="001326EB" w:rsidP="00714A8B">
            <w:pPr>
              <w:rPr>
                <w:rFonts w:ascii="Arial Narrow" w:hAnsi="Arial Narrow"/>
                <w:sz w:val="20"/>
              </w:rPr>
            </w:pPr>
            <w:r w:rsidRPr="009B40C9">
              <w:rPr>
                <w:rFonts w:ascii="Arial Narrow" w:hAnsi="Arial Narrow"/>
                <w:i/>
                <w:sz w:val="20"/>
              </w:rPr>
              <w:t>C9</w:t>
            </w:r>
            <w:r>
              <w:rPr>
                <w:rFonts w:ascii="Arial Narrow" w:hAnsi="Arial Narrow"/>
                <w:i/>
                <w:sz w:val="20"/>
              </w:rPr>
              <w:t>o</w:t>
            </w:r>
            <w:r w:rsidRPr="009B40C9">
              <w:rPr>
                <w:rFonts w:ascii="Arial Narrow" w:hAnsi="Arial Narrow"/>
                <w:i/>
                <w:sz w:val="20"/>
              </w:rPr>
              <w:t>rf72</w:t>
            </w:r>
          </w:p>
        </w:tc>
        <w:tc>
          <w:tcPr>
            <w:tcW w:w="1192" w:type="dxa"/>
          </w:tcPr>
          <w:p w14:paraId="15A2E953" w14:textId="77777777" w:rsidR="001326EB" w:rsidRPr="009B40C9" w:rsidRDefault="001326EB" w:rsidP="00714A8B">
            <w:pPr>
              <w:rPr>
                <w:rFonts w:ascii="Arial Narrow" w:hAnsi="Arial Narrow"/>
                <w:color w:val="000000" w:themeColor="text1"/>
                <w:sz w:val="20"/>
              </w:rPr>
            </w:pPr>
            <w:r w:rsidRPr="009B40C9">
              <w:rPr>
                <w:rFonts w:ascii="Arial Narrow" w:hAnsi="Arial Narrow"/>
                <w:color w:val="000000" w:themeColor="text1"/>
                <w:sz w:val="20"/>
              </w:rPr>
              <w:t>AD</w:t>
            </w:r>
          </w:p>
        </w:tc>
        <w:tc>
          <w:tcPr>
            <w:tcW w:w="996" w:type="dxa"/>
          </w:tcPr>
          <w:p w14:paraId="25DDE2B4"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$400</w:t>
            </w:r>
          </w:p>
        </w:tc>
        <w:tc>
          <w:tcPr>
            <w:tcW w:w="837" w:type="dxa"/>
          </w:tcPr>
          <w:p w14:paraId="4C4EED27" w14:textId="77777777" w:rsidR="001326EB" w:rsidRPr="009B40C9" w:rsidRDefault="001326EB" w:rsidP="00714A8B">
            <w:pPr>
              <w:rPr>
                <w:rFonts w:ascii="Arial Narrow" w:hAnsi="Arial Narrow"/>
                <w:sz w:val="20"/>
              </w:rPr>
            </w:pPr>
            <w:r>
              <w:rPr>
                <w:rFonts w:ascii="Arial Narrow" w:hAnsi="Arial Narrow"/>
                <w:color w:val="000000" w:themeColor="text1"/>
                <w:sz w:val="20"/>
              </w:rPr>
              <w:t>30</w:t>
            </w:r>
          </w:p>
        </w:tc>
        <w:tc>
          <w:tcPr>
            <w:tcW w:w="1102" w:type="dxa"/>
          </w:tcPr>
          <w:p w14:paraId="0AECE23D" w14:textId="77777777" w:rsidR="001326EB" w:rsidRPr="009B40C9" w:rsidRDefault="001326EB" w:rsidP="00714A8B">
            <w:pPr>
              <w:rPr>
                <w:rFonts w:ascii="Arial Narrow" w:hAnsi="Arial Narrow"/>
                <w:sz w:val="20"/>
              </w:rPr>
            </w:pPr>
            <w:r>
              <w:rPr>
                <w:rFonts w:ascii="Arial Narrow" w:hAnsi="Arial Narrow" w:cs="Calibri"/>
                <w:color w:val="000000"/>
                <w:sz w:val="20"/>
              </w:rPr>
              <w:t>300</w:t>
            </w:r>
          </w:p>
        </w:tc>
        <w:tc>
          <w:tcPr>
            <w:tcW w:w="1228" w:type="dxa"/>
            <w:vMerge/>
          </w:tcPr>
          <w:p w14:paraId="3CAFF54F" w14:textId="77777777" w:rsidR="001326EB" w:rsidRPr="009B40C9" w:rsidRDefault="001326EB" w:rsidP="00714A8B">
            <w:pPr>
              <w:rPr>
                <w:rFonts w:ascii="Arial Narrow" w:hAnsi="Arial Narrow"/>
                <w:sz w:val="20"/>
              </w:rPr>
            </w:pPr>
          </w:p>
        </w:tc>
        <w:tc>
          <w:tcPr>
            <w:tcW w:w="1495" w:type="dxa"/>
            <w:vMerge/>
          </w:tcPr>
          <w:p w14:paraId="4562A58D" w14:textId="77777777" w:rsidR="001326EB" w:rsidRPr="009B40C9" w:rsidRDefault="001326EB" w:rsidP="00714A8B">
            <w:pPr>
              <w:jc w:val="center"/>
              <w:rPr>
                <w:rFonts w:ascii="Arial Narrow" w:hAnsi="Arial Narrow"/>
                <w:sz w:val="20"/>
              </w:rPr>
            </w:pPr>
          </w:p>
        </w:tc>
      </w:tr>
      <w:tr w:rsidR="001326EB" w:rsidRPr="0050418C" w14:paraId="506E108B" w14:textId="77777777" w:rsidTr="00714A8B">
        <w:tc>
          <w:tcPr>
            <w:tcW w:w="1775" w:type="dxa"/>
          </w:tcPr>
          <w:p w14:paraId="6958A5B8"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Spinal and bulbar muscular atrophy (SBMA)</w:t>
            </w:r>
          </w:p>
        </w:tc>
        <w:tc>
          <w:tcPr>
            <w:tcW w:w="1009" w:type="dxa"/>
          </w:tcPr>
          <w:p w14:paraId="08DA62EE" w14:textId="77777777" w:rsidR="001326EB" w:rsidRPr="009B40C9" w:rsidRDefault="001326EB" w:rsidP="00714A8B">
            <w:pPr>
              <w:rPr>
                <w:rFonts w:ascii="Arial Narrow" w:hAnsi="Arial Narrow"/>
                <w:sz w:val="20"/>
              </w:rPr>
            </w:pPr>
            <w:r w:rsidRPr="009B40C9">
              <w:rPr>
                <w:rFonts w:ascii="Arial Narrow" w:hAnsi="Arial Narrow"/>
                <w:i/>
                <w:sz w:val="20"/>
              </w:rPr>
              <w:t>AR</w:t>
            </w:r>
          </w:p>
        </w:tc>
        <w:tc>
          <w:tcPr>
            <w:tcW w:w="1192" w:type="dxa"/>
          </w:tcPr>
          <w:p w14:paraId="3D120B32" w14:textId="77777777" w:rsidR="001326EB" w:rsidRPr="009B40C9" w:rsidRDefault="001326EB" w:rsidP="00714A8B">
            <w:pPr>
              <w:rPr>
                <w:rFonts w:ascii="Arial Narrow" w:hAnsi="Arial Narrow"/>
                <w:color w:val="000000" w:themeColor="text1"/>
                <w:sz w:val="20"/>
              </w:rPr>
            </w:pPr>
            <w:r w:rsidRPr="009B40C9">
              <w:rPr>
                <w:rFonts w:ascii="Arial Narrow" w:hAnsi="Arial Narrow"/>
                <w:color w:val="000000" w:themeColor="text1"/>
                <w:sz w:val="20"/>
              </w:rPr>
              <w:t>X-linked</w:t>
            </w:r>
          </w:p>
        </w:tc>
        <w:tc>
          <w:tcPr>
            <w:tcW w:w="996" w:type="dxa"/>
          </w:tcPr>
          <w:p w14:paraId="7844429F"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$200</w:t>
            </w:r>
          </w:p>
        </w:tc>
        <w:tc>
          <w:tcPr>
            <w:tcW w:w="837" w:type="dxa"/>
          </w:tcPr>
          <w:p w14:paraId="6DBCB636"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10</w:t>
            </w:r>
          </w:p>
        </w:tc>
        <w:tc>
          <w:tcPr>
            <w:tcW w:w="1102" w:type="dxa"/>
          </w:tcPr>
          <w:p w14:paraId="7BA7178C" w14:textId="77777777" w:rsidR="001326EB" w:rsidRPr="009B40C9" w:rsidRDefault="001326EB" w:rsidP="00714A8B">
            <w:pPr>
              <w:rPr>
                <w:rFonts w:ascii="Arial Narrow" w:hAnsi="Arial Narrow"/>
                <w:sz w:val="20"/>
              </w:rPr>
            </w:pPr>
            <w:r w:rsidRPr="009B40C9">
              <w:rPr>
                <w:rFonts w:ascii="Arial Narrow" w:hAnsi="Arial Narrow" w:cs="Calibri"/>
                <w:color w:val="000000"/>
                <w:sz w:val="20"/>
              </w:rPr>
              <w:t>96</w:t>
            </w:r>
          </w:p>
        </w:tc>
        <w:tc>
          <w:tcPr>
            <w:tcW w:w="1228" w:type="dxa"/>
            <w:vMerge/>
          </w:tcPr>
          <w:p w14:paraId="543F3F48" w14:textId="77777777" w:rsidR="001326EB" w:rsidRPr="009B40C9" w:rsidRDefault="001326EB" w:rsidP="00714A8B">
            <w:pPr>
              <w:rPr>
                <w:rFonts w:ascii="Arial Narrow" w:hAnsi="Arial Narrow"/>
                <w:sz w:val="20"/>
              </w:rPr>
            </w:pPr>
          </w:p>
        </w:tc>
        <w:tc>
          <w:tcPr>
            <w:tcW w:w="1495" w:type="dxa"/>
            <w:vMerge/>
          </w:tcPr>
          <w:p w14:paraId="196B9CE1" w14:textId="77777777" w:rsidR="001326EB" w:rsidRPr="009B40C9" w:rsidRDefault="001326EB" w:rsidP="00714A8B">
            <w:pPr>
              <w:jc w:val="center"/>
              <w:rPr>
                <w:rFonts w:ascii="Arial Narrow" w:hAnsi="Arial Narrow"/>
                <w:sz w:val="20"/>
              </w:rPr>
            </w:pPr>
          </w:p>
        </w:tc>
      </w:tr>
      <w:tr w:rsidR="001326EB" w:rsidRPr="0050418C" w14:paraId="12693B2A" w14:textId="77777777" w:rsidTr="00714A8B">
        <w:trPr>
          <w:trHeight w:val="469"/>
        </w:trPr>
        <w:tc>
          <w:tcPr>
            <w:tcW w:w="1775" w:type="dxa"/>
          </w:tcPr>
          <w:p w14:paraId="297D962A"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Spinal muscular atrophy</w:t>
            </w:r>
          </w:p>
        </w:tc>
        <w:tc>
          <w:tcPr>
            <w:tcW w:w="1009" w:type="dxa"/>
          </w:tcPr>
          <w:p w14:paraId="51F691CA" w14:textId="77777777" w:rsidR="001326EB" w:rsidRPr="009B40C9" w:rsidRDefault="001326EB" w:rsidP="00714A8B">
            <w:pPr>
              <w:rPr>
                <w:rFonts w:ascii="Arial Narrow" w:hAnsi="Arial Narrow"/>
                <w:sz w:val="20"/>
              </w:rPr>
            </w:pPr>
            <w:r w:rsidRPr="009B40C9">
              <w:rPr>
                <w:rFonts w:ascii="Arial Narrow" w:hAnsi="Arial Narrow"/>
                <w:i/>
                <w:sz w:val="20"/>
              </w:rPr>
              <w:t>SMN1</w:t>
            </w:r>
          </w:p>
        </w:tc>
        <w:tc>
          <w:tcPr>
            <w:tcW w:w="1192" w:type="dxa"/>
          </w:tcPr>
          <w:p w14:paraId="7B43C5A0" w14:textId="77777777" w:rsidR="001326EB" w:rsidRPr="009B40C9" w:rsidRDefault="001326EB" w:rsidP="00714A8B">
            <w:pPr>
              <w:rPr>
                <w:rFonts w:ascii="Arial Narrow" w:hAnsi="Arial Narrow"/>
                <w:color w:val="000000" w:themeColor="text1"/>
                <w:sz w:val="20"/>
              </w:rPr>
            </w:pPr>
            <w:r w:rsidRPr="009B40C9">
              <w:rPr>
                <w:rFonts w:ascii="Arial Narrow" w:hAnsi="Arial Narrow"/>
                <w:color w:val="000000" w:themeColor="text1"/>
                <w:sz w:val="20"/>
              </w:rPr>
              <w:t>AR</w:t>
            </w:r>
          </w:p>
        </w:tc>
        <w:tc>
          <w:tcPr>
            <w:tcW w:w="996" w:type="dxa"/>
          </w:tcPr>
          <w:p w14:paraId="720183C2"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$300</w:t>
            </w:r>
          </w:p>
        </w:tc>
        <w:tc>
          <w:tcPr>
            <w:tcW w:w="837" w:type="dxa"/>
          </w:tcPr>
          <w:p w14:paraId="3F289466"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15</w:t>
            </w:r>
          </w:p>
        </w:tc>
        <w:tc>
          <w:tcPr>
            <w:tcW w:w="1102" w:type="dxa"/>
          </w:tcPr>
          <w:p w14:paraId="12D1EEB0" w14:textId="77777777" w:rsidR="001326EB" w:rsidRPr="009B40C9" w:rsidRDefault="001326EB" w:rsidP="00714A8B">
            <w:pPr>
              <w:rPr>
                <w:rFonts w:ascii="Arial Narrow" w:hAnsi="Arial Narrow"/>
                <w:sz w:val="20"/>
              </w:rPr>
            </w:pPr>
            <w:r w:rsidRPr="009B40C9">
              <w:rPr>
                <w:rFonts w:ascii="Arial Narrow" w:hAnsi="Arial Narrow" w:cs="Calibri"/>
                <w:color w:val="000000"/>
                <w:sz w:val="20"/>
              </w:rPr>
              <w:t>144</w:t>
            </w:r>
          </w:p>
        </w:tc>
        <w:tc>
          <w:tcPr>
            <w:tcW w:w="1228" w:type="dxa"/>
          </w:tcPr>
          <w:p w14:paraId="1ABEA36A"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MLPA</w:t>
            </w:r>
          </w:p>
        </w:tc>
        <w:tc>
          <w:tcPr>
            <w:tcW w:w="1495" w:type="dxa"/>
          </w:tcPr>
          <w:p w14:paraId="1E8FEC4E" w14:textId="77777777" w:rsidR="001326EB" w:rsidRPr="009B40C9" w:rsidRDefault="001326EB" w:rsidP="00714A8B">
            <w:pPr>
              <w:jc w:val="center"/>
              <w:rPr>
                <w:rFonts w:ascii="Arial Narrow" w:hAnsi="Arial Narrow"/>
                <w:sz w:val="20"/>
              </w:rPr>
            </w:pPr>
            <w:r w:rsidRPr="009B40C9">
              <w:rPr>
                <w:rFonts w:ascii="Arial Narrow" w:hAnsi="Arial Narrow"/>
                <w:color w:val="000000" w:themeColor="text1"/>
                <w:sz w:val="20"/>
              </w:rPr>
              <w:t>$</w:t>
            </w:r>
            <w:r>
              <w:rPr>
                <w:rFonts w:ascii="Arial Narrow" w:hAnsi="Arial Narrow"/>
                <w:color w:val="000000" w:themeColor="text1"/>
                <w:sz w:val="20"/>
              </w:rPr>
              <w:t>43,193</w:t>
            </w:r>
          </w:p>
        </w:tc>
      </w:tr>
      <w:tr w:rsidR="001326EB" w:rsidRPr="0050418C" w14:paraId="0FB00131" w14:textId="77777777" w:rsidTr="00714A8B">
        <w:tc>
          <w:tcPr>
            <w:tcW w:w="1775" w:type="dxa"/>
          </w:tcPr>
          <w:p w14:paraId="6A0F7107" w14:textId="77777777" w:rsidR="001326EB" w:rsidRPr="009B40C9" w:rsidRDefault="001326EB" w:rsidP="00714A8B">
            <w:pPr>
              <w:rPr>
                <w:rFonts w:ascii="Arial Narrow" w:hAnsi="Arial Narrow"/>
                <w:sz w:val="20"/>
              </w:rPr>
            </w:pPr>
            <w:r>
              <w:rPr>
                <w:rFonts w:ascii="Arial Narrow" w:hAnsi="Arial Narrow"/>
                <w:color w:val="000000" w:themeColor="text1"/>
                <w:sz w:val="20"/>
              </w:rPr>
              <w:t>F</w:t>
            </w:r>
            <w:r w:rsidRPr="00D75A45">
              <w:rPr>
                <w:rFonts w:ascii="Arial Narrow" w:hAnsi="Arial Narrow"/>
                <w:color w:val="000000" w:themeColor="text1"/>
                <w:sz w:val="20"/>
              </w:rPr>
              <w:t>acioscapulohumeral dystrophy type 1</w:t>
            </w:r>
            <w:r>
              <w:rPr>
                <w:rFonts w:ascii="Arial Narrow" w:hAnsi="Arial Narrow"/>
                <w:color w:val="000000" w:themeColor="text1"/>
                <w:sz w:val="20"/>
              </w:rPr>
              <w:t xml:space="preserve"> (</w:t>
            </w:r>
            <w:r w:rsidRPr="009B40C9">
              <w:rPr>
                <w:rFonts w:ascii="Arial Narrow" w:hAnsi="Arial Narrow"/>
                <w:color w:val="000000" w:themeColor="text1"/>
                <w:sz w:val="20"/>
              </w:rPr>
              <w:t>FSHD1</w:t>
            </w:r>
            <w:r>
              <w:rPr>
                <w:rFonts w:ascii="Arial Narrow" w:hAnsi="Arial Narrow"/>
                <w:color w:val="000000" w:themeColor="text1"/>
                <w:sz w:val="20"/>
              </w:rPr>
              <w:t>)</w:t>
            </w:r>
          </w:p>
        </w:tc>
        <w:tc>
          <w:tcPr>
            <w:tcW w:w="1009" w:type="dxa"/>
          </w:tcPr>
          <w:p w14:paraId="6D701147" w14:textId="77777777" w:rsidR="001326EB" w:rsidRPr="009B40C9" w:rsidRDefault="001326EB" w:rsidP="00714A8B">
            <w:pPr>
              <w:rPr>
                <w:rFonts w:ascii="Arial Narrow" w:hAnsi="Arial Narrow"/>
                <w:sz w:val="20"/>
              </w:rPr>
            </w:pPr>
            <w:r w:rsidRPr="009B40C9">
              <w:rPr>
                <w:rFonts w:ascii="Arial Narrow" w:hAnsi="Arial Narrow"/>
                <w:i/>
                <w:sz w:val="20"/>
              </w:rPr>
              <w:t>DUX4</w:t>
            </w:r>
          </w:p>
        </w:tc>
        <w:tc>
          <w:tcPr>
            <w:tcW w:w="1192" w:type="dxa"/>
          </w:tcPr>
          <w:p w14:paraId="7F53B4AB" w14:textId="77777777" w:rsidR="001326EB" w:rsidRPr="009B40C9" w:rsidRDefault="001326EB" w:rsidP="00714A8B">
            <w:pPr>
              <w:rPr>
                <w:rFonts w:ascii="Arial Narrow" w:hAnsi="Arial Narrow"/>
                <w:color w:val="000000" w:themeColor="text1"/>
                <w:sz w:val="20"/>
              </w:rPr>
            </w:pPr>
            <w:r w:rsidRPr="009B40C9">
              <w:rPr>
                <w:rFonts w:ascii="Arial Narrow" w:hAnsi="Arial Narrow"/>
                <w:color w:val="000000" w:themeColor="text1"/>
                <w:sz w:val="20"/>
              </w:rPr>
              <w:t>AD</w:t>
            </w:r>
          </w:p>
        </w:tc>
        <w:tc>
          <w:tcPr>
            <w:tcW w:w="996" w:type="dxa"/>
          </w:tcPr>
          <w:p w14:paraId="49470945"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$1000</w:t>
            </w:r>
          </w:p>
        </w:tc>
        <w:tc>
          <w:tcPr>
            <w:tcW w:w="837" w:type="dxa"/>
          </w:tcPr>
          <w:p w14:paraId="453B6D5D"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8</w:t>
            </w:r>
          </w:p>
        </w:tc>
        <w:tc>
          <w:tcPr>
            <w:tcW w:w="1102" w:type="dxa"/>
          </w:tcPr>
          <w:p w14:paraId="13DF65B3" w14:textId="77777777" w:rsidR="001326EB" w:rsidRPr="009B40C9" w:rsidRDefault="001326EB" w:rsidP="00714A8B">
            <w:pPr>
              <w:rPr>
                <w:rFonts w:ascii="Arial Narrow" w:hAnsi="Arial Narrow"/>
                <w:sz w:val="20"/>
              </w:rPr>
            </w:pPr>
            <w:r w:rsidRPr="009B40C9">
              <w:rPr>
                <w:rFonts w:ascii="Arial Narrow" w:hAnsi="Arial Narrow" w:cs="Calibri"/>
                <w:color w:val="000000"/>
                <w:sz w:val="20"/>
              </w:rPr>
              <w:t>77</w:t>
            </w:r>
          </w:p>
        </w:tc>
        <w:tc>
          <w:tcPr>
            <w:tcW w:w="1228" w:type="dxa"/>
          </w:tcPr>
          <w:p w14:paraId="7C4D407E"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Southern blot</w:t>
            </w:r>
          </w:p>
        </w:tc>
        <w:tc>
          <w:tcPr>
            <w:tcW w:w="1495" w:type="dxa"/>
          </w:tcPr>
          <w:p w14:paraId="3AB01204" w14:textId="77777777" w:rsidR="001326EB" w:rsidRPr="009B40C9" w:rsidRDefault="001326EB" w:rsidP="00714A8B">
            <w:pPr>
              <w:jc w:val="center"/>
              <w:rPr>
                <w:rFonts w:ascii="Arial Narrow" w:hAnsi="Arial Narrow"/>
                <w:sz w:val="20"/>
              </w:rPr>
            </w:pPr>
            <w:r w:rsidRPr="009B40C9">
              <w:rPr>
                <w:rFonts w:ascii="Arial Narrow" w:hAnsi="Arial Narrow"/>
                <w:color w:val="000000" w:themeColor="text1"/>
                <w:sz w:val="20"/>
              </w:rPr>
              <w:t>$7</w:t>
            </w:r>
            <w:r>
              <w:rPr>
                <w:rFonts w:ascii="Arial Narrow" w:hAnsi="Arial Narrow"/>
                <w:color w:val="000000" w:themeColor="text1"/>
                <w:sz w:val="20"/>
              </w:rPr>
              <w:t>6,788</w:t>
            </w:r>
          </w:p>
        </w:tc>
      </w:tr>
      <w:tr w:rsidR="001326EB" w:rsidRPr="0050418C" w14:paraId="08ED9B18" w14:textId="77777777" w:rsidTr="00714A8B">
        <w:tc>
          <w:tcPr>
            <w:tcW w:w="1775" w:type="dxa"/>
          </w:tcPr>
          <w:p w14:paraId="6E2A7131"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 xml:space="preserve">Familial </w:t>
            </w:r>
            <w:r>
              <w:rPr>
                <w:rFonts w:ascii="Arial Narrow" w:hAnsi="Arial Narrow"/>
                <w:color w:val="000000" w:themeColor="text1"/>
                <w:sz w:val="20"/>
              </w:rPr>
              <w:t>prion</w:t>
            </w:r>
            <w:r w:rsidRPr="009B40C9">
              <w:rPr>
                <w:rFonts w:ascii="Arial Narrow" w:hAnsi="Arial Narrow"/>
                <w:color w:val="000000" w:themeColor="text1"/>
                <w:sz w:val="20"/>
              </w:rPr>
              <w:t xml:space="preserve"> disease</w:t>
            </w:r>
          </w:p>
        </w:tc>
        <w:tc>
          <w:tcPr>
            <w:tcW w:w="1009" w:type="dxa"/>
          </w:tcPr>
          <w:p w14:paraId="6D454E13" w14:textId="77777777" w:rsidR="001326EB" w:rsidRPr="009B40C9" w:rsidRDefault="001326EB" w:rsidP="00714A8B">
            <w:pPr>
              <w:rPr>
                <w:rFonts w:ascii="Arial Narrow" w:hAnsi="Arial Narrow"/>
                <w:sz w:val="20"/>
              </w:rPr>
            </w:pPr>
            <w:r w:rsidRPr="009B40C9">
              <w:rPr>
                <w:rFonts w:ascii="Arial Narrow" w:hAnsi="Arial Narrow"/>
                <w:i/>
                <w:sz w:val="20"/>
              </w:rPr>
              <w:t>PRNP</w:t>
            </w:r>
          </w:p>
        </w:tc>
        <w:tc>
          <w:tcPr>
            <w:tcW w:w="1192" w:type="dxa"/>
          </w:tcPr>
          <w:p w14:paraId="16D110B0" w14:textId="77777777" w:rsidR="001326EB" w:rsidRPr="009B40C9" w:rsidRDefault="001326EB" w:rsidP="00714A8B">
            <w:pPr>
              <w:rPr>
                <w:rFonts w:ascii="Arial Narrow" w:hAnsi="Arial Narrow"/>
                <w:color w:val="000000" w:themeColor="text1"/>
                <w:sz w:val="20"/>
              </w:rPr>
            </w:pPr>
            <w:r w:rsidRPr="009B40C9">
              <w:rPr>
                <w:rFonts w:ascii="Arial Narrow" w:hAnsi="Arial Narrow"/>
                <w:color w:val="000000" w:themeColor="text1"/>
                <w:sz w:val="20"/>
              </w:rPr>
              <w:t>AD</w:t>
            </w:r>
          </w:p>
        </w:tc>
        <w:tc>
          <w:tcPr>
            <w:tcW w:w="996" w:type="dxa"/>
          </w:tcPr>
          <w:p w14:paraId="6D79E50F"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$300</w:t>
            </w:r>
          </w:p>
        </w:tc>
        <w:tc>
          <w:tcPr>
            <w:tcW w:w="837" w:type="dxa"/>
          </w:tcPr>
          <w:p w14:paraId="78556855" w14:textId="77777777" w:rsidR="001326EB" w:rsidRPr="009B40C9" w:rsidRDefault="001326EB" w:rsidP="00714A8B">
            <w:pPr>
              <w:rPr>
                <w:rFonts w:ascii="Arial Narrow" w:hAnsi="Arial Narrow"/>
                <w:sz w:val="20"/>
              </w:rPr>
            </w:pPr>
            <w:r>
              <w:rPr>
                <w:rFonts w:ascii="Arial Narrow" w:hAnsi="Arial Narrow"/>
                <w:color w:val="000000" w:themeColor="text1"/>
                <w:sz w:val="20"/>
              </w:rPr>
              <w:t>3</w:t>
            </w:r>
          </w:p>
        </w:tc>
        <w:tc>
          <w:tcPr>
            <w:tcW w:w="1102" w:type="dxa"/>
          </w:tcPr>
          <w:p w14:paraId="7F9076B1" w14:textId="77777777" w:rsidR="001326EB" w:rsidRPr="009B40C9" w:rsidRDefault="001326EB" w:rsidP="00714A8B">
            <w:pPr>
              <w:rPr>
                <w:rFonts w:ascii="Arial Narrow" w:hAnsi="Arial Narrow"/>
                <w:sz w:val="20"/>
              </w:rPr>
            </w:pPr>
            <w:r>
              <w:rPr>
                <w:rFonts w:ascii="Arial Narrow" w:hAnsi="Arial Narrow" w:cs="Calibri"/>
                <w:color w:val="000000"/>
                <w:sz w:val="20"/>
              </w:rPr>
              <w:t>30</w:t>
            </w:r>
          </w:p>
        </w:tc>
        <w:tc>
          <w:tcPr>
            <w:tcW w:w="1228" w:type="dxa"/>
            <w:vMerge w:val="restart"/>
          </w:tcPr>
          <w:p w14:paraId="64266134" w14:textId="77777777" w:rsidR="001326EB" w:rsidRPr="009B40C9" w:rsidRDefault="001326EB" w:rsidP="00714A8B">
            <w:pPr>
              <w:rPr>
                <w:rFonts w:ascii="Arial Narrow" w:hAnsi="Arial Narrow"/>
                <w:color w:val="000000" w:themeColor="text1"/>
                <w:sz w:val="20"/>
              </w:rPr>
            </w:pPr>
            <w:r w:rsidRPr="009B40C9">
              <w:rPr>
                <w:rFonts w:ascii="Arial Narrow" w:hAnsi="Arial Narrow"/>
                <w:color w:val="000000" w:themeColor="text1"/>
                <w:sz w:val="20"/>
              </w:rPr>
              <w:t>Sanger sequencing</w:t>
            </w:r>
          </w:p>
          <w:p w14:paraId="2F6C004D" w14:textId="77777777" w:rsidR="001326EB" w:rsidRPr="009B40C9" w:rsidRDefault="001326EB" w:rsidP="00714A8B">
            <w:pPr>
              <w:rPr>
                <w:rFonts w:ascii="Arial Narrow" w:hAnsi="Arial Narrow"/>
                <w:sz w:val="20"/>
              </w:rPr>
            </w:pPr>
          </w:p>
        </w:tc>
        <w:tc>
          <w:tcPr>
            <w:tcW w:w="1495" w:type="dxa"/>
            <w:vMerge w:val="restart"/>
          </w:tcPr>
          <w:p w14:paraId="5D545FD7" w14:textId="77777777" w:rsidR="001326EB" w:rsidRPr="009B40C9" w:rsidRDefault="001326EB" w:rsidP="00714A8B">
            <w:pPr>
              <w:jc w:val="center"/>
              <w:rPr>
                <w:rFonts w:ascii="Arial Narrow" w:hAnsi="Arial Narrow"/>
                <w:sz w:val="20"/>
              </w:rPr>
            </w:pPr>
            <w:r w:rsidRPr="009B40C9">
              <w:rPr>
                <w:rFonts w:ascii="Arial Narrow" w:hAnsi="Arial Narrow"/>
                <w:color w:val="000000" w:themeColor="text1"/>
                <w:sz w:val="20"/>
              </w:rPr>
              <w:t>$</w:t>
            </w:r>
            <w:r>
              <w:rPr>
                <w:rFonts w:ascii="Arial Narrow" w:hAnsi="Arial Narrow"/>
                <w:color w:val="000000" w:themeColor="text1"/>
                <w:sz w:val="20"/>
              </w:rPr>
              <w:t>85,788</w:t>
            </w:r>
          </w:p>
        </w:tc>
      </w:tr>
      <w:tr w:rsidR="001326EB" w:rsidRPr="0050418C" w14:paraId="6A8FCD6D" w14:textId="77777777" w:rsidTr="00714A8B">
        <w:tc>
          <w:tcPr>
            <w:tcW w:w="1775" w:type="dxa"/>
          </w:tcPr>
          <w:p w14:paraId="1E638EFC"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Leber’s Hereditary Optic Neuropathy (LHON)</w:t>
            </w:r>
          </w:p>
        </w:tc>
        <w:tc>
          <w:tcPr>
            <w:tcW w:w="1009" w:type="dxa"/>
          </w:tcPr>
          <w:p w14:paraId="6C7113EA" w14:textId="77777777" w:rsidR="001326EB" w:rsidRPr="009B40C9" w:rsidRDefault="001326EB" w:rsidP="00714A8B">
            <w:pPr>
              <w:rPr>
                <w:rFonts w:ascii="Arial Narrow" w:hAnsi="Arial Narrow"/>
                <w:i/>
                <w:sz w:val="20"/>
              </w:rPr>
            </w:pPr>
            <w:r w:rsidRPr="009B40C9">
              <w:rPr>
                <w:rFonts w:ascii="Arial Narrow" w:hAnsi="Arial Narrow"/>
                <w:i/>
                <w:sz w:val="20"/>
              </w:rPr>
              <w:t>MT-ND1,</w:t>
            </w:r>
          </w:p>
          <w:p w14:paraId="4915E4F4" w14:textId="77777777" w:rsidR="001326EB" w:rsidRPr="009B40C9" w:rsidRDefault="001326EB" w:rsidP="00714A8B">
            <w:pPr>
              <w:rPr>
                <w:rFonts w:ascii="Arial Narrow" w:hAnsi="Arial Narrow"/>
                <w:i/>
                <w:sz w:val="20"/>
              </w:rPr>
            </w:pPr>
            <w:r w:rsidRPr="009B40C9">
              <w:rPr>
                <w:rFonts w:ascii="Arial Narrow" w:hAnsi="Arial Narrow"/>
                <w:i/>
                <w:sz w:val="20"/>
              </w:rPr>
              <w:t>MT-ND4, MT-ND4L,</w:t>
            </w:r>
          </w:p>
          <w:p w14:paraId="67FD42AC" w14:textId="77777777" w:rsidR="001326EB" w:rsidRPr="009B40C9" w:rsidRDefault="001326EB" w:rsidP="00714A8B">
            <w:pPr>
              <w:rPr>
                <w:rFonts w:ascii="Arial Narrow" w:hAnsi="Arial Narrow"/>
                <w:sz w:val="20"/>
              </w:rPr>
            </w:pPr>
            <w:r w:rsidRPr="009B40C9">
              <w:rPr>
                <w:rFonts w:ascii="Arial Narrow" w:hAnsi="Arial Narrow"/>
                <w:i/>
                <w:sz w:val="20"/>
              </w:rPr>
              <w:t>MT-ND6</w:t>
            </w:r>
          </w:p>
        </w:tc>
        <w:tc>
          <w:tcPr>
            <w:tcW w:w="1192" w:type="dxa"/>
          </w:tcPr>
          <w:p w14:paraId="79F3BF1C" w14:textId="77777777" w:rsidR="001326EB" w:rsidRPr="009B40C9" w:rsidRDefault="001326EB" w:rsidP="00714A8B">
            <w:pPr>
              <w:rPr>
                <w:rFonts w:ascii="Arial Narrow" w:hAnsi="Arial Narrow"/>
                <w:color w:val="000000" w:themeColor="text1"/>
                <w:sz w:val="20"/>
              </w:rPr>
            </w:pPr>
            <w:r w:rsidRPr="009B40C9">
              <w:rPr>
                <w:rFonts w:ascii="Arial Narrow" w:hAnsi="Arial Narrow"/>
                <w:color w:val="000000" w:themeColor="text1"/>
                <w:sz w:val="20"/>
              </w:rPr>
              <w:t>Maternal mito</w:t>
            </w:r>
            <w:r>
              <w:rPr>
                <w:rFonts w:ascii="Arial Narrow" w:hAnsi="Arial Narrow"/>
                <w:color w:val="000000" w:themeColor="text1"/>
                <w:sz w:val="20"/>
              </w:rPr>
              <w:t>chondrial</w:t>
            </w:r>
          </w:p>
        </w:tc>
        <w:tc>
          <w:tcPr>
            <w:tcW w:w="996" w:type="dxa"/>
          </w:tcPr>
          <w:p w14:paraId="16F79454"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$600</w:t>
            </w:r>
          </w:p>
        </w:tc>
        <w:tc>
          <w:tcPr>
            <w:tcW w:w="837" w:type="dxa"/>
          </w:tcPr>
          <w:p w14:paraId="3302176F"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10</w:t>
            </w:r>
          </w:p>
        </w:tc>
        <w:tc>
          <w:tcPr>
            <w:tcW w:w="1102" w:type="dxa"/>
          </w:tcPr>
          <w:p w14:paraId="7249CAA6" w14:textId="77777777" w:rsidR="001326EB" w:rsidRPr="009B40C9" w:rsidRDefault="001326EB" w:rsidP="00714A8B">
            <w:pPr>
              <w:rPr>
                <w:rFonts w:ascii="Arial Narrow" w:hAnsi="Arial Narrow"/>
                <w:sz w:val="20"/>
              </w:rPr>
            </w:pPr>
            <w:r w:rsidRPr="009B40C9">
              <w:rPr>
                <w:rFonts w:ascii="Arial Narrow" w:hAnsi="Arial Narrow" w:cs="Calibri"/>
                <w:color w:val="000000"/>
                <w:sz w:val="20"/>
              </w:rPr>
              <w:t>96</w:t>
            </w:r>
          </w:p>
        </w:tc>
        <w:tc>
          <w:tcPr>
            <w:tcW w:w="1228" w:type="dxa"/>
            <w:vMerge/>
          </w:tcPr>
          <w:p w14:paraId="13F02D88" w14:textId="77777777" w:rsidR="001326EB" w:rsidRPr="009B40C9" w:rsidRDefault="001326EB" w:rsidP="00714A8B">
            <w:pPr>
              <w:rPr>
                <w:rFonts w:ascii="Arial Narrow" w:hAnsi="Arial Narrow"/>
                <w:sz w:val="20"/>
              </w:rPr>
            </w:pPr>
          </w:p>
        </w:tc>
        <w:tc>
          <w:tcPr>
            <w:tcW w:w="1495" w:type="dxa"/>
            <w:vMerge/>
          </w:tcPr>
          <w:p w14:paraId="000F6B30" w14:textId="77777777" w:rsidR="001326EB" w:rsidRPr="009B40C9" w:rsidRDefault="001326EB" w:rsidP="00714A8B">
            <w:pPr>
              <w:jc w:val="center"/>
              <w:rPr>
                <w:rFonts w:ascii="Arial Narrow" w:hAnsi="Arial Narrow"/>
                <w:sz w:val="20"/>
              </w:rPr>
            </w:pPr>
          </w:p>
        </w:tc>
      </w:tr>
      <w:tr w:rsidR="001326EB" w:rsidRPr="0050418C" w14:paraId="27B206BB" w14:textId="77777777" w:rsidTr="00714A8B">
        <w:tc>
          <w:tcPr>
            <w:tcW w:w="1775" w:type="dxa"/>
          </w:tcPr>
          <w:p w14:paraId="29C8C942"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Mitochondrial myopathy encephalopathy, lactic acidosis and stroke (MELAS) or Myoclonic epilepsy associated with ragged red fibres (MERFF)</w:t>
            </w:r>
          </w:p>
        </w:tc>
        <w:tc>
          <w:tcPr>
            <w:tcW w:w="1009" w:type="dxa"/>
          </w:tcPr>
          <w:p w14:paraId="16DDB75B" w14:textId="77777777" w:rsidR="001326EB" w:rsidRPr="009B40C9" w:rsidRDefault="001326EB" w:rsidP="00714A8B">
            <w:pPr>
              <w:rPr>
                <w:rFonts w:ascii="Arial Narrow" w:hAnsi="Arial Narrow"/>
                <w:i/>
                <w:sz w:val="20"/>
              </w:rPr>
            </w:pPr>
            <w:r w:rsidRPr="009B40C9">
              <w:rPr>
                <w:rFonts w:ascii="Arial Narrow" w:hAnsi="Arial Narrow"/>
                <w:i/>
                <w:sz w:val="20"/>
              </w:rPr>
              <w:t>MT-TK,</w:t>
            </w:r>
          </w:p>
          <w:p w14:paraId="52CFD162" w14:textId="77777777" w:rsidR="001326EB" w:rsidRPr="009B40C9" w:rsidRDefault="001326EB" w:rsidP="00714A8B">
            <w:pPr>
              <w:rPr>
                <w:rFonts w:ascii="Arial Narrow" w:hAnsi="Arial Narrow"/>
                <w:sz w:val="20"/>
              </w:rPr>
            </w:pPr>
            <w:r w:rsidRPr="009B40C9">
              <w:rPr>
                <w:rFonts w:ascii="Arial Narrow" w:hAnsi="Arial Narrow"/>
                <w:i/>
                <w:sz w:val="20"/>
              </w:rPr>
              <w:t>MT-TL1</w:t>
            </w:r>
          </w:p>
        </w:tc>
        <w:tc>
          <w:tcPr>
            <w:tcW w:w="1192" w:type="dxa"/>
          </w:tcPr>
          <w:p w14:paraId="09A086B4" w14:textId="77777777" w:rsidR="001326EB" w:rsidRPr="009B40C9" w:rsidRDefault="001326EB" w:rsidP="00714A8B">
            <w:pPr>
              <w:rPr>
                <w:rFonts w:ascii="Arial Narrow" w:hAnsi="Arial Narrow"/>
                <w:color w:val="000000" w:themeColor="text1"/>
                <w:sz w:val="20"/>
              </w:rPr>
            </w:pPr>
            <w:r w:rsidRPr="009B40C9">
              <w:rPr>
                <w:rFonts w:ascii="Arial Narrow" w:hAnsi="Arial Narrow"/>
                <w:color w:val="000000" w:themeColor="text1"/>
                <w:sz w:val="20"/>
              </w:rPr>
              <w:t>Maternal mito</w:t>
            </w:r>
            <w:r>
              <w:rPr>
                <w:rFonts w:ascii="Arial Narrow" w:hAnsi="Arial Narrow"/>
                <w:color w:val="000000" w:themeColor="text1"/>
                <w:sz w:val="20"/>
              </w:rPr>
              <w:t>chondrial</w:t>
            </w:r>
          </w:p>
        </w:tc>
        <w:tc>
          <w:tcPr>
            <w:tcW w:w="996" w:type="dxa"/>
          </w:tcPr>
          <w:p w14:paraId="6E5C62A8"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$300</w:t>
            </w:r>
          </w:p>
        </w:tc>
        <w:tc>
          <w:tcPr>
            <w:tcW w:w="837" w:type="dxa"/>
          </w:tcPr>
          <w:p w14:paraId="6941BADE"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20</w:t>
            </w:r>
          </w:p>
        </w:tc>
        <w:tc>
          <w:tcPr>
            <w:tcW w:w="1102" w:type="dxa"/>
          </w:tcPr>
          <w:p w14:paraId="19AACFF6" w14:textId="77777777" w:rsidR="001326EB" w:rsidRPr="009B40C9" w:rsidRDefault="001326EB" w:rsidP="00714A8B">
            <w:pPr>
              <w:rPr>
                <w:rFonts w:ascii="Arial Narrow" w:hAnsi="Arial Narrow"/>
                <w:sz w:val="20"/>
              </w:rPr>
            </w:pPr>
            <w:r w:rsidRPr="009B40C9">
              <w:rPr>
                <w:rFonts w:ascii="Arial Narrow" w:hAnsi="Arial Narrow" w:cs="Calibri"/>
                <w:color w:val="000000"/>
                <w:sz w:val="20"/>
              </w:rPr>
              <w:t>192</w:t>
            </w:r>
          </w:p>
        </w:tc>
        <w:tc>
          <w:tcPr>
            <w:tcW w:w="1228" w:type="dxa"/>
            <w:vMerge w:val="restart"/>
          </w:tcPr>
          <w:p w14:paraId="48F8C6C4" w14:textId="77777777" w:rsidR="001326EB" w:rsidRPr="009B40C9" w:rsidRDefault="001326EB" w:rsidP="00714A8B">
            <w:pPr>
              <w:rPr>
                <w:rFonts w:ascii="Arial Narrow" w:hAnsi="Arial Narrow"/>
                <w:color w:val="000000" w:themeColor="text1"/>
                <w:sz w:val="20"/>
              </w:rPr>
            </w:pPr>
            <w:r w:rsidRPr="009B40C9">
              <w:rPr>
                <w:rFonts w:ascii="Arial Narrow" w:hAnsi="Arial Narrow"/>
                <w:color w:val="000000" w:themeColor="text1"/>
                <w:sz w:val="20"/>
              </w:rPr>
              <w:t>Fluorescent PCR/RE digest</w:t>
            </w:r>
          </w:p>
          <w:p w14:paraId="0AEE221A" w14:textId="77777777" w:rsidR="001326EB" w:rsidRPr="009B40C9" w:rsidRDefault="001326EB" w:rsidP="00714A8B">
            <w:pPr>
              <w:rPr>
                <w:rFonts w:ascii="Arial Narrow" w:hAnsi="Arial Narrow"/>
                <w:sz w:val="20"/>
              </w:rPr>
            </w:pPr>
          </w:p>
        </w:tc>
        <w:tc>
          <w:tcPr>
            <w:tcW w:w="1495" w:type="dxa"/>
            <w:vMerge w:val="restart"/>
          </w:tcPr>
          <w:p w14:paraId="6C9EEB33" w14:textId="77777777" w:rsidR="001326EB" w:rsidRPr="009B40C9" w:rsidRDefault="001326EB" w:rsidP="00714A8B">
            <w:pPr>
              <w:jc w:val="center"/>
              <w:rPr>
                <w:rFonts w:ascii="Arial Narrow" w:hAnsi="Arial Narrow"/>
                <w:sz w:val="20"/>
              </w:rPr>
            </w:pPr>
            <w:r w:rsidRPr="009B40C9">
              <w:rPr>
                <w:rFonts w:ascii="Arial Narrow" w:hAnsi="Arial Narrow"/>
                <w:color w:val="000000" w:themeColor="text1"/>
                <w:sz w:val="20"/>
              </w:rPr>
              <w:t>$</w:t>
            </w:r>
            <w:r>
              <w:rPr>
                <w:rFonts w:ascii="Arial Narrow" w:hAnsi="Arial Narrow"/>
                <w:color w:val="000000" w:themeColor="text1"/>
                <w:sz w:val="20"/>
              </w:rPr>
              <w:t>71,989</w:t>
            </w:r>
          </w:p>
        </w:tc>
      </w:tr>
      <w:tr w:rsidR="001326EB" w:rsidRPr="0050418C" w14:paraId="10AA36D9" w14:textId="77777777" w:rsidTr="00714A8B">
        <w:tc>
          <w:tcPr>
            <w:tcW w:w="1775" w:type="dxa"/>
          </w:tcPr>
          <w:p w14:paraId="73B8E981"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Neuropathy, ataxia and retinitis pigmentosa</w:t>
            </w:r>
          </w:p>
        </w:tc>
        <w:tc>
          <w:tcPr>
            <w:tcW w:w="1009" w:type="dxa"/>
          </w:tcPr>
          <w:p w14:paraId="17E2F533" w14:textId="77777777" w:rsidR="001326EB" w:rsidRPr="00ED7A22" w:rsidRDefault="001326EB" w:rsidP="00714A8B">
            <w:pPr>
              <w:rPr>
                <w:rFonts w:ascii="Arial Narrow" w:hAnsi="Arial Narrow"/>
                <w:i/>
                <w:iCs/>
                <w:sz w:val="20"/>
              </w:rPr>
            </w:pPr>
            <w:r w:rsidRPr="00ED7A22">
              <w:rPr>
                <w:rFonts w:ascii="Arial Narrow" w:hAnsi="Arial Narrow"/>
                <w:i/>
                <w:iCs/>
                <w:sz w:val="20"/>
              </w:rPr>
              <w:t>MT-ATP6</w:t>
            </w:r>
          </w:p>
        </w:tc>
        <w:tc>
          <w:tcPr>
            <w:tcW w:w="1192" w:type="dxa"/>
          </w:tcPr>
          <w:p w14:paraId="78E55867" w14:textId="77777777" w:rsidR="001326EB" w:rsidRPr="009B40C9" w:rsidRDefault="001326EB" w:rsidP="00714A8B">
            <w:pPr>
              <w:rPr>
                <w:rFonts w:ascii="Arial Narrow" w:hAnsi="Arial Narrow"/>
                <w:color w:val="000000" w:themeColor="text1"/>
                <w:sz w:val="20"/>
              </w:rPr>
            </w:pPr>
            <w:r w:rsidRPr="009B40C9">
              <w:rPr>
                <w:rFonts w:ascii="Arial Narrow" w:hAnsi="Arial Narrow"/>
                <w:color w:val="000000" w:themeColor="text1"/>
                <w:sz w:val="20"/>
              </w:rPr>
              <w:t>Maternal mito</w:t>
            </w:r>
            <w:r>
              <w:rPr>
                <w:rFonts w:ascii="Arial Narrow" w:hAnsi="Arial Narrow"/>
                <w:color w:val="000000" w:themeColor="text1"/>
                <w:sz w:val="20"/>
              </w:rPr>
              <w:t>chondrial</w:t>
            </w:r>
          </w:p>
        </w:tc>
        <w:tc>
          <w:tcPr>
            <w:tcW w:w="996" w:type="dxa"/>
          </w:tcPr>
          <w:p w14:paraId="117D4E13"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$300</w:t>
            </w:r>
          </w:p>
        </w:tc>
        <w:tc>
          <w:tcPr>
            <w:tcW w:w="837" w:type="dxa"/>
          </w:tcPr>
          <w:p w14:paraId="0F28DCB0"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5</w:t>
            </w:r>
          </w:p>
        </w:tc>
        <w:tc>
          <w:tcPr>
            <w:tcW w:w="1102" w:type="dxa"/>
          </w:tcPr>
          <w:p w14:paraId="2DA6FEBE" w14:textId="77777777" w:rsidR="001326EB" w:rsidRPr="009B40C9" w:rsidRDefault="001326EB" w:rsidP="00714A8B">
            <w:pPr>
              <w:rPr>
                <w:rFonts w:ascii="Arial Narrow" w:hAnsi="Arial Narrow"/>
                <w:sz w:val="20"/>
              </w:rPr>
            </w:pPr>
            <w:r w:rsidRPr="009B40C9">
              <w:rPr>
                <w:rFonts w:ascii="Arial Narrow" w:hAnsi="Arial Narrow" w:cs="Calibri"/>
                <w:color w:val="000000"/>
                <w:sz w:val="20"/>
              </w:rPr>
              <w:t>48</w:t>
            </w:r>
          </w:p>
        </w:tc>
        <w:tc>
          <w:tcPr>
            <w:tcW w:w="1228" w:type="dxa"/>
            <w:vMerge/>
          </w:tcPr>
          <w:p w14:paraId="7A877857" w14:textId="77777777" w:rsidR="001326EB" w:rsidRPr="009B40C9" w:rsidRDefault="001326EB" w:rsidP="00714A8B">
            <w:pPr>
              <w:rPr>
                <w:rFonts w:ascii="Arial Narrow" w:hAnsi="Arial Narrow"/>
                <w:sz w:val="20"/>
              </w:rPr>
            </w:pPr>
          </w:p>
        </w:tc>
        <w:tc>
          <w:tcPr>
            <w:tcW w:w="1495" w:type="dxa"/>
            <w:vMerge/>
          </w:tcPr>
          <w:p w14:paraId="3A20A016" w14:textId="77777777" w:rsidR="001326EB" w:rsidRPr="009B40C9" w:rsidRDefault="001326EB" w:rsidP="00714A8B">
            <w:pPr>
              <w:jc w:val="center"/>
              <w:rPr>
                <w:rFonts w:ascii="Arial Narrow" w:hAnsi="Arial Narrow"/>
                <w:sz w:val="20"/>
              </w:rPr>
            </w:pPr>
          </w:p>
        </w:tc>
      </w:tr>
      <w:tr w:rsidR="001326EB" w:rsidRPr="0050418C" w14:paraId="372D41E5" w14:textId="77777777" w:rsidTr="00714A8B">
        <w:tc>
          <w:tcPr>
            <w:tcW w:w="1775" w:type="dxa"/>
          </w:tcPr>
          <w:p w14:paraId="6D06E7EA" w14:textId="77777777" w:rsidR="001326EB" w:rsidRPr="009B40C9" w:rsidRDefault="001326EB" w:rsidP="00714A8B">
            <w:pPr>
              <w:rPr>
                <w:rFonts w:ascii="Arial Narrow" w:hAnsi="Arial Narrow"/>
                <w:color w:val="000000" w:themeColor="text1"/>
                <w:sz w:val="20"/>
              </w:rPr>
            </w:pPr>
            <w:r w:rsidRPr="009B40C9">
              <w:rPr>
                <w:rFonts w:ascii="Arial Narrow" w:hAnsi="Arial Narrow"/>
                <w:color w:val="000000" w:themeColor="text1"/>
                <w:sz w:val="20"/>
              </w:rPr>
              <w:t>Friedreich’s ataxia</w:t>
            </w:r>
          </w:p>
          <w:p w14:paraId="3CFBE7FB" w14:textId="77777777" w:rsidR="001326EB" w:rsidRPr="009B40C9" w:rsidRDefault="001326EB" w:rsidP="00714A8B">
            <w:pPr>
              <w:rPr>
                <w:rFonts w:ascii="Arial Narrow" w:hAnsi="Arial Narrow"/>
                <w:sz w:val="20"/>
              </w:rPr>
            </w:pPr>
          </w:p>
        </w:tc>
        <w:tc>
          <w:tcPr>
            <w:tcW w:w="1009" w:type="dxa"/>
          </w:tcPr>
          <w:p w14:paraId="26FF5849" w14:textId="2D0EA19C" w:rsidR="001326EB" w:rsidRPr="009B40C9" w:rsidRDefault="00CA6B6E" w:rsidP="00714A8B">
            <w:pPr>
              <w:rPr>
                <w:rFonts w:ascii="Arial Narrow" w:hAnsi="Arial Narrow"/>
                <w:sz w:val="20"/>
              </w:rPr>
            </w:pPr>
            <w:r>
              <w:rPr>
                <w:rFonts w:ascii="Arial Narrow" w:hAnsi="Arial Narrow"/>
                <w:i/>
                <w:sz w:val="20"/>
              </w:rPr>
              <w:t>FXN</w:t>
            </w:r>
          </w:p>
        </w:tc>
        <w:tc>
          <w:tcPr>
            <w:tcW w:w="1192" w:type="dxa"/>
          </w:tcPr>
          <w:p w14:paraId="2CEAA2AA" w14:textId="77777777" w:rsidR="001326EB" w:rsidRPr="009B40C9" w:rsidRDefault="001326EB" w:rsidP="00714A8B">
            <w:pPr>
              <w:rPr>
                <w:rFonts w:ascii="Arial Narrow" w:hAnsi="Arial Narrow"/>
                <w:color w:val="000000" w:themeColor="text1"/>
                <w:sz w:val="20"/>
              </w:rPr>
            </w:pPr>
            <w:r w:rsidRPr="009B40C9">
              <w:rPr>
                <w:rFonts w:ascii="Arial Narrow" w:hAnsi="Arial Narrow"/>
                <w:color w:val="000000" w:themeColor="text1"/>
                <w:sz w:val="20"/>
              </w:rPr>
              <w:t>AR</w:t>
            </w:r>
          </w:p>
        </w:tc>
        <w:tc>
          <w:tcPr>
            <w:tcW w:w="996" w:type="dxa"/>
          </w:tcPr>
          <w:p w14:paraId="406F2BCD"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$300</w:t>
            </w:r>
          </w:p>
        </w:tc>
        <w:tc>
          <w:tcPr>
            <w:tcW w:w="837" w:type="dxa"/>
          </w:tcPr>
          <w:p w14:paraId="03F01B5D"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10</w:t>
            </w:r>
          </w:p>
        </w:tc>
        <w:tc>
          <w:tcPr>
            <w:tcW w:w="1102" w:type="dxa"/>
          </w:tcPr>
          <w:p w14:paraId="2D5661A1" w14:textId="77777777" w:rsidR="001326EB" w:rsidRPr="009B40C9" w:rsidRDefault="001326EB" w:rsidP="00714A8B">
            <w:pPr>
              <w:rPr>
                <w:rFonts w:ascii="Arial Narrow" w:hAnsi="Arial Narrow"/>
                <w:sz w:val="20"/>
              </w:rPr>
            </w:pPr>
            <w:r w:rsidRPr="009B40C9">
              <w:rPr>
                <w:rFonts w:ascii="Arial Narrow" w:hAnsi="Arial Narrow" w:cs="Calibri"/>
                <w:color w:val="000000"/>
                <w:sz w:val="20"/>
              </w:rPr>
              <w:t>96</w:t>
            </w:r>
          </w:p>
        </w:tc>
        <w:tc>
          <w:tcPr>
            <w:tcW w:w="1228" w:type="dxa"/>
          </w:tcPr>
          <w:p w14:paraId="65EC22B8"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 xml:space="preserve">Fluorescent + long-range PCR </w:t>
            </w:r>
          </w:p>
        </w:tc>
        <w:tc>
          <w:tcPr>
            <w:tcW w:w="1495" w:type="dxa"/>
          </w:tcPr>
          <w:p w14:paraId="2EFCE6C1" w14:textId="77777777" w:rsidR="001326EB" w:rsidRPr="009B40C9" w:rsidRDefault="001326EB" w:rsidP="00714A8B">
            <w:pPr>
              <w:jc w:val="center"/>
              <w:rPr>
                <w:rFonts w:ascii="Arial Narrow" w:hAnsi="Arial Narrow"/>
                <w:sz w:val="20"/>
              </w:rPr>
            </w:pPr>
            <w:r w:rsidRPr="009B40C9">
              <w:rPr>
                <w:rFonts w:ascii="Arial Narrow" w:hAnsi="Arial Narrow"/>
                <w:color w:val="000000" w:themeColor="text1"/>
                <w:sz w:val="20"/>
              </w:rPr>
              <w:t>$28,</w:t>
            </w:r>
            <w:r>
              <w:rPr>
                <w:rFonts w:ascii="Arial Narrow" w:hAnsi="Arial Narrow"/>
                <w:color w:val="000000" w:themeColor="text1"/>
                <w:sz w:val="20"/>
              </w:rPr>
              <w:t>795</w:t>
            </w:r>
          </w:p>
        </w:tc>
      </w:tr>
      <w:tr w:rsidR="001326EB" w:rsidRPr="0050418C" w14:paraId="62748B6F" w14:textId="77777777" w:rsidTr="00714A8B">
        <w:trPr>
          <w:trHeight w:val="688"/>
        </w:trPr>
        <w:tc>
          <w:tcPr>
            <w:tcW w:w="1775" w:type="dxa"/>
          </w:tcPr>
          <w:p w14:paraId="5E45C87A"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Spinocerebellar ataxia SCA1, 2, 3, 6, 7 (</w:t>
            </w:r>
            <w:r>
              <w:rPr>
                <w:rFonts w:ascii="Arial Narrow" w:hAnsi="Arial Narrow"/>
                <w:color w:val="000000" w:themeColor="text1"/>
                <w:sz w:val="20"/>
              </w:rPr>
              <w:t xml:space="preserve">all five </w:t>
            </w:r>
            <w:r w:rsidRPr="009B40C9">
              <w:rPr>
                <w:rFonts w:ascii="Arial Narrow" w:hAnsi="Arial Narrow"/>
                <w:color w:val="000000" w:themeColor="text1"/>
                <w:sz w:val="20"/>
              </w:rPr>
              <w:t>together)</w:t>
            </w:r>
          </w:p>
        </w:tc>
        <w:tc>
          <w:tcPr>
            <w:tcW w:w="1009" w:type="dxa"/>
          </w:tcPr>
          <w:p w14:paraId="3628EBCE" w14:textId="0FF82EE4" w:rsidR="001326EB" w:rsidRPr="009B40C9" w:rsidRDefault="001326EB" w:rsidP="00714A8B">
            <w:pPr>
              <w:rPr>
                <w:rFonts w:ascii="Arial Narrow" w:hAnsi="Arial Narrow"/>
                <w:sz w:val="20"/>
              </w:rPr>
            </w:pPr>
            <w:r w:rsidRPr="009B40C9">
              <w:rPr>
                <w:rFonts w:ascii="Arial Narrow" w:hAnsi="Arial Narrow"/>
                <w:i/>
                <w:sz w:val="20"/>
              </w:rPr>
              <w:t>A</w:t>
            </w:r>
            <w:r w:rsidR="00BF49D4">
              <w:rPr>
                <w:rFonts w:ascii="Arial Narrow" w:hAnsi="Arial Narrow"/>
                <w:i/>
                <w:sz w:val="20"/>
              </w:rPr>
              <w:t>TXN</w:t>
            </w:r>
            <w:r w:rsidRPr="009B40C9">
              <w:rPr>
                <w:rFonts w:ascii="Arial Narrow" w:hAnsi="Arial Narrow"/>
                <w:i/>
                <w:sz w:val="20"/>
              </w:rPr>
              <w:t>1</w:t>
            </w:r>
            <w:r>
              <w:rPr>
                <w:rFonts w:ascii="Arial Narrow" w:hAnsi="Arial Narrow"/>
                <w:i/>
                <w:sz w:val="20"/>
              </w:rPr>
              <w:t>, A</w:t>
            </w:r>
            <w:r w:rsidR="00BF49D4">
              <w:rPr>
                <w:rFonts w:ascii="Arial Narrow" w:hAnsi="Arial Narrow"/>
                <w:i/>
                <w:sz w:val="20"/>
              </w:rPr>
              <w:t>TXN</w:t>
            </w:r>
            <w:r>
              <w:rPr>
                <w:rFonts w:ascii="Arial Narrow" w:hAnsi="Arial Narrow"/>
                <w:i/>
                <w:sz w:val="20"/>
              </w:rPr>
              <w:t>2, A</w:t>
            </w:r>
            <w:r w:rsidR="00BF49D4">
              <w:rPr>
                <w:rFonts w:ascii="Arial Narrow" w:hAnsi="Arial Narrow"/>
                <w:i/>
                <w:sz w:val="20"/>
              </w:rPr>
              <w:t>TXN</w:t>
            </w:r>
            <w:r>
              <w:rPr>
                <w:rFonts w:ascii="Arial Narrow" w:hAnsi="Arial Narrow"/>
                <w:i/>
                <w:sz w:val="20"/>
              </w:rPr>
              <w:t xml:space="preserve">3, </w:t>
            </w:r>
            <w:r w:rsidR="00BF49D4">
              <w:t xml:space="preserve"> </w:t>
            </w:r>
            <w:r w:rsidR="00BF49D4" w:rsidRPr="00BF49D4">
              <w:rPr>
                <w:rFonts w:ascii="Arial Narrow" w:hAnsi="Arial Narrow"/>
                <w:i/>
                <w:sz w:val="20"/>
              </w:rPr>
              <w:t>CACNA1A</w:t>
            </w:r>
            <w:r>
              <w:rPr>
                <w:rFonts w:ascii="Arial Narrow" w:hAnsi="Arial Narrow"/>
                <w:i/>
                <w:sz w:val="20"/>
              </w:rPr>
              <w:t>, A</w:t>
            </w:r>
            <w:r w:rsidR="00BF49D4">
              <w:rPr>
                <w:rFonts w:ascii="Arial Narrow" w:hAnsi="Arial Narrow"/>
                <w:i/>
                <w:sz w:val="20"/>
              </w:rPr>
              <w:t>TXN</w:t>
            </w:r>
            <w:r>
              <w:rPr>
                <w:rFonts w:ascii="Arial Narrow" w:hAnsi="Arial Narrow"/>
                <w:i/>
                <w:sz w:val="20"/>
              </w:rPr>
              <w:t>7</w:t>
            </w:r>
            <w:r w:rsidRPr="009B40C9">
              <w:rPr>
                <w:rFonts w:ascii="Arial Narrow" w:hAnsi="Arial Narrow"/>
                <w:i/>
                <w:sz w:val="20"/>
              </w:rPr>
              <w:t xml:space="preserve"> </w:t>
            </w:r>
          </w:p>
        </w:tc>
        <w:tc>
          <w:tcPr>
            <w:tcW w:w="1192" w:type="dxa"/>
          </w:tcPr>
          <w:p w14:paraId="5AEAFE7F" w14:textId="77777777" w:rsidR="001326EB" w:rsidRPr="009B40C9" w:rsidRDefault="001326EB" w:rsidP="00714A8B">
            <w:pPr>
              <w:rPr>
                <w:rFonts w:ascii="Arial Narrow" w:hAnsi="Arial Narrow"/>
                <w:color w:val="000000" w:themeColor="text1"/>
                <w:sz w:val="20"/>
              </w:rPr>
            </w:pPr>
            <w:r w:rsidRPr="009B40C9">
              <w:rPr>
                <w:rFonts w:ascii="Arial Narrow" w:hAnsi="Arial Narrow"/>
                <w:color w:val="000000" w:themeColor="text1"/>
                <w:sz w:val="20"/>
              </w:rPr>
              <w:t>AD</w:t>
            </w:r>
          </w:p>
        </w:tc>
        <w:tc>
          <w:tcPr>
            <w:tcW w:w="996" w:type="dxa"/>
          </w:tcPr>
          <w:p w14:paraId="043244FA"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$500</w:t>
            </w:r>
          </w:p>
        </w:tc>
        <w:tc>
          <w:tcPr>
            <w:tcW w:w="837" w:type="dxa"/>
          </w:tcPr>
          <w:p w14:paraId="178CE172" w14:textId="77777777" w:rsidR="001326EB" w:rsidRPr="009B40C9" w:rsidRDefault="001326EB" w:rsidP="00714A8B">
            <w:pPr>
              <w:rPr>
                <w:rFonts w:ascii="Arial Narrow" w:hAnsi="Arial Narrow"/>
                <w:sz w:val="20"/>
              </w:rPr>
            </w:pPr>
            <w:r>
              <w:rPr>
                <w:rFonts w:ascii="Arial Narrow" w:hAnsi="Arial Narrow"/>
                <w:color w:val="000000" w:themeColor="text1"/>
                <w:sz w:val="20"/>
              </w:rPr>
              <w:t>40</w:t>
            </w:r>
          </w:p>
        </w:tc>
        <w:tc>
          <w:tcPr>
            <w:tcW w:w="1102" w:type="dxa"/>
          </w:tcPr>
          <w:p w14:paraId="12B195DA" w14:textId="77777777" w:rsidR="001326EB" w:rsidRPr="009B40C9" w:rsidRDefault="001326EB" w:rsidP="00714A8B">
            <w:pPr>
              <w:rPr>
                <w:rFonts w:ascii="Arial Narrow" w:hAnsi="Arial Narrow"/>
                <w:sz w:val="20"/>
              </w:rPr>
            </w:pPr>
            <w:r>
              <w:rPr>
                <w:rFonts w:ascii="Arial Narrow" w:hAnsi="Arial Narrow" w:cs="Calibri"/>
                <w:color w:val="000000"/>
                <w:sz w:val="20"/>
              </w:rPr>
              <w:t>400</w:t>
            </w:r>
          </w:p>
        </w:tc>
        <w:tc>
          <w:tcPr>
            <w:tcW w:w="1228" w:type="dxa"/>
            <w:vMerge w:val="restart"/>
          </w:tcPr>
          <w:p w14:paraId="41CE91F4" w14:textId="77777777" w:rsidR="001326EB" w:rsidRPr="009B40C9" w:rsidRDefault="001326EB" w:rsidP="00714A8B">
            <w:pPr>
              <w:rPr>
                <w:rFonts w:ascii="Arial Narrow" w:hAnsi="Arial Narrow"/>
                <w:color w:val="000000" w:themeColor="text1"/>
                <w:sz w:val="20"/>
              </w:rPr>
            </w:pPr>
            <w:r w:rsidRPr="009B40C9">
              <w:rPr>
                <w:rFonts w:ascii="Arial Narrow" w:hAnsi="Arial Narrow"/>
                <w:color w:val="000000" w:themeColor="text1"/>
                <w:sz w:val="20"/>
              </w:rPr>
              <w:t>STR PCR</w:t>
            </w:r>
          </w:p>
          <w:p w14:paraId="2CC21B9A" w14:textId="77777777" w:rsidR="001326EB" w:rsidRPr="009B40C9" w:rsidRDefault="001326EB" w:rsidP="00714A8B">
            <w:pPr>
              <w:rPr>
                <w:rFonts w:ascii="Arial Narrow" w:hAnsi="Arial Narrow"/>
                <w:sz w:val="20"/>
              </w:rPr>
            </w:pPr>
          </w:p>
        </w:tc>
        <w:tc>
          <w:tcPr>
            <w:tcW w:w="1495" w:type="dxa"/>
            <w:vMerge w:val="restart"/>
          </w:tcPr>
          <w:p w14:paraId="2DA9B43E" w14:textId="77777777" w:rsidR="001326EB" w:rsidRPr="009B40C9" w:rsidRDefault="001326EB" w:rsidP="00714A8B">
            <w:pPr>
              <w:jc w:val="center"/>
              <w:rPr>
                <w:rFonts w:ascii="Arial Narrow" w:hAnsi="Arial Narrow"/>
                <w:sz w:val="20"/>
              </w:rPr>
            </w:pPr>
            <w:r w:rsidRPr="009B40C9">
              <w:rPr>
                <w:rFonts w:ascii="Arial Narrow" w:hAnsi="Arial Narrow"/>
                <w:color w:val="000000" w:themeColor="text1"/>
                <w:sz w:val="20"/>
              </w:rPr>
              <w:t>$</w:t>
            </w:r>
            <w:r>
              <w:rPr>
                <w:rFonts w:ascii="Arial Narrow" w:hAnsi="Arial Narrow"/>
                <w:color w:val="000000" w:themeColor="text1"/>
                <w:sz w:val="20"/>
              </w:rPr>
              <w:t>205,759</w:t>
            </w:r>
          </w:p>
        </w:tc>
      </w:tr>
      <w:tr w:rsidR="001326EB" w:rsidRPr="0050418C" w14:paraId="637BB582" w14:textId="77777777" w:rsidTr="00714A8B">
        <w:tc>
          <w:tcPr>
            <w:tcW w:w="1775" w:type="dxa"/>
            <w:tcBorders>
              <w:bottom w:val="double" w:sz="4" w:space="0" w:color="auto"/>
            </w:tcBorders>
          </w:tcPr>
          <w:p w14:paraId="2C160428"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Dentatorubral-pallidoluysian atrophy</w:t>
            </w:r>
          </w:p>
        </w:tc>
        <w:tc>
          <w:tcPr>
            <w:tcW w:w="1009" w:type="dxa"/>
            <w:tcBorders>
              <w:bottom w:val="double" w:sz="4" w:space="0" w:color="auto"/>
            </w:tcBorders>
          </w:tcPr>
          <w:p w14:paraId="63AA3C69" w14:textId="77777777" w:rsidR="001326EB" w:rsidRPr="009B40C9" w:rsidRDefault="001326EB" w:rsidP="00714A8B">
            <w:pPr>
              <w:rPr>
                <w:rFonts w:ascii="Arial Narrow" w:hAnsi="Arial Narrow"/>
                <w:sz w:val="20"/>
              </w:rPr>
            </w:pPr>
            <w:r w:rsidRPr="009B40C9">
              <w:rPr>
                <w:rFonts w:ascii="Arial Narrow" w:hAnsi="Arial Narrow"/>
                <w:i/>
                <w:sz w:val="20"/>
              </w:rPr>
              <w:t>ATN1</w:t>
            </w:r>
          </w:p>
        </w:tc>
        <w:tc>
          <w:tcPr>
            <w:tcW w:w="1192" w:type="dxa"/>
            <w:tcBorders>
              <w:bottom w:val="double" w:sz="4" w:space="0" w:color="auto"/>
            </w:tcBorders>
          </w:tcPr>
          <w:p w14:paraId="14DC65BC" w14:textId="77777777" w:rsidR="001326EB" w:rsidRPr="009B40C9" w:rsidRDefault="001326EB" w:rsidP="00714A8B">
            <w:pPr>
              <w:rPr>
                <w:rFonts w:ascii="Arial Narrow" w:hAnsi="Arial Narrow"/>
                <w:color w:val="000000" w:themeColor="text1"/>
                <w:sz w:val="20"/>
              </w:rPr>
            </w:pPr>
            <w:r w:rsidRPr="009B40C9">
              <w:rPr>
                <w:rFonts w:ascii="Arial Narrow" w:hAnsi="Arial Narrow"/>
                <w:color w:val="000000" w:themeColor="text1"/>
                <w:sz w:val="20"/>
              </w:rPr>
              <w:t>AD</w:t>
            </w:r>
          </w:p>
        </w:tc>
        <w:tc>
          <w:tcPr>
            <w:tcW w:w="996" w:type="dxa"/>
            <w:tcBorders>
              <w:bottom w:val="double" w:sz="4" w:space="0" w:color="auto"/>
            </w:tcBorders>
          </w:tcPr>
          <w:p w14:paraId="66378BC0"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$200</w:t>
            </w:r>
          </w:p>
        </w:tc>
        <w:tc>
          <w:tcPr>
            <w:tcW w:w="837" w:type="dxa"/>
            <w:tcBorders>
              <w:bottom w:val="double" w:sz="4" w:space="0" w:color="auto"/>
            </w:tcBorders>
          </w:tcPr>
          <w:p w14:paraId="7BF93643" w14:textId="77777777" w:rsidR="001326EB" w:rsidRPr="009B40C9" w:rsidRDefault="001326EB" w:rsidP="00714A8B">
            <w:pPr>
              <w:rPr>
                <w:rFonts w:ascii="Arial Narrow" w:hAnsi="Arial Narrow"/>
                <w:sz w:val="20"/>
              </w:rPr>
            </w:pPr>
            <w:r w:rsidRPr="009B40C9">
              <w:rPr>
                <w:rFonts w:ascii="Arial Narrow" w:hAnsi="Arial Narrow"/>
                <w:color w:val="000000" w:themeColor="text1"/>
                <w:sz w:val="20"/>
              </w:rPr>
              <w:t>3</w:t>
            </w:r>
          </w:p>
        </w:tc>
        <w:tc>
          <w:tcPr>
            <w:tcW w:w="1102" w:type="dxa"/>
            <w:tcBorders>
              <w:bottom w:val="double" w:sz="4" w:space="0" w:color="auto"/>
            </w:tcBorders>
          </w:tcPr>
          <w:p w14:paraId="22A3AFAA" w14:textId="77777777" w:rsidR="001326EB" w:rsidRPr="009B40C9" w:rsidRDefault="001326EB" w:rsidP="00714A8B">
            <w:pPr>
              <w:rPr>
                <w:rFonts w:ascii="Arial Narrow" w:hAnsi="Arial Narrow"/>
                <w:sz w:val="20"/>
              </w:rPr>
            </w:pPr>
            <w:r w:rsidRPr="009B40C9">
              <w:rPr>
                <w:rFonts w:ascii="Arial Narrow" w:hAnsi="Arial Narrow" w:cs="Calibri"/>
                <w:color w:val="000000"/>
                <w:sz w:val="20"/>
              </w:rPr>
              <w:t>29</w:t>
            </w:r>
          </w:p>
        </w:tc>
        <w:tc>
          <w:tcPr>
            <w:tcW w:w="1228" w:type="dxa"/>
            <w:vMerge/>
            <w:tcBorders>
              <w:bottom w:val="double" w:sz="4" w:space="0" w:color="auto"/>
            </w:tcBorders>
          </w:tcPr>
          <w:p w14:paraId="7C96C207" w14:textId="77777777" w:rsidR="001326EB" w:rsidRPr="009B40C9" w:rsidRDefault="001326EB" w:rsidP="00714A8B">
            <w:pPr>
              <w:rPr>
                <w:rFonts w:ascii="Arial Narrow" w:hAnsi="Arial Narrow"/>
                <w:sz w:val="20"/>
              </w:rPr>
            </w:pPr>
          </w:p>
        </w:tc>
        <w:tc>
          <w:tcPr>
            <w:tcW w:w="1495" w:type="dxa"/>
            <w:vMerge/>
            <w:tcBorders>
              <w:bottom w:val="double" w:sz="4" w:space="0" w:color="auto"/>
            </w:tcBorders>
          </w:tcPr>
          <w:p w14:paraId="3E9E8C5E" w14:textId="77777777" w:rsidR="001326EB" w:rsidRPr="009B40C9" w:rsidRDefault="001326EB" w:rsidP="00714A8B">
            <w:pPr>
              <w:jc w:val="center"/>
              <w:rPr>
                <w:rFonts w:ascii="Arial Narrow" w:hAnsi="Arial Narrow"/>
                <w:sz w:val="20"/>
              </w:rPr>
            </w:pPr>
          </w:p>
        </w:tc>
      </w:tr>
      <w:tr w:rsidR="001326EB" w:rsidRPr="0050418C" w14:paraId="2AAAB1FA" w14:textId="77777777" w:rsidTr="00714A8B">
        <w:tc>
          <w:tcPr>
            <w:tcW w:w="1775" w:type="dxa"/>
            <w:tcBorders>
              <w:top w:val="double" w:sz="4" w:space="0" w:color="auto"/>
            </w:tcBorders>
          </w:tcPr>
          <w:p w14:paraId="1BEF2162" w14:textId="77777777" w:rsidR="001326EB" w:rsidRPr="009B40C9" w:rsidRDefault="001326EB" w:rsidP="00714A8B">
            <w:pPr>
              <w:rPr>
                <w:rFonts w:ascii="Arial Narrow" w:hAnsi="Arial Narrow"/>
                <w:b/>
                <w:bCs/>
                <w:sz w:val="20"/>
              </w:rPr>
            </w:pPr>
            <w:r w:rsidRPr="009B40C9">
              <w:rPr>
                <w:rFonts w:ascii="Arial Narrow" w:hAnsi="Arial Narrow"/>
                <w:b/>
                <w:bCs/>
                <w:sz w:val="20"/>
              </w:rPr>
              <w:t>Total</w:t>
            </w:r>
          </w:p>
        </w:tc>
        <w:tc>
          <w:tcPr>
            <w:tcW w:w="1009" w:type="dxa"/>
            <w:tcBorders>
              <w:top w:val="double" w:sz="4" w:space="0" w:color="auto"/>
            </w:tcBorders>
          </w:tcPr>
          <w:p w14:paraId="3FE06852" w14:textId="77777777" w:rsidR="001326EB" w:rsidRPr="009B40C9" w:rsidRDefault="001326EB" w:rsidP="00714A8B">
            <w:pPr>
              <w:rPr>
                <w:rFonts w:ascii="Arial Narrow" w:hAnsi="Arial Narrow"/>
                <w:i/>
                <w:sz w:val="20"/>
              </w:rPr>
            </w:pPr>
          </w:p>
        </w:tc>
        <w:tc>
          <w:tcPr>
            <w:tcW w:w="1192" w:type="dxa"/>
            <w:tcBorders>
              <w:top w:val="double" w:sz="4" w:space="0" w:color="auto"/>
            </w:tcBorders>
          </w:tcPr>
          <w:p w14:paraId="1F0EE2B7" w14:textId="77777777" w:rsidR="001326EB" w:rsidRPr="009B40C9" w:rsidRDefault="001326EB" w:rsidP="00714A8B">
            <w:pPr>
              <w:rPr>
                <w:rFonts w:ascii="Arial Narrow" w:hAnsi="Arial Narrow"/>
                <w:sz w:val="20"/>
              </w:rPr>
            </w:pPr>
          </w:p>
        </w:tc>
        <w:tc>
          <w:tcPr>
            <w:tcW w:w="996" w:type="dxa"/>
            <w:tcBorders>
              <w:top w:val="double" w:sz="4" w:space="0" w:color="auto"/>
            </w:tcBorders>
          </w:tcPr>
          <w:p w14:paraId="191C408D" w14:textId="77777777" w:rsidR="001326EB" w:rsidRPr="009B40C9" w:rsidRDefault="001326EB" w:rsidP="00714A8B">
            <w:pPr>
              <w:rPr>
                <w:rFonts w:ascii="Arial Narrow" w:hAnsi="Arial Narrow"/>
                <w:sz w:val="20"/>
              </w:rPr>
            </w:pPr>
          </w:p>
        </w:tc>
        <w:tc>
          <w:tcPr>
            <w:tcW w:w="837" w:type="dxa"/>
            <w:tcBorders>
              <w:top w:val="double" w:sz="4" w:space="0" w:color="auto"/>
            </w:tcBorders>
          </w:tcPr>
          <w:p w14:paraId="6BE5324B" w14:textId="77777777" w:rsidR="001326EB" w:rsidRDefault="001326EB" w:rsidP="00714A8B">
            <w:pPr>
              <w:rPr>
                <w:rFonts w:ascii="Arial Narrow" w:hAnsi="Arial Narrow"/>
                <w:b/>
                <w:bCs/>
                <w:sz w:val="20"/>
              </w:rPr>
            </w:pPr>
            <w:r>
              <w:rPr>
                <w:rFonts w:ascii="Arial Narrow" w:hAnsi="Arial Narrow"/>
                <w:b/>
                <w:bCs/>
                <w:sz w:val="20"/>
              </w:rPr>
              <w:t>213</w:t>
            </w:r>
          </w:p>
          <w:p w14:paraId="52C7559D" w14:textId="77777777" w:rsidR="001326EB" w:rsidRPr="009B40C9" w:rsidRDefault="001326EB" w:rsidP="00714A8B">
            <w:pPr>
              <w:rPr>
                <w:rFonts w:ascii="Arial Narrow" w:hAnsi="Arial Narrow"/>
                <w:sz w:val="20"/>
              </w:rPr>
            </w:pPr>
          </w:p>
        </w:tc>
        <w:tc>
          <w:tcPr>
            <w:tcW w:w="1102" w:type="dxa"/>
            <w:tcBorders>
              <w:top w:val="double" w:sz="4" w:space="0" w:color="auto"/>
            </w:tcBorders>
          </w:tcPr>
          <w:p w14:paraId="442C574E" w14:textId="77777777" w:rsidR="001326EB" w:rsidRPr="009B40C9" w:rsidRDefault="001326EB" w:rsidP="00714A8B">
            <w:pPr>
              <w:rPr>
                <w:rFonts w:ascii="Arial Narrow" w:hAnsi="Arial Narrow" w:cs="Calibri"/>
                <w:b/>
                <w:bCs/>
                <w:sz w:val="20"/>
              </w:rPr>
            </w:pPr>
            <w:r>
              <w:rPr>
                <w:rFonts w:ascii="Arial Narrow" w:hAnsi="Arial Narrow"/>
                <w:b/>
                <w:bCs/>
                <w:sz w:val="20"/>
              </w:rPr>
              <w:t>2076</w:t>
            </w:r>
          </w:p>
        </w:tc>
        <w:tc>
          <w:tcPr>
            <w:tcW w:w="1228" w:type="dxa"/>
            <w:tcBorders>
              <w:top w:val="double" w:sz="4" w:space="0" w:color="auto"/>
            </w:tcBorders>
          </w:tcPr>
          <w:p w14:paraId="741E1B0F" w14:textId="77777777" w:rsidR="001326EB" w:rsidRPr="009B40C9" w:rsidRDefault="001326EB" w:rsidP="00714A8B">
            <w:pPr>
              <w:rPr>
                <w:rFonts w:ascii="Arial Narrow" w:hAnsi="Arial Narrow"/>
                <w:sz w:val="20"/>
              </w:rPr>
            </w:pPr>
          </w:p>
        </w:tc>
        <w:tc>
          <w:tcPr>
            <w:tcW w:w="1495" w:type="dxa"/>
            <w:tcBorders>
              <w:top w:val="double" w:sz="4" w:space="0" w:color="auto"/>
            </w:tcBorders>
          </w:tcPr>
          <w:p w14:paraId="4200F27B" w14:textId="77777777" w:rsidR="001326EB" w:rsidRPr="009B40C9" w:rsidRDefault="001326EB" w:rsidP="00714A8B">
            <w:pPr>
              <w:jc w:val="center"/>
              <w:rPr>
                <w:rFonts w:ascii="Arial Narrow" w:hAnsi="Arial Narrow"/>
                <w:sz w:val="20"/>
              </w:rPr>
            </w:pPr>
            <w:bookmarkStart w:id="13" w:name="_Hlk102028649"/>
            <w:r w:rsidRPr="009B40C9">
              <w:rPr>
                <w:rFonts w:ascii="Arial Narrow" w:hAnsi="Arial Narrow"/>
                <w:b/>
                <w:bCs/>
                <w:sz w:val="20"/>
              </w:rPr>
              <w:t>$</w:t>
            </w:r>
            <w:r>
              <w:rPr>
                <w:rFonts w:ascii="Arial Narrow" w:hAnsi="Arial Narrow"/>
                <w:b/>
                <w:bCs/>
                <w:sz w:val="20"/>
              </w:rPr>
              <w:t>859,479</w:t>
            </w:r>
          </w:p>
          <w:bookmarkEnd w:id="13"/>
          <w:p w14:paraId="39631F0B" w14:textId="77777777" w:rsidR="001326EB" w:rsidRPr="009B40C9" w:rsidRDefault="001326EB" w:rsidP="00714A8B">
            <w:pPr>
              <w:jc w:val="center"/>
              <w:rPr>
                <w:rFonts w:ascii="Arial Narrow" w:hAnsi="Arial Narrow"/>
                <w:sz w:val="20"/>
              </w:rPr>
            </w:pPr>
            <w:r w:rsidRPr="009B40C9">
              <w:rPr>
                <w:rFonts w:ascii="Arial Narrow" w:hAnsi="Arial Narrow"/>
                <w:sz w:val="20"/>
              </w:rPr>
              <w:t xml:space="preserve">(weighted average </w:t>
            </w:r>
            <w:r>
              <w:rPr>
                <w:rFonts w:ascii="Arial Narrow" w:hAnsi="Arial Narrow"/>
                <w:sz w:val="20"/>
              </w:rPr>
              <w:t>SGT</w:t>
            </w:r>
            <w:r w:rsidRPr="009B40C9">
              <w:rPr>
                <w:rFonts w:ascii="Arial Narrow" w:hAnsi="Arial Narrow"/>
                <w:sz w:val="20"/>
              </w:rPr>
              <w:t xml:space="preserve"> cost = $4</w:t>
            </w:r>
            <w:r>
              <w:rPr>
                <w:rFonts w:ascii="Arial Narrow" w:hAnsi="Arial Narrow"/>
                <w:sz w:val="20"/>
              </w:rPr>
              <w:t>14</w:t>
            </w:r>
            <w:r w:rsidRPr="009B40C9">
              <w:rPr>
                <w:rFonts w:ascii="Arial Narrow" w:hAnsi="Arial Narrow"/>
                <w:sz w:val="20"/>
              </w:rPr>
              <w:t>)</w:t>
            </w:r>
          </w:p>
        </w:tc>
      </w:tr>
    </w:tbl>
    <w:p w14:paraId="717A9A82" w14:textId="3867E034" w:rsidR="001326EB" w:rsidRPr="00E219F7" w:rsidRDefault="00090631" w:rsidP="001326EB">
      <w:pPr>
        <w:rPr>
          <w:rFonts w:ascii="Arial Narrow" w:hAnsi="Arial Narrow"/>
          <w:sz w:val="18"/>
          <w:szCs w:val="18"/>
        </w:rPr>
      </w:pPr>
      <w:r>
        <w:rPr>
          <w:rFonts w:ascii="Arial Narrow" w:hAnsi="Arial Narrow"/>
          <w:sz w:val="18"/>
          <w:szCs w:val="18"/>
        </w:rPr>
        <w:br w:type="textWrapping" w:clear="all"/>
      </w:r>
      <w:r w:rsidR="001326EB" w:rsidRPr="00E219F7">
        <w:rPr>
          <w:rFonts w:ascii="Arial Narrow" w:hAnsi="Arial Narrow"/>
          <w:sz w:val="18"/>
          <w:szCs w:val="18"/>
        </w:rPr>
        <w:t>AD = autosomal dominant; AR = autosomal recessive; MLPA = Multiplex ligation-dependent probe amplification; PCR = polymerase chain reaction; RE = restriction enzyme; STR PCR</w:t>
      </w:r>
      <w:r w:rsidR="001326EB">
        <w:rPr>
          <w:rFonts w:ascii="Arial Narrow" w:hAnsi="Arial Narrow"/>
          <w:sz w:val="18"/>
          <w:szCs w:val="18"/>
        </w:rPr>
        <w:t xml:space="preserve"> = short tandem repeat polymerase chain reaction</w:t>
      </w:r>
    </w:p>
    <w:p w14:paraId="07867380" w14:textId="16AAA781" w:rsidR="001326EB" w:rsidRPr="001326EB" w:rsidRDefault="001326EB" w:rsidP="001326EB">
      <w:pPr>
        <w:spacing w:after="240"/>
        <w:rPr>
          <w:rFonts w:ascii="Franklin Gothic Book" w:hAnsi="Franklin Gothic Book"/>
          <w:iCs/>
          <w:sz w:val="22"/>
          <w:szCs w:val="22"/>
        </w:rPr>
      </w:pPr>
      <w:r w:rsidRPr="001326EB">
        <w:rPr>
          <w:rFonts w:ascii="Franklin Gothic Book" w:hAnsi="Franklin Gothic Book"/>
          <w:iCs/>
          <w:sz w:val="22"/>
          <w:szCs w:val="22"/>
        </w:rPr>
        <w:t xml:space="preserve">In the correspondence received, the RCPA’s experts confirmed that the gene panel would be used in the diagnosis of: childhood onset dystonia, chorea or related movement disorder, early onset or syndromic epilepsy, hereditary neuropathy or pain disorder (not </w:t>
      </w:r>
      <w:r w:rsidRPr="006F551C">
        <w:rPr>
          <w:rFonts w:ascii="Franklin Gothic Book" w:hAnsi="Franklin Gothic Book"/>
          <w:i/>
          <w:sz w:val="22"/>
          <w:szCs w:val="22"/>
        </w:rPr>
        <w:t>PMP22</w:t>
      </w:r>
      <w:r w:rsidRPr="001326EB">
        <w:rPr>
          <w:rFonts w:ascii="Franklin Gothic Book" w:hAnsi="Franklin Gothic Book"/>
          <w:iCs/>
          <w:sz w:val="22"/>
          <w:szCs w:val="22"/>
        </w:rPr>
        <w:t>-related), malignant hyperthermia, ataxia telangiectasia, or cerebral autosomal dominant arteriopathy with subcortical infarcts and leukoencephalopathy.</w:t>
      </w:r>
      <w:r w:rsidR="00316F9C">
        <w:rPr>
          <w:rFonts w:ascii="Franklin Gothic Book" w:hAnsi="Franklin Gothic Book"/>
          <w:iCs/>
          <w:sz w:val="22"/>
          <w:szCs w:val="22"/>
        </w:rPr>
        <w:t xml:space="preserve"> The RCPA’s experts also advised that </w:t>
      </w:r>
      <w:r w:rsidR="00A14A96">
        <w:rPr>
          <w:rFonts w:ascii="Franklin Gothic Book" w:hAnsi="Franklin Gothic Book"/>
          <w:iCs/>
          <w:sz w:val="22"/>
          <w:szCs w:val="22"/>
        </w:rPr>
        <w:t>m</w:t>
      </w:r>
      <w:r w:rsidR="00A14A96" w:rsidRPr="00A14A96">
        <w:rPr>
          <w:rFonts w:ascii="Franklin Gothic Book" w:hAnsi="Franklin Gothic Book"/>
          <w:iCs/>
          <w:sz w:val="22"/>
          <w:szCs w:val="22"/>
        </w:rPr>
        <w:t xml:space="preserve">ultiplex ligation-dependent probe amplification </w:t>
      </w:r>
      <w:r w:rsidR="00A14A96">
        <w:rPr>
          <w:rFonts w:ascii="Franklin Gothic Book" w:hAnsi="Franklin Gothic Book"/>
          <w:iCs/>
          <w:sz w:val="22"/>
          <w:szCs w:val="22"/>
        </w:rPr>
        <w:t>(</w:t>
      </w:r>
      <w:r w:rsidR="00316F9C">
        <w:rPr>
          <w:rFonts w:ascii="Franklin Gothic Book" w:hAnsi="Franklin Gothic Book"/>
          <w:iCs/>
          <w:sz w:val="22"/>
          <w:szCs w:val="22"/>
        </w:rPr>
        <w:t>MLPA</w:t>
      </w:r>
      <w:r w:rsidR="00A14A96">
        <w:rPr>
          <w:rFonts w:ascii="Franklin Gothic Book" w:hAnsi="Franklin Gothic Book"/>
          <w:iCs/>
          <w:sz w:val="22"/>
          <w:szCs w:val="22"/>
        </w:rPr>
        <w:t>)</w:t>
      </w:r>
      <w:r w:rsidR="00316F9C">
        <w:rPr>
          <w:rFonts w:ascii="Franklin Gothic Book" w:hAnsi="Franklin Gothic Book"/>
          <w:iCs/>
          <w:sz w:val="22"/>
          <w:szCs w:val="22"/>
        </w:rPr>
        <w:t xml:space="preserve"> for </w:t>
      </w:r>
      <w:r w:rsidR="00316F9C" w:rsidRPr="00A14A96">
        <w:rPr>
          <w:rFonts w:ascii="Franklin Gothic Book" w:hAnsi="Franklin Gothic Book"/>
          <w:i/>
          <w:sz w:val="22"/>
          <w:szCs w:val="22"/>
        </w:rPr>
        <w:t>DMD</w:t>
      </w:r>
      <w:r w:rsidR="00316F9C">
        <w:rPr>
          <w:rFonts w:ascii="Franklin Gothic Book" w:hAnsi="Franklin Gothic Book"/>
          <w:iCs/>
          <w:sz w:val="22"/>
          <w:szCs w:val="22"/>
        </w:rPr>
        <w:t xml:space="preserve"> is no longer required as a standalone test, because there is good </w:t>
      </w:r>
      <w:r w:rsidR="00A14A96">
        <w:rPr>
          <w:rFonts w:ascii="Franklin Gothic Book" w:hAnsi="Franklin Gothic Book"/>
          <w:iCs/>
          <w:sz w:val="22"/>
          <w:szCs w:val="22"/>
        </w:rPr>
        <w:t>copy number variant (CNV)</w:t>
      </w:r>
      <w:r w:rsidR="00316F9C">
        <w:rPr>
          <w:rFonts w:ascii="Franklin Gothic Book" w:hAnsi="Franklin Gothic Book"/>
          <w:iCs/>
          <w:sz w:val="22"/>
          <w:szCs w:val="22"/>
        </w:rPr>
        <w:t xml:space="preserve"> coverage from the NGS panel, so it is no longer used as a first line test prior to the panel. The RCPA’s experts advised that testing for </w:t>
      </w:r>
      <w:r w:rsidR="00A14A96">
        <w:rPr>
          <w:rFonts w:ascii="Franklin Gothic Book" w:hAnsi="Franklin Gothic Book"/>
          <w:iCs/>
          <w:sz w:val="22"/>
          <w:szCs w:val="22"/>
        </w:rPr>
        <w:t>spinocerebellar ataxias (</w:t>
      </w:r>
      <w:r w:rsidR="00316F9C">
        <w:rPr>
          <w:rFonts w:ascii="Franklin Gothic Book" w:hAnsi="Franklin Gothic Book"/>
          <w:iCs/>
          <w:sz w:val="22"/>
          <w:szCs w:val="22"/>
        </w:rPr>
        <w:t>SCAs</w:t>
      </w:r>
      <w:r w:rsidR="00A14A96">
        <w:rPr>
          <w:rFonts w:ascii="Franklin Gothic Book" w:hAnsi="Franklin Gothic Book"/>
          <w:iCs/>
          <w:sz w:val="22"/>
          <w:szCs w:val="22"/>
        </w:rPr>
        <w:t>)</w:t>
      </w:r>
      <w:r w:rsidR="00316F9C">
        <w:rPr>
          <w:rFonts w:ascii="Franklin Gothic Book" w:hAnsi="Franklin Gothic Book"/>
          <w:iCs/>
          <w:sz w:val="22"/>
          <w:szCs w:val="22"/>
        </w:rPr>
        <w:t xml:space="preserve"> is not conducted individually but rather as a panel of five</w:t>
      </w:r>
      <w:r w:rsidR="00A14A96">
        <w:rPr>
          <w:rFonts w:ascii="Franklin Gothic Book" w:hAnsi="Franklin Gothic Book"/>
          <w:iCs/>
          <w:sz w:val="22"/>
          <w:szCs w:val="22"/>
        </w:rPr>
        <w:t xml:space="preserve"> genes</w:t>
      </w:r>
      <w:r w:rsidR="00316F9C">
        <w:rPr>
          <w:rFonts w:ascii="Franklin Gothic Book" w:hAnsi="Franklin Gothic Book"/>
          <w:iCs/>
          <w:sz w:val="22"/>
          <w:szCs w:val="22"/>
        </w:rPr>
        <w:t>, however in WA the NGS gene panel is always run first and will only reflex to the SCA panel if there is a specific indication to do so – though the SCA panel remains included in the proposed SGTs as other states may differ in their approach.</w:t>
      </w:r>
    </w:p>
    <w:p w14:paraId="371640C8" w14:textId="0AB4BCC7" w:rsidR="0052065A" w:rsidRDefault="001326EB" w:rsidP="001326EB">
      <w:pPr>
        <w:spacing w:after="240"/>
        <w:rPr>
          <w:rFonts w:ascii="Franklin Gothic Book" w:hAnsi="Franklin Gothic Book"/>
          <w:iCs/>
          <w:sz w:val="22"/>
          <w:szCs w:val="22"/>
        </w:rPr>
      </w:pPr>
      <w:r w:rsidRPr="001326EB">
        <w:rPr>
          <w:rFonts w:ascii="Franklin Gothic Book" w:hAnsi="Franklin Gothic Book"/>
          <w:iCs/>
          <w:sz w:val="22"/>
          <w:szCs w:val="22"/>
        </w:rPr>
        <w:t>The intervention, SGT, is proposed to also include cascade testing of relatives, and reproductive partner and fetal testing.</w:t>
      </w:r>
    </w:p>
    <w:p w14:paraId="52BADC8F" w14:textId="3F487EB9" w:rsidR="00870B43" w:rsidRPr="00870B43" w:rsidRDefault="00870B43" w:rsidP="001326EB">
      <w:pPr>
        <w:spacing w:after="240"/>
        <w:rPr>
          <w:rFonts w:ascii="Franklin Gothic Book" w:hAnsi="Franklin Gothic Book"/>
          <w:iCs/>
          <w:sz w:val="22"/>
          <w:szCs w:val="22"/>
        </w:rPr>
      </w:pPr>
      <w:r>
        <w:rPr>
          <w:rFonts w:ascii="Franklin Gothic Book" w:hAnsi="Franklin Gothic Book"/>
          <w:iCs/>
          <w:sz w:val="22"/>
          <w:szCs w:val="22"/>
        </w:rPr>
        <w:t>The draft item descriptors proposed for the MSAC Executive’s consideration are provided below</w:t>
      </w:r>
      <w:r w:rsidR="00AD64F6">
        <w:rPr>
          <w:rFonts w:ascii="Franklin Gothic Book" w:hAnsi="Franklin Gothic Book"/>
          <w:iCs/>
          <w:sz w:val="22"/>
          <w:szCs w:val="22"/>
        </w:rPr>
        <w:t xml:space="preserve"> (</w:t>
      </w:r>
      <w:r w:rsidR="00AD64F6">
        <w:rPr>
          <w:rFonts w:ascii="Franklin Gothic Book" w:hAnsi="Franklin Gothic Book"/>
          <w:iCs/>
          <w:sz w:val="22"/>
          <w:szCs w:val="22"/>
        </w:rPr>
        <w:fldChar w:fldCharType="begin"/>
      </w:r>
      <w:r w:rsidR="00AD64F6">
        <w:rPr>
          <w:rFonts w:ascii="Franklin Gothic Book" w:hAnsi="Franklin Gothic Book"/>
          <w:iCs/>
          <w:sz w:val="22"/>
          <w:szCs w:val="22"/>
        </w:rPr>
        <w:instrText xml:space="preserve"> REF _Ref69481033  \* MERGEFORMAT </w:instrText>
      </w:r>
      <w:r w:rsidR="00AD64F6">
        <w:rPr>
          <w:rFonts w:ascii="Franklin Gothic Book" w:hAnsi="Franklin Gothic Book"/>
          <w:iCs/>
          <w:sz w:val="22"/>
          <w:szCs w:val="22"/>
        </w:rPr>
        <w:fldChar w:fldCharType="separate"/>
      </w:r>
      <w:r w:rsidR="008260AB" w:rsidRPr="008260AB">
        <w:rPr>
          <w:rFonts w:ascii="Franklin Gothic Book" w:hAnsi="Franklin Gothic Book"/>
          <w:iCs/>
          <w:sz w:val="22"/>
          <w:szCs w:val="22"/>
        </w:rPr>
        <w:t>Table 4</w:t>
      </w:r>
      <w:r w:rsidR="00AD64F6">
        <w:rPr>
          <w:rFonts w:ascii="Franklin Gothic Book" w:hAnsi="Franklin Gothic Book"/>
          <w:iCs/>
          <w:sz w:val="22"/>
          <w:szCs w:val="22"/>
        </w:rPr>
        <w:fldChar w:fldCharType="end"/>
      </w:r>
      <w:r w:rsidR="00AD64F6">
        <w:rPr>
          <w:rFonts w:ascii="Franklin Gothic Book" w:hAnsi="Franklin Gothic Book"/>
          <w:iCs/>
          <w:sz w:val="22"/>
          <w:szCs w:val="22"/>
        </w:rPr>
        <w:t>)</w:t>
      </w:r>
      <w:r>
        <w:rPr>
          <w:rFonts w:ascii="Franklin Gothic Book" w:hAnsi="Franklin Gothic Book"/>
          <w:iCs/>
          <w:sz w:val="22"/>
          <w:szCs w:val="22"/>
        </w:rPr>
        <w:t>.</w:t>
      </w:r>
      <w:r w:rsidR="00A14A96">
        <w:rPr>
          <w:rFonts w:ascii="Franklin Gothic Book" w:hAnsi="Franklin Gothic Book"/>
          <w:iCs/>
          <w:sz w:val="22"/>
          <w:szCs w:val="22"/>
        </w:rPr>
        <w:t xml:space="preserve"> </w:t>
      </w:r>
      <w:r w:rsidR="00FC5722">
        <w:rPr>
          <w:rFonts w:ascii="Franklin Gothic Book" w:hAnsi="Franklin Gothic Book"/>
          <w:iCs/>
          <w:sz w:val="22"/>
          <w:szCs w:val="22"/>
        </w:rPr>
        <w:t>The item descriptors encompass affected individual, cascade, and reproductive partner testing; f</w:t>
      </w:r>
      <w:r w:rsidR="00A14A96">
        <w:rPr>
          <w:rFonts w:ascii="Franklin Gothic Book" w:hAnsi="Franklin Gothic Book"/>
          <w:iCs/>
          <w:sz w:val="22"/>
          <w:szCs w:val="22"/>
        </w:rPr>
        <w:t xml:space="preserve">etal testing </w:t>
      </w:r>
      <w:r w:rsidR="00FC5722">
        <w:rPr>
          <w:rFonts w:ascii="Franklin Gothic Book" w:hAnsi="Franklin Gothic Book"/>
          <w:iCs/>
          <w:sz w:val="22"/>
          <w:szCs w:val="22"/>
        </w:rPr>
        <w:t>is</w:t>
      </w:r>
      <w:r w:rsidR="00A14A96">
        <w:rPr>
          <w:rFonts w:ascii="Franklin Gothic Book" w:hAnsi="Franklin Gothic Book"/>
          <w:iCs/>
          <w:sz w:val="22"/>
          <w:szCs w:val="22"/>
        </w:rPr>
        <w:t xml:space="preserve"> proposed to be provided through amendment </w:t>
      </w:r>
      <w:r w:rsidR="00FC5722">
        <w:rPr>
          <w:rFonts w:ascii="Franklin Gothic Book" w:hAnsi="Franklin Gothic Book"/>
          <w:iCs/>
          <w:sz w:val="22"/>
          <w:szCs w:val="22"/>
        </w:rPr>
        <w:t>to</w:t>
      </w:r>
      <w:r w:rsidR="00A14A96">
        <w:rPr>
          <w:rFonts w:ascii="Franklin Gothic Book" w:hAnsi="Franklin Gothic Book"/>
          <w:iCs/>
          <w:sz w:val="22"/>
          <w:szCs w:val="22"/>
        </w:rPr>
        <w:t xml:space="preserve"> </w:t>
      </w:r>
      <w:r w:rsidR="00FC5722">
        <w:rPr>
          <w:rFonts w:ascii="Franklin Gothic Book" w:hAnsi="Franklin Gothic Book"/>
          <w:iCs/>
          <w:sz w:val="22"/>
          <w:szCs w:val="22"/>
        </w:rPr>
        <w:t>previously supported items</w:t>
      </w:r>
      <w:r w:rsidR="00A14A96">
        <w:rPr>
          <w:rFonts w:ascii="Franklin Gothic Book" w:hAnsi="Franklin Gothic Book"/>
          <w:iCs/>
          <w:sz w:val="22"/>
          <w:szCs w:val="22"/>
        </w:rPr>
        <w:t>.</w:t>
      </w:r>
    </w:p>
    <w:p w14:paraId="6BC00621" w14:textId="258D9FC5" w:rsidR="0052065A" w:rsidRPr="00FC5722" w:rsidRDefault="0052065A" w:rsidP="00644745">
      <w:pPr>
        <w:pStyle w:val="Caption"/>
        <w:spacing w:before="240"/>
        <w:rPr>
          <w:b w:val="0"/>
          <w:bCs w:val="0"/>
        </w:rPr>
      </w:pPr>
      <w:bookmarkStart w:id="14" w:name="_Ref69481033"/>
      <w:r>
        <w:t>Table </w:t>
      </w:r>
      <w:fldSimple w:instr=" SEQ Table \* ARABIC ">
        <w:r w:rsidR="008260AB">
          <w:rPr>
            <w:noProof/>
          </w:rPr>
          <w:t>4</w:t>
        </w:r>
      </w:fldSimple>
      <w:bookmarkEnd w:id="14"/>
      <w:r w:rsidRPr="00CE28E3">
        <w:tab/>
      </w:r>
      <w:r w:rsidR="001326EB">
        <w:t>P</w:t>
      </w:r>
      <w:r w:rsidRPr="00CE28E3">
        <w:t xml:space="preserve">roposed MBS item </w:t>
      </w:r>
      <w:r w:rsidR="001326EB">
        <w:t>descriptors</w:t>
      </w:r>
      <w:r w:rsidR="00FC5722">
        <w:t>.</w:t>
      </w:r>
      <w:r w:rsidR="00FC5722">
        <w:rPr>
          <w:b w:val="0"/>
          <w:bCs w:val="0"/>
        </w:rPr>
        <w:t xml:space="preserve"> The proposed item descriptors encompass </w:t>
      </w:r>
      <w:r w:rsidR="00FC5722" w:rsidRPr="00FC5722">
        <w:rPr>
          <w:b w:val="0"/>
          <w:bCs w:val="0"/>
        </w:rPr>
        <w:t xml:space="preserve">options for both separate testing of </w:t>
      </w:r>
      <w:r w:rsidR="00FC5722" w:rsidRPr="00FC5722">
        <w:rPr>
          <w:b w:val="0"/>
          <w:bCs w:val="0"/>
          <w:i/>
        </w:rPr>
        <w:t>DUX4</w:t>
      </w:r>
      <w:r w:rsidR="00FC5722" w:rsidRPr="00FC5722">
        <w:rPr>
          <w:b w:val="0"/>
          <w:bCs w:val="0"/>
        </w:rPr>
        <w:t xml:space="preserve"> (</w:t>
      </w:r>
      <w:r w:rsidR="00FC5722">
        <w:rPr>
          <w:b w:val="0"/>
          <w:bCs w:val="0"/>
        </w:rPr>
        <w:t xml:space="preserve">items </w:t>
      </w:r>
      <w:r w:rsidR="00FC5722" w:rsidRPr="00FC5722">
        <w:rPr>
          <w:b w:val="0"/>
          <w:bCs w:val="0"/>
        </w:rPr>
        <w:t xml:space="preserve">XXXX and YYYY), or alternatively a single item for all NMD SGTs including </w:t>
      </w:r>
      <w:r w:rsidR="00FC5722" w:rsidRPr="00FC5722">
        <w:rPr>
          <w:b w:val="0"/>
          <w:bCs w:val="0"/>
          <w:i/>
        </w:rPr>
        <w:t xml:space="preserve">DUX4 </w:t>
      </w:r>
      <w:r w:rsidR="00FC5722" w:rsidRPr="00FC5722">
        <w:rPr>
          <w:b w:val="0"/>
          <w:bCs w:val="0"/>
        </w:rPr>
        <w:t>Southern blotting (</w:t>
      </w:r>
      <w:r w:rsidR="00FC5722">
        <w:rPr>
          <w:b w:val="0"/>
          <w:bCs w:val="0"/>
        </w:rPr>
        <w:t xml:space="preserve">item </w:t>
      </w:r>
      <w:r w:rsidR="00FC5722" w:rsidRPr="00FC5722">
        <w:rPr>
          <w:b w:val="0"/>
          <w:bCs w:val="0"/>
        </w:rPr>
        <w:t>XXXX2), for which the proposed fee is the weighted average</w:t>
      </w:r>
      <w:r w:rsidR="00FC5722">
        <w:rPr>
          <w:b w:val="0"/>
          <w:bCs w:val="0"/>
        </w:rPr>
        <w:t>.</w:t>
      </w:r>
    </w:p>
    <w:tbl>
      <w:tblPr>
        <w:tblStyle w:val="TableGrid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ESC’s revised MBS item descriptor"/>
      </w:tblPr>
      <w:tblGrid>
        <w:gridCol w:w="9016"/>
      </w:tblGrid>
      <w:tr w:rsidR="00870B43" w:rsidRPr="00CE28E3" w14:paraId="61ADE2E7" w14:textId="77777777" w:rsidTr="009A1EDB">
        <w:trPr>
          <w:cnfStyle w:val="100000000000" w:firstRow="1" w:lastRow="0" w:firstColumn="0" w:lastColumn="0" w:oddVBand="0" w:evenVBand="0" w:oddHBand="0" w:evenHBand="0" w:firstRowFirstColumn="0" w:firstRowLastColumn="0" w:lastRowFirstColumn="0" w:lastRowLastColumn="0"/>
        </w:trPr>
        <w:tc>
          <w:tcPr>
            <w:tcW w:w="5000" w:type="pct"/>
            <w:tcBorders>
              <w:top w:val="single" w:sz="4" w:space="0" w:color="000000"/>
              <w:left w:val="single" w:sz="4" w:space="0" w:color="000000"/>
              <w:bottom w:val="single" w:sz="4" w:space="0" w:color="auto"/>
              <w:right w:val="single" w:sz="4" w:space="0" w:color="000000"/>
            </w:tcBorders>
            <w:hideMark/>
          </w:tcPr>
          <w:p w14:paraId="7D4899A3" w14:textId="2FA9DA69" w:rsidR="00870B43" w:rsidRPr="000A1D7B" w:rsidRDefault="00870B43" w:rsidP="007D4B83">
            <w:pPr>
              <w:spacing w:before="0"/>
              <w:jc w:val="right"/>
              <w:rPr>
                <w:rFonts w:ascii="Arial Narrow" w:hAnsi="Arial Narrow"/>
                <w:lang w:eastAsia="ja-JP"/>
              </w:rPr>
            </w:pPr>
            <w:bookmarkStart w:id="15" w:name="_Toc69491419"/>
            <w:r w:rsidRPr="000A1D7B">
              <w:rPr>
                <w:rFonts w:ascii="Arial Narrow" w:hAnsi="Arial Narrow"/>
                <w:lang w:eastAsia="ja-JP"/>
              </w:rPr>
              <w:t xml:space="preserve">Category </w:t>
            </w:r>
            <w:r w:rsidR="0014507D">
              <w:rPr>
                <w:rFonts w:ascii="Arial Narrow" w:hAnsi="Arial Narrow"/>
                <w:lang w:eastAsia="ja-JP"/>
              </w:rPr>
              <w:t>6</w:t>
            </w:r>
            <w:r w:rsidRPr="000A1D7B">
              <w:rPr>
                <w:rFonts w:ascii="Arial Narrow" w:hAnsi="Arial Narrow"/>
                <w:lang w:eastAsia="ja-JP"/>
              </w:rPr>
              <w:t xml:space="preserve"> – Pathology Services – Group P7 Genetics</w:t>
            </w:r>
          </w:p>
          <w:p w14:paraId="653AF860" w14:textId="77777777" w:rsidR="00870B43" w:rsidRPr="000A1D7B" w:rsidRDefault="00870B43" w:rsidP="007D4B83">
            <w:pPr>
              <w:spacing w:before="0" w:after="120"/>
              <w:rPr>
                <w:rFonts w:ascii="Arial Narrow" w:hAnsi="Arial Narrow"/>
                <w:lang w:eastAsia="ja-JP"/>
              </w:rPr>
            </w:pPr>
            <w:r w:rsidRPr="000A1D7B">
              <w:rPr>
                <w:rFonts w:ascii="Arial Narrow" w:hAnsi="Arial Narrow"/>
                <w:lang w:eastAsia="ja-JP"/>
              </w:rPr>
              <w:t>Item XXXX</w:t>
            </w:r>
          </w:p>
          <w:p w14:paraId="225765F3" w14:textId="77777777" w:rsidR="00870B43" w:rsidRPr="000A1D7B" w:rsidRDefault="00870B43" w:rsidP="007D4B83">
            <w:pPr>
              <w:spacing w:before="0" w:after="120"/>
              <w:rPr>
                <w:rFonts w:ascii="Arial Narrow" w:hAnsi="Arial Narrow"/>
                <w:lang w:eastAsia="ja-JP"/>
              </w:rPr>
            </w:pPr>
            <w:r w:rsidRPr="000A1D7B">
              <w:rPr>
                <w:rFonts w:ascii="Arial Narrow" w:hAnsi="Arial Narrow"/>
                <w:lang w:eastAsia="ja-JP"/>
              </w:rPr>
              <w:t>Detection of pathogenic or likely pathogenic gene variants in a patient with suspected neuromuscular disorder (NMD), a relative of a patient with a pathogenic or likely pathogenic germline gene variant confirmed by laboratory findings or their reproductive partner (requested by specialist or consultant physician):</w:t>
            </w:r>
          </w:p>
          <w:p w14:paraId="0DEEE469" w14:textId="3F2B9906" w:rsidR="00870B43" w:rsidRPr="000A1D7B" w:rsidRDefault="00870B43" w:rsidP="007D4B83">
            <w:pPr>
              <w:numPr>
                <w:ilvl w:val="0"/>
                <w:numId w:val="43"/>
              </w:numPr>
              <w:spacing w:before="0" w:after="120"/>
              <w:rPr>
                <w:rFonts w:ascii="Arial Narrow" w:hAnsi="Arial Narrow"/>
                <w:lang w:eastAsia="ja-JP"/>
              </w:rPr>
            </w:pPr>
            <w:r w:rsidRPr="000A1D7B">
              <w:rPr>
                <w:rFonts w:ascii="Arial Narrow" w:hAnsi="Arial Narrow"/>
                <w:lang w:eastAsia="ja-JP"/>
              </w:rPr>
              <w:t xml:space="preserve">in any one of the following genes: </w:t>
            </w:r>
            <w:r w:rsidRPr="000A1D7B">
              <w:rPr>
                <w:rFonts w:ascii="Arial Narrow" w:hAnsi="Arial Narrow"/>
                <w:i/>
                <w:iCs/>
                <w:lang w:eastAsia="ja-JP"/>
              </w:rPr>
              <w:t xml:space="preserve">DMPK, CNBP, HTT, PABPN1, C9orf72, AR, SMN1, PRNP, MT-ND1, MT-ND4, MT-ND4L, MT-ND6, MT-TK, MT-TL1, MT-ATP6, </w:t>
            </w:r>
            <w:r w:rsidR="00BF49D4">
              <w:rPr>
                <w:rFonts w:ascii="Arial Narrow" w:hAnsi="Arial Narrow"/>
                <w:i/>
                <w:iCs/>
                <w:lang w:eastAsia="ja-JP"/>
              </w:rPr>
              <w:t>FXN</w:t>
            </w:r>
            <w:r w:rsidRPr="000A1D7B">
              <w:rPr>
                <w:rFonts w:ascii="Arial Narrow" w:hAnsi="Arial Narrow"/>
                <w:i/>
                <w:iCs/>
                <w:lang w:eastAsia="ja-JP"/>
              </w:rPr>
              <w:t>, ATN1</w:t>
            </w:r>
            <w:r w:rsidRPr="000A1D7B">
              <w:rPr>
                <w:rFonts w:ascii="Arial Narrow" w:hAnsi="Arial Narrow"/>
                <w:lang w:eastAsia="ja-JP"/>
              </w:rPr>
              <w:t>; or</w:t>
            </w:r>
            <w:r w:rsidRPr="000A1D7B">
              <w:rPr>
                <w:rFonts w:ascii="Arial Narrow" w:hAnsi="Arial Narrow"/>
                <w:i/>
                <w:iCs/>
                <w:lang w:eastAsia="ja-JP"/>
              </w:rPr>
              <w:t xml:space="preserve"> </w:t>
            </w:r>
          </w:p>
          <w:p w14:paraId="20BD4E6A" w14:textId="069A5DDD" w:rsidR="00870B43" w:rsidRPr="000A1D7B" w:rsidRDefault="00870B43" w:rsidP="007D4B83">
            <w:pPr>
              <w:numPr>
                <w:ilvl w:val="0"/>
                <w:numId w:val="43"/>
              </w:numPr>
              <w:spacing w:before="0" w:after="120"/>
              <w:rPr>
                <w:rFonts w:ascii="Arial Narrow" w:hAnsi="Arial Narrow"/>
                <w:lang w:eastAsia="ja-JP"/>
              </w:rPr>
            </w:pPr>
            <w:r w:rsidRPr="000A1D7B">
              <w:rPr>
                <w:rFonts w:ascii="Arial Narrow" w:hAnsi="Arial Narrow"/>
                <w:lang w:eastAsia="ja-JP"/>
              </w:rPr>
              <w:t>all five of the following genes</w:t>
            </w:r>
            <w:r w:rsidRPr="000A1D7B">
              <w:rPr>
                <w:rFonts w:ascii="Arial Narrow" w:hAnsi="Arial Narrow"/>
                <w:i/>
                <w:iCs/>
                <w:lang w:eastAsia="ja-JP"/>
              </w:rPr>
              <w:t xml:space="preserve">: </w:t>
            </w:r>
            <w:r w:rsidR="00BF49D4">
              <w:rPr>
                <w:rFonts w:ascii="Arial Narrow" w:hAnsi="Arial Narrow"/>
                <w:i/>
                <w:iCs/>
                <w:lang w:eastAsia="ja-JP"/>
              </w:rPr>
              <w:t xml:space="preserve"> ATXN1, ATXN2, ATXN3, CACNA1A, ATXN7</w:t>
            </w:r>
          </w:p>
          <w:p w14:paraId="1975E9D0" w14:textId="77777777" w:rsidR="00870B43" w:rsidRDefault="00870B43" w:rsidP="007D4B83">
            <w:pPr>
              <w:spacing w:before="0" w:after="120"/>
              <w:rPr>
                <w:lang w:eastAsia="ja-JP"/>
              </w:rPr>
            </w:pPr>
            <w:r w:rsidRPr="000A1D7B">
              <w:rPr>
                <w:rFonts w:ascii="Arial Narrow" w:hAnsi="Arial Narrow"/>
                <w:lang w:eastAsia="ja-JP"/>
              </w:rPr>
              <w:t>Subject to rule 25 – once per gene per lifetime</w:t>
            </w:r>
          </w:p>
          <w:p w14:paraId="5B9797F8" w14:textId="77777777" w:rsidR="00870B43" w:rsidRPr="004C2B2A" w:rsidRDefault="00870B43" w:rsidP="007D4B83">
            <w:pPr>
              <w:spacing w:before="0"/>
              <w:rPr>
                <w:lang w:val="en-US" w:eastAsia="ja-JP"/>
              </w:rPr>
            </w:pPr>
            <w:r w:rsidRPr="000A1D7B">
              <w:rPr>
                <w:rFonts w:ascii="Arial Narrow" w:hAnsi="Arial Narrow"/>
                <w:b/>
                <w:bCs/>
                <w:lang w:eastAsia="ja-JP"/>
              </w:rPr>
              <w:t>Fee</w:t>
            </w:r>
            <w:r w:rsidRPr="000A1D7B">
              <w:rPr>
                <w:rFonts w:ascii="Arial Narrow" w:hAnsi="Arial Narrow"/>
                <w:lang w:eastAsia="ja-JP"/>
              </w:rPr>
              <w:t>: $392.00</w:t>
            </w:r>
            <w:r w:rsidRPr="000A1D7B">
              <w:rPr>
                <w:rFonts w:ascii="Arial Narrow" w:hAnsi="Arial Narrow"/>
                <w:lang w:eastAsia="ja-JP"/>
              </w:rPr>
              <w:tab/>
            </w:r>
            <w:r w:rsidRPr="000A1D7B">
              <w:rPr>
                <w:rFonts w:ascii="Arial Narrow" w:hAnsi="Arial Narrow"/>
                <w:b/>
                <w:bCs/>
                <w:lang w:eastAsia="ja-JP"/>
              </w:rPr>
              <w:t>Benefit</w:t>
            </w:r>
            <w:r w:rsidRPr="000A1D7B">
              <w:rPr>
                <w:rFonts w:ascii="Arial Narrow" w:hAnsi="Arial Narrow"/>
                <w:lang w:eastAsia="ja-JP"/>
              </w:rPr>
              <w:t>: 75% = $310.50      85% = $333.20</w:t>
            </w:r>
          </w:p>
        </w:tc>
      </w:tr>
      <w:tr w:rsidR="00870B43" w:rsidRPr="00CE28E3" w14:paraId="3C66C5D9" w14:textId="77777777" w:rsidTr="009A1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hideMark/>
          </w:tcPr>
          <w:p w14:paraId="66E6A1A4" w14:textId="29885129" w:rsidR="00870B43" w:rsidRPr="000A1D7B" w:rsidRDefault="00870B43" w:rsidP="007D4B83">
            <w:pPr>
              <w:spacing w:before="0"/>
              <w:jc w:val="right"/>
              <w:rPr>
                <w:lang w:eastAsia="ja-JP"/>
              </w:rPr>
            </w:pPr>
            <w:r w:rsidRPr="000A1D7B">
              <w:rPr>
                <w:lang w:eastAsia="ja-JP"/>
              </w:rPr>
              <w:t xml:space="preserve">Category </w:t>
            </w:r>
            <w:r w:rsidR="0014507D">
              <w:rPr>
                <w:lang w:eastAsia="ja-JP"/>
              </w:rPr>
              <w:t>6</w:t>
            </w:r>
            <w:r w:rsidRPr="000A1D7B">
              <w:rPr>
                <w:lang w:eastAsia="ja-JP"/>
              </w:rPr>
              <w:t xml:space="preserve"> – Pathology Services – Group P7 Genetics</w:t>
            </w:r>
          </w:p>
          <w:p w14:paraId="38D3F5BB" w14:textId="77777777" w:rsidR="00870B43" w:rsidRPr="000A1D7B" w:rsidRDefault="00870B43" w:rsidP="007D4B83">
            <w:pPr>
              <w:spacing w:before="0" w:after="120"/>
              <w:rPr>
                <w:lang w:eastAsia="ja-JP"/>
              </w:rPr>
            </w:pPr>
            <w:r w:rsidRPr="000A1D7B">
              <w:rPr>
                <w:lang w:eastAsia="ja-JP"/>
              </w:rPr>
              <w:t xml:space="preserve">Item </w:t>
            </w:r>
            <w:r>
              <w:rPr>
                <w:lang w:eastAsia="ja-JP"/>
              </w:rPr>
              <w:t>YYYY</w:t>
            </w:r>
          </w:p>
          <w:p w14:paraId="3686E904" w14:textId="77777777" w:rsidR="00870B43" w:rsidRPr="000A1D7B" w:rsidRDefault="00870B43" w:rsidP="007D4B83">
            <w:pPr>
              <w:spacing w:before="0" w:after="120"/>
              <w:rPr>
                <w:lang w:eastAsia="ja-JP"/>
              </w:rPr>
            </w:pPr>
            <w:r w:rsidRPr="000A1D7B">
              <w:rPr>
                <w:lang w:eastAsia="ja-JP"/>
              </w:rPr>
              <w:t xml:space="preserve">Detection of pathogenic or likely pathogenic </w:t>
            </w:r>
            <w:r w:rsidRPr="000A1D7B">
              <w:rPr>
                <w:i/>
                <w:iCs/>
                <w:lang w:eastAsia="ja-JP"/>
              </w:rPr>
              <w:t>DUX4</w:t>
            </w:r>
            <w:r w:rsidRPr="000A1D7B">
              <w:rPr>
                <w:lang w:eastAsia="ja-JP"/>
              </w:rPr>
              <w:t xml:space="preserve"> gene variants in a patient with suspected neuromuscular disorder, or a relative of a patient with a pathogenic or likely pathogenic germline gene variant confirmed by laboratory findings (requested by specialist or consultant physician).</w:t>
            </w:r>
          </w:p>
          <w:p w14:paraId="70A60F5F" w14:textId="77777777" w:rsidR="00870B43" w:rsidRDefault="00870B43" w:rsidP="007D4B83">
            <w:pPr>
              <w:spacing w:before="0" w:after="120"/>
              <w:rPr>
                <w:lang w:eastAsia="ja-JP"/>
              </w:rPr>
            </w:pPr>
            <w:r w:rsidRPr="000A1D7B">
              <w:rPr>
                <w:lang w:eastAsia="ja-JP"/>
              </w:rPr>
              <w:t>Subject to rule 25 – once per gene per lifetime</w:t>
            </w:r>
          </w:p>
          <w:p w14:paraId="2DA8B64F" w14:textId="77777777" w:rsidR="00870B43" w:rsidRPr="004C2B2A" w:rsidRDefault="00870B43" w:rsidP="007D4B83">
            <w:pPr>
              <w:spacing w:before="0"/>
              <w:rPr>
                <w:lang w:val="en-US" w:eastAsia="ja-JP"/>
              </w:rPr>
            </w:pPr>
            <w:r w:rsidRPr="000A1D7B">
              <w:rPr>
                <w:b/>
                <w:bCs/>
                <w:lang w:eastAsia="ja-JP"/>
              </w:rPr>
              <w:t>Fee</w:t>
            </w:r>
            <w:r w:rsidRPr="000A1D7B">
              <w:rPr>
                <w:lang w:eastAsia="ja-JP"/>
              </w:rPr>
              <w:t>: $</w:t>
            </w:r>
            <w:r>
              <w:rPr>
                <w:lang w:eastAsia="ja-JP"/>
              </w:rPr>
              <w:t>1000</w:t>
            </w:r>
            <w:r w:rsidRPr="000A1D7B">
              <w:rPr>
                <w:lang w:eastAsia="ja-JP"/>
              </w:rPr>
              <w:t>.00</w:t>
            </w:r>
            <w:r w:rsidRPr="000A1D7B">
              <w:rPr>
                <w:lang w:eastAsia="ja-JP"/>
              </w:rPr>
              <w:tab/>
            </w:r>
            <w:r w:rsidRPr="000A1D7B">
              <w:rPr>
                <w:b/>
                <w:bCs/>
                <w:lang w:eastAsia="ja-JP"/>
              </w:rPr>
              <w:t>Benefit</w:t>
            </w:r>
            <w:r w:rsidRPr="000A1D7B">
              <w:rPr>
                <w:lang w:eastAsia="ja-JP"/>
              </w:rPr>
              <w:t>: 75% = $</w:t>
            </w:r>
            <w:r>
              <w:rPr>
                <w:lang w:eastAsia="ja-JP"/>
              </w:rPr>
              <w:t>7</w:t>
            </w:r>
            <w:r w:rsidRPr="000A1D7B">
              <w:rPr>
                <w:lang w:eastAsia="ja-JP"/>
              </w:rPr>
              <w:t>50</w:t>
            </w:r>
            <w:r>
              <w:rPr>
                <w:lang w:eastAsia="ja-JP"/>
              </w:rPr>
              <w:t>.00</w:t>
            </w:r>
            <w:r w:rsidRPr="000A1D7B">
              <w:rPr>
                <w:lang w:eastAsia="ja-JP"/>
              </w:rPr>
              <w:t xml:space="preserve">      85% = $</w:t>
            </w:r>
            <w:r>
              <w:rPr>
                <w:lang w:eastAsia="ja-JP"/>
              </w:rPr>
              <w:t>912.1</w:t>
            </w:r>
            <w:r w:rsidRPr="000A1D7B">
              <w:rPr>
                <w:lang w:eastAsia="ja-JP"/>
              </w:rPr>
              <w:t>0</w:t>
            </w:r>
          </w:p>
        </w:tc>
      </w:tr>
      <w:tr w:rsidR="00870B43" w:rsidRPr="00CE28E3" w14:paraId="387EC994" w14:textId="77777777" w:rsidTr="00870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hideMark/>
          </w:tcPr>
          <w:p w14:paraId="08F51DBC" w14:textId="71F0F8F5" w:rsidR="00870B43" w:rsidRPr="000A1D7B" w:rsidRDefault="00870B43" w:rsidP="007D4B83">
            <w:pPr>
              <w:spacing w:before="0"/>
              <w:jc w:val="right"/>
              <w:rPr>
                <w:lang w:eastAsia="ja-JP"/>
              </w:rPr>
            </w:pPr>
            <w:r w:rsidRPr="000A1D7B">
              <w:rPr>
                <w:lang w:eastAsia="ja-JP"/>
              </w:rPr>
              <w:t xml:space="preserve">Category </w:t>
            </w:r>
            <w:r w:rsidR="0014507D">
              <w:rPr>
                <w:lang w:eastAsia="ja-JP"/>
              </w:rPr>
              <w:t>6</w:t>
            </w:r>
            <w:r w:rsidRPr="000A1D7B">
              <w:rPr>
                <w:lang w:eastAsia="ja-JP"/>
              </w:rPr>
              <w:t xml:space="preserve"> – Pathology Services – Group P7 Genetics</w:t>
            </w:r>
          </w:p>
          <w:p w14:paraId="3E827B35" w14:textId="42398A62" w:rsidR="00870B43" w:rsidRPr="000A1D7B" w:rsidRDefault="00870B43" w:rsidP="007D4B83">
            <w:pPr>
              <w:spacing w:before="0" w:after="120"/>
              <w:rPr>
                <w:lang w:eastAsia="ja-JP"/>
              </w:rPr>
            </w:pPr>
            <w:r w:rsidRPr="000A1D7B">
              <w:rPr>
                <w:lang w:eastAsia="ja-JP"/>
              </w:rPr>
              <w:t>Item XXXX</w:t>
            </w:r>
            <w:r>
              <w:rPr>
                <w:lang w:eastAsia="ja-JP"/>
              </w:rPr>
              <w:t>2</w:t>
            </w:r>
          </w:p>
          <w:p w14:paraId="2EBD65CA" w14:textId="77777777" w:rsidR="00870B43" w:rsidRPr="000A1D7B" w:rsidRDefault="00870B43" w:rsidP="007D4B83">
            <w:pPr>
              <w:spacing w:before="0" w:after="120"/>
              <w:rPr>
                <w:lang w:eastAsia="ja-JP"/>
              </w:rPr>
            </w:pPr>
            <w:r w:rsidRPr="000A1D7B">
              <w:rPr>
                <w:lang w:eastAsia="ja-JP"/>
              </w:rPr>
              <w:t>Detection of pathogenic or likely pathogenic gene variants in a patient with suspected neuromuscular disorder (NMD), a relative of a patient with a pathogenic or likely pathogenic germline gene variant confirmed by laboratory findings or their reproductive partner (requested by specialist or consultant physician):</w:t>
            </w:r>
          </w:p>
          <w:p w14:paraId="32F6BF70" w14:textId="6B0FA33A" w:rsidR="00870B43" w:rsidRPr="000A1D7B" w:rsidRDefault="00870B43" w:rsidP="007D4B83">
            <w:pPr>
              <w:numPr>
                <w:ilvl w:val="0"/>
                <w:numId w:val="44"/>
              </w:numPr>
              <w:spacing w:before="0" w:after="120"/>
              <w:rPr>
                <w:lang w:eastAsia="ja-JP"/>
              </w:rPr>
            </w:pPr>
            <w:r w:rsidRPr="000A1D7B">
              <w:rPr>
                <w:lang w:eastAsia="ja-JP"/>
              </w:rPr>
              <w:t xml:space="preserve">in any one of the following genes: </w:t>
            </w:r>
            <w:r w:rsidRPr="000A1D7B">
              <w:rPr>
                <w:i/>
                <w:iCs/>
                <w:lang w:eastAsia="ja-JP"/>
              </w:rPr>
              <w:t xml:space="preserve">DMPK, CNBP, HTT, PABPN1, C9orf72, AR, SMN1, PRNP, MT-ND1, MT-ND4, MT-ND4L, MT-ND6, MT-TK, MT-TL1, MT-ATP6, </w:t>
            </w:r>
            <w:r w:rsidR="00BF49D4">
              <w:rPr>
                <w:i/>
                <w:iCs/>
                <w:lang w:eastAsia="ja-JP"/>
              </w:rPr>
              <w:t>FXN</w:t>
            </w:r>
            <w:r w:rsidRPr="000A1D7B">
              <w:rPr>
                <w:i/>
                <w:iCs/>
                <w:lang w:eastAsia="ja-JP"/>
              </w:rPr>
              <w:t>, ATN1</w:t>
            </w:r>
            <w:r>
              <w:rPr>
                <w:i/>
                <w:iCs/>
                <w:lang w:eastAsia="ja-JP"/>
              </w:rPr>
              <w:t>, DUX4</w:t>
            </w:r>
            <w:r w:rsidRPr="000A1D7B">
              <w:rPr>
                <w:lang w:eastAsia="ja-JP"/>
              </w:rPr>
              <w:t>; or</w:t>
            </w:r>
            <w:r w:rsidRPr="000A1D7B">
              <w:rPr>
                <w:i/>
                <w:iCs/>
                <w:lang w:eastAsia="ja-JP"/>
              </w:rPr>
              <w:t xml:space="preserve"> </w:t>
            </w:r>
          </w:p>
          <w:p w14:paraId="3F1B0959" w14:textId="51F5CDE6" w:rsidR="00870B43" w:rsidRPr="000A1D7B" w:rsidRDefault="00870B43" w:rsidP="007D4B83">
            <w:pPr>
              <w:numPr>
                <w:ilvl w:val="0"/>
                <w:numId w:val="44"/>
              </w:numPr>
              <w:spacing w:before="0" w:after="120"/>
              <w:rPr>
                <w:lang w:eastAsia="ja-JP"/>
              </w:rPr>
            </w:pPr>
            <w:r w:rsidRPr="000A1D7B">
              <w:rPr>
                <w:lang w:eastAsia="ja-JP"/>
              </w:rPr>
              <w:t>all five of the following genes</w:t>
            </w:r>
            <w:r w:rsidRPr="000A1D7B">
              <w:rPr>
                <w:i/>
                <w:iCs/>
                <w:lang w:eastAsia="ja-JP"/>
              </w:rPr>
              <w:t xml:space="preserve">: </w:t>
            </w:r>
            <w:r w:rsidR="00BF49D4">
              <w:rPr>
                <w:i/>
                <w:iCs/>
                <w:lang w:eastAsia="ja-JP"/>
              </w:rPr>
              <w:t xml:space="preserve"> ATXN1, ATXN2, ATXN3, CACNA1A, ATXN7</w:t>
            </w:r>
          </w:p>
          <w:p w14:paraId="0B42771F" w14:textId="77777777" w:rsidR="00870B43" w:rsidRDefault="00870B43" w:rsidP="007D4B83">
            <w:pPr>
              <w:spacing w:before="0" w:after="120"/>
              <w:rPr>
                <w:lang w:eastAsia="ja-JP"/>
              </w:rPr>
            </w:pPr>
            <w:r w:rsidRPr="000A1D7B">
              <w:rPr>
                <w:lang w:eastAsia="ja-JP"/>
              </w:rPr>
              <w:t>Subject to rule 25 – once per gene per lifetime</w:t>
            </w:r>
          </w:p>
          <w:p w14:paraId="0FE0A74C" w14:textId="166DC575" w:rsidR="00870B43" w:rsidRPr="004C2B2A" w:rsidRDefault="00870B43" w:rsidP="007D4B83">
            <w:pPr>
              <w:spacing w:before="0"/>
              <w:rPr>
                <w:lang w:val="en-US" w:eastAsia="ja-JP"/>
              </w:rPr>
            </w:pPr>
            <w:r w:rsidRPr="000A1D7B">
              <w:rPr>
                <w:b/>
                <w:bCs/>
                <w:lang w:eastAsia="ja-JP"/>
              </w:rPr>
              <w:t>Fee</w:t>
            </w:r>
            <w:r w:rsidRPr="000A1D7B">
              <w:rPr>
                <w:lang w:eastAsia="ja-JP"/>
              </w:rPr>
              <w:t>: $</w:t>
            </w:r>
            <w:r>
              <w:rPr>
                <w:lang w:eastAsia="ja-JP"/>
              </w:rPr>
              <w:t>414</w:t>
            </w:r>
            <w:r w:rsidRPr="000A1D7B">
              <w:rPr>
                <w:lang w:eastAsia="ja-JP"/>
              </w:rPr>
              <w:t>.00</w:t>
            </w:r>
            <w:r w:rsidRPr="000A1D7B">
              <w:rPr>
                <w:lang w:eastAsia="ja-JP"/>
              </w:rPr>
              <w:tab/>
            </w:r>
            <w:r w:rsidRPr="000A1D7B">
              <w:rPr>
                <w:b/>
                <w:bCs/>
                <w:lang w:eastAsia="ja-JP"/>
              </w:rPr>
              <w:t>Benefit</w:t>
            </w:r>
            <w:r w:rsidRPr="000A1D7B">
              <w:rPr>
                <w:lang w:eastAsia="ja-JP"/>
              </w:rPr>
              <w:t>: 75% = $3</w:t>
            </w:r>
            <w:r>
              <w:rPr>
                <w:lang w:eastAsia="ja-JP"/>
              </w:rPr>
              <w:t>31</w:t>
            </w:r>
            <w:r w:rsidRPr="000A1D7B">
              <w:rPr>
                <w:lang w:eastAsia="ja-JP"/>
              </w:rPr>
              <w:t>.</w:t>
            </w:r>
            <w:r>
              <w:rPr>
                <w:lang w:eastAsia="ja-JP"/>
              </w:rPr>
              <w:t>2</w:t>
            </w:r>
            <w:r w:rsidRPr="000A1D7B">
              <w:rPr>
                <w:lang w:eastAsia="ja-JP"/>
              </w:rPr>
              <w:t>0      85% = $3</w:t>
            </w:r>
            <w:r>
              <w:rPr>
                <w:lang w:eastAsia="ja-JP"/>
              </w:rPr>
              <w:t>51</w:t>
            </w:r>
            <w:r w:rsidRPr="000A1D7B">
              <w:rPr>
                <w:lang w:eastAsia="ja-JP"/>
              </w:rPr>
              <w:t>.</w:t>
            </w:r>
            <w:r>
              <w:rPr>
                <w:lang w:eastAsia="ja-JP"/>
              </w:rPr>
              <w:t>9</w:t>
            </w:r>
            <w:r w:rsidRPr="000A1D7B">
              <w:rPr>
                <w:lang w:eastAsia="ja-JP"/>
              </w:rPr>
              <w:t>0</w:t>
            </w:r>
          </w:p>
        </w:tc>
      </w:tr>
    </w:tbl>
    <w:p w14:paraId="7C169DE8" w14:textId="77777777" w:rsidR="00870B43" w:rsidRDefault="00870B43" w:rsidP="00870B43">
      <w:pPr>
        <w:pStyle w:val="Tablenotes0"/>
      </w:pPr>
      <w:r>
        <w:t>Where applicable t</w:t>
      </w:r>
      <w:r w:rsidRPr="000A1D7B">
        <w:t>he 85% benefit</w:t>
      </w:r>
      <w:r>
        <w:t xml:space="preserve"> </w:t>
      </w:r>
      <w:r w:rsidRPr="000A1D7B">
        <w:t>reflect</w:t>
      </w:r>
      <w:r>
        <w:t>s</w:t>
      </w:r>
      <w:r w:rsidRPr="000A1D7B">
        <w:t xml:space="preserve"> the greatest permissible gap of $87</w:t>
      </w:r>
      <w:r>
        <w:t>.9</w:t>
      </w:r>
      <w:r w:rsidRPr="000A1D7B">
        <w:t>0, as of 1 November 202</w:t>
      </w:r>
      <w:r>
        <w:t>1</w:t>
      </w:r>
      <w:r w:rsidRPr="000A1D7B">
        <w:t>.</w:t>
      </w:r>
    </w:p>
    <w:p w14:paraId="0D4E8903" w14:textId="64EDDF51" w:rsidR="006F4EBA" w:rsidRPr="00986EC1" w:rsidRDefault="006F4EBA" w:rsidP="003F311A">
      <w:pPr>
        <w:pStyle w:val="Heading1"/>
        <w:ind w:hanging="720"/>
      </w:pPr>
      <w:r w:rsidRPr="00986EC1">
        <w:t>Population</w:t>
      </w:r>
      <w:bookmarkEnd w:id="15"/>
    </w:p>
    <w:p w14:paraId="56B77B99" w14:textId="297704CD" w:rsidR="00BE23D6" w:rsidRPr="001326EB" w:rsidRDefault="00BE23D6" w:rsidP="00BE23D6">
      <w:pPr>
        <w:spacing w:after="240"/>
        <w:rPr>
          <w:rFonts w:ascii="Franklin Gothic Book" w:hAnsi="Franklin Gothic Book"/>
          <w:iCs/>
          <w:sz w:val="22"/>
          <w:szCs w:val="22"/>
        </w:rPr>
      </w:pPr>
      <w:r w:rsidRPr="001326EB">
        <w:rPr>
          <w:rFonts w:ascii="Franklin Gothic Book" w:hAnsi="Franklin Gothic Book"/>
          <w:iCs/>
          <w:sz w:val="22"/>
          <w:szCs w:val="22"/>
        </w:rPr>
        <w:t xml:space="preserve">The neuromuscular conditions encompassed by the gene panel described </w:t>
      </w:r>
      <w:r>
        <w:rPr>
          <w:rFonts w:ascii="Franklin Gothic Book" w:hAnsi="Franklin Gothic Book"/>
          <w:iCs/>
          <w:sz w:val="22"/>
          <w:szCs w:val="22"/>
        </w:rPr>
        <w:t>i</w:t>
      </w:r>
      <w:r w:rsidRPr="001326EB">
        <w:rPr>
          <w:rFonts w:ascii="Franklin Gothic Book" w:hAnsi="Franklin Gothic Book"/>
          <w:iCs/>
          <w:sz w:val="22"/>
          <w:szCs w:val="22"/>
        </w:rPr>
        <w:t xml:space="preserve">n </w:t>
      </w:r>
      <w:r>
        <w:rPr>
          <w:rFonts w:ascii="Franklin Gothic Book" w:hAnsi="Franklin Gothic Book"/>
          <w:iCs/>
          <w:sz w:val="22"/>
          <w:szCs w:val="22"/>
        </w:rPr>
        <w:t xml:space="preserve">the main assessment of </w:t>
      </w:r>
      <w:r w:rsidRPr="001326EB">
        <w:rPr>
          <w:rFonts w:ascii="Franklin Gothic Book" w:hAnsi="Franklin Gothic Book"/>
          <w:iCs/>
          <w:sz w:val="22"/>
          <w:szCs w:val="22"/>
        </w:rPr>
        <w:t>MSAC Application 1585 were noted to be heterogeneous in terms of their phenotype, inheritance pattern, clinical management and prognosis. The place of the gene panel in the diagnostic pathway was defined as for use in individuals in whom there is a clinical diagnosis of a neuromuscular condition, but that requires further delineation, or amendment, by genetic diagnosis. Given the indistinct phenotype(s) of many of the conditions, or where the phenotype is relatively clinically defined but has a diverse range of causal genetic variants and inheritance patterns (such as in Charcot-Marie-Tooth) the only method of refining or accurately ascertaining a diagnosis is by genetic testing. As a consequence of making a diagnosis of a heritable NMD, cascade testing, reproductive partner testing and fetal testing items were considered, and all recommended for MBS reimbursement.</w:t>
      </w:r>
    </w:p>
    <w:p w14:paraId="580D8D33" w14:textId="300417A2" w:rsidR="00BE23D6" w:rsidRPr="001326EB" w:rsidRDefault="00BE23D6" w:rsidP="00BE23D6">
      <w:pPr>
        <w:spacing w:after="240"/>
        <w:rPr>
          <w:rFonts w:ascii="Franklin Gothic Book" w:hAnsi="Franklin Gothic Book"/>
          <w:iCs/>
          <w:sz w:val="22"/>
          <w:szCs w:val="22"/>
        </w:rPr>
      </w:pPr>
      <w:r w:rsidRPr="001326EB">
        <w:rPr>
          <w:rFonts w:ascii="Franklin Gothic Book" w:hAnsi="Franklin Gothic Book"/>
          <w:iCs/>
          <w:sz w:val="22"/>
          <w:szCs w:val="22"/>
        </w:rPr>
        <w:t xml:space="preserve">However, as was noted in the second assessment of 1585, the NMD gene panel is not proposed to be used in individuals with a clinical phenotype associated with a genetic variant that cannot be detected using NGS methods – this caveat is explicit within MSAC-supported </w:t>
      </w:r>
      <w:r>
        <w:rPr>
          <w:rFonts w:ascii="Franklin Gothic Book" w:hAnsi="Franklin Gothic Book"/>
          <w:iCs/>
          <w:sz w:val="22"/>
          <w:szCs w:val="22"/>
        </w:rPr>
        <w:t xml:space="preserve">1585 </w:t>
      </w:r>
      <w:r w:rsidRPr="001326EB">
        <w:rPr>
          <w:rFonts w:ascii="Franklin Gothic Book" w:hAnsi="Franklin Gothic Book"/>
          <w:iCs/>
          <w:sz w:val="22"/>
          <w:szCs w:val="22"/>
        </w:rPr>
        <w:t>item AAAA. Given the stated clinical difficulty in ascertaining a comprehensive diagnosis, it is proposed that the individuals who undergo a SGT, but are not assigned a genetic diagnosis, could then proceed to the NMD gene panel. As with the NMD gene panel, the use of the SGT would obviate the need for invasive phenotype tests, such as a nerve or muscle biopsy among those individuals in whom a diagnosis of a heritable NMD is made.</w:t>
      </w:r>
    </w:p>
    <w:p w14:paraId="1136FD4E" w14:textId="55FFEAF6" w:rsidR="001326EB" w:rsidRPr="001326EB" w:rsidRDefault="001326EB" w:rsidP="001326EB">
      <w:pPr>
        <w:spacing w:after="240"/>
        <w:rPr>
          <w:rFonts w:ascii="Franklin Gothic Book" w:hAnsi="Franklin Gothic Book"/>
          <w:iCs/>
          <w:sz w:val="22"/>
          <w:szCs w:val="22"/>
        </w:rPr>
      </w:pPr>
      <w:r w:rsidRPr="001326EB">
        <w:rPr>
          <w:rFonts w:ascii="Franklin Gothic Book" w:hAnsi="Franklin Gothic Book"/>
          <w:iCs/>
          <w:sz w:val="22"/>
          <w:szCs w:val="22"/>
        </w:rPr>
        <w:t xml:space="preserve">The clinical algorithm for the place of the gene panel in clinical management was described in the </w:t>
      </w:r>
      <w:r w:rsidR="00BE23D6">
        <w:rPr>
          <w:rFonts w:ascii="Franklin Gothic Book" w:hAnsi="Franklin Gothic Book"/>
          <w:iCs/>
          <w:sz w:val="22"/>
          <w:szCs w:val="22"/>
        </w:rPr>
        <w:t>main</w:t>
      </w:r>
      <w:r w:rsidR="00BE23D6" w:rsidRPr="001326EB">
        <w:rPr>
          <w:rFonts w:ascii="Franklin Gothic Book" w:hAnsi="Franklin Gothic Book"/>
          <w:iCs/>
          <w:sz w:val="22"/>
          <w:szCs w:val="22"/>
        </w:rPr>
        <w:t xml:space="preserve"> </w:t>
      </w:r>
      <w:r w:rsidRPr="001326EB">
        <w:rPr>
          <w:rFonts w:ascii="Franklin Gothic Book" w:hAnsi="Franklin Gothic Book"/>
          <w:iCs/>
          <w:sz w:val="22"/>
          <w:szCs w:val="22"/>
        </w:rPr>
        <w:t>assessment of 1585, shown in Figure 1. This algorithm demonstrates the prior tests (requested by a consultant paediatrician or neurologist) before either SGT or gene panel testing, and the need for individuals with an uninformative SGT to then proceed to the gene panel. For individuals who cannot be assigned a diagnosis of a heritable NMD, they would proceed to a nerve or muscle biopsy and other investigations.</w:t>
      </w:r>
    </w:p>
    <w:p w14:paraId="05A04493" w14:textId="77777777" w:rsidR="001326EB" w:rsidRDefault="001326EB" w:rsidP="001326EB">
      <w:r>
        <w:rPr>
          <w:noProof/>
        </w:rPr>
        <mc:AlternateContent>
          <mc:Choice Requires="wpc">
            <w:drawing>
              <wp:inline distT="0" distB="0" distL="0" distR="0" wp14:anchorId="22E17BC0" wp14:editId="3F5547C5">
                <wp:extent cx="5486400" cy="6734175"/>
                <wp:effectExtent l="0" t="0" r="0" b="9525"/>
                <wp:docPr id="48" name="Canvas 48" descr="Clinical algorithm including proposed NMD genetic testing."/>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 name="Rectangle: Rounded Corners 3"/>
                        <wps:cNvSpPr/>
                        <wps:spPr>
                          <a:xfrm>
                            <a:off x="493396" y="0"/>
                            <a:ext cx="4514849" cy="1463040"/>
                          </a:xfrm>
                          <a:prstGeom prst="roundRect">
                            <a:avLst/>
                          </a:prstGeom>
                          <a:solidFill>
                            <a:srgbClr val="FFE79B"/>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30A8D" w14:textId="77777777" w:rsidR="00300624" w:rsidRPr="00992D53" w:rsidRDefault="00300624" w:rsidP="001326EB">
                              <w:pPr>
                                <w:rPr>
                                  <w:rFonts w:ascii="Arial" w:hAnsi="Arial" w:cs="Arial"/>
                                  <w:color w:val="000000" w:themeColor="text1"/>
                                  <w:sz w:val="20"/>
                                  <w:szCs w:val="16"/>
                                </w:rPr>
                              </w:pPr>
                              <w:r w:rsidRPr="00992D53">
                                <w:rPr>
                                  <w:rFonts w:ascii="Arial" w:hAnsi="Arial" w:cs="Arial"/>
                                  <w:color w:val="000000" w:themeColor="text1"/>
                                  <w:sz w:val="20"/>
                                  <w:szCs w:val="16"/>
                                </w:rPr>
                                <w:t>Patient referred to paediatrician / consultant neurologist</w:t>
                              </w:r>
                            </w:p>
                            <w:p w14:paraId="56E87C8B" w14:textId="77777777" w:rsidR="00300624" w:rsidRPr="00992D53" w:rsidRDefault="00300624" w:rsidP="001326EB">
                              <w:pPr>
                                <w:rPr>
                                  <w:rFonts w:ascii="Arial" w:hAnsi="Arial" w:cs="Arial"/>
                                  <w:color w:val="000000" w:themeColor="text1"/>
                                  <w:sz w:val="20"/>
                                  <w:szCs w:val="16"/>
                                </w:rPr>
                              </w:pPr>
                              <w:r w:rsidRPr="00992D53">
                                <w:rPr>
                                  <w:rFonts w:ascii="Arial" w:hAnsi="Arial" w:cs="Arial"/>
                                  <w:color w:val="000000" w:themeColor="text1"/>
                                  <w:sz w:val="20"/>
                                  <w:szCs w:val="16"/>
                                </w:rPr>
                                <w:t>Detailed clinical examination for NMDs:</w:t>
                              </w:r>
                            </w:p>
                            <w:p w14:paraId="2FFEB89D" w14:textId="77777777" w:rsidR="00300624" w:rsidRPr="007136F6" w:rsidRDefault="00300624" w:rsidP="001326EB">
                              <w:pPr>
                                <w:pStyle w:val="ListParagraph"/>
                                <w:numPr>
                                  <w:ilvl w:val="0"/>
                                  <w:numId w:val="39"/>
                                </w:numPr>
                                <w:ind w:left="426" w:hanging="284"/>
                                <w:rPr>
                                  <w:rFonts w:ascii="Arial" w:hAnsi="Arial" w:cs="Arial"/>
                                  <w:color w:val="000000" w:themeColor="text1"/>
                                  <w:sz w:val="18"/>
                                  <w:szCs w:val="14"/>
                                </w:rPr>
                              </w:pPr>
                              <w:r w:rsidRPr="007136F6">
                                <w:rPr>
                                  <w:rFonts w:ascii="Arial" w:hAnsi="Arial" w:cs="Arial"/>
                                  <w:color w:val="000000" w:themeColor="text1"/>
                                  <w:sz w:val="18"/>
                                  <w:szCs w:val="14"/>
                                </w:rPr>
                                <w:t>Comprehensive neurological examination</w:t>
                              </w:r>
                            </w:p>
                            <w:p w14:paraId="59FD29E3" w14:textId="77777777" w:rsidR="00300624" w:rsidRPr="007136F6" w:rsidRDefault="00300624" w:rsidP="001326EB">
                              <w:pPr>
                                <w:pStyle w:val="ListParagraph"/>
                                <w:numPr>
                                  <w:ilvl w:val="0"/>
                                  <w:numId w:val="39"/>
                                </w:numPr>
                                <w:ind w:left="426" w:hanging="284"/>
                                <w:rPr>
                                  <w:rFonts w:ascii="Arial" w:hAnsi="Arial" w:cs="Arial"/>
                                  <w:color w:val="000000" w:themeColor="text1"/>
                                  <w:sz w:val="18"/>
                                  <w:szCs w:val="14"/>
                                </w:rPr>
                              </w:pPr>
                              <w:r w:rsidRPr="007136F6">
                                <w:rPr>
                                  <w:rFonts w:ascii="Arial" w:hAnsi="Arial" w:cs="Arial"/>
                                  <w:color w:val="000000" w:themeColor="text1"/>
                                  <w:sz w:val="18"/>
                                  <w:szCs w:val="14"/>
                                </w:rPr>
                                <w:t>Muscle weakness / hypertonia</w:t>
                              </w:r>
                            </w:p>
                            <w:p w14:paraId="603CD4E9" w14:textId="77777777" w:rsidR="00300624" w:rsidRPr="007136F6" w:rsidRDefault="00300624" w:rsidP="001326EB">
                              <w:pPr>
                                <w:pStyle w:val="ListParagraph"/>
                                <w:numPr>
                                  <w:ilvl w:val="0"/>
                                  <w:numId w:val="39"/>
                                </w:numPr>
                                <w:ind w:left="426" w:hanging="284"/>
                                <w:rPr>
                                  <w:rFonts w:ascii="Arial" w:hAnsi="Arial" w:cs="Arial"/>
                                  <w:color w:val="000000" w:themeColor="text1"/>
                                  <w:sz w:val="18"/>
                                  <w:szCs w:val="14"/>
                                </w:rPr>
                              </w:pPr>
                              <w:r w:rsidRPr="007136F6">
                                <w:rPr>
                                  <w:rFonts w:ascii="Arial" w:hAnsi="Arial" w:cs="Arial"/>
                                  <w:color w:val="000000" w:themeColor="text1"/>
                                  <w:sz w:val="18"/>
                                  <w:szCs w:val="14"/>
                                </w:rPr>
                                <w:t>Presence of specific signs (e.g. contractures, calf hypertrophy)</w:t>
                              </w:r>
                            </w:p>
                            <w:p w14:paraId="18C0DA9E" w14:textId="77777777" w:rsidR="00300624" w:rsidRPr="007136F6" w:rsidRDefault="00300624" w:rsidP="001326EB">
                              <w:pPr>
                                <w:pStyle w:val="ListParagraph"/>
                                <w:numPr>
                                  <w:ilvl w:val="0"/>
                                  <w:numId w:val="39"/>
                                </w:numPr>
                                <w:ind w:left="426" w:hanging="284"/>
                                <w:rPr>
                                  <w:rFonts w:ascii="Arial" w:hAnsi="Arial" w:cs="Arial"/>
                                  <w:color w:val="000000" w:themeColor="text1"/>
                                  <w:sz w:val="18"/>
                                  <w:szCs w:val="14"/>
                                </w:rPr>
                              </w:pPr>
                              <w:r w:rsidRPr="007136F6">
                                <w:rPr>
                                  <w:rFonts w:ascii="Arial" w:hAnsi="Arial" w:cs="Arial"/>
                                  <w:color w:val="000000" w:themeColor="text1"/>
                                  <w:sz w:val="18"/>
                                  <w:szCs w:val="14"/>
                                </w:rPr>
                                <w:t>Presence of complications (e.g. respiratory failure, cardiomyopathy)</w:t>
                              </w:r>
                            </w:p>
                            <w:p w14:paraId="398FAF6C" w14:textId="77777777" w:rsidR="00300624" w:rsidRPr="007136F6" w:rsidRDefault="00300624" w:rsidP="001326EB">
                              <w:pPr>
                                <w:pStyle w:val="ListParagraph"/>
                                <w:numPr>
                                  <w:ilvl w:val="0"/>
                                  <w:numId w:val="39"/>
                                </w:numPr>
                                <w:ind w:left="426" w:hanging="284"/>
                                <w:rPr>
                                  <w:rFonts w:ascii="Arial" w:hAnsi="Arial" w:cs="Arial"/>
                                  <w:color w:val="000000" w:themeColor="text1"/>
                                  <w:sz w:val="18"/>
                                  <w:szCs w:val="14"/>
                                </w:rPr>
                              </w:pPr>
                              <w:r w:rsidRPr="007136F6">
                                <w:rPr>
                                  <w:rFonts w:ascii="Arial" w:hAnsi="Arial" w:cs="Arial"/>
                                  <w:color w:val="000000" w:themeColor="text1"/>
                                  <w:sz w:val="18"/>
                                  <w:szCs w:val="14"/>
                                </w:rPr>
                                <w:t>± metabolic studies, ± electrophysiology, ± imaging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Rectangle: Rounded Corners 9"/>
                        <wps:cNvSpPr/>
                        <wps:spPr>
                          <a:xfrm>
                            <a:off x="1713525" y="1617118"/>
                            <a:ext cx="2819740" cy="306975"/>
                          </a:xfrm>
                          <a:prstGeom prst="roundRect">
                            <a:avLst/>
                          </a:prstGeom>
                          <a:solidFill>
                            <a:srgbClr val="FFE79B"/>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9D718" w14:textId="77777777" w:rsidR="00300624" w:rsidRPr="00303C98" w:rsidRDefault="00300624" w:rsidP="001326EB">
                              <w:pPr>
                                <w:jc w:val="center"/>
                                <w:rPr>
                                  <w:rFonts w:ascii="Arial" w:hAnsi="Arial" w:cs="Arial"/>
                                  <w:color w:val="000000" w:themeColor="text1"/>
                                  <w:sz w:val="20"/>
                                  <w:szCs w:val="16"/>
                                </w:rPr>
                              </w:pPr>
                              <w:r>
                                <w:rPr>
                                  <w:rFonts w:ascii="Arial" w:hAnsi="Arial" w:cs="Arial"/>
                                  <w:color w:val="000000" w:themeColor="text1"/>
                                  <w:sz w:val="20"/>
                                  <w:szCs w:val="16"/>
                                </w:rPr>
                                <w:t>NMD with suspected genetic aetiology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Rectangle: Rounded Corners 10"/>
                        <wps:cNvSpPr/>
                        <wps:spPr>
                          <a:xfrm>
                            <a:off x="161925" y="2197640"/>
                            <a:ext cx="2809875" cy="1269460"/>
                          </a:xfrm>
                          <a:prstGeom prst="roundRect">
                            <a:avLst/>
                          </a:prstGeom>
                          <a:solidFill>
                            <a:schemeClr val="accent5">
                              <a:lumMod val="40000"/>
                              <a:lumOff val="6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3DF2A" w14:textId="77777777" w:rsidR="00300624" w:rsidRPr="004D69FE" w:rsidRDefault="00300624" w:rsidP="001326EB">
                              <w:pPr>
                                <w:rPr>
                                  <w:rFonts w:ascii="Arial" w:hAnsi="Arial" w:cs="Arial"/>
                                  <w:b/>
                                  <w:bCs/>
                                  <w:color w:val="000000" w:themeColor="text1"/>
                                  <w:sz w:val="20"/>
                                </w:rPr>
                              </w:pPr>
                              <w:r>
                                <w:rPr>
                                  <w:rFonts w:ascii="Arial" w:hAnsi="Arial" w:cs="Arial"/>
                                  <w:b/>
                                  <w:bCs/>
                                  <w:color w:val="000000" w:themeColor="text1"/>
                                  <w:sz w:val="20"/>
                                </w:rPr>
                                <w:t>Suspected NMD</w:t>
                              </w:r>
                              <w:r w:rsidRPr="004D69FE">
                                <w:rPr>
                                  <w:rFonts w:ascii="Arial" w:hAnsi="Arial" w:cs="Arial"/>
                                  <w:b/>
                                  <w:bCs/>
                                  <w:color w:val="000000" w:themeColor="text1"/>
                                  <w:sz w:val="20"/>
                                </w:rPr>
                                <w:t xml:space="preserve"> that </w:t>
                              </w:r>
                              <w:r>
                                <w:rPr>
                                  <w:rFonts w:ascii="Arial" w:hAnsi="Arial" w:cs="Arial"/>
                                  <w:b/>
                                  <w:bCs/>
                                  <w:color w:val="000000" w:themeColor="text1"/>
                                  <w:sz w:val="20"/>
                                </w:rPr>
                                <w:t xml:space="preserve">may </w:t>
                              </w:r>
                              <w:r w:rsidRPr="004D69FE">
                                <w:rPr>
                                  <w:rFonts w:ascii="Arial" w:hAnsi="Arial" w:cs="Arial"/>
                                  <w:b/>
                                  <w:bCs/>
                                  <w:color w:val="000000" w:themeColor="text1"/>
                                  <w:sz w:val="20"/>
                                </w:rPr>
                                <w:t>require single gene test</w:t>
                              </w:r>
                              <w:r>
                                <w:rPr>
                                  <w:rFonts w:ascii="Arial" w:hAnsi="Arial" w:cs="Arial"/>
                                  <w:b/>
                                  <w:bCs/>
                                  <w:color w:val="000000" w:themeColor="text1"/>
                                  <w:sz w:val="20"/>
                                </w:rPr>
                                <w:t xml:space="preserve"> as the variant is not detectable using NGS methods</w:t>
                              </w:r>
                            </w:p>
                            <w:p w14:paraId="0B9501BD" w14:textId="77777777" w:rsidR="00300624" w:rsidRPr="004D69FE" w:rsidRDefault="00300624" w:rsidP="001326EB">
                              <w:pPr>
                                <w:rPr>
                                  <w:rFonts w:ascii="Arial" w:hAnsi="Arial" w:cs="Arial"/>
                                  <w:color w:val="000000" w:themeColor="text1"/>
                                  <w:sz w:val="20"/>
                                  <w:szCs w:val="16"/>
                                </w:rPr>
                              </w:pPr>
                              <w:r w:rsidRPr="004D69FE">
                                <w:rPr>
                                  <w:rFonts w:ascii="Arial" w:hAnsi="Arial" w:cs="Arial"/>
                                  <w:color w:val="000000" w:themeColor="text1"/>
                                  <w:sz w:val="20"/>
                                  <w:szCs w:val="16"/>
                                </w:rPr>
                                <w:t xml:space="preserve">E.g. </w:t>
                              </w:r>
                              <w:r w:rsidRPr="004D69FE">
                                <w:rPr>
                                  <w:rFonts w:ascii="Arial" w:hAnsi="Arial" w:cs="Arial"/>
                                  <w:i/>
                                  <w:iCs/>
                                  <w:color w:val="000000" w:themeColor="text1"/>
                                  <w:sz w:val="20"/>
                                  <w:szCs w:val="16"/>
                                </w:rPr>
                                <w:t>SMN1</w:t>
                              </w:r>
                              <w:r w:rsidRPr="004D69FE">
                                <w:rPr>
                                  <w:rFonts w:ascii="Arial" w:hAnsi="Arial" w:cs="Arial"/>
                                  <w:color w:val="000000" w:themeColor="text1"/>
                                  <w:sz w:val="20"/>
                                  <w:szCs w:val="16"/>
                                </w:rPr>
                                <w:t xml:space="preserve"> for spinal muscular atrophy, </w:t>
                              </w:r>
                              <w:r w:rsidRPr="004D69FE">
                                <w:rPr>
                                  <w:rFonts w:ascii="Arial" w:hAnsi="Arial" w:cs="Arial"/>
                                  <w:i/>
                                  <w:iCs/>
                                  <w:color w:val="000000" w:themeColor="text1"/>
                                  <w:sz w:val="20"/>
                                  <w:szCs w:val="16"/>
                                </w:rPr>
                                <w:t>DMPK</w:t>
                              </w:r>
                              <w:r w:rsidRPr="004D69FE">
                                <w:rPr>
                                  <w:rFonts w:ascii="Arial" w:hAnsi="Arial" w:cs="Arial"/>
                                  <w:color w:val="000000" w:themeColor="text1"/>
                                  <w:sz w:val="20"/>
                                  <w:szCs w:val="16"/>
                                </w:rPr>
                                <w:t xml:space="preserve"> for myotonic dystrophy type 1, </w:t>
                              </w:r>
                              <w:r w:rsidRPr="004D69FE">
                                <w:rPr>
                                  <w:rFonts w:ascii="Arial" w:hAnsi="Arial" w:cs="Arial"/>
                                  <w:i/>
                                  <w:iCs/>
                                  <w:color w:val="000000" w:themeColor="text1"/>
                                  <w:sz w:val="20"/>
                                  <w:szCs w:val="16"/>
                                </w:rPr>
                                <w:t>DUX4</w:t>
                              </w:r>
                              <w:r w:rsidRPr="004D69FE">
                                <w:rPr>
                                  <w:rFonts w:ascii="Arial" w:hAnsi="Arial" w:cs="Arial"/>
                                  <w:color w:val="000000" w:themeColor="text1"/>
                                  <w:sz w:val="20"/>
                                  <w:szCs w:val="16"/>
                                </w:rPr>
                                <w:t xml:space="preserve"> for facioscapulohumeral dystrophy type 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Rectangle: Rounded Corners 11"/>
                        <wps:cNvSpPr/>
                        <wps:spPr>
                          <a:xfrm>
                            <a:off x="1638300" y="4397643"/>
                            <a:ext cx="3633471" cy="449434"/>
                          </a:xfrm>
                          <a:prstGeom prst="roundRect">
                            <a:avLst/>
                          </a:prstGeom>
                          <a:solidFill>
                            <a:schemeClr val="accent5">
                              <a:lumMod val="40000"/>
                              <a:lumOff val="6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5EB57B" w14:textId="77777777" w:rsidR="00300624" w:rsidRDefault="00300624" w:rsidP="001326EB">
                              <w:r w:rsidRPr="004D69FE">
                                <w:rPr>
                                  <w:rFonts w:ascii="Arial" w:hAnsi="Arial" w:cs="Arial"/>
                                  <w:b/>
                                  <w:bCs/>
                                  <w:color w:val="000000"/>
                                  <w:sz w:val="20"/>
                                </w:rPr>
                                <w:t>Panel testing</w:t>
                              </w:r>
                              <w:r>
                                <w:rPr>
                                  <w:rFonts w:ascii="Arial" w:hAnsi="Arial" w:cs="Arial"/>
                                  <w:color w:val="000000"/>
                                  <w:sz w:val="20"/>
                                </w:rPr>
                                <w:t>: myopathy or neuropathy panel, depending on clinical phenotype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Rectangle: Rounded Corners 12"/>
                        <wps:cNvSpPr/>
                        <wps:spPr>
                          <a:xfrm>
                            <a:off x="2761274" y="5177788"/>
                            <a:ext cx="2544150" cy="880112"/>
                          </a:xfrm>
                          <a:prstGeom prst="roundRect">
                            <a:avLst/>
                          </a:prstGeom>
                          <a:solidFill>
                            <a:srgbClr val="FFE79B"/>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303D0E" w14:textId="77777777" w:rsidR="00300624" w:rsidRPr="005C3EFD" w:rsidRDefault="00300624" w:rsidP="001326EB">
                              <w:pPr>
                                <w:rPr>
                                  <w:rFonts w:ascii="Arial" w:hAnsi="Arial" w:cs="Arial"/>
                                  <w:color w:val="000000"/>
                                  <w:sz w:val="20"/>
                                </w:rPr>
                              </w:pPr>
                              <w:r w:rsidRPr="005C3EFD">
                                <w:rPr>
                                  <w:rFonts w:ascii="Arial" w:hAnsi="Arial" w:cs="Arial"/>
                                  <w:color w:val="000000"/>
                                  <w:sz w:val="20"/>
                                </w:rPr>
                                <w:t>No underlying genetic cause identified</w:t>
                              </w:r>
                            </w:p>
                            <w:p w14:paraId="5BA309F1" w14:textId="77777777" w:rsidR="00300624" w:rsidRPr="00784C86" w:rsidRDefault="00300624" w:rsidP="001326EB">
                              <w:pPr>
                                <w:pStyle w:val="ListParagraph"/>
                                <w:numPr>
                                  <w:ilvl w:val="0"/>
                                  <w:numId w:val="40"/>
                                </w:numPr>
                                <w:ind w:left="284" w:hanging="284"/>
                                <w:rPr>
                                  <w:rFonts w:ascii="Arial" w:hAnsi="Arial" w:cs="Arial"/>
                                  <w:color w:val="000000" w:themeColor="text1"/>
                                  <w:sz w:val="20"/>
                                </w:rPr>
                              </w:pPr>
                              <w:r w:rsidRPr="005C3EFD">
                                <w:rPr>
                                  <w:rFonts w:ascii="Arial" w:hAnsi="Arial" w:cs="Arial"/>
                                  <w:color w:val="000000" w:themeColor="text1"/>
                                  <w:sz w:val="20"/>
                                </w:rPr>
                                <w:t xml:space="preserve">Consider other investigations including </w:t>
                              </w:r>
                              <w:r>
                                <w:rPr>
                                  <w:rFonts w:ascii="Arial" w:hAnsi="Arial" w:cs="Arial"/>
                                  <w:color w:val="000000" w:themeColor="text1"/>
                                  <w:sz w:val="20"/>
                                </w:rPr>
                                <w:t>m</w:t>
                              </w:r>
                              <w:r w:rsidRPr="005C3EFD">
                                <w:rPr>
                                  <w:rFonts w:ascii="Arial" w:hAnsi="Arial" w:cs="Arial"/>
                                  <w:color w:val="000000" w:themeColor="text1"/>
                                  <w:sz w:val="20"/>
                                </w:rPr>
                                <w:t>uscle/nerve biopsy or MRI if appropriate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Rectangle: Rounded Corners 13"/>
                        <wps:cNvSpPr/>
                        <wps:spPr>
                          <a:xfrm>
                            <a:off x="27599" y="5177742"/>
                            <a:ext cx="2543810" cy="788718"/>
                          </a:xfrm>
                          <a:prstGeom prst="roundRect">
                            <a:avLst/>
                          </a:prstGeom>
                          <a:solidFill>
                            <a:srgbClr val="FFE79B"/>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532D32" w14:textId="77777777" w:rsidR="00300624" w:rsidRDefault="00300624" w:rsidP="001326EB">
                              <w:pPr>
                                <w:rPr>
                                  <w:szCs w:val="24"/>
                                </w:rPr>
                              </w:pPr>
                              <w:r>
                                <w:rPr>
                                  <w:rFonts w:ascii="Arial" w:hAnsi="Arial" w:cs="Arial"/>
                                  <w:color w:val="000000"/>
                                  <w:sz w:val="20"/>
                                </w:rPr>
                                <w:t>Underlying genetic cause identified</w:t>
                              </w:r>
                            </w:p>
                            <w:p w14:paraId="16F9BE91" w14:textId="77777777" w:rsidR="00300624" w:rsidRPr="005C3EFD" w:rsidRDefault="00300624" w:rsidP="001326EB">
                              <w:pPr>
                                <w:pStyle w:val="ListParagraph"/>
                                <w:numPr>
                                  <w:ilvl w:val="0"/>
                                  <w:numId w:val="40"/>
                                </w:numPr>
                                <w:ind w:left="284" w:hanging="284"/>
                                <w:rPr>
                                  <w:rFonts w:ascii="Arial" w:hAnsi="Arial" w:cs="Arial"/>
                                  <w:color w:val="000000" w:themeColor="text1"/>
                                  <w:sz w:val="20"/>
                                </w:rPr>
                              </w:pPr>
                              <w:r w:rsidRPr="005C3EFD">
                                <w:rPr>
                                  <w:rFonts w:ascii="Arial" w:hAnsi="Arial" w:cs="Arial"/>
                                  <w:color w:val="000000" w:themeColor="text1"/>
                                  <w:sz w:val="20"/>
                                </w:rPr>
                                <w:t>Appropriate patient and family management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Rectangle: Rounded Corners 16"/>
                        <wps:cNvSpPr/>
                        <wps:spPr>
                          <a:xfrm>
                            <a:off x="1809750" y="3636302"/>
                            <a:ext cx="1414440" cy="478542"/>
                          </a:xfrm>
                          <a:prstGeom prst="roundRect">
                            <a:avLst/>
                          </a:prstGeom>
                          <a:solidFill>
                            <a:srgbClr val="FFE79B"/>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1621DE" w14:textId="77777777" w:rsidR="00300624" w:rsidRDefault="00300624" w:rsidP="001326EB">
                              <w:pPr>
                                <w:jc w:val="center"/>
                              </w:pPr>
                              <w:r>
                                <w:rPr>
                                  <w:rFonts w:ascii="Arial" w:hAnsi="Arial" w:cs="Arial"/>
                                  <w:color w:val="000000"/>
                                  <w:sz w:val="20"/>
                                </w:rPr>
                                <w:t>If negative, then panel testing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Straight Arrow Connector 38"/>
                        <wps:cNvCnPr>
                          <a:stCxn id="12" idx="2"/>
                          <a:endCxn id="30" idx="0"/>
                        </wps:cNvCnPr>
                        <wps:spPr>
                          <a:xfrm>
                            <a:off x="2750821" y="1463040"/>
                            <a:ext cx="372574" cy="1540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flipH="1">
                            <a:off x="2286000" y="1924093"/>
                            <a:ext cx="837395" cy="27354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a:stCxn id="33" idx="2"/>
                          <a:endCxn id="37" idx="0"/>
                        </wps:cNvCnPr>
                        <wps:spPr>
                          <a:xfrm>
                            <a:off x="1566863" y="3467100"/>
                            <a:ext cx="950107" cy="1692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a:stCxn id="33" idx="2"/>
                          <a:endCxn id="36" idx="0"/>
                        </wps:cNvCnPr>
                        <wps:spPr>
                          <a:xfrm flipH="1">
                            <a:off x="1299504" y="3467100"/>
                            <a:ext cx="267359" cy="171064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wps:spPr>
                          <a:xfrm>
                            <a:off x="3123395" y="1924093"/>
                            <a:ext cx="331641" cy="2473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a:off x="2516970" y="4114844"/>
                            <a:ext cx="938066" cy="2827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a:off x="3455036" y="4847077"/>
                            <a:ext cx="578313" cy="3307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Straight Arrow Connector 45"/>
                        <wps:cNvCnPr/>
                        <wps:spPr>
                          <a:xfrm flipH="1">
                            <a:off x="1299504" y="4847077"/>
                            <a:ext cx="2155532" cy="330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Rectangle: Rounded Corners 25"/>
                        <wps:cNvSpPr/>
                        <wps:spPr>
                          <a:xfrm>
                            <a:off x="2771773" y="6247469"/>
                            <a:ext cx="2524125" cy="448945"/>
                          </a:xfrm>
                          <a:prstGeom prst="roundRect">
                            <a:avLst/>
                          </a:prstGeom>
                          <a:solidFill>
                            <a:schemeClr val="accent5">
                              <a:lumMod val="40000"/>
                              <a:lumOff val="6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BD7D4D" w14:textId="77777777" w:rsidR="00300624" w:rsidRDefault="00300624" w:rsidP="001326EB">
                              <w:pPr>
                                <w:rPr>
                                  <w:szCs w:val="24"/>
                                </w:rPr>
                              </w:pPr>
                              <w:r>
                                <w:rPr>
                                  <w:rFonts w:ascii="Arial" w:hAnsi="Arial" w:cs="Arial"/>
                                  <w:b/>
                                  <w:bCs/>
                                  <w:color w:val="000000"/>
                                  <w:sz w:val="20"/>
                                </w:rPr>
                                <w:t xml:space="preserve">Re-analyse the data </w:t>
                              </w:r>
                              <w:r>
                                <w:rPr>
                                  <w:rFonts w:ascii="Arial" w:hAnsi="Arial" w:cs="Arial"/>
                                  <w:color w:val="000000"/>
                                  <w:sz w:val="20"/>
                                </w:rPr>
                                <w:t>as the pathogenic statuses of variants are changed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Straight Arrow Connector 47"/>
                        <wps:cNvCnPr/>
                        <wps:spPr>
                          <a:xfrm>
                            <a:off x="4033349" y="6057900"/>
                            <a:ext cx="487" cy="1895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2E17BC0" id="Canvas 48" o:spid="_x0000_s1026" editas="canvas" alt="Clinical algorithm including proposed NMD genetic testing." style="width:6in;height:530.25pt;mso-position-horizontal-relative:char;mso-position-vertical-relative:line" coordsize="54864,6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Clinical algorithm including proposed NMD genetic testing." style="position:absolute;width:54864;height:67341;visibility:visible;mso-wrap-style:square" filled="t">
                  <v:fill o:detectmouseclick="t"/>
                  <v:path o:connecttype="none"/>
                </v:shape>
                <v:roundrect id="Rectangle: Rounded Corners 3" o:spid="_x0000_s1028" style="position:absolute;left:4933;width:45149;height:1463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" fillcolor="#ffe79b" strokecolor="#ffc000" strokeweight="2pt">
                  <v:textbox>
                    <w:txbxContent>
                      <w:p w14:paraId="10F30A8D" w14:textId="77777777" w:rsidR="00300624" w:rsidRPr="00992D53" w:rsidRDefault="00300624" w:rsidP="001326EB">
                        <w:pPr>
                          <w:rPr>
                            <w:rFonts w:ascii="Arial" w:hAnsi="Arial" w:cs="Arial"/>
                            <w:color w:val="000000" w:themeColor="text1"/>
                            <w:sz w:val="20"/>
                            <w:szCs w:val="16"/>
                          </w:rPr>
                        </w:pPr>
                        <w:r w:rsidRPr="00992D53">
                          <w:rPr>
                            <w:rFonts w:ascii="Arial" w:hAnsi="Arial" w:cs="Arial"/>
                            <w:color w:val="000000" w:themeColor="text1"/>
                            <w:sz w:val="20"/>
                            <w:szCs w:val="16"/>
                          </w:rPr>
                          <w:t>Patient referred to paediatrician / consultant neurologist</w:t>
                        </w:r>
                      </w:p>
                      <w:p w14:paraId="56E87C8B" w14:textId="77777777" w:rsidR="00300624" w:rsidRPr="00992D53" w:rsidRDefault="00300624" w:rsidP="001326EB">
                        <w:pPr>
                          <w:rPr>
                            <w:rFonts w:ascii="Arial" w:hAnsi="Arial" w:cs="Arial"/>
                            <w:color w:val="000000" w:themeColor="text1"/>
                            <w:sz w:val="20"/>
                            <w:szCs w:val="16"/>
                          </w:rPr>
                        </w:pPr>
                        <w:r w:rsidRPr="00992D53">
                          <w:rPr>
                            <w:rFonts w:ascii="Arial" w:hAnsi="Arial" w:cs="Arial"/>
                            <w:color w:val="000000" w:themeColor="text1"/>
                            <w:sz w:val="20"/>
                            <w:szCs w:val="16"/>
                          </w:rPr>
                          <w:t>Detailed clinical examination for NMDs:</w:t>
                        </w:r>
                      </w:p>
                      <w:p w14:paraId="2FFEB89D" w14:textId="77777777" w:rsidR="00300624" w:rsidRPr="007136F6" w:rsidRDefault="00300624" w:rsidP="001326EB">
                        <w:pPr>
                          <w:pStyle w:val="ListParagraph"/>
                          <w:numPr>
                            <w:ilvl w:val="0"/>
                            <w:numId w:val="39"/>
                          </w:numPr>
                          <w:ind w:left="426" w:hanging="284"/>
                          <w:rPr>
                            <w:rFonts w:ascii="Arial" w:hAnsi="Arial" w:cs="Arial"/>
                            <w:color w:val="000000" w:themeColor="text1"/>
                            <w:sz w:val="18"/>
                            <w:szCs w:val="14"/>
                          </w:rPr>
                        </w:pPr>
                        <w:r w:rsidRPr="007136F6">
                          <w:rPr>
                            <w:rFonts w:ascii="Arial" w:hAnsi="Arial" w:cs="Arial"/>
                            <w:color w:val="000000" w:themeColor="text1"/>
                            <w:sz w:val="18"/>
                            <w:szCs w:val="14"/>
                          </w:rPr>
                          <w:t>Comprehensive neurological examination</w:t>
                        </w:r>
                      </w:p>
                      <w:p w14:paraId="59FD29E3" w14:textId="77777777" w:rsidR="00300624" w:rsidRPr="007136F6" w:rsidRDefault="00300624" w:rsidP="001326EB">
                        <w:pPr>
                          <w:pStyle w:val="ListParagraph"/>
                          <w:numPr>
                            <w:ilvl w:val="0"/>
                            <w:numId w:val="39"/>
                          </w:numPr>
                          <w:ind w:left="426" w:hanging="284"/>
                          <w:rPr>
                            <w:rFonts w:ascii="Arial" w:hAnsi="Arial" w:cs="Arial"/>
                            <w:color w:val="000000" w:themeColor="text1"/>
                            <w:sz w:val="18"/>
                            <w:szCs w:val="14"/>
                          </w:rPr>
                        </w:pPr>
                        <w:r w:rsidRPr="007136F6">
                          <w:rPr>
                            <w:rFonts w:ascii="Arial" w:hAnsi="Arial" w:cs="Arial"/>
                            <w:color w:val="000000" w:themeColor="text1"/>
                            <w:sz w:val="18"/>
                            <w:szCs w:val="14"/>
                          </w:rPr>
                          <w:t>Muscle weakness / hypertonia</w:t>
                        </w:r>
                      </w:p>
                      <w:p w14:paraId="603CD4E9" w14:textId="77777777" w:rsidR="00300624" w:rsidRPr="007136F6" w:rsidRDefault="00300624" w:rsidP="001326EB">
                        <w:pPr>
                          <w:pStyle w:val="ListParagraph"/>
                          <w:numPr>
                            <w:ilvl w:val="0"/>
                            <w:numId w:val="39"/>
                          </w:numPr>
                          <w:ind w:left="426" w:hanging="284"/>
                          <w:rPr>
                            <w:rFonts w:ascii="Arial" w:hAnsi="Arial" w:cs="Arial"/>
                            <w:color w:val="000000" w:themeColor="text1"/>
                            <w:sz w:val="18"/>
                            <w:szCs w:val="14"/>
                          </w:rPr>
                        </w:pPr>
                        <w:r w:rsidRPr="007136F6">
                          <w:rPr>
                            <w:rFonts w:ascii="Arial" w:hAnsi="Arial" w:cs="Arial"/>
                            <w:color w:val="000000" w:themeColor="text1"/>
                            <w:sz w:val="18"/>
                            <w:szCs w:val="14"/>
                          </w:rPr>
                          <w:t>Presence of specific signs (e.g. contractures, calf hypertrophy)</w:t>
                        </w:r>
                      </w:p>
                      <w:p w14:paraId="18C0DA9E" w14:textId="77777777" w:rsidR="00300624" w:rsidRPr="007136F6" w:rsidRDefault="00300624" w:rsidP="001326EB">
                        <w:pPr>
                          <w:pStyle w:val="ListParagraph"/>
                          <w:numPr>
                            <w:ilvl w:val="0"/>
                            <w:numId w:val="39"/>
                          </w:numPr>
                          <w:ind w:left="426" w:hanging="284"/>
                          <w:rPr>
                            <w:rFonts w:ascii="Arial" w:hAnsi="Arial" w:cs="Arial"/>
                            <w:color w:val="000000" w:themeColor="text1"/>
                            <w:sz w:val="18"/>
                            <w:szCs w:val="14"/>
                          </w:rPr>
                        </w:pPr>
                        <w:r w:rsidRPr="007136F6">
                          <w:rPr>
                            <w:rFonts w:ascii="Arial" w:hAnsi="Arial" w:cs="Arial"/>
                            <w:color w:val="000000" w:themeColor="text1"/>
                            <w:sz w:val="18"/>
                            <w:szCs w:val="14"/>
                          </w:rPr>
                          <w:t>Presence of complications (e.g. respiratory failure, cardiomyopathy)</w:t>
                        </w:r>
                      </w:p>
                      <w:p w14:paraId="398FAF6C" w14:textId="77777777" w:rsidR="00300624" w:rsidRPr="007136F6" w:rsidRDefault="00300624" w:rsidP="001326EB">
                        <w:pPr>
                          <w:pStyle w:val="ListParagraph"/>
                          <w:numPr>
                            <w:ilvl w:val="0"/>
                            <w:numId w:val="39"/>
                          </w:numPr>
                          <w:ind w:left="426" w:hanging="284"/>
                          <w:rPr>
                            <w:rFonts w:ascii="Arial" w:hAnsi="Arial" w:cs="Arial"/>
                            <w:color w:val="000000" w:themeColor="text1"/>
                            <w:sz w:val="18"/>
                            <w:szCs w:val="14"/>
                          </w:rPr>
                        </w:pPr>
                        <w:r w:rsidRPr="007136F6">
                          <w:rPr>
                            <w:rFonts w:ascii="Arial" w:hAnsi="Arial" w:cs="Arial"/>
                            <w:color w:val="000000" w:themeColor="text1"/>
                            <w:sz w:val="18"/>
                            <w:szCs w:val="14"/>
                          </w:rPr>
                          <w:t>± metabolic studies, ± electrophysiology, ± imaging</w:t>
                        </w:r>
                      </w:p>
                    </w:txbxContent>
                  </v:textbox>
                </v:roundrect>
                <v:roundrect id="Rectangle: Rounded Corners 9" o:spid="_x0000_s1029" style="position:absolute;left:17135;top:16171;width:28197;height:30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" fillcolor="#ffe79b" strokecolor="#ffc000" strokeweight="2pt">
                  <v:textbox>
                    <w:txbxContent>
                      <w:p w14:paraId="1AE9D718" w14:textId="77777777" w:rsidR="00300624" w:rsidRPr="00303C98" w:rsidRDefault="00300624" w:rsidP="001326EB">
                        <w:pPr>
                          <w:jc w:val="center"/>
                          <w:rPr>
                            <w:rFonts w:ascii="Arial" w:hAnsi="Arial" w:cs="Arial"/>
                            <w:color w:val="000000" w:themeColor="text1"/>
                            <w:sz w:val="20"/>
                            <w:szCs w:val="16"/>
                          </w:rPr>
                        </w:pPr>
                        <w:r>
                          <w:rPr>
                            <w:rFonts w:ascii="Arial" w:hAnsi="Arial" w:cs="Arial"/>
                            <w:color w:val="000000" w:themeColor="text1"/>
                            <w:sz w:val="20"/>
                            <w:szCs w:val="16"/>
                          </w:rPr>
                          <w:t>NMD with suspected genetic aetiology</w:t>
                        </w:r>
                      </w:p>
                    </w:txbxContent>
                  </v:textbox>
                </v:roundrect>
                <v:roundrect id="Rectangle: Rounded Corners 10" o:spid="_x0000_s1030" style="position:absolute;left:1619;top:21976;width:28099;height:126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" fillcolor="#b6dde8 [1304]" strokecolor="#4bacc6 [3208]" strokeweight="2pt">
                  <v:textbox>
                    <w:txbxContent>
                      <w:p w14:paraId="0C03DF2A" w14:textId="77777777" w:rsidR="00300624" w:rsidRPr="004D69FE" w:rsidRDefault="00300624" w:rsidP="001326EB">
                        <w:pPr>
                          <w:rPr>
                            <w:rFonts w:ascii="Arial" w:hAnsi="Arial" w:cs="Arial"/>
                            <w:b/>
                            <w:bCs/>
                            <w:color w:val="000000" w:themeColor="text1"/>
                            <w:sz w:val="20"/>
                          </w:rPr>
                        </w:pPr>
                        <w:r>
                          <w:rPr>
                            <w:rFonts w:ascii="Arial" w:hAnsi="Arial" w:cs="Arial"/>
                            <w:b/>
                            <w:bCs/>
                            <w:color w:val="000000" w:themeColor="text1"/>
                            <w:sz w:val="20"/>
                          </w:rPr>
                          <w:t>Suspected NMD</w:t>
                        </w:r>
                        <w:r w:rsidRPr="004D69FE">
                          <w:rPr>
                            <w:rFonts w:ascii="Arial" w:hAnsi="Arial" w:cs="Arial"/>
                            <w:b/>
                            <w:bCs/>
                            <w:color w:val="000000" w:themeColor="text1"/>
                            <w:sz w:val="20"/>
                          </w:rPr>
                          <w:t xml:space="preserve"> that </w:t>
                        </w:r>
                        <w:r>
                          <w:rPr>
                            <w:rFonts w:ascii="Arial" w:hAnsi="Arial" w:cs="Arial"/>
                            <w:b/>
                            <w:bCs/>
                            <w:color w:val="000000" w:themeColor="text1"/>
                            <w:sz w:val="20"/>
                          </w:rPr>
                          <w:t xml:space="preserve">may </w:t>
                        </w:r>
                        <w:r w:rsidRPr="004D69FE">
                          <w:rPr>
                            <w:rFonts w:ascii="Arial" w:hAnsi="Arial" w:cs="Arial"/>
                            <w:b/>
                            <w:bCs/>
                            <w:color w:val="000000" w:themeColor="text1"/>
                            <w:sz w:val="20"/>
                          </w:rPr>
                          <w:t>require single gene test</w:t>
                        </w:r>
                        <w:r>
                          <w:rPr>
                            <w:rFonts w:ascii="Arial" w:hAnsi="Arial" w:cs="Arial"/>
                            <w:b/>
                            <w:bCs/>
                            <w:color w:val="000000" w:themeColor="text1"/>
                            <w:sz w:val="20"/>
                          </w:rPr>
                          <w:t xml:space="preserve"> as the variant is not detectable using NGS methods</w:t>
                        </w:r>
                      </w:p>
                      <w:p w14:paraId="0B9501BD" w14:textId="77777777" w:rsidR="00300624" w:rsidRPr="004D69FE" w:rsidRDefault="00300624" w:rsidP="001326EB">
                        <w:pPr>
                          <w:rPr>
                            <w:rFonts w:ascii="Arial" w:hAnsi="Arial" w:cs="Arial"/>
                            <w:color w:val="000000" w:themeColor="text1"/>
                            <w:sz w:val="20"/>
                            <w:szCs w:val="16"/>
                          </w:rPr>
                        </w:pPr>
                        <w:r w:rsidRPr="004D69FE">
                          <w:rPr>
                            <w:rFonts w:ascii="Arial" w:hAnsi="Arial" w:cs="Arial"/>
                            <w:color w:val="000000" w:themeColor="text1"/>
                            <w:sz w:val="20"/>
                            <w:szCs w:val="16"/>
                          </w:rPr>
                          <w:t xml:space="preserve">E.g. </w:t>
                        </w:r>
                        <w:r w:rsidRPr="004D69FE">
                          <w:rPr>
                            <w:rFonts w:ascii="Arial" w:hAnsi="Arial" w:cs="Arial"/>
                            <w:i/>
                            <w:iCs/>
                            <w:color w:val="000000" w:themeColor="text1"/>
                            <w:sz w:val="20"/>
                            <w:szCs w:val="16"/>
                          </w:rPr>
                          <w:t>SMN1</w:t>
                        </w:r>
                        <w:r w:rsidRPr="004D69FE">
                          <w:rPr>
                            <w:rFonts w:ascii="Arial" w:hAnsi="Arial" w:cs="Arial"/>
                            <w:color w:val="000000" w:themeColor="text1"/>
                            <w:sz w:val="20"/>
                            <w:szCs w:val="16"/>
                          </w:rPr>
                          <w:t xml:space="preserve"> for spinal muscular atrophy, </w:t>
                        </w:r>
                        <w:r w:rsidRPr="004D69FE">
                          <w:rPr>
                            <w:rFonts w:ascii="Arial" w:hAnsi="Arial" w:cs="Arial"/>
                            <w:i/>
                            <w:iCs/>
                            <w:color w:val="000000" w:themeColor="text1"/>
                            <w:sz w:val="20"/>
                            <w:szCs w:val="16"/>
                          </w:rPr>
                          <w:t>DMPK</w:t>
                        </w:r>
                        <w:r w:rsidRPr="004D69FE">
                          <w:rPr>
                            <w:rFonts w:ascii="Arial" w:hAnsi="Arial" w:cs="Arial"/>
                            <w:color w:val="000000" w:themeColor="text1"/>
                            <w:sz w:val="20"/>
                            <w:szCs w:val="16"/>
                          </w:rPr>
                          <w:t xml:space="preserve"> for myotonic dystrophy type 1, </w:t>
                        </w:r>
                        <w:r w:rsidRPr="004D69FE">
                          <w:rPr>
                            <w:rFonts w:ascii="Arial" w:hAnsi="Arial" w:cs="Arial"/>
                            <w:i/>
                            <w:iCs/>
                            <w:color w:val="000000" w:themeColor="text1"/>
                            <w:sz w:val="20"/>
                            <w:szCs w:val="16"/>
                          </w:rPr>
                          <w:t>DUX4</w:t>
                        </w:r>
                        <w:r w:rsidRPr="004D69FE">
                          <w:rPr>
                            <w:rFonts w:ascii="Arial" w:hAnsi="Arial" w:cs="Arial"/>
                            <w:color w:val="000000" w:themeColor="text1"/>
                            <w:sz w:val="20"/>
                            <w:szCs w:val="16"/>
                          </w:rPr>
                          <w:t xml:space="preserve"> for facioscapulohumeral dystrophy type 1</w:t>
                        </w:r>
                      </w:p>
                    </w:txbxContent>
                  </v:textbox>
                </v:roundrect>
                <v:roundrect id="Rectangle: Rounded Corners 11" o:spid="_x0000_s1031" style="position:absolute;left:16383;top:43976;width:36334;height:44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" fillcolor="#b6dde8 [1304]" strokecolor="#4bacc6 [3208]" strokeweight="2pt">
                  <v:textbox>
                    <w:txbxContent>
                      <w:p w14:paraId="675EB57B" w14:textId="77777777" w:rsidR="00300624" w:rsidRDefault="00300624" w:rsidP="001326EB">
                        <w:r w:rsidRPr="004D69FE">
                          <w:rPr>
                            <w:rFonts w:ascii="Arial" w:hAnsi="Arial" w:cs="Arial"/>
                            <w:b/>
                            <w:bCs/>
                            <w:color w:val="000000"/>
                            <w:sz w:val="20"/>
                          </w:rPr>
                          <w:t>Panel testing</w:t>
                        </w:r>
                        <w:r>
                          <w:rPr>
                            <w:rFonts w:ascii="Arial" w:hAnsi="Arial" w:cs="Arial"/>
                            <w:color w:val="000000"/>
                            <w:sz w:val="20"/>
                          </w:rPr>
                          <w:t>: myopathy or neuropathy panel, depending on clinical phenotype</w:t>
                        </w:r>
                      </w:p>
                    </w:txbxContent>
                  </v:textbox>
                </v:roundrect>
                <v:roundrect id="Rectangle: Rounded Corners 12" o:spid="_x0000_s1032" style="position:absolute;left:27612;top:51777;width:25442;height:88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" fillcolor="#ffe79b" strokecolor="#ffc000" strokeweight="2pt">
                  <v:textbox>
                    <w:txbxContent>
                      <w:p w14:paraId="3E303D0E" w14:textId="77777777" w:rsidR="00300624" w:rsidRPr="005C3EFD" w:rsidRDefault="00300624" w:rsidP="001326EB">
                        <w:pPr>
                          <w:rPr>
                            <w:rFonts w:ascii="Arial" w:hAnsi="Arial" w:cs="Arial"/>
                            <w:color w:val="000000"/>
                            <w:sz w:val="20"/>
                          </w:rPr>
                        </w:pPr>
                        <w:r w:rsidRPr="005C3EFD">
                          <w:rPr>
                            <w:rFonts w:ascii="Arial" w:hAnsi="Arial" w:cs="Arial"/>
                            <w:color w:val="000000"/>
                            <w:sz w:val="20"/>
                          </w:rPr>
                          <w:t>No underlying genetic cause identified</w:t>
                        </w:r>
                      </w:p>
                      <w:p w14:paraId="5BA309F1" w14:textId="77777777" w:rsidR="00300624" w:rsidRPr="00784C86" w:rsidRDefault="00300624" w:rsidP="001326EB">
                        <w:pPr>
                          <w:pStyle w:val="ListParagraph"/>
                          <w:numPr>
                            <w:ilvl w:val="0"/>
                            <w:numId w:val="40"/>
                          </w:numPr>
                          <w:ind w:left="284" w:hanging="284"/>
                          <w:rPr>
                            <w:rFonts w:ascii="Arial" w:hAnsi="Arial" w:cs="Arial"/>
                            <w:color w:val="000000" w:themeColor="text1"/>
                            <w:sz w:val="20"/>
                          </w:rPr>
                        </w:pPr>
                        <w:r w:rsidRPr="005C3EFD">
                          <w:rPr>
                            <w:rFonts w:ascii="Arial" w:hAnsi="Arial" w:cs="Arial"/>
                            <w:color w:val="000000" w:themeColor="text1"/>
                            <w:sz w:val="20"/>
                          </w:rPr>
                          <w:t xml:space="preserve">Consider other investigations including </w:t>
                        </w:r>
                        <w:r>
                          <w:rPr>
                            <w:rFonts w:ascii="Arial" w:hAnsi="Arial" w:cs="Arial"/>
                            <w:color w:val="000000" w:themeColor="text1"/>
                            <w:sz w:val="20"/>
                          </w:rPr>
                          <w:t>m</w:t>
                        </w:r>
                        <w:r w:rsidRPr="005C3EFD">
                          <w:rPr>
                            <w:rFonts w:ascii="Arial" w:hAnsi="Arial" w:cs="Arial"/>
                            <w:color w:val="000000" w:themeColor="text1"/>
                            <w:sz w:val="20"/>
                          </w:rPr>
                          <w:t>uscle/nerve biopsy or MRI if appropriate</w:t>
                        </w:r>
                      </w:p>
                    </w:txbxContent>
                  </v:textbox>
                </v:roundrect>
                <v:roundrect id="Rectangle: Rounded Corners 13" o:spid="_x0000_s1033" style="position:absolute;left:275;top:51777;width:25439;height:788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" fillcolor="#ffe79b" strokecolor="#ffc000" strokeweight="2pt">
                  <v:textbox>
                    <w:txbxContent>
                      <w:p w14:paraId="49532D32" w14:textId="77777777" w:rsidR="00300624" w:rsidRDefault="00300624" w:rsidP="001326EB">
                        <w:pPr>
                          <w:rPr>
                            <w:szCs w:val="24"/>
                          </w:rPr>
                        </w:pPr>
                        <w:r>
                          <w:rPr>
                            <w:rFonts w:ascii="Arial" w:hAnsi="Arial" w:cs="Arial"/>
                            <w:color w:val="000000"/>
                            <w:sz w:val="20"/>
                          </w:rPr>
                          <w:t>Underlying genetic cause identified</w:t>
                        </w:r>
                      </w:p>
                      <w:p w14:paraId="16F9BE91" w14:textId="77777777" w:rsidR="00300624" w:rsidRPr="005C3EFD" w:rsidRDefault="00300624" w:rsidP="001326EB">
                        <w:pPr>
                          <w:pStyle w:val="ListParagraph"/>
                          <w:numPr>
                            <w:ilvl w:val="0"/>
                            <w:numId w:val="40"/>
                          </w:numPr>
                          <w:ind w:left="284" w:hanging="284"/>
                          <w:rPr>
                            <w:rFonts w:ascii="Arial" w:hAnsi="Arial" w:cs="Arial"/>
                            <w:color w:val="000000" w:themeColor="text1"/>
                            <w:sz w:val="20"/>
                          </w:rPr>
                        </w:pPr>
                        <w:r w:rsidRPr="005C3EFD">
                          <w:rPr>
                            <w:rFonts w:ascii="Arial" w:hAnsi="Arial" w:cs="Arial"/>
                            <w:color w:val="000000" w:themeColor="text1"/>
                            <w:sz w:val="20"/>
                          </w:rPr>
                          <w:t>Appropriate patient and family management</w:t>
                        </w:r>
                      </w:p>
                    </w:txbxContent>
                  </v:textbox>
                </v:roundrect>
                <v:roundrect id="Rectangle: Rounded Corners 16" o:spid="_x0000_s1034" style="position:absolute;left:18097;top:36363;width:14144;height:47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" fillcolor="#ffe79b" strokecolor="#ffc000" strokeweight="2pt">
                  <v:textbox>
                    <w:txbxContent>
                      <w:p w14:paraId="441621DE" w14:textId="77777777" w:rsidR="00300624" w:rsidRDefault="00300624" w:rsidP="001326EB">
                        <w:pPr>
                          <w:jc w:val="center"/>
                        </w:pPr>
                        <w:r>
                          <w:rPr>
                            <w:rFonts w:ascii="Arial" w:hAnsi="Arial" w:cs="Arial"/>
                            <w:color w:val="000000"/>
                            <w:sz w:val="20"/>
                          </w:rPr>
                          <w:t>If negative, then panel testing</w:t>
                        </w:r>
                      </w:p>
                    </w:txbxContent>
                  </v:textbox>
                </v:roundrect>
                <v:shapetype id="_x0000_t32" coordsize="21600,21600" o:spt="32" o:oned="t" path="m,l21600,21600e" filled="f">
                  <v:path arrowok="t" fillok="f" o:connecttype="none"/>
                  <o:lock v:ext="edit" shapetype="t"/>
                </v:shapetype>
                <v:shape id="Straight Arrow Connector 38" o:spid="_x0000_s1035" type="#_x0000_t32" style="position:absolute;left:27508;top:14630;width:3725;height:1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" strokecolor="black [3213]">
                  <v:stroke endarrow="block"/>
                </v:shape>
                <v:shape id="Straight Arrow Connector 39" o:spid="_x0000_s1036" type="#_x0000_t32" style="position:absolute;left:22860;top:19240;width:8373;height:27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" strokecolor="black [3213]">
                  <v:stroke endarrow="block"/>
                </v:shape>
                <v:shape id="Straight Arrow Connector 40" o:spid="_x0000_s1037" type="#_x0000_t32" style="position:absolute;left:15668;top:34671;width:9501;height:16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" strokecolor="black [3213]">
                  <v:stroke endarrow="block"/>
                </v:shape>
                <v:shape id="Straight Arrow Connector 41" o:spid="_x0000_s1038" type="#_x0000_t32" style="position:absolute;left:12995;top:34671;width:2673;height:171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" strokecolor="black [3213]">
                  <v:stroke endarrow="block"/>
                </v:shape>
                <v:shape id="Straight Arrow Connector 42" o:spid="_x0000_s1039" type="#_x0000_t32" style="position:absolute;left:31233;top:19240;width:3317;height:247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" strokecolor="black [3213]">
                  <v:stroke endarrow="block"/>
                </v:shape>
                <v:shape id="Straight Arrow Connector 43" o:spid="_x0000_s1040" type="#_x0000_t32" style="position:absolute;left:25169;top:41148;width:9381;height:2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" strokecolor="black [3213]">
                  <v:stroke endarrow="block"/>
                </v:shape>
                <v:shape id="Straight Arrow Connector 44" o:spid="_x0000_s1041" type="#_x0000_t32" style="position:absolute;left:34550;top:48470;width:5783;height:33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" strokecolor="black [3213]">
                  <v:stroke endarrow="block"/>
                </v:shape>
                <v:shape id="Straight Arrow Connector 45" o:spid="_x0000_s1042" type="#_x0000_t32" style="position:absolute;left:12995;top:48470;width:21555;height:33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" strokecolor="black [3213]">
                  <v:stroke endarrow="block"/>
                </v:shape>
                <v:roundrect id="Rectangle: Rounded Corners 25" o:spid="_x0000_s1043" style="position:absolute;left:27717;top:62474;width:25241;height:44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" fillcolor="#b6dde8 [1304]" strokecolor="#4bacc6 [3208]" strokeweight="2pt">
                  <v:textbox>
                    <w:txbxContent>
                      <w:p w14:paraId="40BD7D4D" w14:textId="77777777" w:rsidR="00300624" w:rsidRDefault="00300624" w:rsidP="001326EB">
                        <w:pPr>
                          <w:rPr>
                            <w:szCs w:val="24"/>
                          </w:rPr>
                        </w:pPr>
                        <w:r>
                          <w:rPr>
                            <w:rFonts w:ascii="Arial" w:hAnsi="Arial" w:cs="Arial"/>
                            <w:b/>
                            <w:bCs/>
                            <w:color w:val="000000"/>
                            <w:sz w:val="20"/>
                          </w:rPr>
                          <w:t xml:space="preserve">Re-analyse the data </w:t>
                        </w:r>
                        <w:r>
                          <w:rPr>
                            <w:rFonts w:ascii="Arial" w:hAnsi="Arial" w:cs="Arial"/>
                            <w:color w:val="000000"/>
                            <w:sz w:val="20"/>
                          </w:rPr>
                          <w:t>as the pathogenic statuses of variants are changed</w:t>
                        </w:r>
                      </w:p>
                    </w:txbxContent>
                  </v:textbox>
                </v:roundrect>
                <v:shape id="Straight Arrow Connector 47" o:spid="_x0000_s1044" type="#_x0000_t32" style="position:absolute;left:40333;top:60579;width:5;height:18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" strokecolor="black [3213]">
                  <v:stroke endarrow="block"/>
                </v:shape>
                <w10:anchorlock/>
              </v:group>
            </w:pict>
          </mc:Fallback>
        </mc:AlternateContent>
      </w:r>
    </w:p>
    <w:p w14:paraId="70736775" w14:textId="77777777" w:rsidR="001326EB" w:rsidRPr="00395F5D" w:rsidRDefault="001326EB" w:rsidP="001326EB">
      <w:pPr>
        <w:rPr>
          <w:rFonts w:ascii="Arial Narrow" w:hAnsi="Arial Narrow"/>
          <w:b/>
          <w:bCs/>
          <w:sz w:val="20"/>
        </w:rPr>
      </w:pPr>
      <w:r>
        <w:rPr>
          <w:rFonts w:ascii="Arial Narrow" w:hAnsi="Arial Narrow"/>
          <w:b/>
          <w:bCs/>
          <w:sz w:val="20"/>
        </w:rPr>
        <w:t>Figure</w:t>
      </w:r>
      <w:r w:rsidRPr="00395F5D">
        <w:rPr>
          <w:rFonts w:ascii="Arial Narrow" w:hAnsi="Arial Narrow"/>
          <w:b/>
          <w:bCs/>
          <w:sz w:val="20"/>
        </w:rPr>
        <w:t xml:space="preserve"> 1 </w:t>
      </w:r>
      <w:r>
        <w:rPr>
          <w:rFonts w:ascii="Arial Narrow" w:hAnsi="Arial Narrow"/>
          <w:b/>
          <w:bCs/>
          <w:sz w:val="20"/>
        </w:rPr>
        <w:t>Clinical management algorithm including gene panel testing for application 1585</w:t>
      </w:r>
    </w:p>
    <w:p w14:paraId="1654EC37" w14:textId="1B3A77B2" w:rsidR="001326EB" w:rsidRPr="001326EB" w:rsidRDefault="001326EB" w:rsidP="007D4B83">
      <w:pPr>
        <w:spacing w:before="240" w:after="240"/>
        <w:rPr>
          <w:rFonts w:ascii="Franklin Gothic Book" w:hAnsi="Franklin Gothic Book"/>
          <w:iCs/>
          <w:sz w:val="22"/>
          <w:szCs w:val="22"/>
        </w:rPr>
      </w:pPr>
      <w:r w:rsidRPr="001326EB">
        <w:rPr>
          <w:rFonts w:ascii="Franklin Gothic Book" w:hAnsi="Franklin Gothic Book"/>
          <w:iCs/>
          <w:sz w:val="22"/>
          <w:szCs w:val="22"/>
        </w:rPr>
        <w:t xml:space="preserve">For each of the nominated conditions in this assessment, the gene test for diagnosis of an affected individual will be the same test (and fee) that is required for cascade testing (consistent with MBS item 73294 for </w:t>
      </w:r>
      <w:r w:rsidRPr="006F551C">
        <w:rPr>
          <w:rFonts w:ascii="Franklin Gothic Book" w:hAnsi="Franklin Gothic Book"/>
          <w:i/>
          <w:sz w:val="22"/>
          <w:szCs w:val="22"/>
        </w:rPr>
        <w:t>PMP22</w:t>
      </w:r>
      <w:r w:rsidRPr="001326EB">
        <w:rPr>
          <w:rFonts w:ascii="Franklin Gothic Book" w:hAnsi="Franklin Gothic Book"/>
          <w:iCs/>
          <w:sz w:val="22"/>
          <w:szCs w:val="22"/>
        </w:rPr>
        <w:t xml:space="preserve"> testing). The Department notes MSAC has previously explicitly preferred whole gene sequencing for reproductive partner testing (likely using NGS methods), however the test methods utilised in these proposed tests are </w:t>
      </w:r>
      <w:r w:rsidR="00C44080">
        <w:rPr>
          <w:rFonts w:ascii="Franklin Gothic Book" w:hAnsi="Franklin Gothic Book"/>
          <w:iCs/>
          <w:sz w:val="22"/>
          <w:szCs w:val="22"/>
        </w:rPr>
        <w:t xml:space="preserve">the same </w:t>
      </w:r>
      <w:r w:rsidRPr="001326EB">
        <w:rPr>
          <w:rFonts w:ascii="Franklin Gothic Book" w:hAnsi="Franklin Gothic Book"/>
          <w:iCs/>
          <w:sz w:val="22"/>
          <w:szCs w:val="22"/>
        </w:rPr>
        <w:t>non-NGS method</w:t>
      </w:r>
      <w:r w:rsidR="00C44080">
        <w:rPr>
          <w:rFonts w:ascii="Franklin Gothic Book" w:hAnsi="Franklin Gothic Book"/>
          <w:iCs/>
          <w:sz w:val="22"/>
          <w:szCs w:val="22"/>
        </w:rPr>
        <w:t xml:space="preserve"> used for affected individual testing of each specified gene</w:t>
      </w:r>
      <w:r w:rsidRPr="001326EB">
        <w:rPr>
          <w:rFonts w:ascii="Franklin Gothic Book" w:hAnsi="Franklin Gothic Book"/>
          <w:iCs/>
          <w:sz w:val="22"/>
          <w:szCs w:val="22"/>
        </w:rPr>
        <w:t xml:space="preserve">, such as MLPA. </w:t>
      </w:r>
    </w:p>
    <w:p w14:paraId="52F6C56F" w14:textId="5F95B99F" w:rsidR="001326EB" w:rsidRPr="001326EB" w:rsidRDefault="001326EB" w:rsidP="001326EB">
      <w:pPr>
        <w:spacing w:after="240"/>
        <w:rPr>
          <w:rFonts w:ascii="Franklin Gothic Book" w:hAnsi="Franklin Gothic Book"/>
          <w:iCs/>
          <w:sz w:val="22"/>
          <w:szCs w:val="22"/>
        </w:rPr>
      </w:pPr>
      <w:r w:rsidRPr="001326EB">
        <w:rPr>
          <w:rFonts w:ascii="Franklin Gothic Book" w:hAnsi="Franklin Gothic Book"/>
          <w:iCs/>
          <w:sz w:val="22"/>
          <w:szCs w:val="22"/>
        </w:rPr>
        <w:t xml:space="preserve">Reproductive partner testing of individuals identified with a variant in the </w:t>
      </w:r>
      <w:r w:rsidRPr="00E53985">
        <w:rPr>
          <w:rFonts w:ascii="Franklin Gothic Book" w:hAnsi="Franklin Gothic Book"/>
          <w:i/>
          <w:sz w:val="22"/>
          <w:szCs w:val="22"/>
        </w:rPr>
        <w:t>SMN1</w:t>
      </w:r>
      <w:r w:rsidRPr="001326EB">
        <w:rPr>
          <w:rFonts w:ascii="Franklin Gothic Book" w:hAnsi="Franklin Gothic Book"/>
          <w:iCs/>
          <w:sz w:val="22"/>
          <w:szCs w:val="22"/>
        </w:rPr>
        <w:t xml:space="preserve"> gene </w:t>
      </w:r>
      <w:r w:rsidR="00493261">
        <w:rPr>
          <w:rFonts w:ascii="Franklin Gothic Book" w:hAnsi="Franklin Gothic Book"/>
          <w:iCs/>
          <w:sz w:val="22"/>
          <w:szCs w:val="22"/>
        </w:rPr>
        <w:t>is also provided</w:t>
      </w:r>
      <w:r w:rsidRPr="001326EB">
        <w:rPr>
          <w:rFonts w:ascii="Franklin Gothic Book" w:hAnsi="Franklin Gothic Book"/>
          <w:iCs/>
          <w:sz w:val="22"/>
          <w:szCs w:val="22"/>
        </w:rPr>
        <w:t xml:space="preserve"> under </w:t>
      </w:r>
      <w:r w:rsidR="00B440B4">
        <w:rPr>
          <w:rFonts w:ascii="Franklin Gothic Book" w:hAnsi="Franklin Gothic Book"/>
          <w:iCs/>
          <w:sz w:val="22"/>
          <w:szCs w:val="22"/>
        </w:rPr>
        <w:t>supported</w:t>
      </w:r>
      <w:r w:rsidRPr="001326EB">
        <w:rPr>
          <w:rFonts w:ascii="Franklin Gothic Book" w:hAnsi="Franklin Gothic Book"/>
          <w:iCs/>
          <w:sz w:val="22"/>
          <w:szCs w:val="22"/>
        </w:rPr>
        <w:t xml:space="preserve"> MSAC application 1573</w:t>
      </w:r>
      <w:r w:rsidR="00493261">
        <w:rPr>
          <w:rFonts w:ascii="Franklin Gothic Book" w:hAnsi="Franklin Gothic Book"/>
          <w:iCs/>
          <w:sz w:val="22"/>
          <w:szCs w:val="22"/>
        </w:rPr>
        <w:t>, however for a separate population of reproductive partners identified via reproductive carrier testing rather affected individual testing</w:t>
      </w:r>
      <w:r w:rsidRPr="001326EB">
        <w:rPr>
          <w:rFonts w:ascii="Franklin Gothic Book" w:hAnsi="Franklin Gothic Book"/>
          <w:iCs/>
          <w:sz w:val="22"/>
          <w:szCs w:val="22"/>
        </w:rPr>
        <w:t xml:space="preserve">. </w:t>
      </w:r>
      <w:r w:rsidR="006F551C">
        <w:rPr>
          <w:rFonts w:ascii="Franklin Gothic Book" w:hAnsi="Franklin Gothic Book"/>
          <w:iCs/>
          <w:sz w:val="22"/>
          <w:szCs w:val="22"/>
        </w:rPr>
        <w:t>R</w:t>
      </w:r>
      <w:r w:rsidRPr="001326EB">
        <w:rPr>
          <w:rFonts w:ascii="Franklin Gothic Book" w:hAnsi="Franklin Gothic Book"/>
          <w:iCs/>
          <w:sz w:val="22"/>
          <w:szCs w:val="22"/>
        </w:rPr>
        <w:t xml:space="preserve">eproductive partner testing is </w:t>
      </w:r>
      <w:r w:rsidR="006F551C">
        <w:rPr>
          <w:rFonts w:ascii="Franklin Gothic Book" w:hAnsi="Franklin Gothic Book"/>
          <w:iCs/>
          <w:sz w:val="22"/>
          <w:szCs w:val="22"/>
        </w:rPr>
        <w:t xml:space="preserve">therefore </w:t>
      </w:r>
      <w:r w:rsidRPr="001326EB">
        <w:rPr>
          <w:rFonts w:ascii="Franklin Gothic Book" w:hAnsi="Franklin Gothic Book"/>
          <w:iCs/>
          <w:sz w:val="22"/>
          <w:szCs w:val="22"/>
        </w:rPr>
        <w:t xml:space="preserve">relevant for </w:t>
      </w:r>
      <w:r w:rsidR="006F551C">
        <w:rPr>
          <w:rFonts w:ascii="Franklin Gothic Book" w:hAnsi="Franklin Gothic Book"/>
          <w:iCs/>
          <w:sz w:val="22"/>
          <w:szCs w:val="22"/>
        </w:rPr>
        <w:t xml:space="preserve">partners </w:t>
      </w:r>
      <w:r w:rsidRPr="001326EB">
        <w:rPr>
          <w:rFonts w:ascii="Franklin Gothic Book" w:hAnsi="Franklin Gothic Book"/>
          <w:iCs/>
          <w:sz w:val="22"/>
          <w:szCs w:val="22"/>
        </w:rPr>
        <w:t>of individuals with Friedreich’s Ataxia</w:t>
      </w:r>
      <w:r w:rsidR="00493261">
        <w:rPr>
          <w:rFonts w:ascii="Franklin Gothic Book" w:hAnsi="Franklin Gothic Book"/>
          <w:iCs/>
          <w:sz w:val="22"/>
          <w:szCs w:val="22"/>
        </w:rPr>
        <w:t xml:space="preserve"> and Spinal Muscular Atrophy</w:t>
      </w:r>
      <w:r w:rsidRPr="001326EB">
        <w:rPr>
          <w:rFonts w:ascii="Franklin Gothic Book" w:hAnsi="Franklin Gothic Book"/>
          <w:iCs/>
          <w:sz w:val="22"/>
          <w:szCs w:val="22"/>
        </w:rPr>
        <w:t xml:space="preserve">, and is </w:t>
      </w:r>
      <w:r w:rsidR="006F551C">
        <w:rPr>
          <w:rFonts w:ascii="Franklin Gothic Book" w:hAnsi="Franklin Gothic Book"/>
          <w:iCs/>
          <w:sz w:val="22"/>
          <w:szCs w:val="22"/>
        </w:rPr>
        <w:t xml:space="preserve">proposed to use </w:t>
      </w:r>
      <w:r w:rsidRPr="001326EB">
        <w:rPr>
          <w:rFonts w:ascii="Franklin Gothic Book" w:hAnsi="Franklin Gothic Book"/>
          <w:iCs/>
          <w:sz w:val="22"/>
          <w:szCs w:val="22"/>
        </w:rPr>
        <w:t xml:space="preserve">the same </w:t>
      </w:r>
      <w:r w:rsidR="006F551C">
        <w:rPr>
          <w:rFonts w:ascii="Franklin Gothic Book" w:hAnsi="Franklin Gothic Book"/>
          <w:iCs/>
          <w:sz w:val="22"/>
          <w:szCs w:val="22"/>
        </w:rPr>
        <w:t xml:space="preserve">method </w:t>
      </w:r>
      <w:r w:rsidRPr="001326EB">
        <w:rPr>
          <w:rFonts w:ascii="Franklin Gothic Book" w:hAnsi="Franklin Gothic Book"/>
          <w:iCs/>
          <w:sz w:val="22"/>
          <w:szCs w:val="22"/>
        </w:rPr>
        <w:t xml:space="preserve">as for the test for </w:t>
      </w:r>
      <w:r w:rsidR="00881AFC">
        <w:rPr>
          <w:rFonts w:ascii="Franklin Gothic Book" w:hAnsi="Franklin Gothic Book"/>
          <w:iCs/>
          <w:sz w:val="22"/>
          <w:szCs w:val="22"/>
        </w:rPr>
        <w:t>affected individuals</w:t>
      </w:r>
      <w:r w:rsidRPr="001326EB">
        <w:rPr>
          <w:rFonts w:ascii="Franklin Gothic Book" w:hAnsi="Franklin Gothic Book"/>
          <w:iCs/>
          <w:sz w:val="22"/>
          <w:szCs w:val="22"/>
        </w:rPr>
        <w:t xml:space="preserve">. </w:t>
      </w:r>
    </w:p>
    <w:p w14:paraId="121F94B6" w14:textId="2040F44F" w:rsidR="006F4EBA" w:rsidRPr="001326EB" w:rsidRDefault="001326EB" w:rsidP="001326EB">
      <w:pPr>
        <w:spacing w:after="240"/>
        <w:rPr>
          <w:rFonts w:ascii="Franklin Gothic Book" w:hAnsi="Franklin Gothic Book"/>
          <w:iCs/>
          <w:sz w:val="22"/>
          <w:szCs w:val="22"/>
        </w:rPr>
      </w:pPr>
      <w:r w:rsidRPr="001326EB">
        <w:rPr>
          <w:rFonts w:ascii="Franklin Gothic Book" w:hAnsi="Franklin Gothic Book"/>
          <w:iCs/>
          <w:sz w:val="22"/>
          <w:szCs w:val="22"/>
        </w:rPr>
        <w:t xml:space="preserve">The fee for testing a potentially affected fetus, irrespective of the condition, is the same as recommended in the </w:t>
      </w:r>
      <w:r w:rsidR="006F551C">
        <w:rPr>
          <w:rFonts w:ascii="Franklin Gothic Book" w:hAnsi="Franklin Gothic Book"/>
          <w:iCs/>
          <w:sz w:val="22"/>
          <w:szCs w:val="22"/>
        </w:rPr>
        <w:t xml:space="preserve">main </w:t>
      </w:r>
      <w:r w:rsidRPr="001326EB">
        <w:rPr>
          <w:rFonts w:ascii="Franklin Gothic Book" w:hAnsi="Franklin Gothic Book"/>
          <w:iCs/>
          <w:sz w:val="22"/>
          <w:szCs w:val="22"/>
        </w:rPr>
        <w:t>assessment of 1585, at $1600</w:t>
      </w:r>
      <w:r w:rsidR="00881AFC">
        <w:rPr>
          <w:rFonts w:ascii="Franklin Gothic Book" w:hAnsi="Franklin Gothic Book"/>
          <w:iCs/>
          <w:sz w:val="22"/>
          <w:szCs w:val="22"/>
        </w:rPr>
        <w:t xml:space="preserve"> for fetal testing for known familial variants (item CCCC)</w:t>
      </w:r>
      <w:r w:rsidRPr="001326EB">
        <w:rPr>
          <w:rFonts w:ascii="Franklin Gothic Book" w:hAnsi="Franklin Gothic Book"/>
          <w:iCs/>
          <w:sz w:val="22"/>
          <w:szCs w:val="22"/>
        </w:rPr>
        <w:t>.</w:t>
      </w:r>
    </w:p>
    <w:p w14:paraId="66AC37AB" w14:textId="0FD2A41A" w:rsidR="006F4EBA" w:rsidRPr="00A436C5" w:rsidRDefault="006F4EBA" w:rsidP="007D4B83">
      <w:pPr>
        <w:pStyle w:val="Heading1"/>
        <w:spacing w:before="340"/>
        <w:ind w:hanging="720"/>
      </w:pPr>
      <w:r w:rsidRPr="006F4EBA">
        <w:t>Comparator</w:t>
      </w:r>
      <w:r w:rsidRPr="00A436C5">
        <w:t xml:space="preserve"> </w:t>
      </w:r>
    </w:p>
    <w:p w14:paraId="6E4BAAB1" w14:textId="0539C4E4" w:rsidR="003869F4" w:rsidRPr="003869F4" w:rsidRDefault="001326EB" w:rsidP="00644745">
      <w:pPr>
        <w:spacing w:before="240"/>
        <w:rPr>
          <w:rFonts w:ascii="Franklin Gothic Book" w:eastAsia="Calibri" w:hAnsi="Franklin Gothic Book"/>
          <w:sz w:val="22"/>
          <w:szCs w:val="22"/>
          <w:lang w:eastAsia="en-US"/>
        </w:rPr>
      </w:pPr>
      <w:bookmarkStart w:id="16" w:name="_Toc69491421"/>
      <w:r w:rsidRPr="001326EB">
        <w:rPr>
          <w:rFonts w:ascii="Franklin Gothic Book" w:eastAsia="Calibri" w:hAnsi="Franklin Gothic Book"/>
          <w:sz w:val="22"/>
          <w:szCs w:val="22"/>
          <w:lang w:eastAsia="en-US"/>
        </w:rPr>
        <w:t xml:space="preserve">The comparator is (phenotypic) nerve/muscle biopsy at a cost of $1378 </w:t>
      </w:r>
      <w:r w:rsidR="00FE12E8">
        <w:rPr>
          <w:rFonts w:ascii="Franklin Gothic Book" w:eastAsia="Calibri" w:hAnsi="Franklin Gothic Book"/>
          <w:sz w:val="22"/>
          <w:szCs w:val="22"/>
          <w:lang w:eastAsia="en-US"/>
        </w:rPr>
        <w:t>(full MBS fees</w:t>
      </w:r>
      <w:r w:rsidR="00B440B4">
        <w:rPr>
          <w:rFonts w:ascii="Franklin Gothic Book" w:eastAsia="Calibri" w:hAnsi="Franklin Gothic Book"/>
          <w:sz w:val="22"/>
          <w:szCs w:val="22"/>
          <w:lang w:eastAsia="en-US"/>
        </w:rPr>
        <w:t xml:space="preserve"> and a day admission</w:t>
      </w:r>
      <w:r w:rsidR="00FE12E8">
        <w:rPr>
          <w:rFonts w:ascii="Franklin Gothic Book" w:eastAsia="Calibri" w:hAnsi="Franklin Gothic Book"/>
          <w:sz w:val="22"/>
          <w:szCs w:val="22"/>
          <w:lang w:eastAsia="en-US"/>
        </w:rPr>
        <w:t xml:space="preserve">) </w:t>
      </w:r>
      <w:r w:rsidRPr="001326EB">
        <w:rPr>
          <w:rFonts w:ascii="Franklin Gothic Book" w:eastAsia="Calibri" w:hAnsi="Franklin Gothic Book"/>
          <w:sz w:val="22"/>
          <w:szCs w:val="22"/>
          <w:lang w:eastAsia="en-US"/>
        </w:rPr>
        <w:t>for either biopsy type</w:t>
      </w:r>
      <w:r w:rsidR="00881AFC">
        <w:rPr>
          <w:rFonts w:ascii="Franklin Gothic Book" w:eastAsia="Calibri" w:hAnsi="Franklin Gothic Book"/>
          <w:sz w:val="22"/>
          <w:szCs w:val="22"/>
          <w:lang w:eastAsia="en-US"/>
        </w:rPr>
        <w:t>, as calculated in the 1585 main assessment</w:t>
      </w:r>
      <w:r w:rsidRPr="001326EB">
        <w:rPr>
          <w:rFonts w:ascii="Franklin Gothic Book" w:eastAsia="Calibri" w:hAnsi="Franklin Gothic Book"/>
          <w:sz w:val="22"/>
          <w:szCs w:val="22"/>
          <w:lang w:eastAsia="en-US"/>
        </w:rPr>
        <w:t>.</w:t>
      </w:r>
    </w:p>
    <w:bookmarkEnd w:id="16"/>
    <w:p w14:paraId="129DD6F8" w14:textId="332B42F1" w:rsidR="005922DB" w:rsidRPr="00E72E00" w:rsidRDefault="00065623" w:rsidP="007D4B83">
      <w:pPr>
        <w:pStyle w:val="Heading1"/>
        <w:spacing w:before="340"/>
        <w:ind w:hanging="720"/>
      </w:pPr>
      <w:r w:rsidRPr="00E72E00">
        <w:t>Comparative safety</w:t>
      </w:r>
    </w:p>
    <w:p w14:paraId="2C148101" w14:textId="072671A4" w:rsidR="009F0065" w:rsidRPr="00E72E00" w:rsidRDefault="001326EB" w:rsidP="00644745">
      <w:pPr>
        <w:spacing w:before="240"/>
        <w:rPr>
          <w:rFonts w:ascii="Franklin Gothic Book" w:eastAsia="Calibri" w:hAnsi="Franklin Gothic Book"/>
          <w:sz w:val="22"/>
          <w:szCs w:val="22"/>
          <w:lang w:eastAsia="en-US"/>
        </w:rPr>
      </w:pPr>
      <w:r w:rsidRPr="001326EB">
        <w:rPr>
          <w:rFonts w:ascii="Franklin Gothic Book" w:eastAsia="Calibri" w:hAnsi="Franklin Gothic Book"/>
          <w:sz w:val="22"/>
          <w:szCs w:val="22"/>
          <w:lang w:eastAsia="en-US"/>
        </w:rPr>
        <w:t xml:space="preserve">The use of a diagnostic SGT from blood is considered to have </w:t>
      </w:r>
      <w:r w:rsidR="00881AFC">
        <w:rPr>
          <w:rFonts w:ascii="Franklin Gothic Book" w:eastAsia="Calibri" w:hAnsi="Franklin Gothic Book"/>
          <w:sz w:val="22"/>
          <w:szCs w:val="22"/>
          <w:lang w:eastAsia="en-US"/>
        </w:rPr>
        <w:t xml:space="preserve">at least </w:t>
      </w:r>
      <w:r w:rsidRPr="001326EB">
        <w:rPr>
          <w:rFonts w:ascii="Franklin Gothic Book" w:eastAsia="Calibri" w:hAnsi="Franklin Gothic Book"/>
          <w:sz w:val="22"/>
          <w:szCs w:val="22"/>
          <w:lang w:eastAsia="en-US"/>
        </w:rPr>
        <w:t>non-inferior safety compared to nerve/muscle biopsy.</w:t>
      </w:r>
    </w:p>
    <w:p w14:paraId="56F2AE84" w14:textId="2274FF1A" w:rsidR="00206760" w:rsidRPr="00A436C5" w:rsidRDefault="00065623" w:rsidP="003F311A">
      <w:pPr>
        <w:pStyle w:val="Heading1"/>
        <w:ind w:hanging="720"/>
      </w:pPr>
      <w:r w:rsidRPr="00A436C5">
        <w:t>Comparative effectiveness</w:t>
      </w:r>
    </w:p>
    <w:p w14:paraId="0A808F43" w14:textId="3D8F3D92" w:rsidR="001326EB" w:rsidRPr="001326EB" w:rsidRDefault="001326EB" w:rsidP="001326EB">
      <w:pPr>
        <w:spacing w:before="240"/>
        <w:rPr>
          <w:rFonts w:ascii="Franklin Gothic Book" w:hAnsi="Franklin Gothic Book"/>
          <w:sz w:val="22"/>
          <w:szCs w:val="22"/>
        </w:rPr>
      </w:pPr>
      <w:r w:rsidRPr="001326EB">
        <w:rPr>
          <w:rFonts w:ascii="Franklin Gothic Book" w:hAnsi="Franklin Gothic Book"/>
          <w:sz w:val="22"/>
          <w:szCs w:val="22"/>
        </w:rPr>
        <w:t>The nominated SGTs are considered to have superior effectiveness to tissue biopsy, as biopsy is incapable of providing a genetic diagnosis. Biopsy is therefore also not able to provide a basis for cascade testing, or testing of reproductive partners and fetuses to enable informed reproductive decision-making.</w:t>
      </w:r>
    </w:p>
    <w:p w14:paraId="50CF2839" w14:textId="3C1417FE" w:rsidR="009F0065" w:rsidRPr="006F4EBA" w:rsidRDefault="001326EB" w:rsidP="001326EB">
      <w:pPr>
        <w:spacing w:before="240"/>
        <w:rPr>
          <w:rFonts w:ascii="Franklin Gothic Book" w:hAnsi="Franklin Gothic Book"/>
          <w:sz w:val="22"/>
          <w:szCs w:val="22"/>
        </w:rPr>
      </w:pPr>
      <w:r w:rsidRPr="001326EB">
        <w:rPr>
          <w:rFonts w:ascii="Franklin Gothic Book" w:hAnsi="Franklin Gothic Book"/>
          <w:sz w:val="22"/>
          <w:szCs w:val="22"/>
        </w:rPr>
        <w:t xml:space="preserve">The overall clinical claim is for superiority of SGT compared to tissue biopsy (with no single gene testing) for each of the </w:t>
      </w:r>
      <w:r w:rsidR="00881AFC">
        <w:rPr>
          <w:rFonts w:ascii="Franklin Gothic Book" w:hAnsi="Franklin Gothic Book"/>
          <w:sz w:val="22"/>
          <w:szCs w:val="22"/>
        </w:rPr>
        <w:t xml:space="preserve">fifteen </w:t>
      </w:r>
      <w:r w:rsidRPr="001326EB">
        <w:rPr>
          <w:rFonts w:ascii="Franklin Gothic Book" w:hAnsi="Franklin Gothic Book"/>
          <w:sz w:val="22"/>
          <w:szCs w:val="22"/>
        </w:rPr>
        <w:t>heritable conditions described.</w:t>
      </w:r>
    </w:p>
    <w:p w14:paraId="1A2CC11E" w14:textId="3E85FB6C" w:rsidR="000632EF" w:rsidRPr="00A436C5" w:rsidRDefault="00065623" w:rsidP="003F311A">
      <w:pPr>
        <w:pStyle w:val="Heading1"/>
        <w:ind w:hanging="720"/>
      </w:pPr>
      <w:r w:rsidRPr="00A436C5">
        <w:t>Economic evaluation</w:t>
      </w:r>
    </w:p>
    <w:p w14:paraId="0E06E305" w14:textId="06122DC6" w:rsidR="00264776" w:rsidRPr="00264776" w:rsidRDefault="00264776" w:rsidP="00264776">
      <w:pPr>
        <w:spacing w:before="240"/>
        <w:rPr>
          <w:rFonts w:ascii="Franklin Gothic Book" w:hAnsi="Franklin Gothic Book"/>
          <w:sz w:val="22"/>
          <w:szCs w:val="22"/>
        </w:rPr>
      </w:pPr>
      <w:r w:rsidRPr="00264776">
        <w:rPr>
          <w:rFonts w:ascii="Franklin Gothic Book" w:hAnsi="Franklin Gothic Book"/>
          <w:sz w:val="22"/>
          <w:szCs w:val="22"/>
        </w:rPr>
        <w:t xml:space="preserve">The Department </w:t>
      </w:r>
      <w:r>
        <w:rPr>
          <w:rFonts w:ascii="Franklin Gothic Book" w:hAnsi="Franklin Gothic Book"/>
          <w:sz w:val="22"/>
          <w:szCs w:val="22"/>
        </w:rPr>
        <w:t xml:space="preserve">Overview </w:t>
      </w:r>
      <w:r w:rsidRPr="00264776">
        <w:rPr>
          <w:rFonts w:ascii="Franklin Gothic Book" w:hAnsi="Franklin Gothic Book"/>
          <w:sz w:val="22"/>
          <w:szCs w:val="22"/>
        </w:rPr>
        <w:t>has undertaken a limited cost-effectiveness assessment of the proposed tests, consistent with previous assessments of genetic testing considered by MSAC.</w:t>
      </w:r>
    </w:p>
    <w:p w14:paraId="393FF203" w14:textId="1AEC844B" w:rsidR="00264776" w:rsidRPr="00264776" w:rsidRDefault="00264776" w:rsidP="00264776">
      <w:pPr>
        <w:spacing w:before="240"/>
        <w:rPr>
          <w:rFonts w:ascii="Franklin Gothic Book" w:hAnsi="Franklin Gothic Book"/>
          <w:sz w:val="22"/>
          <w:szCs w:val="22"/>
        </w:rPr>
      </w:pPr>
      <w:r w:rsidRPr="00264776">
        <w:rPr>
          <w:rFonts w:ascii="Franklin Gothic Book" w:hAnsi="Franklin Gothic Book"/>
          <w:sz w:val="22"/>
          <w:szCs w:val="22"/>
        </w:rPr>
        <w:t xml:space="preserve">Cost-effectiveness of affected individual testing in terms of cost </w:t>
      </w:r>
      <w:r w:rsidR="00B440B4">
        <w:rPr>
          <w:rFonts w:ascii="Franklin Gothic Book" w:hAnsi="Franklin Gothic Book"/>
          <w:sz w:val="22"/>
          <w:szCs w:val="22"/>
        </w:rPr>
        <w:t xml:space="preserve">of testing </w:t>
      </w:r>
      <w:r w:rsidRPr="00264776">
        <w:rPr>
          <w:rFonts w:ascii="Franklin Gothic Book" w:hAnsi="Franklin Gothic Book"/>
          <w:sz w:val="22"/>
          <w:szCs w:val="22"/>
        </w:rPr>
        <w:t xml:space="preserve">per genetic diagnosis achieved is provided in </w:t>
      </w:r>
      <w:r w:rsidR="00881AFC">
        <w:rPr>
          <w:rFonts w:ascii="Franklin Gothic Book" w:hAnsi="Franklin Gothic Book"/>
          <w:sz w:val="22"/>
          <w:szCs w:val="22"/>
        </w:rPr>
        <w:fldChar w:fldCharType="begin"/>
      </w:r>
      <w:r w:rsidR="00881AFC">
        <w:rPr>
          <w:rFonts w:ascii="Franklin Gothic Book" w:hAnsi="Franklin Gothic Book"/>
          <w:sz w:val="22"/>
          <w:szCs w:val="22"/>
        </w:rPr>
        <w:instrText xml:space="preserve"> REF _Ref104888618 </w:instrText>
      </w:r>
      <w:r w:rsidR="009A1EDB">
        <w:rPr>
          <w:rFonts w:ascii="Franklin Gothic Book" w:hAnsi="Franklin Gothic Book"/>
          <w:sz w:val="22"/>
          <w:szCs w:val="22"/>
        </w:rPr>
        <w:instrText xml:space="preserve"> \* MERGEFORMAT </w:instrText>
      </w:r>
      <w:r w:rsidR="00881AFC">
        <w:rPr>
          <w:rFonts w:ascii="Franklin Gothic Book" w:hAnsi="Franklin Gothic Book"/>
          <w:sz w:val="22"/>
          <w:szCs w:val="22"/>
        </w:rPr>
        <w:fldChar w:fldCharType="separate"/>
      </w:r>
      <w:r w:rsidR="008260AB" w:rsidRPr="008260AB">
        <w:rPr>
          <w:rFonts w:ascii="Franklin Gothic Book" w:hAnsi="Franklin Gothic Book"/>
          <w:sz w:val="22"/>
          <w:szCs w:val="22"/>
        </w:rPr>
        <w:t>Table 5</w:t>
      </w:r>
      <w:r w:rsidR="00881AFC">
        <w:rPr>
          <w:rFonts w:ascii="Franklin Gothic Book" w:hAnsi="Franklin Gothic Book"/>
          <w:sz w:val="22"/>
          <w:szCs w:val="22"/>
        </w:rPr>
        <w:fldChar w:fldCharType="end"/>
      </w:r>
      <w:r w:rsidRPr="00264776">
        <w:rPr>
          <w:rFonts w:ascii="Franklin Gothic Book" w:hAnsi="Franklin Gothic Book"/>
          <w:sz w:val="22"/>
          <w:szCs w:val="22"/>
        </w:rPr>
        <w:t xml:space="preserve">. This analysis assumes all individuals with a non-diagnostic SGT result proceed to gene panel testing, and that the </w:t>
      </w:r>
      <w:r w:rsidR="009A1EDB">
        <w:rPr>
          <w:rFonts w:ascii="Franklin Gothic Book" w:hAnsi="Franklin Gothic Book"/>
          <w:sz w:val="22"/>
          <w:szCs w:val="22"/>
        </w:rPr>
        <w:t>DY</w:t>
      </w:r>
      <w:r w:rsidRPr="00264776">
        <w:rPr>
          <w:rFonts w:ascii="Franklin Gothic Book" w:hAnsi="Franklin Gothic Book"/>
          <w:sz w:val="22"/>
          <w:szCs w:val="22"/>
        </w:rPr>
        <w:t xml:space="preserve"> of the gene panel is then the same as for the previous assessment, at 20%. The analysis showed SGT in affected individuals is overall cost-saving and more effective than tissue biopsy.</w:t>
      </w:r>
    </w:p>
    <w:p w14:paraId="1C467B80" w14:textId="4935D34A" w:rsidR="00264776" w:rsidRPr="004A0048" w:rsidRDefault="00264776" w:rsidP="007D4B83">
      <w:pPr>
        <w:pStyle w:val="Caption"/>
        <w:spacing w:before="240"/>
      </w:pPr>
      <w:bookmarkStart w:id="17" w:name="_Ref104888618"/>
      <w:r w:rsidRPr="00FD2128">
        <w:t xml:space="preserve">Table </w:t>
      </w:r>
      <w:fldSimple w:instr=" SEQ Table \* ARABIC ">
        <w:r w:rsidR="008260AB">
          <w:rPr>
            <w:noProof/>
          </w:rPr>
          <w:t>5</w:t>
        </w:r>
      </w:fldSimple>
      <w:bookmarkEnd w:id="17"/>
      <w:r w:rsidRPr="00FD2128">
        <w:t xml:space="preserve"> </w:t>
      </w:r>
      <w:r w:rsidRPr="00FD2128">
        <w:rPr>
          <w:lang w:eastAsia="en-AU"/>
        </w:rPr>
        <w:t>Assessment of the cost-effectiveness of SGT in affected individuals. Effectiveness is expressed in terms of genetic diagnoses achieved</w:t>
      </w:r>
      <w:r>
        <w:rPr>
          <w:lang w:eastAsia="en-AU"/>
        </w:rPr>
        <w:t>.</w:t>
      </w:r>
    </w:p>
    <w:tbl>
      <w:tblPr>
        <w:tblStyle w:val="TableGrid"/>
        <w:tblW w:w="0" w:type="auto"/>
        <w:tblLook w:val="04A0" w:firstRow="1" w:lastRow="0" w:firstColumn="1" w:lastColumn="0" w:noHBand="0" w:noVBand="1"/>
      </w:tblPr>
      <w:tblGrid>
        <w:gridCol w:w="1129"/>
        <w:gridCol w:w="1450"/>
        <w:gridCol w:w="1669"/>
        <w:gridCol w:w="1830"/>
        <w:gridCol w:w="1538"/>
        <w:gridCol w:w="1400"/>
      </w:tblGrid>
      <w:tr w:rsidR="00264776" w:rsidRPr="007843BD" w14:paraId="7F588843" w14:textId="77777777" w:rsidTr="0029349F">
        <w:tc>
          <w:tcPr>
            <w:tcW w:w="1129" w:type="dxa"/>
            <w:vAlign w:val="center"/>
          </w:tcPr>
          <w:p w14:paraId="56FCABF3" w14:textId="77777777" w:rsidR="00264776" w:rsidRPr="000B2F94" w:rsidRDefault="00264776" w:rsidP="00264776">
            <w:pPr>
              <w:spacing w:line="276" w:lineRule="auto"/>
              <w:jc w:val="center"/>
              <w:rPr>
                <w:rFonts w:ascii="Arial Narrow" w:hAnsi="Arial Narrow"/>
                <w:b/>
                <w:bCs/>
                <w:sz w:val="20"/>
              </w:rPr>
            </w:pPr>
            <w:r w:rsidRPr="000B2F94">
              <w:rPr>
                <w:rFonts w:ascii="Arial Narrow" w:hAnsi="Arial Narrow"/>
                <w:b/>
                <w:bCs/>
                <w:sz w:val="20"/>
              </w:rPr>
              <w:t>DY of SGT</w:t>
            </w:r>
          </w:p>
        </w:tc>
        <w:tc>
          <w:tcPr>
            <w:tcW w:w="1450" w:type="dxa"/>
          </w:tcPr>
          <w:p w14:paraId="365D69F0" w14:textId="77777777" w:rsidR="00264776" w:rsidRPr="000B2F94" w:rsidRDefault="00264776" w:rsidP="00264776">
            <w:pPr>
              <w:spacing w:line="276" w:lineRule="auto"/>
              <w:rPr>
                <w:rFonts w:ascii="Arial Narrow" w:hAnsi="Arial Narrow"/>
                <w:b/>
                <w:bCs/>
                <w:sz w:val="20"/>
              </w:rPr>
            </w:pPr>
          </w:p>
        </w:tc>
        <w:tc>
          <w:tcPr>
            <w:tcW w:w="1669" w:type="dxa"/>
            <w:vAlign w:val="center"/>
          </w:tcPr>
          <w:p w14:paraId="38B5DBCD" w14:textId="77777777" w:rsidR="00264776" w:rsidRPr="000B2F94" w:rsidRDefault="00264776" w:rsidP="00264776">
            <w:pPr>
              <w:spacing w:line="276" w:lineRule="auto"/>
              <w:jc w:val="center"/>
              <w:rPr>
                <w:rFonts w:ascii="Arial Narrow" w:hAnsi="Arial Narrow"/>
                <w:b/>
                <w:bCs/>
                <w:sz w:val="20"/>
              </w:rPr>
            </w:pPr>
            <w:r w:rsidRPr="000B2F94">
              <w:rPr>
                <w:rFonts w:ascii="Arial Narrow" w:hAnsi="Arial Narrow"/>
                <w:b/>
                <w:bCs/>
                <w:sz w:val="20"/>
              </w:rPr>
              <w:t>Intervention: SGT available</w:t>
            </w:r>
          </w:p>
        </w:tc>
        <w:tc>
          <w:tcPr>
            <w:tcW w:w="1830" w:type="dxa"/>
            <w:vAlign w:val="center"/>
          </w:tcPr>
          <w:p w14:paraId="33BE297B" w14:textId="77777777" w:rsidR="00264776" w:rsidRPr="000B2F94" w:rsidRDefault="00264776" w:rsidP="00264776">
            <w:pPr>
              <w:spacing w:line="276" w:lineRule="auto"/>
              <w:jc w:val="center"/>
              <w:rPr>
                <w:rFonts w:ascii="Arial Narrow" w:hAnsi="Arial Narrow"/>
                <w:b/>
                <w:bCs/>
                <w:sz w:val="20"/>
              </w:rPr>
            </w:pPr>
            <w:r w:rsidRPr="000B2F94">
              <w:rPr>
                <w:rFonts w:ascii="Arial Narrow" w:hAnsi="Arial Narrow"/>
                <w:b/>
                <w:bCs/>
                <w:sz w:val="20"/>
              </w:rPr>
              <w:t>Comparator: SGT not available</w:t>
            </w:r>
          </w:p>
        </w:tc>
        <w:tc>
          <w:tcPr>
            <w:tcW w:w="1538" w:type="dxa"/>
            <w:vAlign w:val="center"/>
          </w:tcPr>
          <w:p w14:paraId="214A1DA4" w14:textId="77777777" w:rsidR="00264776" w:rsidRPr="000B2F94" w:rsidRDefault="00264776" w:rsidP="00264776">
            <w:pPr>
              <w:spacing w:line="276" w:lineRule="auto"/>
              <w:jc w:val="center"/>
              <w:rPr>
                <w:rFonts w:ascii="Arial Narrow" w:hAnsi="Arial Narrow"/>
                <w:b/>
                <w:bCs/>
                <w:sz w:val="20"/>
              </w:rPr>
            </w:pPr>
            <w:r w:rsidRPr="000B2F94">
              <w:rPr>
                <w:rFonts w:ascii="Arial Narrow" w:hAnsi="Arial Narrow"/>
                <w:b/>
                <w:bCs/>
                <w:sz w:val="20"/>
              </w:rPr>
              <w:t>Increment</w:t>
            </w:r>
          </w:p>
        </w:tc>
        <w:tc>
          <w:tcPr>
            <w:tcW w:w="1400" w:type="dxa"/>
            <w:vAlign w:val="center"/>
          </w:tcPr>
          <w:p w14:paraId="335FDAC5" w14:textId="77777777" w:rsidR="00264776" w:rsidRPr="000B2F94" w:rsidRDefault="00264776" w:rsidP="00264776">
            <w:pPr>
              <w:spacing w:line="276" w:lineRule="auto"/>
              <w:jc w:val="center"/>
              <w:rPr>
                <w:rFonts w:ascii="Arial Narrow" w:hAnsi="Arial Narrow"/>
                <w:b/>
                <w:bCs/>
                <w:sz w:val="20"/>
              </w:rPr>
            </w:pPr>
            <w:r w:rsidRPr="000B2F94">
              <w:rPr>
                <w:rFonts w:ascii="Arial Narrow" w:hAnsi="Arial Narrow"/>
                <w:b/>
                <w:bCs/>
                <w:sz w:val="20"/>
              </w:rPr>
              <w:t>ICER</w:t>
            </w:r>
          </w:p>
        </w:tc>
      </w:tr>
      <w:tr w:rsidR="009A1EDB" w:rsidRPr="007843BD" w14:paraId="2C1EF892" w14:textId="77777777" w:rsidTr="0029349F">
        <w:tc>
          <w:tcPr>
            <w:tcW w:w="1129" w:type="dxa"/>
            <w:vMerge w:val="restart"/>
            <w:vAlign w:val="center"/>
          </w:tcPr>
          <w:p w14:paraId="0270643C"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95%</w:t>
            </w:r>
          </w:p>
        </w:tc>
        <w:tc>
          <w:tcPr>
            <w:tcW w:w="1450" w:type="dxa"/>
          </w:tcPr>
          <w:p w14:paraId="2CC208DF" w14:textId="77777777" w:rsidR="009A1EDB" w:rsidRPr="000B2F94" w:rsidRDefault="009A1EDB" w:rsidP="00264776">
            <w:pPr>
              <w:spacing w:line="276" w:lineRule="auto"/>
              <w:rPr>
                <w:rFonts w:ascii="Arial Narrow" w:hAnsi="Arial Narrow"/>
                <w:sz w:val="20"/>
              </w:rPr>
            </w:pPr>
            <w:r w:rsidRPr="000B2F94">
              <w:rPr>
                <w:rFonts w:ascii="Arial Narrow" w:hAnsi="Arial Narrow"/>
                <w:sz w:val="20"/>
              </w:rPr>
              <w:t>Cost</w:t>
            </w:r>
          </w:p>
        </w:tc>
        <w:tc>
          <w:tcPr>
            <w:tcW w:w="1669" w:type="dxa"/>
          </w:tcPr>
          <w:p w14:paraId="2ADB19E6"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$474</w:t>
            </w:r>
          </w:p>
        </w:tc>
        <w:tc>
          <w:tcPr>
            <w:tcW w:w="1830" w:type="dxa"/>
            <w:vAlign w:val="center"/>
          </w:tcPr>
          <w:p w14:paraId="327D5097"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cs="Calibri"/>
                <w:color w:val="000000"/>
                <w:sz w:val="20"/>
              </w:rPr>
              <w:t>$1,378</w:t>
            </w:r>
          </w:p>
        </w:tc>
        <w:tc>
          <w:tcPr>
            <w:tcW w:w="1538" w:type="dxa"/>
          </w:tcPr>
          <w:p w14:paraId="0C898800"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-$904</w:t>
            </w:r>
          </w:p>
        </w:tc>
        <w:tc>
          <w:tcPr>
            <w:tcW w:w="1400" w:type="dxa"/>
            <w:vMerge w:val="restart"/>
            <w:vAlign w:val="center"/>
          </w:tcPr>
          <w:p w14:paraId="133324FF" w14:textId="5B640BEF" w:rsidR="009A1EDB" w:rsidRPr="000B2F94" w:rsidRDefault="009A1EDB" w:rsidP="00264776">
            <w:pPr>
              <w:spacing w:line="276" w:lineRule="auto"/>
              <w:jc w:val="center"/>
              <w:rPr>
                <w:rFonts w:ascii="Arial Narrow" w:hAnsi="Arial Narrow"/>
                <w:sz w:val="20"/>
              </w:rPr>
            </w:pPr>
            <w:r w:rsidRPr="000B2F94">
              <w:rPr>
                <w:rFonts w:ascii="Arial Narrow" w:hAnsi="Arial Narrow" w:cs="Calibri"/>
                <w:color w:val="000000"/>
                <w:sz w:val="20"/>
              </w:rPr>
              <w:t>SGT domina</w:t>
            </w:r>
            <w:r>
              <w:rPr>
                <w:rFonts w:ascii="Arial Narrow" w:hAnsi="Arial Narrow" w:cs="Calibri"/>
                <w:color w:val="000000"/>
                <w:sz w:val="20"/>
              </w:rPr>
              <w:t>n</w:t>
            </w:r>
            <w:r w:rsidRPr="000B2F94">
              <w:rPr>
                <w:rFonts w:ascii="Arial Narrow" w:hAnsi="Arial Narrow" w:cs="Calibri"/>
                <w:color w:val="000000"/>
                <w:sz w:val="20"/>
              </w:rPr>
              <w:t>t</w:t>
            </w:r>
          </w:p>
        </w:tc>
      </w:tr>
      <w:tr w:rsidR="009A1EDB" w:rsidRPr="007843BD" w14:paraId="09DDFC7B" w14:textId="77777777" w:rsidTr="0029349F">
        <w:tc>
          <w:tcPr>
            <w:tcW w:w="1129" w:type="dxa"/>
            <w:vMerge/>
            <w:vAlign w:val="center"/>
          </w:tcPr>
          <w:p w14:paraId="3B32B9C7" w14:textId="77777777" w:rsidR="009A1EDB" w:rsidRPr="000B2F94" w:rsidRDefault="009A1EDB" w:rsidP="00264776">
            <w:pPr>
              <w:spacing w:line="276" w:lineRule="auto"/>
              <w:jc w:val="center"/>
              <w:rPr>
                <w:rFonts w:ascii="Arial Narrow" w:hAnsi="Arial Narrow"/>
                <w:sz w:val="20"/>
              </w:rPr>
            </w:pPr>
          </w:p>
        </w:tc>
        <w:tc>
          <w:tcPr>
            <w:tcW w:w="1450" w:type="dxa"/>
          </w:tcPr>
          <w:p w14:paraId="240DDEBC" w14:textId="77777777" w:rsidR="009A1EDB" w:rsidRPr="000B2F94" w:rsidRDefault="009A1EDB" w:rsidP="00264776">
            <w:pPr>
              <w:spacing w:line="276" w:lineRule="auto"/>
              <w:rPr>
                <w:rFonts w:ascii="Arial Narrow" w:hAnsi="Arial Narrow"/>
                <w:sz w:val="20"/>
              </w:rPr>
            </w:pPr>
            <w:r w:rsidRPr="000B2F94">
              <w:rPr>
                <w:rFonts w:ascii="Arial Narrow" w:hAnsi="Arial Narrow"/>
                <w:sz w:val="20"/>
              </w:rPr>
              <w:t>Effectiveness</w:t>
            </w:r>
          </w:p>
        </w:tc>
        <w:tc>
          <w:tcPr>
            <w:tcW w:w="1669" w:type="dxa"/>
          </w:tcPr>
          <w:p w14:paraId="4326AB29"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0.96</w:t>
            </w:r>
          </w:p>
        </w:tc>
        <w:tc>
          <w:tcPr>
            <w:tcW w:w="1830" w:type="dxa"/>
            <w:vAlign w:val="center"/>
          </w:tcPr>
          <w:p w14:paraId="3D812E12"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cs="Calibri"/>
                <w:color w:val="000000"/>
                <w:sz w:val="20"/>
              </w:rPr>
              <w:t>0</w:t>
            </w:r>
          </w:p>
        </w:tc>
        <w:tc>
          <w:tcPr>
            <w:tcW w:w="1538" w:type="dxa"/>
          </w:tcPr>
          <w:p w14:paraId="1FD12AC7"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0.96</w:t>
            </w:r>
          </w:p>
        </w:tc>
        <w:tc>
          <w:tcPr>
            <w:tcW w:w="1400" w:type="dxa"/>
            <w:vMerge/>
            <w:vAlign w:val="center"/>
          </w:tcPr>
          <w:p w14:paraId="3662DDA6" w14:textId="55B6A851" w:rsidR="009A1EDB" w:rsidRPr="000B2F94" w:rsidRDefault="009A1EDB" w:rsidP="00264776">
            <w:pPr>
              <w:spacing w:line="276" w:lineRule="auto"/>
              <w:jc w:val="center"/>
              <w:rPr>
                <w:rFonts w:ascii="Arial Narrow" w:hAnsi="Arial Narrow"/>
                <w:sz w:val="20"/>
              </w:rPr>
            </w:pPr>
          </w:p>
        </w:tc>
      </w:tr>
      <w:tr w:rsidR="009A1EDB" w:rsidRPr="007843BD" w14:paraId="132BBC4A" w14:textId="77777777" w:rsidTr="0029349F">
        <w:tc>
          <w:tcPr>
            <w:tcW w:w="1129" w:type="dxa"/>
            <w:vMerge w:val="restart"/>
            <w:vAlign w:val="center"/>
          </w:tcPr>
          <w:p w14:paraId="242B9FA0"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90%</w:t>
            </w:r>
          </w:p>
        </w:tc>
        <w:tc>
          <w:tcPr>
            <w:tcW w:w="1450" w:type="dxa"/>
          </w:tcPr>
          <w:p w14:paraId="389785A8" w14:textId="77777777" w:rsidR="009A1EDB" w:rsidRPr="000B2F94" w:rsidRDefault="009A1EDB" w:rsidP="00264776">
            <w:pPr>
              <w:spacing w:line="276" w:lineRule="auto"/>
              <w:rPr>
                <w:rFonts w:ascii="Arial Narrow" w:hAnsi="Arial Narrow"/>
                <w:sz w:val="20"/>
              </w:rPr>
            </w:pPr>
            <w:r w:rsidRPr="000B2F94">
              <w:rPr>
                <w:rFonts w:ascii="Arial Narrow" w:hAnsi="Arial Narrow"/>
                <w:sz w:val="20"/>
              </w:rPr>
              <w:t>Cost</w:t>
            </w:r>
          </w:p>
        </w:tc>
        <w:tc>
          <w:tcPr>
            <w:tcW w:w="1669" w:type="dxa"/>
          </w:tcPr>
          <w:p w14:paraId="27EF5147"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$534</w:t>
            </w:r>
          </w:p>
        </w:tc>
        <w:tc>
          <w:tcPr>
            <w:tcW w:w="1830" w:type="dxa"/>
            <w:vAlign w:val="center"/>
          </w:tcPr>
          <w:p w14:paraId="230DE311"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cs="Calibri"/>
                <w:color w:val="000000"/>
                <w:sz w:val="20"/>
              </w:rPr>
              <w:t>$1,378</w:t>
            </w:r>
          </w:p>
        </w:tc>
        <w:tc>
          <w:tcPr>
            <w:tcW w:w="1538" w:type="dxa"/>
          </w:tcPr>
          <w:p w14:paraId="66CCC795"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-$844</w:t>
            </w:r>
          </w:p>
        </w:tc>
        <w:tc>
          <w:tcPr>
            <w:tcW w:w="1400" w:type="dxa"/>
            <w:vMerge w:val="restart"/>
            <w:vAlign w:val="center"/>
          </w:tcPr>
          <w:p w14:paraId="5911991C" w14:textId="439CA1F5" w:rsidR="009A1EDB" w:rsidRPr="000B2F94" w:rsidRDefault="009A1EDB" w:rsidP="00264776">
            <w:pPr>
              <w:spacing w:line="276" w:lineRule="auto"/>
              <w:jc w:val="center"/>
              <w:rPr>
                <w:rFonts w:ascii="Arial Narrow" w:hAnsi="Arial Narrow"/>
                <w:sz w:val="20"/>
              </w:rPr>
            </w:pPr>
            <w:r w:rsidRPr="000B2F94">
              <w:rPr>
                <w:rFonts w:ascii="Arial Narrow" w:hAnsi="Arial Narrow" w:cs="Calibri"/>
                <w:color w:val="000000"/>
                <w:sz w:val="20"/>
              </w:rPr>
              <w:t>SGT domina</w:t>
            </w:r>
            <w:r>
              <w:rPr>
                <w:rFonts w:ascii="Arial Narrow" w:hAnsi="Arial Narrow" w:cs="Calibri"/>
                <w:color w:val="000000"/>
                <w:sz w:val="20"/>
              </w:rPr>
              <w:t>n</w:t>
            </w:r>
            <w:r w:rsidRPr="000B2F94">
              <w:rPr>
                <w:rFonts w:ascii="Arial Narrow" w:hAnsi="Arial Narrow" w:cs="Calibri"/>
                <w:color w:val="000000"/>
                <w:sz w:val="20"/>
              </w:rPr>
              <w:t>t</w:t>
            </w:r>
          </w:p>
        </w:tc>
      </w:tr>
      <w:tr w:rsidR="009A1EDB" w:rsidRPr="007843BD" w14:paraId="19FE2FAA" w14:textId="77777777" w:rsidTr="0029349F">
        <w:tc>
          <w:tcPr>
            <w:tcW w:w="1129" w:type="dxa"/>
            <w:vMerge/>
            <w:vAlign w:val="center"/>
          </w:tcPr>
          <w:p w14:paraId="0FE312B1" w14:textId="77777777" w:rsidR="009A1EDB" w:rsidRPr="000B2F94" w:rsidRDefault="009A1EDB" w:rsidP="00264776">
            <w:pPr>
              <w:spacing w:line="276" w:lineRule="auto"/>
              <w:jc w:val="center"/>
              <w:rPr>
                <w:rFonts w:ascii="Arial Narrow" w:hAnsi="Arial Narrow"/>
                <w:sz w:val="20"/>
              </w:rPr>
            </w:pPr>
          </w:p>
        </w:tc>
        <w:tc>
          <w:tcPr>
            <w:tcW w:w="1450" w:type="dxa"/>
          </w:tcPr>
          <w:p w14:paraId="1550BF6F" w14:textId="77777777" w:rsidR="009A1EDB" w:rsidRPr="000B2F94" w:rsidRDefault="009A1EDB" w:rsidP="00264776">
            <w:pPr>
              <w:spacing w:line="276" w:lineRule="auto"/>
              <w:rPr>
                <w:rFonts w:ascii="Arial Narrow" w:hAnsi="Arial Narrow"/>
                <w:sz w:val="20"/>
              </w:rPr>
            </w:pPr>
            <w:r w:rsidRPr="000B2F94">
              <w:rPr>
                <w:rFonts w:ascii="Arial Narrow" w:hAnsi="Arial Narrow"/>
                <w:sz w:val="20"/>
              </w:rPr>
              <w:t>Effectiveness</w:t>
            </w:r>
          </w:p>
        </w:tc>
        <w:tc>
          <w:tcPr>
            <w:tcW w:w="1669" w:type="dxa"/>
          </w:tcPr>
          <w:p w14:paraId="55CCC277"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0.92</w:t>
            </w:r>
          </w:p>
        </w:tc>
        <w:tc>
          <w:tcPr>
            <w:tcW w:w="1830" w:type="dxa"/>
            <w:vAlign w:val="center"/>
          </w:tcPr>
          <w:p w14:paraId="2B4D3177"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cs="Calibri"/>
                <w:color w:val="000000"/>
                <w:sz w:val="20"/>
              </w:rPr>
              <w:t>0</w:t>
            </w:r>
          </w:p>
        </w:tc>
        <w:tc>
          <w:tcPr>
            <w:tcW w:w="1538" w:type="dxa"/>
          </w:tcPr>
          <w:p w14:paraId="4B6F5ABA"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0.92</w:t>
            </w:r>
          </w:p>
        </w:tc>
        <w:tc>
          <w:tcPr>
            <w:tcW w:w="1400" w:type="dxa"/>
            <w:vMerge/>
            <w:vAlign w:val="center"/>
          </w:tcPr>
          <w:p w14:paraId="09F869C4" w14:textId="553A9616" w:rsidR="009A1EDB" w:rsidRPr="000B2F94" w:rsidRDefault="009A1EDB" w:rsidP="00264776">
            <w:pPr>
              <w:spacing w:line="276" w:lineRule="auto"/>
              <w:jc w:val="center"/>
              <w:rPr>
                <w:rFonts w:ascii="Arial Narrow" w:hAnsi="Arial Narrow"/>
                <w:sz w:val="20"/>
              </w:rPr>
            </w:pPr>
          </w:p>
        </w:tc>
      </w:tr>
      <w:tr w:rsidR="009A1EDB" w:rsidRPr="007843BD" w14:paraId="446F09C7" w14:textId="77777777" w:rsidTr="0029349F">
        <w:tc>
          <w:tcPr>
            <w:tcW w:w="1129" w:type="dxa"/>
            <w:vMerge w:val="restart"/>
            <w:vAlign w:val="center"/>
          </w:tcPr>
          <w:p w14:paraId="47774DB8"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80%</w:t>
            </w:r>
          </w:p>
        </w:tc>
        <w:tc>
          <w:tcPr>
            <w:tcW w:w="1450" w:type="dxa"/>
          </w:tcPr>
          <w:p w14:paraId="46ED7831" w14:textId="77777777" w:rsidR="009A1EDB" w:rsidRPr="000B2F94" w:rsidRDefault="009A1EDB" w:rsidP="00264776">
            <w:pPr>
              <w:spacing w:line="276" w:lineRule="auto"/>
              <w:rPr>
                <w:rFonts w:ascii="Arial Narrow" w:hAnsi="Arial Narrow"/>
                <w:sz w:val="20"/>
              </w:rPr>
            </w:pPr>
            <w:r w:rsidRPr="000B2F94">
              <w:rPr>
                <w:rFonts w:ascii="Arial Narrow" w:hAnsi="Arial Narrow"/>
                <w:sz w:val="20"/>
              </w:rPr>
              <w:t>Cost</w:t>
            </w:r>
          </w:p>
        </w:tc>
        <w:tc>
          <w:tcPr>
            <w:tcW w:w="1669" w:type="dxa"/>
          </w:tcPr>
          <w:p w14:paraId="1F28BC4E"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$654</w:t>
            </w:r>
          </w:p>
        </w:tc>
        <w:tc>
          <w:tcPr>
            <w:tcW w:w="1830" w:type="dxa"/>
            <w:vAlign w:val="center"/>
          </w:tcPr>
          <w:p w14:paraId="78CCC144"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cs="Calibri"/>
                <w:color w:val="000000"/>
                <w:sz w:val="20"/>
              </w:rPr>
              <w:t>$1,378</w:t>
            </w:r>
          </w:p>
        </w:tc>
        <w:tc>
          <w:tcPr>
            <w:tcW w:w="1538" w:type="dxa"/>
          </w:tcPr>
          <w:p w14:paraId="621F521A"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-$724</w:t>
            </w:r>
          </w:p>
        </w:tc>
        <w:tc>
          <w:tcPr>
            <w:tcW w:w="1400" w:type="dxa"/>
            <w:vMerge w:val="restart"/>
            <w:vAlign w:val="center"/>
          </w:tcPr>
          <w:p w14:paraId="669D87C9" w14:textId="7CC4146F" w:rsidR="009A1EDB" w:rsidRPr="000B2F94" w:rsidRDefault="009A1EDB" w:rsidP="00264776">
            <w:pPr>
              <w:spacing w:line="276" w:lineRule="auto"/>
              <w:jc w:val="center"/>
              <w:rPr>
                <w:rFonts w:ascii="Arial Narrow" w:hAnsi="Arial Narrow"/>
                <w:sz w:val="20"/>
              </w:rPr>
            </w:pPr>
            <w:r w:rsidRPr="000B2F94">
              <w:rPr>
                <w:rFonts w:ascii="Arial Narrow" w:hAnsi="Arial Narrow" w:cs="Calibri"/>
                <w:color w:val="000000"/>
                <w:sz w:val="20"/>
              </w:rPr>
              <w:t>SGT domina</w:t>
            </w:r>
            <w:r>
              <w:rPr>
                <w:rFonts w:ascii="Arial Narrow" w:hAnsi="Arial Narrow" w:cs="Calibri"/>
                <w:color w:val="000000"/>
                <w:sz w:val="20"/>
              </w:rPr>
              <w:t>n</w:t>
            </w:r>
            <w:r w:rsidRPr="000B2F94">
              <w:rPr>
                <w:rFonts w:ascii="Arial Narrow" w:hAnsi="Arial Narrow" w:cs="Calibri"/>
                <w:color w:val="000000"/>
                <w:sz w:val="20"/>
              </w:rPr>
              <w:t>t</w:t>
            </w:r>
          </w:p>
        </w:tc>
      </w:tr>
      <w:tr w:rsidR="009A1EDB" w:rsidRPr="007843BD" w14:paraId="0D12BF62" w14:textId="77777777" w:rsidTr="0029349F">
        <w:tc>
          <w:tcPr>
            <w:tcW w:w="1129" w:type="dxa"/>
            <w:vMerge/>
            <w:vAlign w:val="center"/>
          </w:tcPr>
          <w:p w14:paraId="72D6F660" w14:textId="77777777" w:rsidR="009A1EDB" w:rsidRPr="000B2F94" w:rsidRDefault="009A1EDB" w:rsidP="00264776">
            <w:pPr>
              <w:spacing w:line="276" w:lineRule="auto"/>
              <w:jc w:val="center"/>
              <w:rPr>
                <w:rFonts w:ascii="Arial Narrow" w:hAnsi="Arial Narrow"/>
                <w:sz w:val="20"/>
              </w:rPr>
            </w:pPr>
          </w:p>
        </w:tc>
        <w:tc>
          <w:tcPr>
            <w:tcW w:w="1450" w:type="dxa"/>
          </w:tcPr>
          <w:p w14:paraId="3BB6ADF9" w14:textId="77777777" w:rsidR="009A1EDB" w:rsidRPr="000B2F94" w:rsidRDefault="009A1EDB" w:rsidP="00264776">
            <w:pPr>
              <w:spacing w:line="276" w:lineRule="auto"/>
              <w:rPr>
                <w:rFonts w:ascii="Arial Narrow" w:hAnsi="Arial Narrow"/>
                <w:sz w:val="20"/>
              </w:rPr>
            </w:pPr>
            <w:r w:rsidRPr="000B2F94">
              <w:rPr>
                <w:rFonts w:ascii="Arial Narrow" w:hAnsi="Arial Narrow"/>
                <w:sz w:val="20"/>
              </w:rPr>
              <w:t>Effectiveness</w:t>
            </w:r>
          </w:p>
        </w:tc>
        <w:tc>
          <w:tcPr>
            <w:tcW w:w="1669" w:type="dxa"/>
          </w:tcPr>
          <w:p w14:paraId="6A3CEEEA"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0.84</w:t>
            </w:r>
          </w:p>
        </w:tc>
        <w:tc>
          <w:tcPr>
            <w:tcW w:w="1830" w:type="dxa"/>
            <w:vAlign w:val="center"/>
          </w:tcPr>
          <w:p w14:paraId="3EA66F75"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cs="Calibri"/>
                <w:color w:val="000000"/>
                <w:sz w:val="20"/>
              </w:rPr>
              <w:t>0</w:t>
            </w:r>
          </w:p>
        </w:tc>
        <w:tc>
          <w:tcPr>
            <w:tcW w:w="1538" w:type="dxa"/>
          </w:tcPr>
          <w:p w14:paraId="120EBD4A"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0.84</w:t>
            </w:r>
          </w:p>
        </w:tc>
        <w:tc>
          <w:tcPr>
            <w:tcW w:w="1400" w:type="dxa"/>
            <w:vMerge/>
            <w:vAlign w:val="center"/>
          </w:tcPr>
          <w:p w14:paraId="5A8074EE" w14:textId="6F5075CC" w:rsidR="009A1EDB" w:rsidRPr="000B2F94" w:rsidRDefault="009A1EDB" w:rsidP="00264776">
            <w:pPr>
              <w:spacing w:line="276" w:lineRule="auto"/>
              <w:jc w:val="center"/>
              <w:rPr>
                <w:rFonts w:ascii="Arial Narrow" w:hAnsi="Arial Narrow"/>
                <w:sz w:val="20"/>
              </w:rPr>
            </w:pPr>
          </w:p>
        </w:tc>
      </w:tr>
      <w:tr w:rsidR="009A1EDB" w:rsidRPr="007843BD" w14:paraId="670A34ED" w14:textId="77777777" w:rsidTr="0029349F">
        <w:tc>
          <w:tcPr>
            <w:tcW w:w="1129" w:type="dxa"/>
            <w:vMerge w:val="restart"/>
            <w:vAlign w:val="center"/>
          </w:tcPr>
          <w:p w14:paraId="2344BBD0"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70%</w:t>
            </w:r>
          </w:p>
        </w:tc>
        <w:tc>
          <w:tcPr>
            <w:tcW w:w="1450" w:type="dxa"/>
          </w:tcPr>
          <w:p w14:paraId="1EE5F0A8" w14:textId="77777777" w:rsidR="009A1EDB" w:rsidRPr="000B2F94" w:rsidRDefault="009A1EDB" w:rsidP="00264776">
            <w:pPr>
              <w:spacing w:line="276" w:lineRule="auto"/>
              <w:rPr>
                <w:rFonts w:ascii="Arial Narrow" w:hAnsi="Arial Narrow"/>
                <w:sz w:val="20"/>
              </w:rPr>
            </w:pPr>
            <w:r w:rsidRPr="000B2F94">
              <w:rPr>
                <w:rFonts w:ascii="Arial Narrow" w:hAnsi="Arial Narrow"/>
                <w:sz w:val="20"/>
              </w:rPr>
              <w:t>Cost</w:t>
            </w:r>
          </w:p>
        </w:tc>
        <w:tc>
          <w:tcPr>
            <w:tcW w:w="1669" w:type="dxa"/>
          </w:tcPr>
          <w:p w14:paraId="764E2B8E"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$774</w:t>
            </w:r>
          </w:p>
        </w:tc>
        <w:tc>
          <w:tcPr>
            <w:tcW w:w="1830" w:type="dxa"/>
            <w:vAlign w:val="center"/>
          </w:tcPr>
          <w:p w14:paraId="2FE9CE37"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cs="Calibri"/>
                <w:color w:val="000000"/>
                <w:sz w:val="20"/>
              </w:rPr>
              <w:t>$1,378</w:t>
            </w:r>
          </w:p>
        </w:tc>
        <w:tc>
          <w:tcPr>
            <w:tcW w:w="1538" w:type="dxa"/>
          </w:tcPr>
          <w:p w14:paraId="3798CF8D"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-$604</w:t>
            </w:r>
          </w:p>
        </w:tc>
        <w:tc>
          <w:tcPr>
            <w:tcW w:w="1400" w:type="dxa"/>
            <w:vMerge w:val="restart"/>
            <w:vAlign w:val="center"/>
          </w:tcPr>
          <w:p w14:paraId="7C5F1735" w14:textId="485DA971" w:rsidR="009A1EDB" w:rsidRPr="000B2F94" w:rsidRDefault="009A1EDB" w:rsidP="00264776">
            <w:pPr>
              <w:spacing w:line="276" w:lineRule="auto"/>
              <w:jc w:val="center"/>
              <w:rPr>
                <w:rFonts w:ascii="Arial Narrow" w:hAnsi="Arial Narrow"/>
                <w:sz w:val="20"/>
              </w:rPr>
            </w:pPr>
            <w:r w:rsidRPr="000B2F94">
              <w:rPr>
                <w:rFonts w:ascii="Arial Narrow" w:hAnsi="Arial Narrow" w:cs="Calibri"/>
                <w:color w:val="000000"/>
                <w:sz w:val="20"/>
              </w:rPr>
              <w:t>SGT domina</w:t>
            </w:r>
            <w:r>
              <w:rPr>
                <w:rFonts w:ascii="Arial Narrow" w:hAnsi="Arial Narrow" w:cs="Calibri"/>
                <w:color w:val="000000"/>
                <w:sz w:val="20"/>
              </w:rPr>
              <w:t>n</w:t>
            </w:r>
            <w:r w:rsidRPr="000B2F94">
              <w:rPr>
                <w:rFonts w:ascii="Arial Narrow" w:hAnsi="Arial Narrow" w:cs="Calibri"/>
                <w:color w:val="000000"/>
                <w:sz w:val="20"/>
              </w:rPr>
              <w:t>t</w:t>
            </w:r>
          </w:p>
        </w:tc>
      </w:tr>
      <w:tr w:rsidR="009A1EDB" w:rsidRPr="007843BD" w14:paraId="5CBB344D" w14:textId="77777777" w:rsidTr="0029349F">
        <w:tc>
          <w:tcPr>
            <w:tcW w:w="1129" w:type="dxa"/>
            <w:vMerge/>
            <w:vAlign w:val="center"/>
          </w:tcPr>
          <w:p w14:paraId="0D9D5EDD" w14:textId="77777777" w:rsidR="009A1EDB" w:rsidRPr="000B2F94" w:rsidRDefault="009A1EDB" w:rsidP="00264776">
            <w:pPr>
              <w:spacing w:line="276" w:lineRule="auto"/>
              <w:jc w:val="center"/>
              <w:rPr>
                <w:rFonts w:ascii="Arial Narrow" w:hAnsi="Arial Narrow"/>
                <w:sz w:val="20"/>
              </w:rPr>
            </w:pPr>
          </w:p>
        </w:tc>
        <w:tc>
          <w:tcPr>
            <w:tcW w:w="1450" w:type="dxa"/>
          </w:tcPr>
          <w:p w14:paraId="694CF3F0" w14:textId="77777777" w:rsidR="009A1EDB" w:rsidRPr="000B2F94" w:rsidRDefault="009A1EDB" w:rsidP="00264776">
            <w:pPr>
              <w:spacing w:line="276" w:lineRule="auto"/>
              <w:rPr>
                <w:rFonts w:ascii="Arial Narrow" w:hAnsi="Arial Narrow"/>
                <w:sz w:val="20"/>
              </w:rPr>
            </w:pPr>
            <w:r w:rsidRPr="000B2F94">
              <w:rPr>
                <w:rFonts w:ascii="Arial Narrow" w:hAnsi="Arial Narrow"/>
                <w:sz w:val="20"/>
              </w:rPr>
              <w:t>Effectiveness</w:t>
            </w:r>
          </w:p>
        </w:tc>
        <w:tc>
          <w:tcPr>
            <w:tcW w:w="1669" w:type="dxa"/>
          </w:tcPr>
          <w:p w14:paraId="48372C1B"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0.76</w:t>
            </w:r>
          </w:p>
        </w:tc>
        <w:tc>
          <w:tcPr>
            <w:tcW w:w="1830" w:type="dxa"/>
            <w:vAlign w:val="center"/>
          </w:tcPr>
          <w:p w14:paraId="07A3F38F"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cs="Calibri"/>
                <w:color w:val="000000"/>
                <w:sz w:val="20"/>
              </w:rPr>
              <w:t>0</w:t>
            </w:r>
          </w:p>
        </w:tc>
        <w:tc>
          <w:tcPr>
            <w:tcW w:w="1538" w:type="dxa"/>
          </w:tcPr>
          <w:p w14:paraId="37C37012"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0.76</w:t>
            </w:r>
          </w:p>
        </w:tc>
        <w:tc>
          <w:tcPr>
            <w:tcW w:w="1400" w:type="dxa"/>
            <w:vMerge/>
            <w:vAlign w:val="center"/>
          </w:tcPr>
          <w:p w14:paraId="5FAF2214" w14:textId="3B0EF870" w:rsidR="009A1EDB" w:rsidRPr="000B2F94" w:rsidRDefault="009A1EDB" w:rsidP="00264776">
            <w:pPr>
              <w:spacing w:line="276" w:lineRule="auto"/>
              <w:jc w:val="center"/>
              <w:rPr>
                <w:rFonts w:ascii="Arial Narrow" w:hAnsi="Arial Narrow"/>
                <w:sz w:val="20"/>
              </w:rPr>
            </w:pPr>
          </w:p>
        </w:tc>
      </w:tr>
      <w:tr w:rsidR="009A1EDB" w:rsidRPr="007843BD" w14:paraId="39D1EC48" w14:textId="77777777" w:rsidTr="0029349F">
        <w:tc>
          <w:tcPr>
            <w:tcW w:w="1129" w:type="dxa"/>
            <w:vMerge w:val="restart"/>
            <w:vAlign w:val="center"/>
          </w:tcPr>
          <w:p w14:paraId="14D2626A"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60%</w:t>
            </w:r>
          </w:p>
        </w:tc>
        <w:tc>
          <w:tcPr>
            <w:tcW w:w="1450" w:type="dxa"/>
          </w:tcPr>
          <w:p w14:paraId="66163A52" w14:textId="77777777" w:rsidR="009A1EDB" w:rsidRPr="000B2F94" w:rsidRDefault="009A1EDB" w:rsidP="00264776">
            <w:pPr>
              <w:spacing w:line="276" w:lineRule="auto"/>
              <w:rPr>
                <w:rFonts w:ascii="Arial Narrow" w:hAnsi="Arial Narrow"/>
                <w:sz w:val="20"/>
              </w:rPr>
            </w:pPr>
            <w:r w:rsidRPr="000B2F94">
              <w:rPr>
                <w:rFonts w:ascii="Arial Narrow" w:hAnsi="Arial Narrow"/>
                <w:sz w:val="20"/>
              </w:rPr>
              <w:t>Cost</w:t>
            </w:r>
          </w:p>
        </w:tc>
        <w:tc>
          <w:tcPr>
            <w:tcW w:w="1669" w:type="dxa"/>
          </w:tcPr>
          <w:p w14:paraId="7DC8565E"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$894</w:t>
            </w:r>
          </w:p>
        </w:tc>
        <w:tc>
          <w:tcPr>
            <w:tcW w:w="1830" w:type="dxa"/>
            <w:vAlign w:val="center"/>
          </w:tcPr>
          <w:p w14:paraId="09A65AA6"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cs="Calibri"/>
                <w:color w:val="000000"/>
                <w:sz w:val="20"/>
              </w:rPr>
              <w:t>$1,378</w:t>
            </w:r>
          </w:p>
        </w:tc>
        <w:tc>
          <w:tcPr>
            <w:tcW w:w="1538" w:type="dxa"/>
          </w:tcPr>
          <w:p w14:paraId="4DF04794"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-$484</w:t>
            </w:r>
          </w:p>
        </w:tc>
        <w:tc>
          <w:tcPr>
            <w:tcW w:w="1400" w:type="dxa"/>
            <w:vMerge w:val="restart"/>
            <w:vAlign w:val="center"/>
          </w:tcPr>
          <w:p w14:paraId="15F6D83A" w14:textId="0591516D" w:rsidR="009A1EDB" w:rsidRPr="000B2F94" w:rsidRDefault="009A1EDB" w:rsidP="00264776">
            <w:pPr>
              <w:spacing w:line="276" w:lineRule="auto"/>
              <w:jc w:val="center"/>
              <w:rPr>
                <w:rFonts w:ascii="Arial Narrow" w:hAnsi="Arial Narrow"/>
                <w:sz w:val="20"/>
              </w:rPr>
            </w:pPr>
            <w:r w:rsidRPr="000B2F94">
              <w:rPr>
                <w:rFonts w:ascii="Arial Narrow" w:hAnsi="Arial Narrow" w:cs="Calibri"/>
                <w:color w:val="000000"/>
                <w:sz w:val="20"/>
              </w:rPr>
              <w:t>SGT domina</w:t>
            </w:r>
            <w:r>
              <w:rPr>
                <w:rFonts w:ascii="Arial Narrow" w:hAnsi="Arial Narrow" w:cs="Calibri"/>
                <w:color w:val="000000"/>
                <w:sz w:val="20"/>
              </w:rPr>
              <w:t>n</w:t>
            </w:r>
            <w:r w:rsidRPr="000B2F94">
              <w:rPr>
                <w:rFonts w:ascii="Arial Narrow" w:hAnsi="Arial Narrow" w:cs="Calibri"/>
                <w:color w:val="000000"/>
                <w:sz w:val="20"/>
              </w:rPr>
              <w:t>t</w:t>
            </w:r>
          </w:p>
        </w:tc>
      </w:tr>
      <w:tr w:rsidR="009A1EDB" w:rsidRPr="007843BD" w14:paraId="0E58BCA3" w14:textId="77777777" w:rsidTr="0029349F">
        <w:tc>
          <w:tcPr>
            <w:tcW w:w="1129" w:type="dxa"/>
            <w:vMerge/>
            <w:vAlign w:val="center"/>
          </w:tcPr>
          <w:p w14:paraId="45625D5F" w14:textId="77777777" w:rsidR="009A1EDB" w:rsidRPr="000B2F94" w:rsidRDefault="009A1EDB" w:rsidP="00264776">
            <w:pPr>
              <w:spacing w:line="276" w:lineRule="auto"/>
              <w:jc w:val="center"/>
              <w:rPr>
                <w:rFonts w:ascii="Arial Narrow" w:hAnsi="Arial Narrow"/>
                <w:sz w:val="20"/>
              </w:rPr>
            </w:pPr>
          </w:p>
        </w:tc>
        <w:tc>
          <w:tcPr>
            <w:tcW w:w="1450" w:type="dxa"/>
          </w:tcPr>
          <w:p w14:paraId="69A4EFD5" w14:textId="77777777" w:rsidR="009A1EDB" w:rsidRPr="000B2F94" w:rsidRDefault="009A1EDB" w:rsidP="00264776">
            <w:pPr>
              <w:spacing w:line="276" w:lineRule="auto"/>
              <w:rPr>
                <w:rFonts w:ascii="Arial Narrow" w:hAnsi="Arial Narrow"/>
                <w:sz w:val="20"/>
              </w:rPr>
            </w:pPr>
            <w:r w:rsidRPr="000B2F94">
              <w:rPr>
                <w:rFonts w:ascii="Arial Narrow" w:hAnsi="Arial Narrow"/>
                <w:sz w:val="20"/>
              </w:rPr>
              <w:t>Effectiveness</w:t>
            </w:r>
          </w:p>
        </w:tc>
        <w:tc>
          <w:tcPr>
            <w:tcW w:w="1669" w:type="dxa"/>
          </w:tcPr>
          <w:p w14:paraId="7791B4EA"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0.68</w:t>
            </w:r>
          </w:p>
        </w:tc>
        <w:tc>
          <w:tcPr>
            <w:tcW w:w="1830" w:type="dxa"/>
            <w:vAlign w:val="center"/>
          </w:tcPr>
          <w:p w14:paraId="2BD65C7C"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cs="Calibri"/>
                <w:color w:val="000000"/>
                <w:sz w:val="20"/>
              </w:rPr>
              <w:t>0</w:t>
            </w:r>
          </w:p>
        </w:tc>
        <w:tc>
          <w:tcPr>
            <w:tcW w:w="1538" w:type="dxa"/>
          </w:tcPr>
          <w:p w14:paraId="59A6D50A" w14:textId="77777777" w:rsidR="009A1EDB" w:rsidRPr="000B2F94" w:rsidRDefault="009A1EDB" w:rsidP="00264776">
            <w:pPr>
              <w:spacing w:line="276" w:lineRule="auto"/>
              <w:jc w:val="center"/>
              <w:rPr>
                <w:rFonts w:ascii="Arial Narrow" w:hAnsi="Arial Narrow"/>
                <w:sz w:val="20"/>
              </w:rPr>
            </w:pPr>
            <w:r w:rsidRPr="000B2F94">
              <w:rPr>
                <w:rFonts w:ascii="Arial Narrow" w:hAnsi="Arial Narrow"/>
                <w:sz w:val="20"/>
              </w:rPr>
              <w:t>0.68</w:t>
            </w:r>
          </w:p>
        </w:tc>
        <w:tc>
          <w:tcPr>
            <w:tcW w:w="1400" w:type="dxa"/>
            <w:vMerge/>
            <w:vAlign w:val="center"/>
          </w:tcPr>
          <w:p w14:paraId="7047D239" w14:textId="3EBA2103" w:rsidR="009A1EDB" w:rsidRPr="000B2F94" w:rsidRDefault="009A1EDB" w:rsidP="00264776">
            <w:pPr>
              <w:spacing w:line="276" w:lineRule="auto"/>
              <w:jc w:val="center"/>
              <w:rPr>
                <w:rFonts w:ascii="Arial Narrow" w:hAnsi="Arial Narrow"/>
                <w:sz w:val="20"/>
              </w:rPr>
            </w:pPr>
          </w:p>
        </w:tc>
      </w:tr>
    </w:tbl>
    <w:p w14:paraId="047F981D" w14:textId="415A6EE2" w:rsidR="00264776" w:rsidRDefault="00264776" w:rsidP="00264776">
      <w:pPr>
        <w:rPr>
          <w:rFonts w:ascii="Arial Narrow" w:hAnsi="Arial Narrow"/>
          <w:sz w:val="18"/>
          <w:szCs w:val="18"/>
        </w:rPr>
      </w:pPr>
      <w:r w:rsidRPr="004A0048">
        <w:rPr>
          <w:rFonts w:ascii="Arial Narrow" w:hAnsi="Arial Narrow"/>
          <w:sz w:val="18"/>
          <w:szCs w:val="18"/>
        </w:rPr>
        <w:t>DY = diagnostic yield; ICER = incremental cost-effectiveness ratio; SGT = single gene testing.</w:t>
      </w:r>
    </w:p>
    <w:p w14:paraId="2DFB547F" w14:textId="22882D28" w:rsidR="00264776" w:rsidRDefault="009A1EDB" w:rsidP="00264776">
      <w:pPr>
        <w:spacing w:before="240"/>
        <w:rPr>
          <w:rFonts w:ascii="Franklin Gothic Book" w:hAnsi="Franklin Gothic Book"/>
          <w:sz w:val="22"/>
          <w:szCs w:val="22"/>
        </w:rPr>
      </w:pPr>
      <w:r>
        <w:rPr>
          <w:rFonts w:ascii="Franklin Gothic Book" w:hAnsi="Franklin Gothic Book"/>
          <w:sz w:val="22"/>
          <w:szCs w:val="22"/>
        </w:rPr>
        <w:t>The c</w:t>
      </w:r>
      <w:r w:rsidR="00264776" w:rsidRPr="00264776">
        <w:rPr>
          <w:rFonts w:ascii="Franklin Gothic Book" w:hAnsi="Franklin Gothic Book"/>
          <w:sz w:val="22"/>
          <w:szCs w:val="22"/>
        </w:rPr>
        <w:t xml:space="preserve">ost-effectiveness of including cascade testing in terms of cost </w:t>
      </w:r>
      <w:r w:rsidR="00B440B4">
        <w:rPr>
          <w:rFonts w:ascii="Franklin Gothic Book" w:hAnsi="Franklin Gothic Book"/>
          <w:sz w:val="22"/>
          <w:szCs w:val="22"/>
        </w:rPr>
        <w:t xml:space="preserve">of testing </w:t>
      </w:r>
      <w:r w:rsidR="00264776" w:rsidRPr="00264776">
        <w:rPr>
          <w:rFonts w:ascii="Franklin Gothic Book" w:hAnsi="Franklin Gothic Book"/>
          <w:sz w:val="22"/>
          <w:szCs w:val="22"/>
        </w:rPr>
        <w:t xml:space="preserve">per genetic diagnosis achieved is provided in </w:t>
      </w:r>
      <w:r w:rsidR="00881AFC">
        <w:rPr>
          <w:rFonts w:ascii="Franklin Gothic Book" w:hAnsi="Franklin Gothic Book"/>
          <w:sz w:val="22"/>
          <w:szCs w:val="22"/>
        </w:rPr>
        <w:fldChar w:fldCharType="begin"/>
      </w:r>
      <w:r w:rsidR="00881AFC">
        <w:rPr>
          <w:rFonts w:ascii="Franklin Gothic Book" w:hAnsi="Franklin Gothic Book"/>
          <w:sz w:val="22"/>
          <w:szCs w:val="22"/>
        </w:rPr>
        <w:instrText xml:space="preserve"> REF _Ref104888632 </w:instrText>
      </w:r>
      <w:r>
        <w:rPr>
          <w:rFonts w:ascii="Franklin Gothic Book" w:hAnsi="Franklin Gothic Book"/>
          <w:sz w:val="22"/>
          <w:szCs w:val="22"/>
        </w:rPr>
        <w:instrText xml:space="preserve"> \* MERGEFORMAT </w:instrText>
      </w:r>
      <w:r w:rsidR="00881AFC">
        <w:rPr>
          <w:rFonts w:ascii="Franklin Gothic Book" w:hAnsi="Franklin Gothic Book"/>
          <w:sz w:val="22"/>
          <w:szCs w:val="22"/>
        </w:rPr>
        <w:fldChar w:fldCharType="separate"/>
      </w:r>
      <w:r w:rsidR="008260AB" w:rsidRPr="008260AB">
        <w:rPr>
          <w:rFonts w:ascii="Franklin Gothic Book" w:hAnsi="Franklin Gothic Book"/>
          <w:sz w:val="22"/>
          <w:szCs w:val="22"/>
        </w:rPr>
        <w:t>Table 6</w:t>
      </w:r>
      <w:r w:rsidR="00881AFC">
        <w:rPr>
          <w:rFonts w:ascii="Franklin Gothic Book" w:hAnsi="Franklin Gothic Book"/>
          <w:sz w:val="22"/>
          <w:szCs w:val="22"/>
        </w:rPr>
        <w:fldChar w:fldCharType="end"/>
      </w:r>
      <w:r w:rsidR="00264776" w:rsidRPr="00264776">
        <w:rPr>
          <w:rFonts w:ascii="Franklin Gothic Book" w:hAnsi="Franklin Gothic Book"/>
          <w:sz w:val="22"/>
          <w:szCs w:val="22"/>
        </w:rPr>
        <w:t xml:space="preserve">. The analysis showed SGT in affected individuals and first-degree relatives (FDRs; assumed 3 per proband) ranged in cost-effectiveness from $126 to $214 per genetic diagnosis achieved. </w:t>
      </w:r>
      <w:r w:rsidR="00CF365D" w:rsidRPr="00264776">
        <w:rPr>
          <w:rFonts w:ascii="Franklin Gothic Book" w:hAnsi="Franklin Gothic Book"/>
          <w:sz w:val="22"/>
          <w:szCs w:val="22"/>
        </w:rPr>
        <w:t>By comparison, in the assessment of the NMD gene panel, the cost per diagnosis stated is $1</w:t>
      </w:r>
      <w:r w:rsidR="00703BBA">
        <w:rPr>
          <w:rFonts w:ascii="Franklin Gothic Book" w:hAnsi="Franklin Gothic Book"/>
          <w:sz w:val="22"/>
          <w:szCs w:val="22"/>
        </w:rPr>
        <w:t>,</w:t>
      </w:r>
      <w:r w:rsidR="00CF365D" w:rsidRPr="00264776">
        <w:rPr>
          <w:rFonts w:ascii="Franklin Gothic Book" w:hAnsi="Franklin Gothic Book"/>
          <w:sz w:val="22"/>
          <w:szCs w:val="22"/>
        </w:rPr>
        <w:t>444.</w:t>
      </w:r>
      <w:r w:rsidR="00CF365D">
        <w:rPr>
          <w:rFonts w:ascii="Franklin Gothic Book" w:hAnsi="Franklin Gothic Book"/>
          <w:sz w:val="22"/>
          <w:szCs w:val="22"/>
        </w:rPr>
        <w:t xml:space="preserve"> </w:t>
      </w:r>
      <w:r w:rsidR="00264776" w:rsidRPr="00264776">
        <w:rPr>
          <w:rFonts w:ascii="Franklin Gothic Book" w:hAnsi="Franklin Gothic Book"/>
          <w:sz w:val="22"/>
          <w:szCs w:val="22"/>
        </w:rPr>
        <w:t>The analysis assumed cascade testing would use the same methodology as the affected individual test. A weighted average DY for cascade testing of 55% was used based on the estimated test numbers provided, assuming diagnostic yield in relatives appropriate to the mode of inheritance, i.e. 50% (AD), 25% (AR), and 100% (mitochondrial). FDRs are assumed to not have biopsies in the absence of SGT.</w:t>
      </w:r>
    </w:p>
    <w:p w14:paraId="03132A2E" w14:textId="50A59188" w:rsidR="00264776" w:rsidRPr="00FD2128" w:rsidRDefault="00264776" w:rsidP="007D4B83">
      <w:pPr>
        <w:pStyle w:val="Caption"/>
        <w:spacing w:before="240"/>
        <w:rPr>
          <w:b w:val="0"/>
          <w:bCs w:val="0"/>
          <w:lang w:eastAsia="en-AU"/>
        </w:rPr>
      </w:pPr>
      <w:bookmarkStart w:id="18" w:name="_Ref104888632"/>
      <w:r w:rsidRPr="00FD2128">
        <w:t xml:space="preserve">Table </w:t>
      </w:r>
      <w:fldSimple w:instr=" SEQ Table \* ARABIC ">
        <w:r w:rsidR="008260AB">
          <w:rPr>
            <w:noProof/>
          </w:rPr>
          <w:t>6</w:t>
        </w:r>
      </w:fldSimple>
      <w:bookmarkEnd w:id="18"/>
      <w:r w:rsidRPr="00FD2128">
        <w:t xml:space="preserve"> </w:t>
      </w:r>
      <w:r w:rsidRPr="00FD2128">
        <w:rPr>
          <w:lang w:eastAsia="en-AU"/>
        </w:rPr>
        <w:t>Assessment of the cost-effectiveness of SGT, in affected individuals and first-degree relatives. Effectiveness is expressed in terms of genetic diagnoses achieved.</w:t>
      </w:r>
    </w:p>
    <w:tbl>
      <w:tblPr>
        <w:tblStyle w:val="TableGrid2"/>
        <w:tblW w:w="9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93"/>
        <w:gridCol w:w="1449"/>
        <w:gridCol w:w="1701"/>
        <w:gridCol w:w="1843"/>
        <w:gridCol w:w="1559"/>
        <w:gridCol w:w="1417"/>
      </w:tblGrid>
      <w:tr w:rsidR="00264776" w:rsidRPr="00F34E2D" w14:paraId="2F575104" w14:textId="77777777" w:rsidTr="00723D85">
        <w:trPr>
          <w:cnfStyle w:val="100000000000" w:firstRow="1" w:lastRow="0" w:firstColumn="0" w:lastColumn="0" w:oddVBand="0" w:evenVBand="0" w:oddHBand="0" w:evenHBand="0" w:firstRowFirstColumn="0" w:firstRowLastColumn="0" w:lastRowFirstColumn="0" w:lastRowLastColumn="0"/>
          <w:trHeight w:val="20"/>
        </w:trPr>
        <w:tc>
          <w:tcPr>
            <w:tcW w:w="1093" w:type="dxa"/>
            <w:tcBorders>
              <w:top w:val="single" w:sz="6" w:space="0" w:color="auto"/>
            </w:tcBorders>
            <w:shd w:val="clear" w:color="auto" w:fill="auto"/>
            <w:vAlign w:val="center"/>
            <w:hideMark/>
          </w:tcPr>
          <w:p w14:paraId="1145D445" w14:textId="77777777" w:rsidR="00264776" w:rsidRPr="00F34E2D" w:rsidRDefault="00264776" w:rsidP="00264776">
            <w:pPr>
              <w:spacing w:line="276" w:lineRule="auto"/>
              <w:jc w:val="center"/>
              <w:rPr>
                <w:rFonts w:ascii="Arial Narrow" w:hAnsi="Arial Narrow"/>
                <w:b/>
                <w:bCs/>
              </w:rPr>
            </w:pPr>
            <w:r w:rsidRPr="00F34E2D">
              <w:rPr>
                <w:rFonts w:ascii="Arial Narrow" w:hAnsi="Arial Narrow"/>
                <w:b/>
                <w:bCs/>
              </w:rPr>
              <w:t>DY of SGT</w:t>
            </w:r>
          </w:p>
        </w:tc>
        <w:tc>
          <w:tcPr>
            <w:tcW w:w="1449" w:type="dxa"/>
            <w:tcBorders>
              <w:top w:val="single" w:sz="6" w:space="0" w:color="auto"/>
            </w:tcBorders>
            <w:shd w:val="clear" w:color="auto" w:fill="auto"/>
            <w:vAlign w:val="center"/>
            <w:hideMark/>
          </w:tcPr>
          <w:p w14:paraId="3EED1F54" w14:textId="77777777" w:rsidR="00264776" w:rsidRPr="00F34E2D" w:rsidRDefault="00264776" w:rsidP="00264776">
            <w:pPr>
              <w:spacing w:line="276" w:lineRule="auto"/>
              <w:rPr>
                <w:rFonts w:ascii="Arial Narrow" w:hAnsi="Arial Narrow"/>
                <w:b/>
                <w:bCs/>
              </w:rPr>
            </w:pPr>
          </w:p>
        </w:tc>
        <w:tc>
          <w:tcPr>
            <w:tcW w:w="1701" w:type="dxa"/>
            <w:tcBorders>
              <w:top w:val="single" w:sz="6" w:space="0" w:color="auto"/>
            </w:tcBorders>
            <w:shd w:val="clear" w:color="auto" w:fill="auto"/>
            <w:vAlign w:val="center"/>
            <w:hideMark/>
          </w:tcPr>
          <w:p w14:paraId="29D7B634" w14:textId="77777777" w:rsidR="00264776" w:rsidRPr="00F34E2D" w:rsidRDefault="00264776" w:rsidP="00264776">
            <w:pPr>
              <w:spacing w:line="276" w:lineRule="auto"/>
              <w:jc w:val="center"/>
              <w:rPr>
                <w:rFonts w:ascii="Arial Narrow" w:hAnsi="Arial Narrow"/>
                <w:b/>
                <w:bCs/>
              </w:rPr>
            </w:pPr>
            <w:r w:rsidRPr="00F34E2D">
              <w:rPr>
                <w:rFonts w:ascii="Arial Narrow" w:hAnsi="Arial Narrow"/>
                <w:b/>
                <w:bCs/>
              </w:rPr>
              <w:t>Intervention: SGT available</w:t>
            </w:r>
          </w:p>
        </w:tc>
        <w:tc>
          <w:tcPr>
            <w:tcW w:w="1843" w:type="dxa"/>
            <w:tcBorders>
              <w:top w:val="single" w:sz="6" w:space="0" w:color="auto"/>
            </w:tcBorders>
            <w:shd w:val="clear" w:color="auto" w:fill="auto"/>
            <w:vAlign w:val="center"/>
            <w:hideMark/>
          </w:tcPr>
          <w:p w14:paraId="5375B6D1" w14:textId="77777777" w:rsidR="00264776" w:rsidRPr="00F34E2D" w:rsidRDefault="00264776" w:rsidP="00264776">
            <w:pPr>
              <w:spacing w:line="276" w:lineRule="auto"/>
              <w:jc w:val="center"/>
              <w:rPr>
                <w:rFonts w:ascii="Arial Narrow" w:hAnsi="Arial Narrow"/>
                <w:b/>
                <w:bCs/>
              </w:rPr>
            </w:pPr>
            <w:r w:rsidRPr="00F34E2D">
              <w:rPr>
                <w:rFonts w:ascii="Arial Narrow" w:hAnsi="Arial Narrow"/>
                <w:b/>
                <w:bCs/>
              </w:rPr>
              <w:t>Comparator: SGT not available</w:t>
            </w:r>
          </w:p>
        </w:tc>
        <w:tc>
          <w:tcPr>
            <w:tcW w:w="1559" w:type="dxa"/>
            <w:tcBorders>
              <w:top w:val="single" w:sz="6" w:space="0" w:color="auto"/>
            </w:tcBorders>
            <w:shd w:val="clear" w:color="auto" w:fill="auto"/>
            <w:vAlign w:val="center"/>
            <w:hideMark/>
          </w:tcPr>
          <w:p w14:paraId="65F3462B" w14:textId="77777777" w:rsidR="00264776" w:rsidRPr="00F34E2D" w:rsidRDefault="00264776" w:rsidP="00264776">
            <w:pPr>
              <w:spacing w:line="276" w:lineRule="auto"/>
              <w:jc w:val="center"/>
              <w:rPr>
                <w:rFonts w:ascii="Arial Narrow" w:hAnsi="Arial Narrow"/>
                <w:b/>
                <w:bCs/>
              </w:rPr>
            </w:pPr>
            <w:r w:rsidRPr="00F34E2D">
              <w:rPr>
                <w:rFonts w:ascii="Arial Narrow" w:hAnsi="Arial Narrow"/>
                <w:b/>
                <w:bCs/>
              </w:rPr>
              <w:t>Increment</w:t>
            </w:r>
          </w:p>
        </w:tc>
        <w:tc>
          <w:tcPr>
            <w:tcW w:w="1417" w:type="dxa"/>
            <w:tcBorders>
              <w:top w:val="single" w:sz="6" w:space="0" w:color="auto"/>
            </w:tcBorders>
            <w:shd w:val="clear" w:color="auto" w:fill="auto"/>
            <w:vAlign w:val="center"/>
            <w:hideMark/>
          </w:tcPr>
          <w:p w14:paraId="40D7BC15" w14:textId="77777777" w:rsidR="00264776" w:rsidRPr="00F34E2D" w:rsidRDefault="00264776" w:rsidP="00264776">
            <w:pPr>
              <w:spacing w:line="276" w:lineRule="auto"/>
              <w:jc w:val="center"/>
              <w:rPr>
                <w:rFonts w:ascii="Arial Narrow" w:hAnsi="Arial Narrow"/>
                <w:b/>
                <w:bCs/>
              </w:rPr>
            </w:pPr>
            <w:r w:rsidRPr="00F34E2D">
              <w:rPr>
                <w:rFonts w:ascii="Arial Narrow" w:hAnsi="Arial Narrow"/>
                <w:b/>
                <w:bCs/>
              </w:rPr>
              <w:t>ICER</w:t>
            </w:r>
          </w:p>
        </w:tc>
      </w:tr>
      <w:tr w:rsidR="009A1EDB" w:rsidRPr="00F34E2D" w14:paraId="5984030A" w14:textId="77777777" w:rsidTr="00723D85">
        <w:trPr>
          <w:trHeight w:val="20"/>
        </w:trPr>
        <w:tc>
          <w:tcPr>
            <w:tcW w:w="1093" w:type="dxa"/>
            <w:vMerge w:val="restart"/>
            <w:shd w:val="clear" w:color="auto" w:fill="auto"/>
            <w:vAlign w:val="center"/>
            <w:hideMark/>
          </w:tcPr>
          <w:p w14:paraId="43CBC2B2" w14:textId="77777777" w:rsidR="009A1EDB" w:rsidRPr="00F34E2D" w:rsidRDefault="009A1EDB" w:rsidP="00264776">
            <w:pPr>
              <w:spacing w:line="276" w:lineRule="auto"/>
              <w:jc w:val="center"/>
            </w:pPr>
            <w:r w:rsidRPr="00F34E2D">
              <w:t>95%</w:t>
            </w:r>
          </w:p>
        </w:tc>
        <w:tc>
          <w:tcPr>
            <w:tcW w:w="1449" w:type="dxa"/>
            <w:shd w:val="clear" w:color="auto" w:fill="auto"/>
            <w:vAlign w:val="center"/>
            <w:hideMark/>
          </w:tcPr>
          <w:p w14:paraId="7AF90200" w14:textId="77777777" w:rsidR="009A1EDB" w:rsidRPr="000B2F94" w:rsidRDefault="009A1EDB" w:rsidP="00264776">
            <w:pPr>
              <w:spacing w:line="276" w:lineRule="auto"/>
            </w:pPr>
            <w:r w:rsidRPr="000B2F94">
              <w:t>Cost</w:t>
            </w:r>
          </w:p>
        </w:tc>
        <w:tc>
          <w:tcPr>
            <w:tcW w:w="1701" w:type="dxa"/>
            <w:shd w:val="clear" w:color="auto" w:fill="auto"/>
            <w:vAlign w:val="center"/>
            <w:hideMark/>
          </w:tcPr>
          <w:p w14:paraId="3DCEA3F3" w14:textId="77777777" w:rsidR="009A1EDB" w:rsidRPr="000B2F94" w:rsidRDefault="009A1EDB" w:rsidP="00264776">
            <w:pPr>
              <w:spacing w:line="276" w:lineRule="auto"/>
              <w:jc w:val="center"/>
            </w:pPr>
            <w:r>
              <w:rPr>
                <w:rFonts w:cs="Calibri"/>
                <w:color w:val="000000"/>
              </w:rPr>
              <w:t>$1,701</w:t>
            </w:r>
          </w:p>
        </w:tc>
        <w:tc>
          <w:tcPr>
            <w:tcW w:w="1843" w:type="dxa"/>
            <w:shd w:val="clear" w:color="auto" w:fill="auto"/>
            <w:vAlign w:val="center"/>
            <w:hideMark/>
          </w:tcPr>
          <w:p w14:paraId="3B74751F" w14:textId="77777777" w:rsidR="009A1EDB" w:rsidRPr="000B2F94" w:rsidRDefault="009A1EDB" w:rsidP="00264776">
            <w:pPr>
              <w:spacing w:line="276" w:lineRule="auto"/>
              <w:jc w:val="center"/>
            </w:pPr>
            <w:r>
              <w:rPr>
                <w:rFonts w:cs="Calibri"/>
                <w:color w:val="000000"/>
              </w:rPr>
              <w:t>$1,378</w:t>
            </w:r>
          </w:p>
        </w:tc>
        <w:tc>
          <w:tcPr>
            <w:tcW w:w="1559" w:type="dxa"/>
            <w:shd w:val="clear" w:color="auto" w:fill="auto"/>
            <w:vAlign w:val="center"/>
            <w:hideMark/>
          </w:tcPr>
          <w:p w14:paraId="7DBE09EA" w14:textId="77777777" w:rsidR="009A1EDB" w:rsidRPr="000B2F94" w:rsidRDefault="009A1EDB" w:rsidP="00264776">
            <w:pPr>
              <w:spacing w:line="276" w:lineRule="auto"/>
              <w:jc w:val="center"/>
            </w:pPr>
            <w:r>
              <w:rPr>
                <w:rFonts w:cs="Calibri"/>
                <w:color w:val="000000"/>
              </w:rPr>
              <w:t>$323</w:t>
            </w:r>
          </w:p>
        </w:tc>
        <w:tc>
          <w:tcPr>
            <w:tcW w:w="1417" w:type="dxa"/>
            <w:vMerge w:val="restart"/>
            <w:shd w:val="clear" w:color="auto" w:fill="auto"/>
            <w:vAlign w:val="center"/>
            <w:hideMark/>
          </w:tcPr>
          <w:p w14:paraId="7E8F462C" w14:textId="0ED2D6E4" w:rsidR="009A1EDB" w:rsidRPr="00AC62D4" w:rsidRDefault="009A1EDB" w:rsidP="009A1EDB">
            <w:pPr>
              <w:spacing w:line="276" w:lineRule="auto"/>
              <w:jc w:val="center"/>
            </w:pPr>
            <w:r w:rsidRPr="00AC62D4">
              <w:t>$115</w:t>
            </w:r>
          </w:p>
        </w:tc>
      </w:tr>
      <w:tr w:rsidR="009A1EDB" w:rsidRPr="00F34E2D" w14:paraId="3EBCB482" w14:textId="77777777" w:rsidTr="00723D85">
        <w:trPr>
          <w:trHeight w:val="20"/>
        </w:trPr>
        <w:tc>
          <w:tcPr>
            <w:tcW w:w="1093" w:type="dxa"/>
            <w:vMerge/>
            <w:vAlign w:val="center"/>
            <w:hideMark/>
          </w:tcPr>
          <w:p w14:paraId="3875769E" w14:textId="77777777" w:rsidR="009A1EDB" w:rsidRPr="00F34E2D" w:rsidRDefault="009A1EDB" w:rsidP="00264776">
            <w:pPr>
              <w:spacing w:line="276" w:lineRule="auto"/>
              <w:jc w:val="center"/>
            </w:pPr>
          </w:p>
        </w:tc>
        <w:tc>
          <w:tcPr>
            <w:tcW w:w="1449" w:type="dxa"/>
            <w:shd w:val="clear" w:color="auto" w:fill="auto"/>
            <w:vAlign w:val="center"/>
            <w:hideMark/>
          </w:tcPr>
          <w:p w14:paraId="0D545907" w14:textId="77777777" w:rsidR="009A1EDB" w:rsidRPr="000B2F94" w:rsidRDefault="009A1EDB" w:rsidP="00264776">
            <w:pPr>
              <w:spacing w:line="276" w:lineRule="auto"/>
            </w:pPr>
            <w:r w:rsidRPr="000B2F94">
              <w:t>Effectiveness</w:t>
            </w:r>
          </w:p>
        </w:tc>
        <w:tc>
          <w:tcPr>
            <w:tcW w:w="1701" w:type="dxa"/>
            <w:shd w:val="clear" w:color="auto" w:fill="auto"/>
            <w:vAlign w:val="center"/>
            <w:hideMark/>
          </w:tcPr>
          <w:p w14:paraId="77E81BE9" w14:textId="77777777" w:rsidR="009A1EDB" w:rsidRPr="000B2F94" w:rsidRDefault="009A1EDB" w:rsidP="00264776">
            <w:pPr>
              <w:spacing w:line="276" w:lineRule="auto"/>
              <w:jc w:val="center"/>
            </w:pPr>
            <w:r>
              <w:rPr>
                <w:rFonts w:cs="Calibri"/>
                <w:color w:val="000000"/>
              </w:rPr>
              <w:t>2.50</w:t>
            </w:r>
          </w:p>
        </w:tc>
        <w:tc>
          <w:tcPr>
            <w:tcW w:w="1843" w:type="dxa"/>
            <w:shd w:val="clear" w:color="auto" w:fill="auto"/>
            <w:vAlign w:val="center"/>
            <w:hideMark/>
          </w:tcPr>
          <w:p w14:paraId="1E83A698" w14:textId="77777777" w:rsidR="009A1EDB" w:rsidRPr="000B2F94" w:rsidRDefault="009A1EDB" w:rsidP="00264776">
            <w:pPr>
              <w:spacing w:line="276" w:lineRule="auto"/>
              <w:jc w:val="center"/>
            </w:pPr>
            <w:r>
              <w:rPr>
                <w:rFonts w:cs="Calibri"/>
                <w:color w:val="000000"/>
              </w:rPr>
              <w:t>0</w:t>
            </w:r>
          </w:p>
        </w:tc>
        <w:tc>
          <w:tcPr>
            <w:tcW w:w="1559" w:type="dxa"/>
            <w:shd w:val="clear" w:color="auto" w:fill="auto"/>
            <w:vAlign w:val="center"/>
            <w:hideMark/>
          </w:tcPr>
          <w:p w14:paraId="3B9ACCE4" w14:textId="77777777" w:rsidR="009A1EDB" w:rsidRPr="000B2F94" w:rsidRDefault="009A1EDB" w:rsidP="00264776">
            <w:pPr>
              <w:spacing w:line="276" w:lineRule="auto"/>
              <w:jc w:val="center"/>
            </w:pPr>
            <w:r>
              <w:rPr>
                <w:rFonts w:cs="Calibri"/>
                <w:color w:val="000000"/>
              </w:rPr>
              <w:t>2.50</w:t>
            </w:r>
          </w:p>
        </w:tc>
        <w:tc>
          <w:tcPr>
            <w:tcW w:w="1417" w:type="dxa"/>
            <w:vMerge/>
            <w:shd w:val="clear" w:color="auto" w:fill="auto"/>
            <w:vAlign w:val="center"/>
            <w:hideMark/>
          </w:tcPr>
          <w:p w14:paraId="3CB31F18" w14:textId="0BCB3C3E" w:rsidR="009A1EDB" w:rsidRPr="00AC62D4" w:rsidRDefault="009A1EDB" w:rsidP="009A1EDB">
            <w:pPr>
              <w:spacing w:line="276" w:lineRule="auto"/>
              <w:jc w:val="center"/>
            </w:pPr>
          </w:p>
        </w:tc>
      </w:tr>
      <w:tr w:rsidR="009A1EDB" w:rsidRPr="00F34E2D" w14:paraId="4F16BE36" w14:textId="77777777" w:rsidTr="00723D85">
        <w:trPr>
          <w:trHeight w:val="20"/>
        </w:trPr>
        <w:tc>
          <w:tcPr>
            <w:tcW w:w="1093" w:type="dxa"/>
            <w:vMerge w:val="restart"/>
            <w:shd w:val="clear" w:color="auto" w:fill="auto"/>
            <w:vAlign w:val="center"/>
            <w:hideMark/>
          </w:tcPr>
          <w:p w14:paraId="6865C26E" w14:textId="77777777" w:rsidR="009A1EDB" w:rsidRPr="00F34E2D" w:rsidRDefault="009A1EDB" w:rsidP="00264776">
            <w:pPr>
              <w:spacing w:line="276" w:lineRule="auto"/>
              <w:jc w:val="center"/>
            </w:pPr>
            <w:r w:rsidRPr="00F34E2D">
              <w:t>90%</w:t>
            </w:r>
          </w:p>
        </w:tc>
        <w:tc>
          <w:tcPr>
            <w:tcW w:w="1449" w:type="dxa"/>
            <w:shd w:val="clear" w:color="auto" w:fill="auto"/>
            <w:vAlign w:val="center"/>
            <w:hideMark/>
          </w:tcPr>
          <w:p w14:paraId="22E0E2AF" w14:textId="77777777" w:rsidR="009A1EDB" w:rsidRPr="000B2F94" w:rsidRDefault="009A1EDB" w:rsidP="00264776">
            <w:pPr>
              <w:spacing w:line="276" w:lineRule="auto"/>
            </w:pPr>
            <w:r w:rsidRPr="000B2F94">
              <w:t>Cost</w:t>
            </w:r>
          </w:p>
        </w:tc>
        <w:tc>
          <w:tcPr>
            <w:tcW w:w="1701" w:type="dxa"/>
            <w:shd w:val="clear" w:color="auto" w:fill="auto"/>
            <w:vAlign w:val="center"/>
            <w:hideMark/>
          </w:tcPr>
          <w:p w14:paraId="28651C8E" w14:textId="77777777" w:rsidR="009A1EDB" w:rsidRPr="000B2F94" w:rsidRDefault="009A1EDB" w:rsidP="00264776">
            <w:pPr>
              <w:spacing w:line="276" w:lineRule="auto"/>
              <w:jc w:val="center"/>
            </w:pPr>
            <w:r>
              <w:rPr>
                <w:rFonts w:cs="Calibri"/>
                <w:color w:val="000000"/>
              </w:rPr>
              <w:t>$1,710</w:t>
            </w:r>
          </w:p>
        </w:tc>
        <w:tc>
          <w:tcPr>
            <w:tcW w:w="1843" w:type="dxa"/>
            <w:shd w:val="clear" w:color="auto" w:fill="auto"/>
            <w:vAlign w:val="center"/>
            <w:hideMark/>
          </w:tcPr>
          <w:p w14:paraId="4A054A47" w14:textId="77777777" w:rsidR="009A1EDB" w:rsidRPr="000B2F94" w:rsidRDefault="009A1EDB" w:rsidP="00264776">
            <w:pPr>
              <w:spacing w:line="276" w:lineRule="auto"/>
              <w:jc w:val="center"/>
            </w:pPr>
            <w:r>
              <w:rPr>
                <w:rFonts w:cs="Calibri"/>
                <w:color w:val="000000"/>
              </w:rPr>
              <w:t>$1,378</w:t>
            </w:r>
          </w:p>
        </w:tc>
        <w:tc>
          <w:tcPr>
            <w:tcW w:w="1559" w:type="dxa"/>
            <w:shd w:val="clear" w:color="auto" w:fill="auto"/>
            <w:vAlign w:val="center"/>
            <w:hideMark/>
          </w:tcPr>
          <w:p w14:paraId="47FF65B3" w14:textId="77777777" w:rsidR="009A1EDB" w:rsidRPr="000B2F94" w:rsidRDefault="009A1EDB" w:rsidP="00264776">
            <w:pPr>
              <w:spacing w:line="276" w:lineRule="auto"/>
              <w:jc w:val="center"/>
            </w:pPr>
            <w:r>
              <w:rPr>
                <w:rFonts w:cs="Calibri"/>
                <w:color w:val="000000"/>
              </w:rPr>
              <w:t>$332</w:t>
            </w:r>
          </w:p>
        </w:tc>
        <w:tc>
          <w:tcPr>
            <w:tcW w:w="1417" w:type="dxa"/>
            <w:vMerge w:val="restart"/>
            <w:shd w:val="clear" w:color="auto" w:fill="auto"/>
            <w:vAlign w:val="center"/>
            <w:hideMark/>
          </w:tcPr>
          <w:p w14:paraId="2BED710D" w14:textId="732A209F" w:rsidR="009A1EDB" w:rsidRPr="00AC62D4" w:rsidRDefault="009A1EDB" w:rsidP="009A1EDB">
            <w:pPr>
              <w:spacing w:line="276" w:lineRule="auto"/>
              <w:jc w:val="center"/>
            </w:pPr>
            <w:r w:rsidRPr="00AC62D4">
              <w:t>$125</w:t>
            </w:r>
          </w:p>
        </w:tc>
      </w:tr>
      <w:tr w:rsidR="009A1EDB" w:rsidRPr="00F34E2D" w14:paraId="3699E949" w14:textId="77777777" w:rsidTr="00723D85">
        <w:trPr>
          <w:trHeight w:val="20"/>
        </w:trPr>
        <w:tc>
          <w:tcPr>
            <w:tcW w:w="1093" w:type="dxa"/>
            <w:vMerge/>
            <w:vAlign w:val="center"/>
            <w:hideMark/>
          </w:tcPr>
          <w:p w14:paraId="368C0A30" w14:textId="77777777" w:rsidR="009A1EDB" w:rsidRPr="00F34E2D" w:rsidRDefault="009A1EDB" w:rsidP="00264776">
            <w:pPr>
              <w:spacing w:line="276" w:lineRule="auto"/>
              <w:jc w:val="center"/>
            </w:pPr>
          </w:p>
        </w:tc>
        <w:tc>
          <w:tcPr>
            <w:tcW w:w="1449" w:type="dxa"/>
            <w:shd w:val="clear" w:color="auto" w:fill="auto"/>
            <w:vAlign w:val="center"/>
            <w:hideMark/>
          </w:tcPr>
          <w:p w14:paraId="356FB4D8" w14:textId="77777777" w:rsidR="009A1EDB" w:rsidRPr="000B2F94" w:rsidRDefault="009A1EDB" w:rsidP="00264776">
            <w:pPr>
              <w:spacing w:line="276" w:lineRule="auto"/>
            </w:pPr>
            <w:r w:rsidRPr="000B2F94">
              <w:t>Effectiveness</w:t>
            </w:r>
          </w:p>
        </w:tc>
        <w:tc>
          <w:tcPr>
            <w:tcW w:w="1701" w:type="dxa"/>
            <w:shd w:val="clear" w:color="auto" w:fill="auto"/>
            <w:vAlign w:val="center"/>
            <w:hideMark/>
          </w:tcPr>
          <w:p w14:paraId="1979A168" w14:textId="77777777" w:rsidR="009A1EDB" w:rsidRPr="000B2F94" w:rsidRDefault="009A1EDB" w:rsidP="00264776">
            <w:pPr>
              <w:spacing w:line="276" w:lineRule="auto"/>
              <w:jc w:val="center"/>
            </w:pPr>
            <w:r>
              <w:rPr>
                <w:rFonts w:cs="Calibri"/>
                <w:color w:val="000000"/>
              </w:rPr>
              <w:t>2.40</w:t>
            </w:r>
          </w:p>
        </w:tc>
        <w:tc>
          <w:tcPr>
            <w:tcW w:w="1843" w:type="dxa"/>
            <w:shd w:val="clear" w:color="auto" w:fill="auto"/>
            <w:vAlign w:val="center"/>
            <w:hideMark/>
          </w:tcPr>
          <w:p w14:paraId="6A31CB93" w14:textId="77777777" w:rsidR="009A1EDB" w:rsidRPr="000B2F94" w:rsidRDefault="009A1EDB" w:rsidP="00264776">
            <w:pPr>
              <w:spacing w:line="276" w:lineRule="auto"/>
              <w:jc w:val="center"/>
            </w:pPr>
            <w:r>
              <w:rPr>
                <w:rFonts w:cs="Calibri"/>
                <w:color w:val="000000"/>
              </w:rPr>
              <w:t>0</w:t>
            </w:r>
          </w:p>
        </w:tc>
        <w:tc>
          <w:tcPr>
            <w:tcW w:w="1559" w:type="dxa"/>
            <w:shd w:val="clear" w:color="auto" w:fill="auto"/>
            <w:vAlign w:val="center"/>
            <w:hideMark/>
          </w:tcPr>
          <w:p w14:paraId="135BBA78" w14:textId="77777777" w:rsidR="009A1EDB" w:rsidRPr="000B2F94" w:rsidRDefault="009A1EDB" w:rsidP="00264776">
            <w:pPr>
              <w:spacing w:line="276" w:lineRule="auto"/>
              <w:jc w:val="center"/>
            </w:pPr>
            <w:r>
              <w:rPr>
                <w:rFonts w:cs="Calibri"/>
                <w:color w:val="000000"/>
              </w:rPr>
              <w:t>2.40</w:t>
            </w:r>
          </w:p>
        </w:tc>
        <w:tc>
          <w:tcPr>
            <w:tcW w:w="1417" w:type="dxa"/>
            <w:vMerge/>
            <w:shd w:val="clear" w:color="auto" w:fill="auto"/>
            <w:vAlign w:val="center"/>
            <w:hideMark/>
          </w:tcPr>
          <w:p w14:paraId="410D4EEE" w14:textId="02A79C77" w:rsidR="009A1EDB" w:rsidRPr="00AC62D4" w:rsidRDefault="009A1EDB" w:rsidP="009A1EDB">
            <w:pPr>
              <w:spacing w:line="276" w:lineRule="auto"/>
              <w:jc w:val="center"/>
            </w:pPr>
          </w:p>
        </w:tc>
      </w:tr>
      <w:tr w:rsidR="009A1EDB" w:rsidRPr="00F34E2D" w14:paraId="6EB1B115" w14:textId="77777777" w:rsidTr="00723D85">
        <w:trPr>
          <w:trHeight w:val="20"/>
        </w:trPr>
        <w:tc>
          <w:tcPr>
            <w:tcW w:w="1093" w:type="dxa"/>
            <w:vMerge w:val="restart"/>
            <w:shd w:val="clear" w:color="auto" w:fill="auto"/>
            <w:vAlign w:val="center"/>
            <w:hideMark/>
          </w:tcPr>
          <w:p w14:paraId="499773C7" w14:textId="77777777" w:rsidR="009A1EDB" w:rsidRPr="00F34E2D" w:rsidRDefault="009A1EDB" w:rsidP="00264776">
            <w:pPr>
              <w:spacing w:line="276" w:lineRule="auto"/>
              <w:jc w:val="center"/>
            </w:pPr>
            <w:r w:rsidRPr="00F34E2D">
              <w:t>80%</w:t>
            </w:r>
          </w:p>
        </w:tc>
        <w:tc>
          <w:tcPr>
            <w:tcW w:w="1449" w:type="dxa"/>
            <w:shd w:val="clear" w:color="auto" w:fill="auto"/>
            <w:vAlign w:val="center"/>
            <w:hideMark/>
          </w:tcPr>
          <w:p w14:paraId="52418676" w14:textId="77777777" w:rsidR="009A1EDB" w:rsidRPr="000B2F94" w:rsidRDefault="009A1EDB" w:rsidP="00264776">
            <w:pPr>
              <w:spacing w:line="276" w:lineRule="auto"/>
            </w:pPr>
            <w:r w:rsidRPr="000B2F94">
              <w:t>Cost</w:t>
            </w:r>
          </w:p>
        </w:tc>
        <w:tc>
          <w:tcPr>
            <w:tcW w:w="1701" w:type="dxa"/>
            <w:shd w:val="clear" w:color="auto" w:fill="auto"/>
            <w:vAlign w:val="center"/>
            <w:hideMark/>
          </w:tcPr>
          <w:p w14:paraId="36D04FA9" w14:textId="77777777" w:rsidR="009A1EDB" w:rsidRPr="000B2F94" w:rsidRDefault="009A1EDB" w:rsidP="00264776">
            <w:pPr>
              <w:spacing w:line="276" w:lineRule="auto"/>
              <w:jc w:val="center"/>
            </w:pPr>
            <w:r>
              <w:rPr>
                <w:rFonts w:cs="Calibri"/>
                <w:color w:val="000000"/>
              </w:rPr>
              <w:t>$1,729</w:t>
            </w:r>
          </w:p>
        </w:tc>
        <w:tc>
          <w:tcPr>
            <w:tcW w:w="1843" w:type="dxa"/>
            <w:shd w:val="clear" w:color="auto" w:fill="auto"/>
            <w:vAlign w:val="center"/>
            <w:hideMark/>
          </w:tcPr>
          <w:p w14:paraId="708CC45C" w14:textId="77777777" w:rsidR="009A1EDB" w:rsidRPr="000B2F94" w:rsidRDefault="009A1EDB" w:rsidP="00264776">
            <w:pPr>
              <w:spacing w:line="276" w:lineRule="auto"/>
              <w:jc w:val="center"/>
            </w:pPr>
            <w:r>
              <w:rPr>
                <w:rFonts w:cs="Calibri"/>
                <w:color w:val="000000"/>
              </w:rPr>
              <w:t>$1,378</w:t>
            </w:r>
          </w:p>
        </w:tc>
        <w:tc>
          <w:tcPr>
            <w:tcW w:w="1559" w:type="dxa"/>
            <w:shd w:val="clear" w:color="auto" w:fill="auto"/>
            <w:vAlign w:val="center"/>
            <w:hideMark/>
          </w:tcPr>
          <w:p w14:paraId="6355DF93" w14:textId="77777777" w:rsidR="009A1EDB" w:rsidRPr="000B2F94" w:rsidRDefault="009A1EDB" w:rsidP="00264776">
            <w:pPr>
              <w:spacing w:line="276" w:lineRule="auto"/>
              <w:jc w:val="center"/>
            </w:pPr>
            <w:r>
              <w:rPr>
                <w:rFonts w:cs="Calibri"/>
                <w:color w:val="000000"/>
              </w:rPr>
              <w:t>$351</w:t>
            </w:r>
          </w:p>
        </w:tc>
        <w:tc>
          <w:tcPr>
            <w:tcW w:w="1417" w:type="dxa"/>
            <w:vMerge w:val="restart"/>
            <w:shd w:val="clear" w:color="auto" w:fill="auto"/>
            <w:vAlign w:val="center"/>
            <w:hideMark/>
          </w:tcPr>
          <w:p w14:paraId="706F08CE" w14:textId="49B51FF5" w:rsidR="009A1EDB" w:rsidRPr="00AC62D4" w:rsidRDefault="009A1EDB" w:rsidP="009A1EDB">
            <w:pPr>
              <w:spacing w:line="276" w:lineRule="auto"/>
              <w:jc w:val="center"/>
            </w:pPr>
            <w:r w:rsidRPr="00AC62D4">
              <w:t>$146</w:t>
            </w:r>
          </w:p>
        </w:tc>
      </w:tr>
      <w:tr w:rsidR="009A1EDB" w:rsidRPr="00F34E2D" w14:paraId="346F7A6B" w14:textId="77777777" w:rsidTr="00723D85">
        <w:trPr>
          <w:trHeight w:val="20"/>
        </w:trPr>
        <w:tc>
          <w:tcPr>
            <w:tcW w:w="1093" w:type="dxa"/>
            <w:vMerge/>
            <w:vAlign w:val="center"/>
            <w:hideMark/>
          </w:tcPr>
          <w:p w14:paraId="31E36259" w14:textId="77777777" w:rsidR="009A1EDB" w:rsidRPr="00F34E2D" w:rsidRDefault="009A1EDB" w:rsidP="00264776">
            <w:pPr>
              <w:spacing w:line="276" w:lineRule="auto"/>
              <w:jc w:val="center"/>
            </w:pPr>
          </w:p>
        </w:tc>
        <w:tc>
          <w:tcPr>
            <w:tcW w:w="1449" w:type="dxa"/>
            <w:shd w:val="clear" w:color="auto" w:fill="auto"/>
            <w:vAlign w:val="center"/>
            <w:hideMark/>
          </w:tcPr>
          <w:p w14:paraId="7B40C393" w14:textId="77777777" w:rsidR="009A1EDB" w:rsidRPr="000B2F94" w:rsidRDefault="009A1EDB" w:rsidP="00264776">
            <w:pPr>
              <w:spacing w:line="276" w:lineRule="auto"/>
            </w:pPr>
            <w:r w:rsidRPr="000B2F94">
              <w:t>Effectiveness</w:t>
            </w:r>
          </w:p>
        </w:tc>
        <w:tc>
          <w:tcPr>
            <w:tcW w:w="1701" w:type="dxa"/>
            <w:shd w:val="clear" w:color="auto" w:fill="auto"/>
            <w:vAlign w:val="center"/>
            <w:hideMark/>
          </w:tcPr>
          <w:p w14:paraId="7E9BD709" w14:textId="77777777" w:rsidR="009A1EDB" w:rsidRPr="000B2F94" w:rsidRDefault="009A1EDB" w:rsidP="00264776">
            <w:pPr>
              <w:spacing w:line="276" w:lineRule="auto"/>
              <w:jc w:val="center"/>
            </w:pPr>
            <w:r>
              <w:rPr>
                <w:rFonts w:cs="Calibri"/>
                <w:color w:val="000000"/>
              </w:rPr>
              <w:t>2.19</w:t>
            </w:r>
          </w:p>
        </w:tc>
        <w:tc>
          <w:tcPr>
            <w:tcW w:w="1843" w:type="dxa"/>
            <w:shd w:val="clear" w:color="auto" w:fill="auto"/>
            <w:vAlign w:val="center"/>
            <w:hideMark/>
          </w:tcPr>
          <w:p w14:paraId="3B955F31" w14:textId="77777777" w:rsidR="009A1EDB" w:rsidRPr="000B2F94" w:rsidRDefault="009A1EDB" w:rsidP="00264776">
            <w:pPr>
              <w:spacing w:line="276" w:lineRule="auto"/>
              <w:jc w:val="center"/>
            </w:pPr>
            <w:r>
              <w:rPr>
                <w:rFonts w:cs="Calibri"/>
                <w:color w:val="000000"/>
              </w:rPr>
              <w:t>0</w:t>
            </w:r>
          </w:p>
        </w:tc>
        <w:tc>
          <w:tcPr>
            <w:tcW w:w="1559" w:type="dxa"/>
            <w:shd w:val="clear" w:color="auto" w:fill="auto"/>
            <w:vAlign w:val="center"/>
            <w:hideMark/>
          </w:tcPr>
          <w:p w14:paraId="6C71BC6E" w14:textId="77777777" w:rsidR="009A1EDB" w:rsidRPr="000B2F94" w:rsidRDefault="009A1EDB" w:rsidP="00264776">
            <w:pPr>
              <w:spacing w:line="276" w:lineRule="auto"/>
              <w:jc w:val="center"/>
            </w:pPr>
            <w:r>
              <w:rPr>
                <w:rFonts w:cs="Calibri"/>
                <w:color w:val="000000"/>
              </w:rPr>
              <w:t>2.19</w:t>
            </w:r>
          </w:p>
        </w:tc>
        <w:tc>
          <w:tcPr>
            <w:tcW w:w="1417" w:type="dxa"/>
            <w:vMerge/>
            <w:shd w:val="clear" w:color="auto" w:fill="auto"/>
            <w:vAlign w:val="center"/>
            <w:hideMark/>
          </w:tcPr>
          <w:p w14:paraId="6256BBCC" w14:textId="30C9D31F" w:rsidR="009A1EDB" w:rsidRPr="00AC62D4" w:rsidRDefault="009A1EDB" w:rsidP="009A1EDB">
            <w:pPr>
              <w:spacing w:line="276" w:lineRule="auto"/>
              <w:jc w:val="center"/>
            </w:pPr>
          </w:p>
        </w:tc>
      </w:tr>
      <w:tr w:rsidR="009A1EDB" w:rsidRPr="00F34E2D" w14:paraId="0E5B541F" w14:textId="77777777" w:rsidTr="00723D85">
        <w:trPr>
          <w:trHeight w:val="20"/>
        </w:trPr>
        <w:tc>
          <w:tcPr>
            <w:tcW w:w="1093" w:type="dxa"/>
            <w:vMerge w:val="restart"/>
            <w:shd w:val="clear" w:color="auto" w:fill="auto"/>
            <w:vAlign w:val="center"/>
            <w:hideMark/>
          </w:tcPr>
          <w:p w14:paraId="33B837A2" w14:textId="77777777" w:rsidR="009A1EDB" w:rsidRPr="00F34E2D" w:rsidRDefault="009A1EDB" w:rsidP="00264776">
            <w:pPr>
              <w:spacing w:line="276" w:lineRule="auto"/>
              <w:jc w:val="center"/>
            </w:pPr>
            <w:r w:rsidRPr="00F34E2D">
              <w:t>70%</w:t>
            </w:r>
          </w:p>
        </w:tc>
        <w:tc>
          <w:tcPr>
            <w:tcW w:w="1449" w:type="dxa"/>
            <w:shd w:val="clear" w:color="auto" w:fill="auto"/>
            <w:vAlign w:val="center"/>
            <w:hideMark/>
          </w:tcPr>
          <w:p w14:paraId="3D3B16BF" w14:textId="77777777" w:rsidR="009A1EDB" w:rsidRPr="000B2F94" w:rsidRDefault="009A1EDB" w:rsidP="00264776">
            <w:pPr>
              <w:spacing w:line="276" w:lineRule="auto"/>
            </w:pPr>
            <w:r w:rsidRPr="000B2F94">
              <w:t>Cost</w:t>
            </w:r>
          </w:p>
        </w:tc>
        <w:tc>
          <w:tcPr>
            <w:tcW w:w="1701" w:type="dxa"/>
            <w:shd w:val="clear" w:color="auto" w:fill="auto"/>
            <w:vAlign w:val="center"/>
            <w:hideMark/>
          </w:tcPr>
          <w:p w14:paraId="1EE46F83" w14:textId="77777777" w:rsidR="009A1EDB" w:rsidRPr="000B2F94" w:rsidRDefault="009A1EDB" w:rsidP="00264776">
            <w:pPr>
              <w:spacing w:line="276" w:lineRule="auto"/>
              <w:jc w:val="center"/>
            </w:pPr>
            <w:r>
              <w:rPr>
                <w:rFonts w:cs="Calibri"/>
                <w:color w:val="000000"/>
              </w:rPr>
              <w:t>$1,747</w:t>
            </w:r>
          </w:p>
        </w:tc>
        <w:tc>
          <w:tcPr>
            <w:tcW w:w="1843" w:type="dxa"/>
            <w:shd w:val="clear" w:color="auto" w:fill="auto"/>
            <w:vAlign w:val="center"/>
            <w:hideMark/>
          </w:tcPr>
          <w:p w14:paraId="3C96AB10" w14:textId="77777777" w:rsidR="009A1EDB" w:rsidRPr="000B2F94" w:rsidRDefault="009A1EDB" w:rsidP="00264776">
            <w:pPr>
              <w:spacing w:line="276" w:lineRule="auto"/>
              <w:jc w:val="center"/>
            </w:pPr>
            <w:r>
              <w:rPr>
                <w:rFonts w:cs="Calibri"/>
                <w:color w:val="000000"/>
              </w:rPr>
              <w:t>$1,378</w:t>
            </w:r>
          </w:p>
        </w:tc>
        <w:tc>
          <w:tcPr>
            <w:tcW w:w="1559" w:type="dxa"/>
            <w:shd w:val="clear" w:color="auto" w:fill="auto"/>
            <w:vAlign w:val="center"/>
            <w:hideMark/>
          </w:tcPr>
          <w:p w14:paraId="7B2D60AC" w14:textId="77777777" w:rsidR="009A1EDB" w:rsidRPr="000B2F94" w:rsidRDefault="009A1EDB" w:rsidP="00264776">
            <w:pPr>
              <w:spacing w:line="276" w:lineRule="auto"/>
              <w:jc w:val="center"/>
            </w:pPr>
            <w:r>
              <w:rPr>
                <w:rFonts w:cs="Calibri"/>
                <w:color w:val="000000"/>
              </w:rPr>
              <w:t>$369</w:t>
            </w:r>
          </w:p>
        </w:tc>
        <w:tc>
          <w:tcPr>
            <w:tcW w:w="1417" w:type="dxa"/>
            <w:vMerge w:val="restart"/>
            <w:shd w:val="clear" w:color="auto" w:fill="auto"/>
            <w:vAlign w:val="center"/>
            <w:hideMark/>
          </w:tcPr>
          <w:p w14:paraId="16E29ADA" w14:textId="3868EF3A" w:rsidR="009A1EDB" w:rsidRPr="00AC62D4" w:rsidRDefault="009A1EDB" w:rsidP="009A1EDB">
            <w:pPr>
              <w:spacing w:line="276" w:lineRule="auto"/>
              <w:jc w:val="center"/>
            </w:pPr>
            <w:r w:rsidRPr="00AC62D4">
              <w:t>$172</w:t>
            </w:r>
          </w:p>
        </w:tc>
      </w:tr>
      <w:tr w:rsidR="009A1EDB" w:rsidRPr="00F34E2D" w14:paraId="1423F1FB" w14:textId="77777777" w:rsidTr="00723D85">
        <w:trPr>
          <w:trHeight w:val="20"/>
        </w:trPr>
        <w:tc>
          <w:tcPr>
            <w:tcW w:w="1093" w:type="dxa"/>
            <w:vMerge/>
            <w:vAlign w:val="center"/>
            <w:hideMark/>
          </w:tcPr>
          <w:p w14:paraId="60B6E235" w14:textId="77777777" w:rsidR="009A1EDB" w:rsidRPr="00F34E2D" w:rsidRDefault="009A1EDB" w:rsidP="00264776">
            <w:pPr>
              <w:spacing w:line="276" w:lineRule="auto"/>
              <w:jc w:val="center"/>
            </w:pPr>
          </w:p>
        </w:tc>
        <w:tc>
          <w:tcPr>
            <w:tcW w:w="1449" w:type="dxa"/>
            <w:shd w:val="clear" w:color="auto" w:fill="auto"/>
            <w:vAlign w:val="center"/>
            <w:hideMark/>
          </w:tcPr>
          <w:p w14:paraId="6310E6E4" w14:textId="77777777" w:rsidR="009A1EDB" w:rsidRPr="000B2F94" w:rsidRDefault="009A1EDB" w:rsidP="00264776">
            <w:pPr>
              <w:spacing w:line="276" w:lineRule="auto"/>
            </w:pPr>
            <w:r w:rsidRPr="000B2F94">
              <w:t>Effectiveness</w:t>
            </w:r>
          </w:p>
        </w:tc>
        <w:tc>
          <w:tcPr>
            <w:tcW w:w="1701" w:type="dxa"/>
            <w:shd w:val="clear" w:color="auto" w:fill="auto"/>
            <w:vAlign w:val="center"/>
            <w:hideMark/>
          </w:tcPr>
          <w:p w14:paraId="1A76984A" w14:textId="77777777" w:rsidR="009A1EDB" w:rsidRPr="000B2F94" w:rsidRDefault="009A1EDB" w:rsidP="00264776">
            <w:pPr>
              <w:spacing w:line="276" w:lineRule="auto"/>
              <w:jc w:val="center"/>
            </w:pPr>
            <w:r>
              <w:rPr>
                <w:rFonts w:cs="Calibri"/>
                <w:color w:val="000000"/>
              </w:rPr>
              <w:t>1.98</w:t>
            </w:r>
          </w:p>
        </w:tc>
        <w:tc>
          <w:tcPr>
            <w:tcW w:w="1843" w:type="dxa"/>
            <w:shd w:val="clear" w:color="auto" w:fill="auto"/>
            <w:vAlign w:val="center"/>
            <w:hideMark/>
          </w:tcPr>
          <w:p w14:paraId="52BD1218" w14:textId="77777777" w:rsidR="009A1EDB" w:rsidRPr="000B2F94" w:rsidRDefault="009A1EDB" w:rsidP="00264776">
            <w:pPr>
              <w:spacing w:line="276" w:lineRule="auto"/>
              <w:jc w:val="center"/>
            </w:pPr>
            <w:r>
              <w:rPr>
                <w:rFonts w:cs="Calibri"/>
                <w:color w:val="000000"/>
              </w:rPr>
              <w:t>0</w:t>
            </w:r>
          </w:p>
        </w:tc>
        <w:tc>
          <w:tcPr>
            <w:tcW w:w="1559" w:type="dxa"/>
            <w:shd w:val="clear" w:color="auto" w:fill="auto"/>
            <w:vAlign w:val="center"/>
            <w:hideMark/>
          </w:tcPr>
          <w:p w14:paraId="3A6BF9F0" w14:textId="77777777" w:rsidR="009A1EDB" w:rsidRPr="000B2F94" w:rsidRDefault="009A1EDB" w:rsidP="00264776">
            <w:pPr>
              <w:spacing w:line="276" w:lineRule="auto"/>
              <w:jc w:val="center"/>
            </w:pPr>
            <w:r>
              <w:rPr>
                <w:rFonts w:cs="Calibri"/>
                <w:color w:val="000000"/>
              </w:rPr>
              <w:t>1.98</w:t>
            </w:r>
          </w:p>
        </w:tc>
        <w:tc>
          <w:tcPr>
            <w:tcW w:w="1417" w:type="dxa"/>
            <w:vMerge/>
            <w:shd w:val="clear" w:color="auto" w:fill="auto"/>
            <w:vAlign w:val="center"/>
            <w:hideMark/>
          </w:tcPr>
          <w:p w14:paraId="5B603025" w14:textId="7888EFEA" w:rsidR="009A1EDB" w:rsidRPr="00AC62D4" w:rsidRDefault="009A1EDB" w:rsidP="009A1EDB">
            <w:pPr>
              <w:spacing w:line="276" w:lineRule="auto"/>
              <w:jc w:val="center"/>
            </w:pPr>
          </w:p>
        </w:tc>
      </w:tr>
      <w:tr w:rsidR="009A1EDB" w:rsidRPr="00F34E2D" w14:paraId="082879BC" w14:textId="77777777" w:rsidTr="00723D85">
        <w:trPr>
          <w:trHeight w:val="20"/>
        </w:trPr>
        <w:tc>
          <w:tcPr>
            <w:tcW w:w="1093" w:type="dxa"/>
            <w:vMerge w:val="restart"/>
            <w:shd w:val="clear" w:color="auto" w:fill="auto"/>
            <w:vAlign w:val="center"/>
            <w:hideMark/>
          </w:tcPr>
          <w:p w14:paraId="4206EB4C" w14:textId="77777777" w:rsidR="009A1EDB" w:rsidRPr="00F34E2D" w:rsidRDefault="009A1EDB" w:rsidP="00264776">
            <w:pPr>
              <w:spacing w:line="276" w:lineRule="auto"/>
              <w:jc w:val="center"/>
            </w:pPr>
            <w:r w:rsidRPr="00F34E2D">
              <w:t>60%</w:t>
            </w:r>
          </w:p>
        </w:tc>
        <w:tc>
          <w:tcPr>
            <w:tcW w:w="1449" w:type="dxa"/>
            <w:shd w:val="clear" w:color="auto" w:fill="auto"/>
            <w:vAlign w:val="center"/>
            <w:hideMark/>
          </w:tcPr>
          <w:p w14:paraId="1E7D9688" w14:textId="77777777" w:rsidR="009A1EDB" w:rsidRPr="000B2F94" w:rsidRDefault="009A1EDB" w:rsidP="00264776">
            <w:pPr>
              <w:spacing w:line="276" w:lineRule="auto"/>
            </w:pPr>
            <w:r w:rsidRPr="000B2F94">
              <w:t>Cost</w:t>
            </w:r>
          </w:p>
        </w:tc>
        <w:tc>
          <w:tcPr>
            <w:tcW w:w="1701" w:type="dxa"/>
            <w:shd w:val="clear" w:color="auto" w:fill="auto"/>
            <w:vAlign w:val="center"/>
            <w:hideMark/>
          </w:tcPr>
          <w:p w14:paraId="5304A3AA" w14:textId="77777777" w:rsidR="009A1EDB" w:rsidRPr="000B2F94" w:rsidRDefault="009A1EDB" w:rsidP="00264776">
            <w:pPr>
              <w:spacing w:line="276" w:lineRule="auto"/>
              <w:jc w:val="center"/>
            </w:pPr>
            <w:r>
              <w:rPr>
                <w:rFonts w:cs="Calibri"/>
                <w:color w:val="000000"/>
              </w:rPr>
              <w:t>$1,766</w:t>
            </w:r>
          </w:p>
        </w:tc>
        <w:tc>
          <w:tcPr>
            <w:tcW w:w="1843" w:type="dxa"/>
            <w:shd w:val="clear" w:color="auto" w:fill="auto"/>
            <w:vAlign w:val="center"/>
            <w:hideMark/>
          </w:tcPr>
          <w:p w14:paraId="74079CCD" w14:textId="77777777" w:rsidR="009A1EDB" w:rsidRPr="000B2F94" w:rsidRDefault="009A1EDB" w:rsidP="00264776">
            <w:pPr>
              <w:spacing w:line="276" w:lineRule="auto"/>
              <w:jc w:val="center"/>
            </w:pPr>
            <w:r>
              <w:rPr>
                <w:rFonts w:cs="Calibri"/>
                <w:color w:val="000000"/>
              </w:rPr>
              <w:t>$1,378</w:t>
            </w:r>
          </w:p>
        </w:tc>
        <w:tc>
          <w:tcPr>
            <w:tcW w:w="1559" w:type="dxa"/>
            <w:shd w:val="clear" w:color="auto" w:fill="auto"/>
            <w:vAlign w:val="center"/>
            <w:hideMark/>
          </w:tcPr>
          <w:p w14:paraId="631761D3" w14:textId="77777777" w:rsidR="009A1EDB" w:rsidRPr="000B2F94" w:rsidRDefault="009A1EDB" w:rsidP="00264776">
            <w:pPr>
              <w:spacing w:line="276" w:lineRule="auto"/>
              <w:jc w:val="center"/>
            </w:pPr>
            <w:r>
              <w:rPr>
                <w:rFonts w:cs="Calibri"/>
                <w:color w:val="000000"/>
              </w:rPr>
              <w:t>$388</w:t>
            </w:r>
          </w:p>
        </w:tc>
        <w:tc>
          <w:tcPr>
            <w:tcW w:w="1417" w:type="dxa"/>
            <w:vMerge w:val="restart"/>
            <w:shd w:val="clear" w:color="auto" w:fill="auto"/>
            <w:vAlign w:val="center"/>
            <w:hideMark/>
          </w:tcPr>
          <w:p w14:paraId="1310D783" w14:textId="5CCD2883" w:rsidR="009A1EDB" w:rsidRPr="00AC62D4" w:rsidRDefault="009A1EDB" w:rsidP="009A1EDB">
            <w:pPr>
              <w:spacing w:line="276" w:lineRule="auto"/>
              <w:jc w:val="center"/>
            </w:pPr>
            <w:r w:rsidRPr="00AC62D4">
              <w:t>$204</w:t>
            </w:r>
          </w:p>
        </w:tc>
      </w:tr>
      <w:tr w:rsidR="009A1EDB" w:rsidRPr="00F34E2D" w14:paraId="143CC0E2" w14:textId="77777777" w:rsidTr="00723D85">
        <w:trPr>
          <w:trHeight w:val="20"/>
        </w:trPr>
        <w:tc>
          <w:tcPr>
            <w:tcW w:w="1093" w:type="dxa"/>
            <w:vMerge/>
            <w:vAlign w:val="center"/>
            <w:hideMark/>
          </w:tcPr>
          <w:p w14:paraId="13D2DD2B" w14:textId="77777777" w:rsidR="009A1EDB" w:rsidRPr="00F34E2D" w:rsidRDefault="009A1EDB" w:rsidP="00264776">
            <w:pPr>
              <w:spacing w:line="276" w:lineRule="auto"/>
              <w:jc w:val="center"/>
            </w:pPr>
          </w:p>
        </w:tc>
        <w:tc>
          <w:tcPr>
            <w:tcW w:w="1449" w:type="dxa"/>
            <w:shd w:val="clear" w:color="auto" w:fill="auto"/>
            <w:vAlign w:val="center"/>
            <w:hideMark/>
          </w:tcPr>
          <w:p w14:paraId="1B7B731F" w14:textId="77777777" w:rsidR="009A1EDB" w:rsidRPr="000B2F94" w:rsidRDefault="009A1EDB" w:rsidP="00264776">
            <w:pPr>
              <w:spacing w:line="276" w:lineRule="auto"/>
            </w:pPr>
            <w:r w:rsidRPr="000B2F94">
              <w:t>Effectiveness</w:t>
            </w:r>
          </w:p>
        </w:tc>
        <w:tc>
          <w:tcPr>
            <w:tcW w:w="1701" w:type="dxa"/>
            <w:shd w:val="clear" w:color="auto" w:fill="auto"/>
            <w:vAlign w:val="center"/>
            <w:hideMark/>
          </w:tcPr>
          <w:p w14:paraId="69FC1E16" w14:textId="77777777" w:rsidR="009A1EDB" w:rsidRPr="000B2F94" w:rsidRDefault="009A1EDB" w:rsidP="00264776">
            <w:pPr>
              <w:spacing w:line="276" w:lineRule="auto"/>
              <w:jc w:val="center"/>
            </w:pPr>
            <w:r>
              <w:rPr>
                <w:rFonts w:cs="Calibri"/>
                <w:color w:val="000000"/>
              </w:rPr>
              <w:t>1.77</w:t>
            </w:r>
          </w:p>
        </w:tc>
        <w:tc>
          <w:tcPr>
            <w:tcW w:w="1843" w:type="dxa"/>
            <w:shd w:val="clear" w:color="auto" w:fill="auto"/>
            <w:vAlign w:val="center"/>
            <w:hideMark/>
          </w:tcPr>
          <w:p w14:paraId="081B2A2E" w14:textId="77777777" w:rsidR="009A1EDB" w:rsidRPr="000B2F94" w:rsidRDefault="009A1EDB" w:rsidP="00264776">
            <w:pPr>
              <w:spacing w:line="276" w:lineRule="auto"/>
              <w:jc w:val="center"/>
            </w:pPr>
            <w:r>
              <w:rPr>
                <w:rFonts w:cs="Calibri"/>
                <w:color w:val="000000"/>
              </w:rPr>
              <w:t>0</w:t>
            </w:r>
          </w:p>
        </w:tc>
        <w:tc>
          <w:tcPr>
            <w:tcW w:w="1559" w:type="dxa"/>
            <w:shd w:val="clear" w:color="auto" w:fill="auto"/>
            <w:vAlign w:val="center"/>
            <w:hideMark/>
          </w:tcPr>
          <w:p w14:paraId="152DE7AD" w14:textId="77777777" w:rsidR="009A1EDB" w:rsidRPr="000B2F94" w:rsidRDefault="009A1EDB" w:rsidP="00264776">
            <w:pPr>
              <w:spacing w:line="276" w:lineRule="auto"/>
              <w:jc w:val="center"/>
            </w:pPr>
            <w:r>
              <w:rPr>
                <w:rFonts w:cs="Calibri"/>
                <w:color w:val="000000"/>
              </w:rPr>
              <w:t>1.77</w:t>
            </w:r>
          </w:p>
        </w:tc>
        <w:tc>
          <w:tcPr>
            <w:tcW w:w="1417" w:type="dxa"/>
            <w:vMerge/>
            <w:shd w:val="clear" w:color="auto" w:fill="auto"/>
            <w:hideMark/>
          </w:tcPr>
          <w:p w14:paraId="1D1D9DD5" w14:textId="2A215BD8" w:rsidR="009A1EDB" w:rsidRPr="00AC62D4" w:rsidRDefault="009A1EDB" w:rsidP="00264776">
            <w:pPr>
              <w:spacing w:line="276" w:lineRule="auto"/>
              <w:jc w:val="center"/>
            </w:pPr>
          </w:p>
        </w:tc>
      </w:tr>
    </w:tbl>
    <w:p w14:paraId="7AF71560" w14:textId="77DE69A3" w:rsidR="00D46392" w:rsidRDefault="00264776" w:rsidP="00264776">
      <w:pPr>
        <w:rPr>
          <w:rFonts w:ascii="Arial Narrow" w:hAnsi="Arial Narrow"/>
          <w:sz w:val="18"/>
          <w:szCs w:val="18"/>
        </w:rPr>
      </w:pPr>
      <w:r w:rsidRPr="004A0048">
        <w:rPr>
          <w:rFonts w:ascii="Arial Narrow" w:hAnsi="Arial Narrow"/>
          <w:sz w:val="18"/>
          <w:szCs w:val="18"/>
        </w:rPr>
        <w:t>DY = diagnostic yield; ICER = incremental cost-effectiveness ratio; SGT = single gene testing.</w:t>
      </w:r>
    </w:p>
    <w:p w14:paraId="2A879B56" w14:textId="4B712FE3" w:rsidR="007D58A3" w:rsidRDefault="007D58A3" w:rsidP="007D58A3">
      <w:pPr>
        <w:spacing w:before="240"/>
        <w:rPr>
          <w:rFonts w:ascii="Franklin Gothic Book" w:hAnsi="Franklin Gothic Book"/>
          <w:sz w:val="22"/>
          <w:szCs w:val="22"/>
        </w:rPr>
      </w:pPr>
      <w:r>
        <w:rPr>
          <w:rFonts w:ascii="Franklin Gothic Book" w:hAnsi="Franklin Gothic Book"/>
          <w:sz w:val="22"/>
          <w:szCs w:val="22"/>
        </w:rPr>
        <w:t xml:space="preserve">The cost-effectiveness of reproductive partner testing in terms of cost of testing per carrier couple identified is provided in </w:t>
      </w:r>
      <w:r w:rsidR="0067402A">
        <w:rPr>
          <w:rFonts w:ascii="Franklin Gothic Book" w:hAnsi="Franklin Gothic Book"/>
          <w:sz w:val="22"/>
          <w:szCs w:val="22"/>
        </w:rPr>
        <w:fldChar w:fldCharType="begin"/>
      </w:r>
      <w:r w:rsidR="0067402A">
        <w:rPr>
          <w:rFonts w:ascii="Franklin Gothic Book" w:hAnsi="Franklin Gothic Book"/>
          <w:sz w:val="22"/>
          <w:szCs w:val="22"/>
        </w:rPr>
        <w:instrText xml:space="preserve"> REF _Ref114229887  \* MERGEFORMAT </w:instrText>
      </w:r>
      <w:r w:rsidR="0067402A">
        <w:rPr>
          <w:rFonts w:ascii="Franklin Gothic Book" w:hAnsi="Franklin Gothic Book"/>
          <w:sz w:val="22"/>
          <w:szCs w:val="22"/>
        </w:rPr>
        <w:fldChar w:fldCharType="separate"/>
      </w:r>
      <w:r w:rsidR="008260AB" w:rsidRPr="008260AB">
        <w:rPr>
          <w:rFonts w:ascii="Franklin Gothic Book" w:hAnsi="Franklin Gothic Book"/>
          <w:sz w:val="22"/>
          <w:szCs w:val="22"/>
        </w:rPr>
        <w:t>Table 7</w:t>
      </w:r>
      <w:r w:rsidR="0067402A">
        <w:rPr>
          <w:rFonts w:ascii="Franklin Gothic Book" w:hAnsi="Franklin Gothic Book"/>
          <w:sz w:val="22"/>
          <w:szCs w:val="22"/>
        </w:rPr>
        <w:fldChar w:fldCharType="end"/>
      </w:r>
      <w:r>
        <w:rPr>
          <w:rFonts w:ascii="Franklin Gothic Book" w:hAnsi="Franklin Gothic Book"/>
          <w:sz w:val="22"/>
          <w:szCs w:val="22"/>
        </w:rPr>
        <w:t>. Reproductive partners were assumed to have the carrier frequency of the general population</w:t>
      </w:r>
      <w:r w:rsidR="00E618D6">
        <w:rPr>
          <w:rFonts w:ascii="Franklin Gothic Book" w:hAnsi="Franklin Gothic Book"/>
          <w:sz w:val="22"/>
          <w:szCs w:val="22"/>
        </w:rPr>
        <w:t xml:space="preserve"> (1:80 for FA</w:t>
      </w:r>
      <w:r w:rsidR="00E618D6">
        <w:rPr>
          <w:rStyle w:val="FootnoteReference"/>
          <w:rFonts w:ascii="Franklin Gothic Book" w:hAnsi="Franklin Gothic Book"/>
          <w:sz w:val="22"/>
          <w:szCs w:val="22"/>
        </w:rPr>
        <w:footnoteReference w:id="4"/>
      </w:r>
      <w:r w:rsidR="00E618D6">
        <w:rPr>
          <w:rFonts w:ascii="Franklin Gothic Book" w:hAnsi="Franklin Gothic Book"/>
          <w:sz w:val="22"/>
          <w:szCs w:val="22"/>
        </w:rPr>
        <w:t>, 1:40 for SMA as per the 1573 economic model)</w:t>
      </w:r>
      <w:r w:rsidR="006E4B29">
        <w:rPr>
          <w:rFonts w:ascii="Franklin Gothic Book" w:hAnsi="Franklin Gothic Book"/>
          <w:sz w:val="22"/>
          <w:szCs w:val="22"/>
        </w:rPr>
        <w:t>.</w:t>
      </w:r>
    </w:p>
    <w:p w14:paraId="4A990E01" w14:textId="179F3B75" w:rsidR="006E4B29" w:rsidRPr="00FD2128" w:rsidRDefault="006E4B29" w:rsidP="007D4B83">
      <w:pPr>
        <w:pStyle w:val="Caption"/>
        <w:spacing w:before="240"/>
        <w:rPr>
          <w:b w:val="0"/>
          <w:bCs w:val="0"/>
          <w:lang w:eastAsia="en-AU"/>
        </w:rPr>
      </w:pPr>
      <w:bookmarkStart w:id="19" w:name="_Ref114229887"/>
      <w:r w:rsidRPr="00FD2128">
        <w:t xml:space="preserve">Table </w:t>
      </w:r>
      <w:r w:rsidR="008260AB">
        <w:fldChar w:fldCharType="begin"/>
      </w:r>
      <w:r w:rsidR="008260AB">
        <w:instrText xml:space="preserve"> SEQ Table \* ARABIC </w:instrText>
      </w:r>
      <w:r w:rsidR="008260AB">
        <w:fldChar w:fldCharType="separate"/>
      </w:r>
      <w:r w:rsidR="008260AB">
        <w:rPr>
          <w:noProof/>
        </w:rPr>
        <w:t>7</w:t>
      </w:r>
      <w:r w:rsidR="008260AB">
        <w:rPr>
          <w:noProof/>
        </w:rPr>
        <w:fldChar w:fldCharType="end"/>
      </w:r>
      <w:bookmarkEnd w:id="19"/>
      <w:r w:rsidRPr="00FD2128">
        <w:t xml:space="preserve"> </w:t>
      </w:r>
      <w:r w:rsidRPr="00FD2128">
        <w:rPr>
          <w:lang w:eastAsia="en-AU"/>
        </w:rPr>
        <w:t xml:space="preserve">Assessment of the cost-effectiveness of </w:t>
      </w:r>
      <w:r>
        <w:rPr>
          <w:lang w:eastAsia="en-AU"/>
        </w:rPr>
        <w:t>reproductive partner testing using SGTs</w:t>
      </w:r>
      <w:r w:rsidRPr="00FD2128">
        <w:rPr>
          <w:lang w:eastAsia="en-AU"/>
        </w:rPr>
        <w:t xml:space="preserve">. Effectiveness is expressed in terms of </w:t>
      </w:r>
      <w:r>
        <w:rPr>
          <w:lang w:eastAsia="en-AU"/>
        </w:rPr>
        <w:t>cost of testing per carrier couple identified</w:t>
      </w:r>
      <w:r w:rsidRPr="00FD2128">
        <w:rPr>
          <w:lang w:eastAsia="en-AU"/>
        </w:rPr>
        <w:t>.</w:t>
      </w:r>
    </w:p>
    <w:tbl>
      <w:tblPr>
        <w:tblStyle w:val="TableGrid2"/>
        <w:tblW w:w="9067" w:type="dxa"/>
        <w:tblLook w:val="04A0" w:firstRow="1" w:lastRow="0" w:firstColumn="1" w:lastColumn="0" w:noHBand="0" w:noVBand="1"/>
      </w:tblPr>
      <w:tblGrid>
        <w:gridCol w:w="1192"/>
        <w:gridCol w:w="3056"/>
        <w:gridCol w:w="2551"/>
        <w:gridCol w:w="1134"/>
        <w:gridCol w:w="1134"/>
      </w:tblGrid>
      <w:tr w:rsidR="006E4B29" w:rsidRPr="00F34E2D" w14:paraId="518C01EF" w14:textId="77777777" w:rsidTr="006E4B29">
        <w:trPr>
          <w:cnfStyle w:val="100000000000" w:firstRow="1" w:lastRow="0" w:firstColumn="0" w:lastColumn="0" w:oddVBand="0" w:evenVBand="0" w:oddHBand="0" w:evenHBand="0" w:firstRowFirstColumn="0" w:firstRowLastColumn="0" w:lastRowFirstColumn="0" w:lastRowLastColumn="0"/>
          <w:trHeight w:val="20"/>
        </w:trPr>
        <w:tc>
          <w:tcPr>
            <w:tcW w:w="1192" w:type="dxa"/>
            <w:hideMark/>
          </w:tcPr>
          <w:p w14:paraId="5DF9B576" w14:textId="77777777" w:rsidR="006E4B29" w:rsidRPr="00F34E2D" w:rsidRDefault="006E4B29" w:rsidP="008E78AC">
            <w:pPr>
              <w:spacing w:line="276" w:lineRule="auto"/>
              <w:rPr>
                <w:rFonts w:ascii="Arial Narrow" w:hAnsi="Arial Narrow"/>
                <w:b/>
                <w:bCs/>
              </w:rPr>
            </w:pPr>
          </w:p>
        </w:tc>
        <w:tc>
          <w:tcPr>
            <w:tcW w:w="3056" w:type="dxa"/>
            <w:hideMark/>
          </w:tcPr>
          <w:p w14:paraId="4FB35698" w14:textId="3C8983FC" w:rsidR="006E4B29" w:rsidRPr="00F34E2D" w:rsidRDefault="006E4B29" w:rsidP="008E78AC">
            <w:pPr>
              <w:spacing w:line="276" w:lineRule="auto"/>
              <w:jc w:val="center"/>
              <w:rPr>
                <w:rFonts w:ascii="Arial Narrow" w:hAnsi="Arial Narrow"/>
                <w:b/>
                <w:bCs/>
              </w:rPr>
            </w:pPr>
            <w:r w:rsidRPr="00F34E2D">
              <w:rPr>
                <w:rFonts w:ascii="Arial Narrow" w:hAnsi="Arial Narrow"/>
                <w:b/>
                <w:bCs/>
              </w:rPr>
              <w:t xml:space="preserve">Intervention: </w:t>
            </w:r>
            <w:r>
              <w:rPr>
                <w:rFonts w:ascii="Arial Narrow" w:hAnsi="Arial Narrow"/>
                <w:b/>
                <w:bCs/>
              </w:rPr>
              <w:t>reproductive partner testing using SGT</w:t>
            </w:r>
          </w:p>
        </w:tc>
        <w:tc>
          <w:tcPr>
            <w:tcW w:w="2551" w:type="dxa"/>
            <w:hideMark/>
          </w:tcPr>
          <w:p w14:paraId="2E0DE02F" w14:textId="2B3F02F5" w:rsidR="006E4B29" w:rsidRPr="00F34E2D" w:rsidRDefault="006E4B29" w:rsidP="008E78AC">
            <w:pPr>
              <w:spacing w:line="276" w:lineRule="auto"/>
              <w:jc w:val="center"/>
              <w:rPr>
                <w:rFonts w:ascii="Arial Narrow" w:hAnsi="Arial Narrow"/>
                <w:b/>
                <w:bCs/>
              </w:rPr>
            </w:pPr>
            <w:r w:rsidRPr="00F34E2D">
              <w:rPr>
                <w:rFonts w:ascii="Arial Narrow" w:hAnsi="Arial Narrow"/>
                <w:b/>
                <w:bCs/>
              </w:rPr>
              <w:t xml:space="preserve">Comparator: </w:t>
            </w:r>
            <w:r>
              <w:rPr>
                <w:rFonts w:ascii="Arial Narrow" w:hAnsi="Arial Narrow"/>
                <w:b/>
                <w:bCs/>
              </w:rPr>
              <w:t>No reproductive partner testing</w:t>
            </w:r>
          </w:p>
        </w:tc>
        <w:tc>
          <w:tcPr>
            <w:tcW w:w="1134" w:type="dxa"/>
            <w:hideMark/>
          </w:tcPr>
          <w:p w14:paraId="655E322E" w14:textId="77777777" w:rsidR="006E4B29" w:rsidRPr="00F34E2D" w:rsidRDefault="006E4B29" w:rsidP="008E78AC">
            <w:pPr>
              <w:spacing w:line="276" w:lineRule="auto"/>
              <w:jc w:val="center"/>
              <w:rPr>
                <w:rFonts w:ascii="Arial Narrow" w:hAnsi="Arial Narrow"/>
                <w:b/>
                <w:bCs/>
              </w:rPr>
            </w:pPr>
            <w:r w:rsidRPr="00F34E2D">
              <w:rPr>
                <w:rFonts w:ascii="Arial Narrow" w:hAnsi="Arial Narrow"/>
                <w:b/>
                <w:bCs/>
              </w:rPr>
              <w:t>Increment</w:t>
            </w:r>
          </w:p>
        </w:tc>
        <w:tc>
          <w:tcPr>
            <w:tcW w:w="1134" w:type="dxa"/>
            <w:hideMark/>
          </w:tcPr>
          <w:p w14:paraId="69B7F702" w14:textId="77777777" w:rsidR="006E4B29" w:rsidRPr="00F34E2D" w:rsidRDefault="006E4B29" w:rsidP="008E78AC">
            <w:pPr>
              <w:spacing w:line="276" w:lineRule="auto"/>
              <w:jc w:val="center"/>
              <w:rPr>
                <w:rFonts w:ascii="Arial Narrow" w:hAnsi="Arial Narrow"/>
                <w:b/>
                <w:bCs/>
              </w:rPr>
            </w:pPr>
            <w:r w:rsidRPr="00F34E2D">
              <w:rPr>
                <w:rFonts w:ascii="Arial Narrow" w:hAnsi="Arial Narrow"/>
                <w:b/>
                <w:bCs/>
              </w:rPr>
              <w:t>ICER</w:t>
            </w:r>
          </w:p>
        </w:tc>
      </w:tr>
      <w:tr w:rsidR="006E4B29" w:rsidRPr="00F34E2D" w14:paraId="320A3E1D" w14:textId="77777777" w:rsidTr="0067402A">
        <w:trPr>
          <w:trHeight w:val="20"/>
        </w:trPr>
        <w:tc>
          <w:tcPr>
            <w:tcW w:w="1192" w:type="dxa"/>
            <w:hideMark/>
          </w:tcPr>
          <w:p w14:paraId="5932657D" w14:textId="77777777" w:rsidR="006E4B29" w:rsidRPr="000B2F94" w:rsidRDefault="006E4B29" w:rsidP="008E78AC">
            <w:pPr>
              <w:spacing w:line="276" w:lineRule="auto"/>
            </w:pPr>
            <w:r w:rsidRPr="000B2F94">
              <w:t>Cost</w:t>
            </w:r>
          </w:p>
        </w:tc>
        <w:tc>
          <w:tcPr>
            <w:tcW w:w="3056" w:type="dxa"/>
            <w:hideMark/>
          </w:tcPr>
          <w:p w14:paraId="7D6C4307" w14:textId="6D37D786" w:rsidR="006E4B29" w:rsidRPr="000B2F94" w:rsidRDefault="006E4B29" w:rsidP="008E78AC">
            <w:pPr>
              <w:spacing w:line="276" w:lineRule="auto"/>
              <w:jc w:val="center"/>
            </w:pPr>
            <w:r>
              <w:rPr>
                <w:rFonts w:cs="Calibri"/>
                <w:color w:val="000000"/>
              </w:rPr>
              <w:t>$392</w:t>
            </w:r>
          </w:p>
        </w:tc>
        <w:tc>
          <w:tcPr>
            <w:tcW w:w="2551" w:type="dxa"/>
            <w:hideMark/>
          </w:tcPr>
          <w:p w14:paraId="3D54537D" w14:textId="5805D0DC" w:rsidR="006E4B29" w:rsidRPr="000B2F94" w:rsidRDefault="006E4B29" w:rsidP="008E78AC">
            <w:pPr>
              <w:spacing w:line="276" w:lineRule="auto"/>
              <w:jc w:val="center"/>
            </w:pPr>
            <w:r>
              <w:rPr>
                <w:rFonts w:cs="Calibri"/>
                <w:color w:val="000000"/>
              </w:rPr>
              <w:t>$0</w:t>
            </w:r>
          </w:p>
        </w:tc>
        <w:tc>
          <w:tcPr>
            <w:tcW w:w="1134" w:type="dxa"/>
            <w:hideMark/>
          </w:tcPr>
          <w:p w14:paraId="6713A445" w14:textId="41563DE0" w:rsidR="006E4B29" w:rsidRPr="000B2F94" w:rsidRDefault="006E4B29" w:rsidP="008E78AC">
            <w:pPr>
              <w:spacing w:line="276" w:lineRule="auto"/>
              <w:jc w:val="center"/>
            </w:pPr>
            <w:r>
              <w:rPr>
                <w:rFonts w:cs="Calibri"/>
                <w:color w:val="000000"/>
              </w:rPr>
              <w:t>$392</w:t>
            </w:r>
          </w:p>
        </w:tc>
        <w:tc>
          <w:tcPr>
            <w:tcW w:w="1134" w:type="dxa"/>
            <w:vMerge w:val="restart"/>
            <w:vAlign w:val="center"/>
            <w:hideMark/>
          </w:tcPr>
          <w:p w14:paraId="7791DE4E" w14:textId="358E17E9" w:rsidR="006E4B29" w:rsidRPr="00AC62D4" w:rsidRDefault="006E4B29" w:rsidP="0067402A">
            <w:pPr>
              <w:spacing w:line="276" w:lineRule="auto"/>
              <w:jc w:val="center"/>
            </w:pPr>
            <w:r w:rsidRPr="00AC62D4">
              <w:t>$</w:t>
            </w:r>
            <w:r>
              <w:t>19,600</w:t>
            </w:r>
          </w:p>
        </w:tc>
      </w:tr>
      <w:tr w:rsidR="006E4B29" w:rsidRPr="00F34E2D" w14:paraId="46293BE1" w14:textId="77777777" w:rsidTr="006E4B29">
        <w:trPr>
          <w:trHeight w:val="20"/>
        </w:trPr>
        <w:tc>
          <w:tcPr>
            <w:tcW w:w="1192" w:type="dxa"/>
            <w:hideMark/>
          </w:tcPr>
          <w:p w14:paraId="172468BE" w14:textId="77777777" w:rsidR="006E4B29" w:rsidRPr="000B2F94" w:rsidRDefault="006E4B29" w:rsidP="008E78AC">
            <w:pPr>
              <w:spacing w:line="276" w:lineRule="auto"/>
            </w:pPr>
            <w:r w:rsidRPr="000B2F94">
              <w:t>Effectiveness</w:t>
            </w:r>
          </w:p>
        </w:tc>
        <w:tc>
          <w:tcPr>
            <w:tcW w:w="3056" w:type="dxa"/>
            <w:hideMark/>
          </w:tcPr>
          <w:p w14:paraId="6AD30415" w14:textId="68B72C20" w:rsidR="006E4B29" w:rsidRPr="000B2F94" w:rsidRDefault="006E4B29" w:rsidP="008E78AC">
            <w:pPr>
              <w:spacing w:line="276" w:lineRule="auto"/>
              <w:jc w:val="center"/>
            </w:pPr>
            <w:r>
              <w:t>0.02</w:t>
            </w:r>
          </w:p>
        </w:tc>
        <w:tc>
          <w:tcPr>
            <w:tcW w:w="2551" w:type="dxa"/>
            <w:hideMark/>
          </w:tcPr>
          <w:p w14:paraId="3C508946" w14:textId="77777777" w:rsidR="006E4B29" w:rsidRPr="000B2F94" w:rsidRDefault="006E4B29" w:rsidP="008E78AC">
            <w:pPr>
              <w:spacing w:line="276" w:lineRule="auto"/>
              <w:jc w:val="center"/>
            </w:pPr>
            <w:r>
              <w:rPr>
                <w:rFonts w:cs="Calibri"/>
                <w:color w:val="000000"/>
              </w:rPr>
              <w:t>0</w:t>
            </w:r>
          </w:p>
        </w:tc>
        <w:tc>
          <w:tcPr>
            <w:tcW w:w="1134" w:type="dxa"/>
            <w:hideMark/>
          </w:tcPr>
          <w:p w14:paraId="78AF0EC7" w14:textId="1A4F368F" w:rsidR="006E4B29" w:rsidRPr="000B2F94" w:rsidRDefault="006E4B29" w:rsidP="008E78AC">
            <w:pPr>
              <w:spacing w:line="276" w:lineRule="auto"/>
              <w:jc w:val="center"/>
            </w:pPr>
            <w:r>
              <w:t>0.02</w:t>
            </w:r>
          </w:p>
        </w:tc>
        <w:tc>
          <w:tcPr>
            <w:tcW w:w="1134" w:type="dxa"/>
            <w:vMerge/>
            <w:hideMark/>
          </w:tcPr>
          <w:p w14:paraId="6ED6EC04" w14:textId="77777777" w:rsidR="006E4B29" w:rsidRPr="00AC62D4" w:rsidRDefault="006E4B29" w:rsidP="008E78AC">
            <w:pPr>
              <w:spacing w:line="276" w:lineRule="auto"/>
              <w:jc w:val="center"/>
            </w:pPr>
          </w:p>
        </w:tc>
      </w:tr>
    </w:tbl>
    <w:p w14:paraId="68F57A9D" w14:textId="26B20E29" w:rsidR="007D58A3" w:rsidRPr="007D58A3" w:rsidRDefault="006E4B29" w:rsidP="00A442D0">
      <w:pPr>
        <w:rPr>
          <w:rFonts w:ascii="Franklin Gothic Book" w:hAnsi="Franklin Gothic Book"/>
          <w:sz w:val="22"/>
          <w:szCs w:val="22"/>
        </w:rPr>
      </w:pPr>
      <w:r w:rsidRPr="004A0048">
        <w:rPr>
          <w:rFonts w:ascii="Arial Narrow" w:hAnsi="Arial Narrow"/>
          <w:sz w:val="18"/>
          <w:szCs w:val="18"/>
        </w:rPr>
        <w:t>ICER = incremental cost-effectiveness ratio; SGT = single gene testing.</w:t>
      </w:r>
    </w:p>
    <w:p w14:paraId="4519492F" w14:textId="4B4396A5" w:rsidR="00136969" w:rsidRPr="00A436C5" w:rsidRDefault="00065623" w:rsidP="003F311A">
      <w:pPr>
        <w:pStyle w:val="Heading1"/>
        <w:ind w:hanging="720"/>
      </w:pPr>
      <w:r w:rsidRPr="00A436C5">
        <w:t>Financial/budgetary impacts</w:t>
      </w:r>
    </w:p>
    <w:p w14:paraId="1F7882B3" w14:textId="277695BD" w:rsidR="00264776" w:rsidRPr="00264776" w:rsidRDefault="00264776" w:rsidP="00264776">
      <w:pPr>
        <w:spacing w:before="240"/>
        <w:rPr>
          <w:rFonts w:ascii="Franklin Gothic Book" w:hAnsi="Franklin Gothic Book"/>
          <w:sz w:val="22"/>
          <w:szCs w:val="22"/>
        </w:rPr>
      </w:pPr>
      <w:r w:rsidRPr="00264776">
        <w:rPr>
          <w:rFonts w:ascii="Franklin Gothic Book" w:hAnsi="Franklin Gothic Book"/>
          <w:sz w:val="22"/>
          <w:szCs w:val="22"/>
        </w:rPr>
        <w:t xml:space="preserve">A market share approach has been used to estimate the utilisation and therefore financial implications of listing the proposed SGTs on the MBS, based on the list of conditions, the relevant gene(s), test methodology, test fee and estimated test utilisation (extrapolated from that provided by PathWest) shown in </w:t>
      </w:r>
      <w:r w:rsidR="00881AFC">
        <w:rPr>
          <w:rFonts w:ascii="Franklin Gothic Book" w:hAnsi="Franklin Gothic Book"/>
          <w:sz w:val="22"/>
          <w:szCs w:val="22"/>
        </w:rPr>
        <w:fldChar w:fldCharType="begin"/>
      </w:r>
      <w:r w:rsidR="00881AFC">
        <w:rPr>
          <w:rFonts w:ascii="Franklin Gothic Book" w:hAnsi="Franklin Gothic Book"/>
          <w:sz w:val="22"/>
          <w:szCs w:val="22"/>
        </w:rPr>
        <w:instrText xml:space="preserve"> REF _Ref104886090 </w:instrText>
      </w:r>
      <w:r w:rsidR="009A1EDB">
        <w:rPr>
          <w:rFonts w:ascii="Franklin Gothic Book" w:hAnsi="Franklin Gothic Book"/>
          <w:sz w:val="22"/>
          <w:szCs w:val="22"/>
        </w:rPr>
        <w:instrText xml:space="preserve"> \* MERGEFORMAT </w:instrText>
      </w:r>
      <w:r w:rsidR="00881AFC">
        <w:rPr>
          <w:rFonts w:ascii="Franklin Gothic Book" w:hAnsi="Franklin Gothic Book"/>
          <w:sz w:val="22"/>
          <w:szCs w:val="22"/>
        </w:rPr>
        <w:fldChar w:fldCharType="separate"/>
      </w:r>
      <w:r w:rsidR="008260AB" w:rsidRPr="008260AB">
        <w:rPr>
          <w:rFonts w:ascii="Franklin Gothic Book" w:hAnsi="Franklin Gothic Book"/>
          <w:sz w:val="22"/>
          <w:szCs w:val="22"/>
        </w:rPr>
        <w:t>Table 3</w:t>
      </w:r>
      <w:r w:rsidR="00881AFC">
        <w:rPr>
          <w:rFonts w:ascii="Franklin Gothic Book" w:hAnsi="Franklin Gothic Book"/>
          <w:sz w:val="22"/>
          <w:szCs w:val="22"/>
        </w:rPr>
        <w:fldChar w:fldCharType="end"/>
      </w:r>
      <w:r w:rsidRPr="00264776">
        <w:rPr>
          <w:rFonts w:ascii="Franklin Gothic Book" w:hAnsi="Franklin Gothic Book"/>
          <w:sz w:val="22"/>
          <w:szCs w:val="22"/>
        </w:rPr>
        <w:t xml:space="preserve">. The generalised outcome of single gene testing shown in Figure 1 has been used to calculate the costs of first-line single gene testing, and second-line gene panel testing (GPT). </w:t>
      </w:r>
    </w:p>
    <w:p w14:paraId="6D3AD269" w14:textId="6712C50E" w:rsidR="00264776" w:rsidRPr="00264776" w:rsidRDefault="00264776" w:rsidP="00264776">
      <w:pPr>
        <w:spacing w:before="240"/>
        <w:rPr>
          <w:rFonts w:ascii="Franklin Gothic Book" w:hAnsi="Franklin Gothic Book"/>
          <w:sz w:val="22"/>
          <w:szCs w:val="22"/>
        </w:rPr>
      </w:pPr>
      <w:r w:rsidRPr="00264776">
        <w:rPr>
          <w:rFonts w:ascii="Franklin Gothic Book" w:hAnsi="Franklin Gothic Book"/>
          <w:sz w:val="22"/>
          <w:szCs w:val="22"/>
        </w:rPr>
        <w:t xml:space="preserve">Australian Bureau of Statistics data were used to extrapolate proportionally from Western Australia testing data to estimate </w:t>
      </w:r>
      <w:r w:rsidR="003B6117">
        <w:rPr>
          <w:rFonts w:ascii="Franklin Gothic Book" w:hAnsi="Franklin Gothic Book"/>
          <w:sz w:val="22"/>
          <w:szCs w:val="22"/>
        </w:rPr>
        <w:t>2,076</w:t>
      </w:r>
      <w:r w:rsidRPr="00264776">
        <w:rPr>
          <w:rFonts w:ascii="Franklin Gothic Book" w:hAnsi="Franklin Gothic Book"/>
          <w:sz w:val="22"/>
          <w:szCs w:val="22"/>
        </w:rPr>
        <w:t xml:space="preserve"> tests </w:t>
      </w:r>
      <w:r w:rsidR="003B6117">
        <w:rPr>
          <w:rFonts w:ascii="Franklin Gothic Book" w:hAnsi="Franklin Gothic Book"/>
          <w:sz w:val="22"/>
          <w:szCs w:val="22"/>
        </w:rPr>
        <w:t>will</w:t>
      </w:r>
      <w:r w:rsidR="003B6117" w:rsidRPr="00264776">
        <w:rPr>
          <w:rFonts w:ascii="Franklin Gothic Book" w:hAnsi="Franklin Gothic Book"/>
          <w:sz w:val="22"/>
          <w:szCs w:val="22"/>
        </w:rPr>
        <w:t xml:space="preserve"> </w:t>
      </w:r>
      <w:r w:rsidRPr="00264776">
        <w:rPr>
          <w:rFonts w:ascii="Franklin Gothic Book" w:hAnsi="Franklin Gothic Book"/>
          <w:sz w:val="22"/>
          <w:szCs w:val="22"/>
        </w:rPr>
        <w:t xml:space="preserve">be performed annually nationally. </w:t>
      </w:r>
      <w:r w:rsidR="00D9288C">
        <w:rPr>
          <w:rFonts w:ascii="Franklin Gothic Book" w:hAnsi="Franklin Gothic Book"/>
          <w:sz w:val="22"/>
          <w:szCs w:val="22"/>
        </w:rPr>
        <w:t>Of th</w:t>
      </w:r>
      <w:r w:rsidR="00F2225C">
        <w:rPr>
          <w:rFonts w:ascii="Franklin Gothic Book" w:hAnsi="Franklin Gothic Book"/>
          <w:sz w:val="22"/>
          <w:szCs w:val="22"/>
        </w:rPr>
        <w:t xml:space="preserve">e total </w:t>
      </w:r>
      <w:r w:rsidR="00D06045">
        <w:rPr>
          <w:rFonts w:ascii="Franklin Gothic Book" w:hAnsi="Franklin Gothic Book"/>
          <w:sz w:val="22"/>
          <w:szCs w:val="22"/>
        </w:rPr>
        <w:t xml:space="preserve">single gene </w:t>
      </w:r>
      <w:r w:rsidR="00F2225C">
        <w:rPr>
          <w:rFonts w:ascii="Franklin Gothic Book" w:hAnsi="Franklin Gothic Book"/>
          <w:sz w:val="22"/>
          <w:szCs w:val="22"/>
        </w:rPr>
        <w:t>tests</w:t>
      </w:r>
      <w:r w:rsidR="00090631">
        <w:rPr>
          <w:rFonts w:ascii="Franklin Gothic Book" w:hAnsi="Franklin Gothic Book"/>
          <w:sz w:val="22"/>
          <w:szCs w:val="22"/>
        </w:rPr>
        <w:t xml:space="preserve"> in the first year</w:t>
      </w:r>
      <w:r w:rsidR="00D9288C">
        <w:rPr>
          <w:rFonts w:ascii="Franklin Gothic Book" w:hAnsi="Franklin Gothic Book"/>
          <w:sz w:val="22"/>
          <w:szCs w:val="22"/>
        </w:rPr>
        <w:t>, 77 are estimated to be for</w:t>
      </w:r>
      <w:r w:rsidRPr="00264776">
        <w:rPr>
          <w:rFonts w:ascii="Franklin Gothic Book" w:hAnsi="Franklin Gothic Book"/>
          <w:sz w:val="22"/>
          <w:szCs w:val="22"/>
        </w:rPr>
        <w:t xml:space="preserve"> </w:t>
      </w:r>
      <w:r w:rsidR="00D9288C" w:rsidRPr="00FE12E8">
        <w:rPr>
          <w:rFonts w:ascii="Franklin Gothic Book" w:hAnsi="Franklin Gothic Book"/>
          <w:sz w:val="22"/>
          <w:szCs w:val="22"/>
        </w:rPr>
        <w:t>FSHD1</w:t>
      </w:r>
      <w:r w:rsidR="00D9288C">
        <w:rPr>
          <w:rFonts w:ascii="Franklin Gothic Book" w:hAnsi="Franklin Gothic Book"/>
          <w:sz w:val="22"/>
          <w:szCs w:val="22"/>
        </w:rPr>
        <w:t xml:space="preserve">, and the remainder being for all other nominated conditions. </w:t>
      </w:r>
      <w:r w:rsidR="003B6117">
        <w:rPr>
          <w:rFonts w:ascii="Franklin Gothic Book" w:hAnsi="Franklin Gothic Book"/>
          <w:sz w:val="22"/>
          <w:szCs w:val="22"/>
        </w:rPr>
        <w:t>T</w:t>
      </w:r>
      <w:r w:rsidRPr="00264776">
        <w:rPr>
          <w:rFonts w:ascii="Franklin Gothic Book" w:hAnsi="Franklin Gothic Book"/>
          <w:sz w:val="22"/>
          <w:szCs w:val="22"/>
        </w:rPr>
        <w:t>he estimated total annual cost of all the proposed first</w:t>
      </w:r>
      <w:r w:rsidR="009A1EDB">
        <w:rPr>
          <w:rFonts w:ascii="Franklin Gothic Book" w:hAnsi="Franklin Gothic Book"/>
          <w:sz w:val="22"/>
          <w:szCs w:val="22"/>
        </w:rPr>
        <w:t xml:space="preserve"> </w:t>
      </w:r>
      <w:r w:rsidRPr="00264776">
        <w:rPr>
          <w:rFonts w:ascii="Franklin Gothic Book" w:hAnsi="Franklin Gothic Book"/>
          <w:sz w:val="22"/>
          <w:szCs w:val="22"/>
        </w:rPr>
        <w:t>line SGTs, without any offset costs, is $</w:t>
      </w:r>
      <w:r w:rsidR="00BD54EC">
        <w:rPr>
          <w:rFonts w:ascii="Franklin Gothic Book" w:hAnsi="Franklin Gothic Book"/>
          <w:sz w:val="22"/>
          <w:szCs w:val="22"/>
        </w:rPr>
        <w:t>736,299</w:t>
      </w:r>
      <w:r w:rsidRPr="00264776">
        <w:rPr>
          <w:rFonts w:ascii="Franklin Gothic Book" w:hAnsi="Franklin Gothic Book"/>
          <w:sz w:val="22"/>
          <w:szCs w:val="22"/>
        </w:rPr>
        <w:t xml:space="preserve"> </w:t>
      </w:r>
      <w:r w:rsidR="00BD54EC">
        <w:rPr>
          <w:rFonts w:ascii="Franklin Gothic Book" w:hAnsi="Franklin Gothic Book"/>
          <w:sz w:val="22"/>
          <w:szCs w:val="22"/>
        </w:rPr>
        <w:t xml:space="preserve">in the first </w:t>
      </w:r>
      <w:r w:rsidRPr="00264776">
        <w:rPr>
          <w:rFonts w:ascii="Franklin Gothic Book" w:hAnsi="Franklin Gothic Book"/>
          <w:sz w:val="22"/>
          <w:szCs w:val="22"/>
        </w:rPr>
        <w:t>year (</w:t>
      </w:r>
      <w:r w:rsidR="00FC5722">
        <w:rPr>
          <w:rFonts w:ascii="Franklin Gothic Book" w:hAnsi="Franklin Gothic Book"/>
          <w:sz w:val="22"/>
          <w:szCs w:val="22"/>
        </w:rPr>
        <w:t>at</w:t>
      </w:r>
      <w:r w:rsidR="007C6962">
        <w:rPr>
          <w:rFonts w:ascii="Franklin Gothic Book" w:hAnsi="Franklin Gothic Book"/>
          <w:sz w:val="22"/>
          <w:szCs w:val="22"/>
        </w:rPr>
        <w:t xml:space="preserve"> </w:t>
      </w:r>
      <w:r w:rsidR="008C34D5">
        <w:rPr>
          <w:rFonts w:ascii="Franklin Gothic Book" w:hAnsi="Franklin Gothic Book"/>
          <w:sz w:val="22"/>
          <w:szCs w:val="22"/>
        </w:rPr>
        <w:t xml:space="preserve">MBS fees of </w:t>
      </w:r>
      <w:r w:rsidR="007C6962">
        <w:rPr>
          <w:rFonts w:ascii="Franklin Gothic Book" w:hAnsi="Franklin Gothic Book"/>
          <w:sz w:val="22"/>
          <w:szCs w:val="22"/>
        </w:rPr>
        <w:t xml:space="preserve">$1000 for </w:t>
      </w:r>
      <w:r w:rsidR="00BD54EC">
        <w:rPr>
          <w:rFonts w:ascii="Franklin Gothic Book" w:hAnsi="Franklin Gothic Book"/>
          <w:sz w:val="22"/>
          <w:szCs w:val="22"/>
        </w:rPr>
        <w:t xml:space="preserve">YYYY </w:t>
      </w:r>
      <w:r w:rsidR="007C6962">
        <w:rPr>
          <w:rFonts w:ascii="Franklin Gothic Book" w:hAnsi="Franklin Gothic Book"/>
          <w:sz w:val="22"/>
          <w:szCs w:val="22"/>
        </w:rPr>
        <w:t xml:space="preserve">and </w:t>
      </w:r>
      <w:r w:rsidRPr="00264776">
        <w:rPr>
          <w:rFonts w:ascii="Franklin Gothic Book" w:hAnsi="Franklin Gothic Book"/>
          <w:sz w:val="22"/>
          <w:szCs w:val="22"/>
        </w:rPr>
        <w:t>$</w:t>
      </w:r>
      <w:r w:rsidR="00D06045">
        <w:rPr>
          <w:rFonts w:ascii="Franklin Gothic Book" w:hAnsi="Franklin Gothic Book"/>
          <w:sz w:val="22"/>
          <w:szCs w:val="22"/>
        </w:rPr>
        <w:t>392</w:t>
      </w:r>
      <w:r w:rsidR="007C6962">
        <w:rPr>
          <w:rFonts w:ascii="Franklin Gothic Book" w:hAnsi="Franklin Gothic Book"/>
          <w:sz w:val="22"/>
          <w:szCs w:val="22"/>
        </w:rPr>
        <w:t xml:space="preserve"> for </w:t>
      </w:r>
      <w:r w:rsidR="00BD54EC">
        <w:rPr>
          <w:rFonts w:ascii="Franklin Gothic Book" w:hAnsi="Franklin Gothic Book"/>
          <w:sz w:val="22"/>
          <w:szCs w:val="22"/>
        </w:rPr>
        <w:t>XXXX</w:t>
      </w:r>
      <w:r w:rsidRPr="00264776">
        <w:rPr>
          <w:rFonts w:ascii="Franklin Gothic Book" w:hAnsi="Franklin Gothic Book"/>
          <w:sz w:val="22"/>
          <w:szCs w:val="22"/>
        </w:rPr>
        <w:t>).</w:t>
      </w:r>
    </w:p>
    <w:p w14:paraId="04A6E7A1" w14:textId="6EDB8B9B" w:rsidR="00264776" w:rsidRDefault="00264776" w:rsidP="00264776">
      <w:pPr>
        <w:spacing w:before="240"/>
        <w:rPr>
          <w:rFonts w:ascii="Franklin Gothic Book" w:hAnsi="Franklin Gothic Book"/>
          <w:sz w:val="22"/>
          <w:szCs w:val="22"/>
        </w:rPr>
      </w:pPr>
      <w:r w:rsidRPr="00264776">
        <w:rPr>
          <w:rFonts w:ascii="Franklin Gothic Book" w:hAnsi="Franklin Gothic Book"/>
          <w:sz w:val="22"/>
          <w:szCs w:val="22"/>
        </w:rPr>
        <w:t xml:space="preserve">As with the assessment of the gene panel, there is uncertainty in the expected cumulative diagnostic yield of the SGTs, therefore a range of diagnostic yields have been used to assess the financial impact of single gene testing. However, by comparison with the use of the gene panel, the nominated conditions are expected to have a strong phenotype-to-genotype relationship, given the degree of penetrance of the nominated genes. Thus, the assessment has used </w:t>
      </w:r>
      <w:r w:rsidR="003B6117">
        <w:rPr>
          <w:rFonts w:ascii="Franklin Gothic Book" w:hAnsi="Franklin Gothic Book"/>
          <w:sz w:val="22"/>
          <w:szCs w:val="22"/>
        </w:rPr>
        <w:t>high</w:t>
      </w:r>
      <w:r w:rsidR="007C6962">
        <w:rPr>
          <w:rFonts w:ascii="Franklin Gothic Book" w:hAnsi="Franklin Gothic Book"/>
          <w:sz w:val="22"/>
          <w:szCs w:val="22"/>
        </w:rPr>
        <w:t>er</w:t>
      </w:r>
      <w:r w:rsidR="003B6117">
        <w:rPr>
          <w:rFonts w:ascii="Franklin Gothic Book" w:hAnsi="Franklin Gothic Book"/>
          <w:sz w:val="22"/>
          <w:szCs w:val="22"/>
        </w:rPr>
        <w:t xml:space="preserve"> </w:t>
      </w:r>
      <w:r w:rsidRPr="00264776">
        <w:rPr>
          <w:rFonts w:ascii="Franklin Gothic Book" w:hAnsi="Franklin Gothic Book"/>
          <w:sz w:val="22"/>
          <w:szCs w:val="22"/>
        </w:rPr>
        <w:t xml:space="preserve">estimates of </w:t>
      </w:r>
      <w:r w:rsidR="003B6117">
        <w:rPr>
          <w:rFonts w:ascii="Franklin Gothic Book" w:hAnsi="Franklin Gothic Book"/>
          <w:sz w:val="22"/>
          <w:szCs w:val="22"/>
        </w:rPr>
        <w:t>DY</w:t>
      </w:r>
      <w:r w:rsidRPr="00264776">
        <w:rPr>
          <w:rFonts w:ascii="Franklin Gothic Book" w:hAnsi="Franklin Gothic Book"/>
          <w:sz w:val="22"/>
          <w:szCs w:val="22"/>
        </w:rPr>
        <w:t xml:space="preserve"> to inform the financial impact of single gene testing</w:t>
      </w:r>
      <w:r w:rsidR="007C6962">
        <w:rPr>
          <w:rFonts w:ascii="Franklin Gothic Book" w:hAnsi="Franklin Gothic Book"/>
          <w:sz w:val="22"/>
          <w:szCs w:val="22"/>
        </w:rPr>
        <w:t>, with the base case of 95%</w:t>
      </w:r>
      <w:r w:rsidRPr="00264776">
        <w:rPr>
          <w:rFonts w:ascii="Franklin Gothic Book" w:hAnsi="Franklin Gothic Book"/>
          <w:sz w:val="22"/>
          <w:szCs w:val="22"/>
        </w:rPr>
        <w:t xml:space="preserve"> (in contrast to the 20% estimate of </w:t>
      </w:r>
      <w:r w:rsidR="00FC5722">
        <w:rPr>
          <w:rFonts w:ascii="Franklin Gothic Book" w:hAnsi="Franklin Gothic Book"/>
          <w:sz w:val="22"/>
          <w:szCs w:val="22"/>
        </w:rPr>
        <w:t>DY</w:t>
      </w:r>
      <w:r w:rsidRPr="00264776">
        <w:rPr>
          <w:rFonts w:ascii="Franklin Gothic Book" w:hAnsi="Franklin Gothic Book"/>
          <w:sz w:val="22"/>
          <w:szCs w:val="22"/>
        </w:rPr>
        <w:t xml:space="preserve"> in the assessment of the </w:t>
      </w:r>
      <w:r w:rsidR="007C6962">
        <w:rPr>
          <w:rFonts w:ascii="Franklin Gothic Book" w:hAnsi="Franklin Gothic Book"/>
          <w:sz w:val="22"/>
          <w:szCs w:val="22"/>
        </w:rPr>
        <w:t xml:space="preserve">gene </w:t>
      </w:r>
      <w:r w:rsidRPr="00264776">
        <w:rPr>
          <w:rFonts w:ascii="Franklin Gothic Book" w:hAnsi="Franklin Gothic Book"/>
          <w:sz w:val="22"/>
          <w:szCs w:val="22"/>
        </w:rPr>
        <w:t>panel).</w:t>
      </w:r>
    </w:p>
    <w:p w14:paraId="77879FF5" w14:textId="58413D39" w:rsidR="007C6962" w:rsidRDefault="007C6962" w:rsidP="00264776">
      <w:pPr>
        <w:spacing w:before="240"/>
        <w:rPr>
          <w:rFonts w:ascii="Franklin Gothic Book" w:hAnsi="Franklin Gothic Book"/>
          <w:sz w:val="22"/>
          <w:szCs w:val="22"/>
        </w:rPr>
      </w:pPr>
      <w:r>
        <w:rPr>
          <w:rFonts w:ascii="Franklin Gothic Book" w:hAnsi="Franklin Gothic Book"/>
          <w:sz w:val="22"/>
          <w:szCs w:val="22"/>
        </w:rPr>
        <w:t xml:space="preserve">The estimated number of services for each of the proposed tests is shown in </w:t>
      </w:r>
      <w:r w:rsidR="0067402A">
        <w:rPr>
          <w:rFonts w:ascii="Franklin Gothic Book" w:hAnsi="Franklin Gothic Book"/>
          <w:sz w:val="22"/>
          <w:szCs w:val="22"/>
        </w:rPr>
        <w:fldChar w:fldCharType="begin"/>
      </w:r>
      <w:r w:rsidR="0067402A">
        <w:rPr>
          <w:rFonts w:ascii="Franklin Gothic Book" w:hAnsi="Franklin Gothic Book"/>
          <w:sz w:val="22"/>
          <w:szCs w:val="22"/>
        </w:rPr>
        <w:instrText xml:space="preserve"> REF _Ref114230010  \* MERGEFORMAT </w:instrText>
      </w:r>
      <w:r w:rsidR="0067402A">
        <w:rPr>
          <w:rFonts w:ascii="Franklin Gothic Book" w:hAnsi="Franklin Gothic Book"/>
          <w:sz w:val="22"/>
          <w:szCs w:val="22"/>
        </w:rPr>
        <w:fldChar w:fldCharType="separate"/>
      </w:r>
      <w:r w:rsidR="008260AB" w:rsidRPr="008260AB">
        <w:rPr>
          <w:rFonts w:ascii="Franklin Gothic Book" w:hAnsi="Franklin Gothic Book"/>
          <w:sz w:val="22"/>
          <w:szCs w:val="22"/>
        </w:rPr>
        <w:t>Table 8</w:t>
      </w:r>
      <w:r w:rsidR="0067402A">
        <w:rPr>
          <w:rFonts w:ascii="Franklin Gothic Book" w:hAnsi="Franklin Gothic Book"/>
          <w:sz w:val="22"/>
          <w:szCs w:val="22"/>
        </w:rPr>
        <w:fldChar w:fldCharType="end"/>
      </w:r>
      <w:r w:rsidR="003750E0">
        <w:rPr>
          <w:rFonts w:ascii="Franklin Gothic Book" w:hAnsi="Franklin Gothic Book"/>
          <w:sz w:val="22"/>
          <w:szCs w:val="22"/>
        </w:rPr>
        <w:t xml:space="preserve"> over a six</w:t>
      </w:r>
      <w:r w:rsidR="00E6112A">
        <w:rPr>
          <w:rFonts w:ascii="Franklin Gothic Book" w:hAnsi="Franklin Gothic Book"/>
          <w:sz w:val="22"/>
          <w:szCs w:val="22"/>
        </w:rPr>
        <w:t>-</w:t>
      </w:r>
      <w:r w:rsidR="003750E0">
        <w:rPr>
          <w:rFonts w:ascii="Franklin Gothic Book" w:hAnsi="Franklin Gothic Book"/>
          <w:sz w:val="22"/>
          <w:szCs w:val="22"/>
        </w:rPr>
        <w:t>year time period</w:t>
      </w:r>
      <w:r>
        <w:rPr>
          <w:rFonts w:ascii="Franklin Gothic Book" w:hAnsi="Franklin Gothic Book"/>
          <w:sz w:val="22"/>
          <w:szCs w:val="22"/>
        </w:rPr>
        <w:t>.</w:t>
      </w:r>
      <w:r w:rsidR="003750E0" w:rsidRPr="003750E0">
        <w:rPr>
          <w:rFonts w:ascii="Franklin Gothic Book" w:hAnsi="Franklin Gothic Book"/>
          <w:sz w:val="22"/>
          <w:szCs w:val="22"/>
        </w:rPr>
        <w:t xml:space="preserve"> </w:t>
      </w:r>
      <w:r w:rsidR="003750E0" w:rsidRPr="00264776">
        <w:rPr>
          <w:rFonts w:ascii="Franklin Gothic Book" w:hAnsi="Franklin Gothic Book"/>
          <w:sz w:val="22"/>
          <w:szCs w:val="22"/>
        </w:rPr>
        <w:t>The ratio of cascade tests</w:t>
      </w:r>
      <w:r w:rsidR="008C34D5">
        <w:rPr>
          <w:rFonts w:ascii="Franklin Gothic Book" w:hAnsi="Franklin Gothic Book"/>
          <w:sz w:val="22"/>
          <w:szCs w:val="22"/>
        </w:rPr>
        <w:t>,</w:t>
      </w:r>
      <w:r w:rsidR="003750E0" w:rsidRPr="00264776">
        <w:rPr>
          <w:rFonts w:ascii="Franklin Gothic Book" w:hAnsi="Franklin Gothic Book"/>
          <w:sz w:val="22"/>
          <w:szCs w:val="22"/>
        </w:rPr>
        <w:t xml:space="preserve"> prenatal diagnostic tests</w:t>
      </w:r>
      <w:r w:rsidR="008C34D5">
        <w:rPr>
          <w:rFonts w:ascii="Franklin Gothic Book" w:hAnsi="Franklin Gothic Book"/>
          <w:sz w:val="22"/>
          <w:szCs w:val="22"/>
        </w:rPr>
        <w:t xml:space="preserve"> and reproductive partner tests</w:t>
      </w:r>
      <w:r w:rsidR="003750E0" w:rsidRPr="00264776">
        <w:rPr>
          <w:rFonts w:ascii="Franklin Gothic Book" w:hAnsi="Franklin Gothic Book"/>
          <w:sz w:val="22"/>
          <w:szCs w:val="22"/>
        </w:rPr>
        <w:t xml:space="preserve"> per diagnostic test result is the same as was used in the assessment of the gene panel test – cascade testing was estimated using a ratio of 1:3 diagnoses to cascade tests, consistent with the ratio used in previous MSAC considerations, fetal testing was estimated using 1:0.04 diagnoses to fetal tests</w:t>
      </w:r>
      <w:r w:rsidR="008C34D5">
        <w:rPr>
          <w:rFonts w:ascii="Franklin Gothic Book" w:hAnsi="Franklin Gothic Book"/>
          <w:sz w:val="22"/>
          <w:szCs w:val="22"/>
        </w:rPr>
        <w:t>, and reproductive partner testing used 5.6% of probands having a reproductive partner tested per year from the gene panel test assessment</w:t>
      </w:r>
      <w:r w:rsidR="003750E0" w:rsidRPr="00264776">
        <w:rPr>
          <w:rFonts w:ascii="Franklin Gothic Book" w:hAnsi="Franklin Gothic Book"/>
          <w:sz w:val="22"/>
          <w:szCs w:val="22"/>
        </w:rPr>
        <w:t xml:space="preserve">. Reproductive partner testing has been estimated for patients with </w:t>
      </w:r>
      <w:r w:rsidR="003750E0">
        <w:rPr>
          <w:rFonts w:ascii="Franklin Gothic Book" w:hAnsi="Franklin Gothic Book"/>
          <w:sz w:val="22"/>
          <w:szCs w:val="22"/>
        </w:rPr>
        <w:t xml:space="preserve">recessive variants only, i.e. </w:t>
      </w:r>
      <w:r w:rsidR="00E6112A">
        <w:rPr>
          <w:rFonts w:ascii="Franklin Gothic Book" w:hAnsi="Franklin Gothic Book"/>
          <w:sz w:val="22"/>
          <w:szCs w:val="22"/>
        </w:rPr>
        <w:t xml:space="preserve">for </w:t>
      </w:r>
      <w:r w:rsidR="003750E0" w:rsidRPr="00264776">
        <w:rPr>
          <w:rFonts w:ascii="Franklin Gothic Book" w:hAnsi="Franklin Gothic Book"/>
          <w:sz w:val="22"/>
          <w:szCs w:val="22"/>
        </w:rPr>
        <w:t xml:space="preserve">Friedreich’s Ataxia </w:t>
      </w:r>
      <w:r w:rsidR="003750E0">
        <w:rPr>
          <w:rFonts w:ascii="Franklin Gothic Book" w:hAnsi="Franklin Gothic Book"/>
          <w:sz w:val="22"/>
          <w:szCs w:val="22"/>
        </w:rPr>
        <w:t xml:space="preserve">and Spinal Muscular Atrophy </w:t>
      </w:r>
      <w:r w:rsidR="003750E0" w:rsidRPr="00264776">
        <w:rPr>
          <w:rFonts w:ascii="Franklin Gothic Book" w:hAnsi="Franklin Gothic Book"/>
          <w:sz w:val="22"/>
          <w:szCs w:val="22"/>
        </w:rPr>
        <w:t>only.</w:t>
      </w:r>
    </w:p>
    <w:p w14:paraId="2ED5EC35" w14:textId="064E747C" w:rsidR="007C6962" w:rsidRDefault="007C6962" w:rsidP="007D4B83">
      <w:pPr>
        <w:pStyle w:val="Caption"/>
        <w:spacing w:before="240"/>
      </w:pPr>
      <w:bookmarkStart w:id="20" w:name="_Ref114230010"/>
      <w:r>
        <w:t xml:space="preserve">Table </w:t>
      </w:r>
      <w:r w:rsidR="008260AB">
        <w:fldChar w:fldCharType="begin"/>
      </w:r>
      <w:r w:rsidR="008260AB">
        <w:instrText xml:space="preserve"> SEQ Table \* ARABIC </w:instrText>
      </w:r>
      <w:r w:rsidR="008260AB">
        <w:fldChar w:fldCharType="separate"/>
      </w:r>
      <w:r w:rsidR="008260AB">
        <w:rPr>
          <w:noProof/>
        </w:rPr>
        <w:t>8</w:t>
      </w:r>
      <w:r w:rsidR="008260AB">
        <w:rPr>
          <w:noProof/>
        </w:rPr>
        <w:fldChar w:fldCharType="end"/>
      </w:r>
      <w:bookmarkEnd w:id="20"/>
      <w:r>
        <w:t xml:space="preserve"> Estimated service volumes of the proposed tests over a six-year timeframe</w:t>
      </w:r>
      <w:r w:rsidR="009E6EE0" w:rsidRPr="009E6EE0">
        <w:t>, base case 95% diagnostic yield from SGT</w:t>
      </w:r>
    </w:p>
    <w:tbl>
      <w:tblPr>
        <w:tblStyle w:val="TableGrid"/>
        <w:tblW w:w="0" w:type="auto"/>
        <w:tblLook w:val="04A0" w:firstRow="1" w:lastRow="0" w:firstColumn="1" w:lastColumn="0" w:noHBand="0" w:noVBand="1"/>
      </w:tblPr>
      <w:tblGrid>
        <w:gridCol w:w="1183"/>
        <w:gridCol w:w="3348"/>
        <w:gridCol w:w="747"/>
        <w:gridCol w:w="748"/>
        <w:gridCol w:w="747"/>
        <w:gridCol w:w="748"/>
        <w:gridCol w:w="747"/>
        <w:gridCol w:w="748"/>
      </w:tblGrid>
      <w:tr w:rsidR="008C34D5" w:rsidRPr="008C34D5" w14:paraId="3EDD8584" w14:textId="448ACE48" w:rsidTr="00172488">
        <w:tc>
          <w:tcPr>
            <w:tcW w:w="4531" w:type="dxa"/>
            <w:gridSpan w:val="2"/>
          </w:tcPr>
          <w:p w14:paraId="09485C16" w14:textId="1992DB09" w:rsidR="008C34D5" w:rsidRPr="0035490F" w:rsidRDefault="0072285D" w:rsidP="007C6962">
            <w:pPr>
              <w:rPr>
                <w:rFonts w:ascii="Arial Narrow" w:hAnsi="Arial Narrow"/>
                <w:b/>
                <w:bCs/>
                <w:sz w:val="20"/>
                <w:lang w:eastAsia="en-US"/>
              </w:rPr>
            </w:pPr>
            <w:bookmarkStart w:id="21" w:name="_Hlk112934369"/>
            <w:r>
              <w:rPr>
                <w:rFonts w:ascii="Arial Narrow" w:hAnsi="Arial Narrow"/>
                <w:b/>
                <w:bCs/>
                <w:sz w:val="20"/>
                <w:lang w:eastAsia="en-US"/>
              </w:rPr>
              <w:t>Parameter</w:t>
            </w:r>
          </w:p>
        </w:tc>
        <w:tc>
          <w:tcPr>
            <w:tcW w:w="747" w:type="dxa"/>
          </w:tcPr>
          <w:p w14:paraId="38015FDB" w14:textId="1DDCA033" w:rsidR="008C34D5" w:rsidRPr="0035490F" w:rsidRDefault="008C34D5" w:rsidP="00F2225C">
            <w:pPr>
              <w:jc w:val="center"/>
              <w:rPr>
                <w:rFonts w:ascii="Arial Narrow" w:hAnsi="Arial Narrow"/>
                <w:b/>
                <w:bCs/>
                <w:sz w:val="20"/>
                <w:lang w:eastAsia="en-US"/>
              </w:rPr>
            </w:pPr>
            <w:r w:rsidRPr="0035490F">
              <w:rPr>
                <w:rFonts w:ascii="Arial Narrow" w:hAnsi="Arial Narrow"/>
                <w:b/>
                <w:bCs/>
                <w:sz w:val="20"/>
                <w:lang w:eastAsia="en-US"/>
              </w:rPr>
              <w:t>Year 1</w:t>
            </w:r>
          </w:p>
        </w:tc>
        <w:tc>
          <w:tcPr>
            <w:tcW w:w="748" w:type="dxa"/>
          </w:tcPr>
          <w:p w14:paraId="27C72050" w14:textId="4EABF1CE" w:rsidR="008C34D5" w:rsidRPr="0035490F" w:rsidRDefault="008C34D5" w:rsidP="00F2225C">
            <w:pPr>
              <w:jc w:val="center"/>
              <w:rPr>
                <w:rFonts w:ascii="Arial Narrow" w:hAnsi="Arial Narrow"/>
                <w:b/>
                <w:bCs/>
                <w:sz w:val="20"/>
                <w:lang w:eastAsia="en-US"/>
              </w:rPr>
            </w:pPr>
            <w:r w:rsidRPr="0035490F">
              <w:rPr>
                <w:rFonts w:ascii="Arial Narrow" w:hAnsi="Arial Narrow"/>
                <w:b/>
                <w:bCs/>
                <w:sz w:val="20"/>
                <w:lang w:eastAsia="en-US"/>
              </w:rPr>
              <w:t>Year 2</w:t>
            </w:r>
          </w:p>
        </w:tc>
        <w:tc>
          <w:tcPr>
            <w:tcW w:w="747" w:type="dxa"/>
          </w:tcPr>
          <w:p w14:paraId="1D2F690B" w14:textId="05C2406C" w:rsidR="008C34D5" w:rsidRPr="0035490F" w:rsidRDefault="008C34D5" w:rsidP="00F2225C">
            <w:pPr>
              <w:jc w:val="center"/>
              <w:rPr>
                <w:rFonts w:ascii="Arial Narrow" w:hAnsi="Arial Narrow"/>
                <w:b/>
                <w:bCs/>
                <w:sz w:val="20"/>
                <w:lang w:eastAsia="en-US"/>
              </w:rPr>
            </w:pPr>
            <w:r w:rsidRPr="0035490F">
              <w:rPr>
                <w:rFonts w:ascii="Arial Narrow" w:hAnsi="Arial Narrow"/>
                <w:b/>
                <w:bCs/>
                <w:sz w:val="20"/>
                <w:lang w:eastAsia="en-US"/>
              </w:rPr>
              <w:t>Year 3</w:t>
            </w:r>
          </w:p>
        </w:tc>
        <w:tc>
          <w:tcPr>
            <w:tcW w:w="748" w:type="dxa"/>
          </w:tcPr>
          <w:p w14:paraId="1C187D5F" w14:textId="38CFA9BD" w:rsidR="008C34D5" w:rsidRPr="0035490F" w:rsidRDefault="008C34D5" w:rsidP="00F2225C">
            <w:pPr>
              <w:jc w:val="center"/>
              <w:rPr>
                <w:rFonts w:ascii="Arial Narrow" w:hAnsi="Arial Narrow"/>
                <w:b/>
                <w:bCs/>
                <w:sz w:val="20"/>
                <w:lang w:eastAsia="en-US"/>
              </w:rPr>
            </w:pPr>
            <w:r w:rsidRPr="0035490F">
              <w:rPr>
                <w:rFonts w:ascii="Arial Narrow" w:hAnsi="Arial Narrow"/>
                <w:b/>
                <w:bCs/>
                <w:sz w:val="20"/>
                <w:lang w:eastAsia="en-US"/>
              </w:rPr>
              <w:t>Year 4</w:t>
            </w:r>
          </w:p>
        </w:tc>
        <w:tc>
          <w:tcPr>
            <w:tcW w:w="747" w:type="dxa"/>
          </w:tcPr>
          <w:p w14:paraId="728E577C" w14:textId="5DFA56D9" w:rsidR="008C34D5" w:rsidRPr="0035490F" w:rsidRDefault="008C34D5" w:rsidP="00F2225C">
            <w:pPr>
              <w:jc w:val="center"/>
              <w:rPr>
                <w:rFonts w:ascii="Arial Narrow" w:hAnsi="Arial Narrow"/>
                <w:b/>
                <w:bCs/>
                <w:sz w:val="20"/>
                <w:lang w:eastAsia="en-US"/>
              </w:rPr>
            </w:pPr>
            <w:r w:rsidRPr="0035490F">
              <w:rPr>
                <w:rFonts w:ascii="Arial Narrow" w:hAnsi="Arial Narrow"/>
                <w:b/>
                <w:bCs/>
                <w:sz w:val="20"/>
                <w:lang w:eastAsia="en-US"/>
              </w:rPr>
              <w:t>Year 5</w:t>
            </w:r>
          </w:p>
        </w:tc>
        <w:tc>
          <w:tcPr>
            <w:tcW w:w="748" w:type="dxa"/>
          </w:tcPr>
          <w:p w14:paraId="59BF362B" w14:textId="66C685D8" w:rsidR="008C34D5" w:rsidRPr="0035490F" w:rsidRDefault="008C34D5" w:rsidP="00F2225C">
            <w:pPr>
              <w:jc w:val="center"/>
              <w:rPr>
                <w:rFonts w:ascii="Arial Narrow" w:hAnsi="Arial Narrow"/>
                <w:b/>
                <w:bCs/>
                <w:sz w:val="20"/>
                <w:lang w:eastAsia="en-US"/>
              </w:rPr>
            </w:pPr>
            <w:r w:rsidRPr="0035490F">
              <w:rPr>
                <w:rFonts w:ascii="Arial Narrow" w:hAnsi="Arial Narrow"/>
                <w:b/>
                <w:bCs/>
                <w:sz w:val="20"/>
                <w:lang w:eastAsia="en-US"/>
              </w:rPr>
              <w:t>Year 6</w:t>
            </w:r>
          </w:p>
        </w:tc>
      </w:tr>
      <w:tr w:rsidR="004972A3" w:rsidRPr="008C34D5" w14:paraId="627613A2" w14:textId="77777777" w:rsidTr="0035490F">
        <w:tc>
          <w:tcPr>
            <w:tcW w:w="9016" w:type="dxa"/>
            <w:gridSpan w:val="8"/>
          </w:tcPr>
          <w:p w14:paraId="3423F4E0" w14:textId="215CC449" w:rsidR="004972A3" w:rsidRPr="004972A3" w:rsidRDefault="004972A3" w:rsidP="0035490F">
            <w:pPr>
              <w:rPr>
                <w:rFonts w:ascii="Arial Narrow" w:hAnsi="Arial Narrow"/>
                <w:b/>
                <w:bCs/>
                <w:sz w:val="20"/>
                <w:lang w:eastAsia="en-US"/>
              </w:rPr>
            </w:pPr>
            <w:r>
              <w:rPr>
                <w:rFonts w:ascii="Arial Narrow" w:hAnsi="Arial Narrow"/>
                <w:b/>
                <w:bCs/>
                <w:sz w:val="20"/>
                <w:lang w:eastAsia="en-US"/>
              </w:rPr>
              <w:t>Estimated use of the proposed health technology</w:t>
            </w:r>
          </w:p>
        </w:tc>
      </w:tr>
      <w:tr w:rsidR="007C6962" w14:paraId="753F145C" w14:textId="178DEEDC" w:rsidTr="00172488">
        <w:tc>
          <w:tcPr>
            <w:tcW w:w="1183" w:type="dxa"/>
            <w:vMerge w:val="restart"/>
          </w:tcPr>
          <w:p w14:paraId="5357ED79" w14:textId="3CE95E83" w:rsidR="007C6962" w:rsidRPr="00F2225C" w:rsidRDefault="007C6962" w:rsidP="007C6962">
            <w:pPr>
              <w:rPr>
                <w:rFonts w:ascii="Arial Narrow" w:hAnsi="Arial Narrow"/>
                <w:sz w:val="20"/>
                <w:lang w:eastAsia="en-US"/>
              </w:rPr>
            </w:pPr>
            <w:r w:rsidRPr="00F2225C">
              <w:rPr>
                <w:rFonts w:ascii="Arial Narrow" w:hAnsi="Arial Narrow"/>
                <w:sz w:val="20"/>
                <w:lang w:eastAsia="en-US"/>
              </w:rPr>
              <w:t>Affected individuals</w:t>
            </w:r>
          </w:p>
        </w:tc>
        <w:tc>
          <w:tcPr>
            <w:tcW w:w="3348" w:type="dxa"/>
          </w:tcPr>
          <w:p w14:paraId="6F3E1099" w14:textId="4D167E68" w:rsidR="007C6962" w:rsidRPr="00F2225C" w:rsidRDefault="0035490F" w:rsidP="007C6962">
            <w:pPr>
              <w:rPr>
                <w:rFonts w:ascii="Arial Narrow" w:hAnsi="Arial Narrow"/>
                <w:sz w:val="20"/>
                <w:lang w:eastAsia="en-US"/>
              </w:rPr>
            </w:pPr>
            <w:r>
              <w:rPr>
                <w:rFonts w:ascii="Arial Narrow" w:hAnsi="Arial Narrow"/>
                <w:sz w:val="20"/>
              </w:rPr>
              <w:t xml:space="preserve">Total </w:t>
            </w:r>
            <w:r w:rsidR="007C6962" w:rsidRPr="00F2225C">
              <w:rPr>
                <w:rFonts w:ascii="Arial Narrow" w:hAnsi="Arial Narrow"/>
                <w:sz w:val="20"/>
              </w:rPr>
              <w:t>SGT for affected individuals</w:t>
            </w:r>
          </w:p>
        </w:tc>
        <w:tc>
          <w:tcPr>
            <w:tcW w:w="747" w:type="dxa"/>
          </w:tcPr>
          <w:p w14:paraId="3B0FAF06" w14:textId="77C99AE8" w:rsidR="007C6962" w:rsidRPr="00F2225C" w:rsidRDefault="007C6962" w:rsidP="00F2225C">
            <w:pPr>
              <w:jc w:val="center"/>
              <w:rPr>
                <w:rFonts w:ascii="Arial Narrow" w:hAnsi="Arial Narrow"/>
                <w:sz w:val="20"/>
                <w:lang w:eastAsia="en-US"/>
              </w:rPr>
            </w:pPr>
            <w:r w:rsidRPr="00F2225C">
              <w:rPr>
                <w:rFonts w:ascii="Arial Narrow" w:hAnsi="Arial Narrow"/>
                <w:sz w:val="20"/>
              </w:rPr>
              <w:t>2076</w:t>
            </w:r>
          </w:p>
        </w:tc>
        <w:tc>
          <w:tcPr>
            <w:tcW w:w="748" w:type="dxa"/>
          </w:tcPr>
          <w:p w14:paraId="63BA5351" w14:textId="0C48B5BD" w:rsidR="007C6962" w:rsidRPr="00F2225C" w:rsidRDefault="007C6962" w:rsidP="00F2225C">
            <w:pPr>
              <w:jc w:val="center"/>
              <w:rPr>
                <w:rFonts w:ascii="Arial Narrow" w:hAnsi="Arial Narrow"/>
                <w:sz w:val="20"/>
                <w:lang w:eastAsia="en-US"/>
              </w:rPr>
            </w:pPr>
            <w:r w:rsidRPr="00F2225C">
              <w:rPr>
                <w:rFonts w:ascii="Arial Narrow" w:hAnsi="Arial Narrow"/>
                <w:sz w:val="20"/>
              </w:rPr>
              <w:t>2367</w:t>
            </w:r>
          </w:p>
        </w:tc>
        <w:tc>
          <w:tcPr>
            <w:tcW w:w="747" w:type="dxa"/>
          </w:tcPr>
          <w:p w14:paraId="7E1B37F8" w14:textId="5C70C616" w:rsidR="007C6962" w:rsidRPr="00F2225C" w:rsidRDefault="007C6962" w:rsidP="00F2225C">
            <w:pPr>
              <w:jc w:val="center"/>
              <w:rPr>
                <w:rFonts w:ascii="Arial Narrow" w:hAnsi="Arial Narrow"/>
                <w:sz w:val="20"/>
                <w:lang w:eastAsia="en-US"/>
              </w:rPr>
            </w:pPr>
            <w:r w:rsidRPr="00F2225C">
              <w:rPr>
                <w:rFonts w:ascii="Arial Narrow" w:hAnsi="Arial Narrow"/>
                <w:sz w:val="20"/>
              </w:rPr>
              <w:t>2528</w:t>
            </w:r>
          </w:p>
        </w:tc>
        <w:tc>
          <w:tcPr>
            <w:tcW w:w="748" w:type="dxa"/>
          </w:tcPr>
          <w:p w14:paraId="3B111C3A" w14:textId="6D6C1D32" w:rsidR="007C6962" w:rsidRPr="00F2225C" w:rsidRDefault="007C6962" w:rsidP="00F2225C">
            <w:pPr>
              <w:jc w:val="center"/>
              <w:rPr>
                <w:rFonts w:ascii="Arial Narrow" w:hAnsi="Arial Narrow"/>
                <w:sz w:val="20"/>
                <w:lang w:eastAsia="en-US"/>
              </w:rPr>
            </w:pPr>
            <w:r w:rsidRPr="00F2225C">
              <w:rPr>
                <w:rFonts w:ascii="Arial Narrow" w:hAnsi="Arial Narrow"/>
                <w:sz w:val="20"/>
              </w:rPr>
              <w:t>2548</w:t>
            </w:r>
          </w:p>
        </w:tc>
        <w:tc>
          <w:tcPr>
            <w:tcW w:w="747" w:type="dxa"/>
          </w:tcPr>
          <w:p w14:paraId="1A74C0A7" w14:textId="67A8F3E2" w:rsidR="007C6962" w:rsidRPr="00F2225C" w:rsidRDefault="007C6962" w:rsidP="00F2225C">
            <w:pPr>
              <w:jc w:val="center"/>
              <w:rPr>
                <w:rFonts w:ascii="Arial Narrow" w:hAnsi="Arial Narrow"/>
                <w:sz w:val="20"/>
                <w:lang w:eastAsia="en-US"/>
              </w:rPr>
            </w:pPr>
            <w:r w:rsidRPr="00F2225C">
              <w:rPr>
                <w:rFonts w:ascii="Arial Narrow" w:hAnsi="Arial Narrow"/>
                <w:sz w:val="20"/>
              </w:rPr>
              <w:t>2446</w:t>
            </w:r>
          </w:p>
        </w:tc>
        <w:tc>
          <w:tcPr>
            <w:tcW w:w="748" w:type="dxa"/>
          </w:tcPr>
          <w:p w14:paraId="0C0F8982" w14:textId="57A11485" w:rsidR="007C6962" w:rsidRPr="00F2225C" w:rsidRDefault="007C6962" w:rsidP="00F2225C">
            <w:pPr>
              <w:jc w:val="center"/>
              <w:rPr>
                <w:rFonts w:ascii="Arial Narrow" w:hAnsi="Arial Narrow"/>
                <w:sz w:val="20"/>
                <w:lang w:eastAsia="en-US"/>
              </w:rPr>
            </w:pPr>
            <w:r w:rsidRPr="00F2225C">
              <w:rPr>
                <w:rFonts w:ascii="Arial Narrow" w:hAnsi="Arial Narrow"/>
                <w:sz w:val="20"/>
              </w:rPr>
              <w:t>2553</w:t>
            </w:r>
          </w:p>
        </w:tc>
      </w:tr>
      <w:tr w:rsidR="007C6962" w14:paraId="047CE40A" w14:textId="4B1AF49A" w:rsidTr="00172488">
        <w:tc>
          <w:tcPr>
            <w:tcW w:w="1183" w:type="dxa"/>
            <w:vMerge/>
          </w:tcPr>
          <w:p w14:paraId="0FFD0396" w14:textId="77777777" w:rsidR="007C6962" w:rsidRPr="00A442D0" w:rsidRDefault="007C6962" w:rsidP="007C6962">
            <w:pPr>
              <w:rPr>
                <w:rFonts w:ascii="Arial Narrow" w:hAnsi="Arial Narrow"/>
                <w:sz w:val="20"/>
                <w:lang w:eastAsia="en-US"/>
              </w:rPr>
            </w:pPr>
          </w:p>
        </w:tc>
        <w:tc>
          <w:tcPr>
            <w:tcW w:w="3348" w:type="dxa"/>
          </w:tcPr>
          <w:p w14:paraId="787F5633" w14:textId="0245788F" w:rsidR="007C6962" w:rsidRPr="0035490F" w:rsidRDefault="00636EBC" w:rsidP="007C6962">
            <w:pPr>
              <w:rPr>
                <w:rFonts w:ascii="Arial Narrow" w:hAnsi="Arial Narrow"/>
                <w:sz w:val="20"/>
                <w:lang w:eastAsia="en-US"/>
              </w:rPr>
            </w:pPr>
            <w:r>
              <w:rPr>
                <w:rFonts w:ascii="Arial Narrow" w:hAnsi="Arial Narrow"/>
                <w:sz w:val="20"/>
              </w:rPr>
              <w:t xml:space="preserve">   </w:t>
            </w:r>
            <w:r w:rsidR="007C6962" w:rsidRPr="0035490F">
              <w:rPr>
                <w:rFonts w:ascii="Arial Narrow" w:hAnsi="Arial Narrow"/>
                <w:sz w:val="20"/>
              </w:rPr>
              <w:t xml:space="preserve">XXXX (all </w:t>
            </w:r>
            <w:r w:rsidR="004A3474">
              <w:rPr>
                <w:rFonts w:ascii="Arial Narrow" w:hAnsi="Arial Narrow"/>
                <w:sz w:val="20"/>
              </w:rPr>
              <w:t>conditions</w:t>
            </w:r>
            <w:r w:rsidR="007C6962" w:rsidRPr="0035490F">
              <w:rPr>
                <w:rFonts w:ascii="Arial Narrow" w:hAnsi="Arial Narrow"/>
                <w:sz w:val="20"/>
              </w:rPr>
              <w:t xml:space="preserve"> other than FSHD1)</w:t>
            </w:r>
          </w:p>
        </w:tc>
        <w:tc>
          <w:tcPr>
            <w:tcW w:w="747" w:type="dxa"/>
          </w:tcPr>
          <w:p w14:paraId="481AD205" w14:textId="626E49F2" w:rsidR="007C6962" w:rsidRPr="0035490F" w:rsidRDefault="007C6962" w:rsidP="00F2225C">
            <w:pPr>
              <w:jc w:val="center"/>
              <w:rPr>
                <w:rFonts w:ascii="Arial Narrow" w:hAnsi="Arial Narrow"/>
                <w:sz w:val="20"/>
                <w:lang w:eastAsia="en-US"/>
              </w:rPr>
            </w:pPr>
            <w:r w:rsidRPr="0035490F">
              <w:rPr>
                <w:rFonts w:ascii="Arial Narrow" w:hAnsi="Arial Narrow"/>
                <w:sz w:val="20"/>
              </w:rPr>
              <w:t>1999</w:t>
            </w:r>
          </w:p>
        </w:tc>
        <w:tc>
          <w:tcPr>
            <w:tcW w:w="748" w:type="dxa"/>
          </w:tcPr>
          <w:p w14:paraId="47F7EE72" w14:textId="3C17B02A" w:rsidR="007C6962" w:rsidRPr="0035490F" w:rsidRDefault="007C6962" w:rsidP="00F2225C">
            <w:pPr>
              <w:jc w:val="center"/>
              <w:rPr>
                <w:rFonts w:ascii="Arial Narrow" w:hAnsi="Arial Narrow"/>
                <w:sz w:val="20"/>
                <w:lang w:eastAsia="en-US"/>
              </w:rPr>
            </w:pPr>
            <w:r w:rsidRPr="0035490F">
              <w:rPr>
                <w:rFonts w:ascii="Arial Narrow" w:hAnsi="Arial Narrow"/>
                <w:sz w:val="20"/>
              </w:rPr>
              <w:t>2279</w:t>
            </w:r>
          </w:p>
        </w:tc>
        <w:tc>
          <w:tcPr>
            <w:tcW w:w="747" w:type="dxa"/>
          </w:tcPr>
          <w:p w14:paraId="0D836315" w14:textId="73CE20A2" w:rsidR="007C6962" w:rsidRPr="0035490F" w:rsidRDefault="007C6962" w:rsidP="00F2225C">
            <w:pPr>
              <w:jc w:val="center"/>
              <w:rPr>
                <w:rFonts w:ascii="Arial Narrow" w:hAnsi="Arial Narrow"/>
                <w:sz w:val="20"/>
                <w:lang w:eastAsia="en-US"/>
              </w:rPr>
            </w:pPr>
            <w:r w:rsidRPr="0035490F">
              <w:rPr>
                <w:rFonts w:ascii="Arial Narrow" w:hAnsi="Arial Narrow"/>
                <w:sz w:val="20"/>
              </w:rPr>
              <w:t>2434</w:t>
            </w:r>
          </w:p>
        </w:tc>
        <w:tc>
          <w:tcPr>
            <w:tcW w:w="748" w:type="dxa"/>
          </w:tcPr>
          <w:p w14:paraId="64269082" w14:textId="45C6DDD6" w:rsidR="007C6962" w:rsidRPr="0035490F" w:rsidRDefault="007C6962" w:rsidP="00F2225C">
            <w:pPr>
              <w:jc w:val="center"/>
              <w:rPr>
                <w:rFonts w:ascii="Arial Narrow" w:hAnsi="Arial Narrow"/>
                <w:sz w:val="20"/>
                <w:lang w:eastAsia="en-US"/>
              </w:rPr>
            </w:pPr>
            <w:r w:rsidRPr="0035490F">
              <w:rPr>
                <w:rFonts w:ascii="Arial Narrow" w:hAnsi="Arial Narrow"/>
                <w:sz w:val="20"/>
              </w:rPr>
              <w:t>2453</w:t>
            </w:r>
          </w:p>
        </w:tc>
        <w:tc>
          <w:tcPr>
            <w:tcW w:w="747" w:type="dxa"/>
          </w:tcPr>
          <w:p w14:paraId="3682BFE4" w14:textId="793945A9" w:rsidR="007C6962" w:rsidRPr="0035490F" w:rsidRDefault="007C6962" w:rsidP="00F2225C">
            <w:pPr>
              <w:jc w:val="center"/>
              <w:rPr>
                <w:rFonts w:ascii="Arial Narrow" w:hAnsi="Arial Narrow"/>
                <w:sz w:val="20"/>
                <w:lang w:eastAsia="en-US"/>
              </w:rPr>
            </w:pPr>
            <w:r w:rsidRPr="0035490F">
              <w:rPr>
                <w:rFonts w:ascii="Arial Narrow" w:hAnsi="Arial Narrow"/>
                <w:sz w:val="20"/>
              </w:rPr>
              <w:t>2355</w:t>
            </w:r>
          </w:p>
        </w:tc>
        <w:tc>
          <w:tcPr>
            <w:tcW w:w="748" w:type="dxa"/>
          </w:tcPr>
          <w:p w14:paraId="5108608C" w14:textId="25326C51" w:rsidR="007C6962" w:rsidRPr="0035490F" w:rsidRDefault="007C6962" w:rsidP="00F2225C">
            <w:pPr>
              <w:jc w:val="center"/>
              <w:rPr>
                <w:rFonts w:ascii="Arial Narrow" w:hAnsi="Arial Narrow"/>
                <w:sz w:val="20"/>
                <w:lang w:eastAsia="en-US"/>
              </w:rPr>
            </w:pPr>
            <w:r w:rsidRPr="0035490F">
              <w:rPr>
                <w:rFonts w:ascii="Arial Narrow" w:hAnsi="Arial Narrow"/>
                <w:sz w:val="20"/>
              </w:rPr>
              <w:t>2459</w:t>
            </w:r>
          </w:p>
        </w:tc>
      </w:tr>
      <w:tr w:rsidR="007C6962" w14:paraId="0AAFF3F9" w14:textId="496CC914" w:rsidTr="00172488">
        <w:tc>
          <w:tcPr>
            <w:tcW w:w="1183" w:type="dxa"/>
            <w:vMerge/>
          </w:tcPr>
          <w:p w14:paraId="46450B14" w14:textId="77777777" w:rsidR="007C6962" w:rsidRPr="00A442D0" w:rsidRDefault="007C6962" w:rsidP="007C6962">
            <w:pPr>
              <w:rPr>
                <w:rFonts w:ascii="Arial Narrow" w:hAnsi="Arial Narrow"/>
                <w:sz w:val="20"/>
                <w:lang w:eastAsia="en-US"/>
              </w:rPr>
            </w:pPr>
          </w:p>
        </w:tc>
        <w:tc>
          <w:tcPr>
            <w:tcW w:w="3348" w:type="dxa"/>
          </w:tcPr>
          <w:p w14:paraId="61C6E7FD" w14:textId="677F5CB0" w:rsidR="007C6962" w:rsidRPr="0035490F" w:rsidRDefault="00636EBC" w:rsidP="007C6962">
            <w:pPr>
              <w:rPr>
                <w:rFonts w:ascii="Arial Narrow" w:hAnsi="Arial Narrow"/>
                <w:sz w:val="20"/>
                <w:lang w:eastAsia="en-US"/>
              </w:rPr>
            </w:pPr>
            <w:r>
              <w:rPr>
                <w:rFonts w:ascii="Arial Narrow" w:hAnsi="Arial Narrow"/>
                <w:sz w:val="20"/>
              </w:rPr>
              <w:t xml:space="preserve">   </w:t>
            </w:r>
            <w:r w:rsidR="007C6962" w:rsidRPr="0035490F">
              <w:rPr>
                <w:rFonts w:ascii="Arial Narrow" w:hAnsi="Arial Narrow"/>
                <w:sz w:val="20"/>
              </w:rPr>
              <w:t>YYYY (FSHD1)</w:t>
            </w:r>
          </w:p>
        </w:tc>
        <w:tc>
          <w:tcPr>
            <w:tcW w:w="747" w:type="dxa"/>
          </w:tcPr>
          <w:p w14:paraId="26BEBA11" w14:textId="6FBE1285" w:rsidR="007C6962" w:rsidRPr="0035490F" w:rsidRDefault="007C6962" w:rsidP="00F2225C">
            <w:pPr>
              <w:jc w:val="center"/>
              <w:rPr>
                <w:rFonts w:ascii="Arial Narrow" w:hAnsi="Arial Narrow"/>
                <w:sz w:val="20"/>
                <w:lang w:eastAsia="en-US"/>
              </w:rPr>
            </w:pPr>
            <w:r w:rsidRPr="0035490F">
              <w:rPr>
                <w:rFonts w:ascii="Arial Narrow" w:hAnsi="Arial Narrow"/>
                <w:sz w:val="20"/>
              </w:rPr>
              <w:t>77</w:t>
            </w:r>
          </w:p>
        </w:tc>
        <w:tc>
          <w:tcPr>
            <w:tcW w:w="748" w:type="dxa"/>
          </w:tcPr>
          <w:p w14:paraId="7DF4D9E4" w14:textId="69D9742C" w:rsidR="007C6962" w:rsidRPr="0035490F" w:rsidRDefault="007C6962" w:rsidP="00F2225C">
            <w:pPr>
              <w:jc w:val="center"/>
              <w:rPr>
                <w:rFonts w:ascii="Arial Narrow" w:hAnsi="Arial Narrow"/>
                <w:sz w:val="20"/>
                <w:lang w:eastAsia="en-US"/>
              </w:rPr>
            </w:pPr>
            <w:r w:rsidRPr="0035490F">
              <w:rPr>
                <w:rFonts w:ascii="Arial Narrow" w:hAnsi="Arial Narrow"/>
                <w:sz w:val="20"/>
              </w:rPr>
              <w:t>88</w:t>
            </w:r>
          </w:p>
        </w:tc>
        <w:tc>
          <w:tcPr>
            <w:tcW w:w="747" w:type="dxa"/>
          </w:tcPr>
          <w:p w14:paraId="3557F71D" w14:textId="564A9F90" w:rsidR="007C6962" w:rsidRPr="0035490F" w:rsidRDefault="007C6962" w:rsidP="00F2225C">
            <w:pPr>
              <w:jc w:val="center"/>
              <w:rPr>
                <w:rFonts w:ascii="Arial Narrow" w:hAnsi="Arial Narrow"/>
                <w:sz w:val="20"/>
                <w:lang w:eastAsia="en-US"/>
              </w:rPr>
            </w:pPr>
            <w:r w:rsidRPr="0035490F">
              <w:rPr>
                <w:rFonts w:ascii="Arial Narrow" w:hAnsi="Arial Narrow"/>
                <w:sz w:val="20"/>
              </w:rPr>
              <w:t>94</w:t>
            </w:r>
          </w:p>
        </w:tc>
        <w:tc>
          <w:tcPr>
            <w:tcW w:w="748" w:type="dxa"/>
          </w:tcPr>
          <w:p w14:paraId="6D6AE585" w14:textId="07D84084" w:rsidR="007C6962" w:rsidRPr="0035490F" w:rsidRDefault="007C6962" w:rsidP="00F2225C">
            <w:pPr>
              <w:jc w:val="center"/>
              <w:rPr>
                <w:rFonts w:ascii="Arial Narrow" w:hAnsi="Arial Narrow"/>
                <w:sz w:val="20"/>
                <w:lang w:eastAsia="en-US"/>
              </w:rPr>
            </w:pPr>
            <w:r w:rsidRPr="0035490F">
              <w:rPr>
                <w:rFonts w:ascii="Arial Narrow" w:hAnsi="Arial Narrow"/>
                <w:sz w:val="20"/>
              </w:rPr>
              <w:t>94</w:t>
            </w:r>
          </w:p>
        </w:tc>
        <w:tc>
          <w:tcPr>
            <w:tcW w:w="747" w:type="dxa"/>
          </w:tcPr>
          <w:p w14:paraId="38F416AE" w14:textId="0E2FBC55" w:rsidR="007C6962" w:rsidRPr="0035490F" w:rsidRDefault="007C6962" w:rsidP="00F2225C">
            <w:pPr>
              <w:jc w:val="center"/>
              <w:rPr>
                <w:rFonts w:ascii="Arial Narrow" w:hAnsi="Arial Narrow"/>
                <w:sz w:val="20"/>
                <w:lang w:eastAsia="en-US"/>
              </w:rPr>
            </w:pPr>
            <w:r w:rsidRPr="0035490F">
              <w:rPr>
                <w:rFonts w:ascii="Arial Narrow" w:hAnsi="Arial Narrow"/>
                <w:sz w:val="20"/>
              </w:rPr>
              <w:t>91</w:t>
            </w:r>
          </w:p>
        </w:tc>
        <w:tc>
          <w:tcPr>
            <w:tcW w:w="748" w:type="dxa"/>
          </w:tcPr>
          <w:p w14:paraId="0716D254" w14:textId="5858BB14" w:rsidR="007C6962" w:rsidRPr="0035490F" w:rsidRDefault="007C6962" w:rsidP="00F2225C">
            <w:pPr>
              <w:jc w:val="center"/>
              <w:rPr>
                <w:rFonts w:ascii="Arial Narrow" w:hAnsi="Arial Narrow"/>
                <w:sz w:val="20"/>
                <w:lang w:eastAsia="en-US"/>
              </w:rPr>
            </w:pPr>
            <w:r w:rsidRPr="0035490F">
              <w:rPr>
                <w:rFonts w:ascii="Arial Narrow" w:hAnsi="Arial Narrow"/>
                <w:sz w:val="20"/>
              </w:rPr>
              <w:t>95</w:t>
            </w:r>
          </w:p>
        </w:tc>
      </w:tr>
      <w:bookmarkEnd w:id="21"/>
      <w:tr w:rsidR="003750E0" w14:paraId="4B0939ED" w14:textId="55791482" w:rsidTr="00172488">
        <w:tc>
          <w:tcPr>
            <w:tcW w:w="1183" w:type="dxa"/>
            <w:vMerge w:val="restart"/>
          </w:tcPr>
          <w:p w14:paraId="74D625E5" w14:textId="14C4BF60" w:rsidR="003750E0" w:rsidRPr="00F2225C" w:rsidRDefault="003750E0" w:rsidP="007C6962">
            <w:pPr>
              <w:rPr>
                <w:rFonts w:ascii="Arial Narrow" w:hAnsi="Arial Narrow"/>
                <w:sz w:val="20"/>
                <w:lang w:eastAsia="en-US"/>
              </w:rPr>
            </w:pPr>
            <w:r w:rsidRPr="00F2225C">
              <w:rPr>
                <w:rFonts w:ascii="Arial Narrow" w:hAnsi="Arial Narrow"/>
                <w:sz w:val="20"/>
                <w:lang w:eastAsia="en-US"/>
              </w:rPr>
              <w:t>Cascade testing</w:t>
            </w:r>
          </w:p>
        </w:tc>
        <w:tc>
          <w:tcPr>
            <w:tcW w:w="3348" w:type="dxa"/>
          </w:tcPr>
          <w:p w14:paraId="5678A578" w14:textId="1D251572" w:rsidR="003750E0" w:rsidRPr="00F2225C" w:rsidRDefault="0035490F" w:rsidP="007C6962">
            <w:pPr>
              <w:rPr>
                <w:rFonts w:ascii="Arial Narrow" w:hAnsi="Arial Narrow"/>
                <w:sz w:val="20"/>
                <w:lang w:eastAsia="en-US"/>
              </w:rPr>
            </w:pPr>
            <w:r>
              <w:rPr>
                <w:rFonts w:ascii="Arial Narrow" w:hAnsi="Arial Narrow"/>
                <w:sz w:val="20"/>
              </w:rPr>
              <w:t xml:space="preserve">Total </w:t>
            </w:r>
            <w:r w:rsidR="003750E0" w:rsidRPr="00F2225C">
              <w:rPr>
                <w:rFonts w:ascii="Arial Narrow" w:hAnsi="Arial Narrow"/>
                <w:sz w:val="20"/>
              </w:rPr>
              <w:t>SGT for cascade testing</w:t>
            </w:r>
          </w:p>
        </w:tc>
        <w:tc>
          <w:tcPr>
            <w:tcW w:w="747" w:type="dxa"/>
          </w:tcPr>
          <w:p w14:paraId="6D70E05B" w14:textId="31BE9EB7" w:rsidR="003750E0" w:rsidRPr="00F2225C" w:rsidRDefault="003750E0" w:rsidP="00F2225C">
            <w:pPr>
              <w:jc w:val="center"/>
              <w:rPr>
                <w:rFonts w:ascii="Arial Narrow" w:hAnsi="Arial Narrow"/>
                <w:sz w:val="20"/>
                <w:lang w:eastAsia="en-US"/>
              </w:rPr>
            </w:pPr>
            <w:r w:rsidRPr="00F2225C">
              <w:rPr>
                <w:rFonts w:ascii="Arial Narrow" w:hAnsi="Arial Narrow"/>
                <w:sz w:val="20"/>
              </w:rPr>
              <w:t>5917</w:t>
            </w:r>
          </w:p>
        </w:tc>
        <w:tc>
          <w:tcPr>
            <w:tcW w:w="748" w:type="dxa"/>
          </w:tcPr>
          <w:p w14:paraId="1E5BF540" w14:textId="78DB9AC8" w:rsidR="003750E0" w:rsidRPr="00F2225C" w:rsidRDefault="003750E0" w:rsidP="00F2225C">
            <w:pPr>
              <w:jc w:val="center"/>
              <w:rPr>
                <w:rFonts w:ascii="Arial Narrow" w:hAnsi="Arial Narrow"/>
                <w:sz w:val="20"/>
                <w:lang w:eastAsia="en-US"/>
              </w:rPr>
            </w:pPr>
            <w:r w:rsidRPr="00F2225C">
              <w:rPr>
                <w:rFonts w:ascii="Arial Narrow" w:hAnsi="Arial Narrow"/>
                <w:sz w:val="20"/>
              </w:rPr>
              <w:t>6745</w:t>
            </w:r>
          </w:p>
        </w:tc>
        <w:tc>
          <w:tcPr>
            <w:tcW w:w="747" w:type="dxa"/>
          </w:tcPr>
          <w:p w14:paraId="48DC6B32" w14:textId="1BCDF5BA" w:rsidR="003750E0" w:rsidRPr="00F2225C" w:rsidRDefault="003750E0" w:rsidP="00F2225C">
            <w:pPr>
              <w:jc w:val="center"/>
              <w:rPr>
                <w:rFonts w:ascii="Arial Narrow" w:hAnsi="Arial Narrow"/>
                <w:sz w:val="20"/>
                <w:lang w:eastAsia="en-US"/>
              </w:rPr>
            </w:pPr>
            <w:r w:rsidRPr="00F2225C">
              <w:rPr>
                <w:rFonts w:ascii="Arial Narrow" w:hAnsi="Arial Narrow"/>
                <w:sz w:val="20"/>
              </w:rPr>
              <w:t>7204</w:t>
            </w:r>
          </w:p>
        </w:tc>
        <w:tc>
          <w:tcPr>
            <w:tcW w:w="748" w:type="dxa"/>
          </w:tcPr>
          <w:p w14:paraId="2114910D" w14:textId="475898D7" w:rsidR="003750E0" w:rsidRPr="00F2225C" w:rsidRDefault="003750E0" w:rsidP="00F2225C">
            <w:pPr>
              <w:jc w:val="center"/>
              <w:rPr>
                <w:rFonts w:ascii="Arial Narrow" w:hAnsi="Arial Narrow"/>
                <w:sz w:val="20"/>
                <w:lang w:eastAsia="en-US"/>
              </w:rPr>
            </w:pPr>
            <w:r w:rsidRPr="00F2225C">
              <w:rPr>
                <w:rFonts w:ascii="Arial Narrow" w:hAnsi="Arial Narrow"/>
                <w:sz w:val="20"/>
              </w:rPr>
              <w:t>7261</w:t>
            </w:r>
          </w:p>
        </w:tc>
        <w:tc>
          <w:tcPr>
            <w:tcW w:w="747" w:type="dxa"/>
          </w:tcPr>
          <w:p w14:paraId="2D0D60B0" w14:textId="2CEC59C1" w:rsidR="003750E0" w:rsidRPr="00F2225C" w:rsidRDefault="003750E0" w:rsidP="00F2225C">
            <w:pPr>
              <w:jc w:val="center"/>
              <w:rPr>
                <w:rFonts w:ascii="Arial Narrow" w:hAnsi="Arial Narrow"/>
                <w:sz w:val="20"/>
                <w:lang w:eastAsia="en-US"/>
              </w:rPr>
            </w:pPr>
            <w:r w:rsidRPr="00F2225C">
              <w:rPr>
                <w:rFonts w:ascii="Arial Narrow" w:hAnsi="Arial Narrow"/>
                <w:sz w:val="20"/>
              </w:rPr>
              <w:t>6971</w:t>
            </w:r>
          </w:p>
        </w:tc>
        <w:tc>
          <w:tcPr>
            <w:tcW w:w="748" w:type="dxa"/>
          </w:tcPr>
          <w:p w14:paraId="754305EB" w14:textId="023C1F4D" w:rsidR="003750E0" w:rsidRPr="00F2225C" w:rsidRDefault="003750E0" w:rsidP="00F2225C">
            <w:pPr>
              <w:jc w:val="center"/>
              <w:rPr>
                <w:rFonts w:ascii="Arial Narrow" w:hAnsi="Arial Narrow"/>
                <w:sz w:val="20"/>
                <w:lang w:eastAsia="en-US"/>
              </w:rPr>
            </w:pPr>
            <w:r w:rsidRPr="00F2225C">
              <w:rPr>
                <w:rFonts w:ascii="Arial Narrow" w:hAnsi="Arial Narrow"/>
                <w:sz w:val="20"/>
              </w:rPr>
              <w:t>7277</w:t>
            </w:r>
          </w:p>
        </w:tc>
      </w:tr>
      <w:tr w:rsidR="003750E0" w14:paraId="3BC8ADBF" w14:textId="77777777" w:rsidTr="00172488">
        <w:tc>
          <w:tcPr>
            <w:tcW w:w="1183" w:type="dxa"/>
            <w:vMerge/>
          </w:tcPr>
          <w:p w14:paraId="018D84A9" w14:textId="77777777" w:rsidR="003750E0" w:rsidRPr="00F2225C" w:rsidRDefault="003750E0" w:rsidP="007C6962">
            <w:pPr>
              <w:rPr>
                <w:rFonts w:ascii="Arial Narrow" w:hAnsi="Arial Narrow"/>
                <w:sz w:val="20"/>
                <w:lang w:eastAsia="en-US"/>
              </w:rPr>
            </w:pPr>
          </w:p>
        </w:tc>
        <w:tc>
          <w:tcPr>
            <w:tcW w:w="3348" w:type="dxa"/>
          </w:tcPr>
          <w:p w14:paraId="2D26E631" w14:textId="01FDA963" w:rsidR="003750E0" w:rsidRPr="00F2225C" w:rsidRDefault="00636EBC" w:rsidP="007C6962">
            <w:pPr>
              <w:rPr>
                <w:rFonts w:ascii="Arial Narrow" w:hAnsi="Arial Narrow"/>
                <w:sz w:val="20"/>
              </w:rPr>
            </w:pPr>
            <w:r>
              <w:rPr>
                <w:rFonts w:ascii="Arial Narrow" w:hAnsi="Arial Narrow"/>
                <w:sz w:val="20"/>
              </w:rPr>
              <w:t xml:space="preserve">   </w:t>
            </w:r>
            <w:r w:rsidR="003750E0" w:rsidRPr="00F2225C">
              <w:rPr>
                <w:rFonts w:ascii="Arial Narrow" w:hAnsi="Arial Narrow"/>
                <w:sz w:val="20"/>
              </w:rPr>
              <w:t xml:space="preserve">XXXX (all </w:t>
            </w:r>
            <w:r w:rsidR="004A3474">
              <w:rPr>
                <w:rFonts w:ascii="Arial Narrow" w:hAnsi="Arial Narrow"/>
                <w:sz w:val="20"/>
              </w:rPr>
              <w:t>conditions</w:t>
            </w:r>
            <w:r w:rsidR="003750E0" w:rsidRPr="00F2225C">
              <w:rPr>
                <w:rFonts w:ascii="Arial Narrow" w:hAnsi="Arial Narrow"/>
                <w:sz w:val="20"/>
              </w:rPr>
              <w:t xml:space="preserve"> other than FSHD1)</w:t>
            </w:r>
          </w:p>
        </w:tc>
        <w:tc>
          <w:tcPr>
            <w:tcW w:w="747" w:type="dxa"/>
          </w:tcPr>
          <w:p w14:paraId="4859B261" w14:textId="5CE138D4" w:rsidR="003750E0" w:rsidRPr="00F2225C" w:rsidRDefault="003750E0" w:rsidP="00F2225C">
            <w:pPr>
              <w:jc w:val="center"/>
              <w:rPr>
                <w:rFonts w:ascii="Arial Narrow" w:hAnsi="Arial Narrow"/>
                <w:sz w:val="20"/>
              </w:rPr>
            </w:pPr>
            <w:r w:rsidRPr="00F2225C">
              <w:rPr>
                <w:rFonts w:ascii="Arial Narrow" w:hAnsi="Arial Narrow"/>
                <w:sz w:val="20"/>
              </w:rPr>
              <w:t>5697</w:t>
            </w:r>
          </w:p>
        </w:tc>
        <w:tc>
          <w:tcPr>
            <w:tcW w:w="748" w:type="dxa"/>
          </w:tcPr>
          <w:p w14:paraId="341D0AA5" w14:textId="474E06E4" w:rsidR="003750E0" w:rsidRPr="00F2225C" w:rsidRDefault="003750E0" w:rsidP="00F2225C">
            <w:pPr>
              <w:jc w:val="center"/>
              <w:rPr>
                <w:rFonts w:ascii="Arial Narrow" w:hAnsi="Arial Narrow"/>
                <w:sz w:val="20"/>
              </w:rPr>
            </w:pPr>
            <w:r w:rsidRPr="00F2225C">
              <w:rPr>
                <w:rFonts w:ascii="Arial Narrow" w:hAnsi="Arial Narrow"/>
                <w:sz w:val="20"/>
              </w:rPr>
              <w:t>6495</w:t>
            </w:r>
          </w:p>
        </w:tc>
        <w:tc>
          <w:tcPr>
            <w:tcW w:w="747" w:type="dxa"/>
          </w:tcPr>
          <w:p w14:paraId="592E1E2D" w14:textId="176B258F" w:rsidR="003750E0" w:rsidRPr="00F2225C" w:rsidRDefault="003750E0" w:rsidP="00F2225C">
            <w:pPr>
              <w:jc w:val="center"/>
              <w:rPr>
                <w:rFonts w:ascii="Arial Narrow" w:hAnsi="Arial Narrow"/>
                <w:sz w:val="20"/>
              </w:rPr>
            </w:pPr>
            <w:r w:rsidRPr="00F2225C">
              <w:rPr>
                <w:rFonts w:ascii="Arial Narrow" w:hAnsi="Arial Narrow"/>
                <w:sz w:val="20"/>
              </w:rPr>
              <w:t>6936</w:t>
            </w:r>
          </w:p>
        </w:tc>
        <w:tc>
          <w:tcPr>
            <w:tcW w:w="748" w:type="dxa"/>
          </w:tcPr>
          <w:p w14:paraId="59489411" w14:textId="048C926E" w:rsidR="003750E0" w:rsidRPr="00F2225C" w:rsidRDefault="003750E0" w:rsidP="00F2225C">
            <w:pPr>
              <w:jc w:val="center"/>
              <w:rPr>
                <w:rFonts w:ascii="Arial Narrow" w:hAnsi="Arial Narrow"/>
                <w:sz w:val="20"/>
              </w:rPr>
            </w:pPr>
            <w:r w:rsidRPr="00F2225C">
              <w:rPr>
                <w:rFonts w:ascii="Arial Narrow" w:hAnsi="Arial Narrow"/>
                <w:sz w:val="20"/>
              </w:rPr>
              <w:t>6992</w:t>
            </w:r>
          </w:p>
        </w:tc>
        <w:tc>
          <w:tcPr>
            <w:tcW w:w="747" w:type="dxa"/>
          </w:tcPr>
          <w:p w14:paraId="50652358" w14:textId="1FDA3146" w:rsidR="003750E0" w:rsidRPr="00F2225C" w:rsidRDefault="003750E0" w:rsidP="00F2225C">
            <w:pPr>
              <w:jc w:val="center"/>
              <w:rPr>
                <w:rFonts w:ascii="Arial Narrow" w:hAnsi="Arial Narrow"/>
                <w:sz w:val="20"/>
              </w:rPr>
            </w:pPr>
            <w:r w:rsidRPr="00F2225C">
              <w:rPr>
                <w:rFonts w:ascii="Arial Narrow" w:hAnsi="Arial Narrow"/>
                <w:sz w:val="20"/>
              </w:rPr>
              <w:t>6712</w:t>
            </w:r>
          </w:p>
        </w:tc>
        <w:tc>
          <w:tcPr>
            <w:tcW w:w="748" w:type="dxa"/>
          </w:tcPr>
          <w:p w14:paraId="5309D8A2" w14:textId="10A0FD76" w:rsidR="003750E0" w:rsidRPr="00F2225C" w:rsidRDefault="003750E0" w:rsidP="00F2225C">
            <w:pPr>
              <w:jc w:val="center"/>
              <w:rPr>
                <w:rFonts w:ascii="Arial Narrow" w:hAnsi="Arial Narrow"/>
                <w:sz w:val="20"/>
              </w:rPr>
            </w:pPr>
            <w:r w:rsidRPr="00F2225C">
              <w:rPr>
                <w:rFonts w:ascii="Arial Narrow" w:hAnsi="Arial Narrow"/>
                <w:sz w:val="20"/>
              </w:rPr>
              <w:t>7008</w:t>
            </w:r>
          </w:p>
        </w:tc>
      </w:tr>
      <w:tr w:rsidR="003750E0" w14:paraId="09049591" w14:textId="77777777" w:rsidTr="00172488">
        <w:tc>
          <w:tcPr>
            <w:tcW w:w="1183" w:type="dxa"/>
            <w:vMerge/>
          </w:tcPr>
          <w:p w14:paraId="56AA7CA3" w14:textId="77777777" w:rsidR="003750E0" w:rsidRPr="00F2225C" w:rsidRDefault="003750E0" w:rsidP="007C6962">
            <w:pPr>
              <w:rPr>
                <w:rFonts w:ascii="Arial Narrow" w:hAnsi="Arial Narrow"/>
                <w:sz w:val="20"/>
                <w:lang w:eastAsia="en-US"/>
              </w:rPr>
            </w:pPr>
          </w:p>
        </w:tc>
        <w:tc>
          <w:tcPr>
            <w:tcW w:w="3348" w:type="dxa"/>
          </w:tcPr>
          <w:p w14:paraId="657C4C75" w14:textId="6DBB67DA" w:rsidR="003750E0" w:rsidRPr="00F2225C" w:rsidRDefault="00636EBC" w:rsidP="007C6962">
            <w:pPr>
              <w:rPr>
                <w:rFonts w:ascii="Arial Narrow" w:hAnsi="Arial Narrow"/>
                <w:sz w:val="20"/>
              </w:rPr>
            </w:pPr>
            <w:r>
              <w:rPr>
                <w:rFonts w:ascii="Arial Narrow" w:hAnsi="Arial Narrow"/>
                <w:sz w:val="20"/>
              </w:rPr>
              <w:t xml:space="preserve">   </w:t>
            </w:r>
            <w:r w:rsidR="003750E0" w:rsidRPr="00F2225C">
              <w:rPr>
                <w:rFonts w:ascii="Arial Narrow" w:hAnsi="Arial Narrow"/>
                <w:sz w:val="20"/>
              </w:rPr>
              <w:t>YYYY (FSHD1)</w:t>
            </w:r>
          </w:p>
        </w:tc>
        <w:tc>
          <w:tcPr>
            <w:tcW w:w="747" w:type="dxa"/>
          </w:tcPr>
          <w:p w14:paraId="6C8E1D23" w14:textId="0B7D1B60" w:rsidR="003750E0" w:rsidRPr="00F2225C" w:rsidRDefault="003750E0" w:rsidP="00F2225C">
            <w:pPr>
              <w:jc w:val="center"/>
              <w:rPr>
                <w:rFonts w:ascii="Arial Narrow" w:hAnsi="Arial Narrow"/>
                <w:sz w:val="20"/>
              </w:rPr>
            </w:pPr>
            <w:r w:rsidRPr="00F2225C">
              <w:rPr>
                <w:rFonts w:ascii="Arial Narrow" w:hAnsi="Arial Narrow"/>
                <w:sz w:val="20"/>
              </w:rPr>
              <w:t>219</w:t>
            </w:r>
          </w:p>
        </w:tc>
        <w:tc>
          <w:tcPr>
            <w:tcW w:w="748" w:type="dxa"/>
          </w:tcPr>
          <w:p w14:paraId="2300B27D" w14:textId="598FF65C" w:rsidR="003750E0" w:rsidRPr="00F2225C" w:rsidRDefault="003750E0" w:rsidP="00F2225C">
            <w:pPr>
              <w:jc w:val="center"/>
              <w:rPr>
                <w:rFonts w:ascii="Arial Narrow" w:hAnsi="Arial Narrow"/>
                <w:sz w:val="20"/>
              </w:rPr>
            </w:pPr>
            <w:r w:rsidRPr="00F2225C">
              <w:rPr>
                <w:rFonts w:ascii="Arial Narrow" w:hAnsi="Arial Narrow"/>
                <w:sz w:val="20"/>
              </w:rPr>
              <w:t>250</w:t>
            </w:r>
          </w:p>
        </w:tc>
        <w:tc>
          <w:tcPr>
            <w:tcW w:w="747" w:type="dxa"/>
          </w:tcPr>
          <w:p w14:paraId="6CCC391A" w14:textId="02EB0204" w:rsidR="003750E0" w:rsidRPr="00F2225C" w:rsidRDefault="003750E0" w:rsidP="00F2225C">
            <w:pPr>
              <w:jc w:val="center"/>
              <w:rPr>
                <w:rFonts w:ascii="Arial Narrow" w:hAnsi="Arial Narrow"/>
                <w:sz w:val="20"/>
              </w:rPr>
            </w:pPr>
            <w:r w:rsidRPr="00F2225C">
              <w:rPr>
                <w:rFonts w:ascii="Arial Narrow" w:hAnsi="Arial Narrow"/>
                <w:sz w:val="20"/>
              </w:rPr>
              <w:t>267</w:t>
            </w:r>
          </w:p>
        </w:tc>
        <w:tc>
          <w:tcPr>
            <w:tcW w:w="748" w:type="dxa"/>
          </w:tcPr>
          <w:p w14:paraId="71B79686" w14:textId="0CB8F7B9" w:rsidR="003750E0" w:rsidRPr="00F2225C" w:rsidRDefault="003750E0" w:rsidP="00F2225C">
            <w:pPr>
              <w:jc w:val="center"/>
              <w:rPr>
                <w:rFonts w:ascii="Arial Narrow" w:hAnsi="Arial Narrow"/>
                <w:sz w:val="20"/>
              </w:rPr>
            </w:pPr>
            <w:r w:rsidRPr="00F2225C">
              <w:rPr>
                <w:rFonts w:ascii="Arial Narrow" w:hAnsi="Arial Narrow"/>
                <w:sz w:val="20"/>
              </w:rPr>
              <w:t>269</w:t>
            </w:r>
          </w:p>
        </w:tc>
        <w:tc>
          <w:tcPr>
            <w:tcW w:w="747" w:type="dxa"/>
          </w:tcPr>
          <w:p w14:paraId="2B168B17" w14:textId="2F042464" w:rsidR="003750E0" w:rsidRPr="00F2225C" w:rsidRDefault="003750E0" w:rsidP="00F2225C">
            <w:pPr>
              <w:jc w:val="center"/>
              <w:rPr>
                <w:rFonts w:ascii="Arial Narrow" w:hAnsi="Arial Narrow"/>
                <w:sz w:val="20"/>
              </w:rPr>
            </w:pPr>
            <w:r w:rsidRPr="00F2225C">
              <w:rPr>
                <w:rFonts w:ascii="Arial Narrow" w:hAnsi="Arial Narrow"/>
                <w:sz w:val="20"/>
              </w:rPr>
              <w:t>259</w:t>
            </w:r>
          </w:p>
        </w:tc>
        <w:tc>
          <w:tcPr>
            <w:tcW w:w="748" w:type="dxa"/>
          </w:tcPr>
          <w:p w14:paraId="1AE2C74D" w14:textId="4CF4D2EE" w:rsidR="003750E0" w:rsidRPr="00F2225C" w:rsidRDefault="003750E0" w:rsidP="00F2225C">
            <w:pPr>
              <w:jc w:val="center"/>
              <w:rPr>
                <w:rFonts w:ascii="Arial Narrow" w:hAnsi="Arial Narrow"/>
                <w:sz w:val="20"/>
              </w:rPr>
            </w:pPr>
            <w:r w:rsidRPr="00F2225C">
              <w:rPr>
                <w:rFonts w:ascii="Arial Narrow" w:hAnsi="Arial Narrow"/>
                <w:sz w:val="20"/>
              </w:rPr>
              <w:t>270</w:t>
            </w:r>
          </w:p>
        </w:tc>
      </w:tr>
      <w:tr w:rsidR="00F2225C" w14:paraId="3864A82B" w14:textId="77777777" w:rsidTr="00172488">
        <w:tc>
          <w:tcPr>
            <w:tcW w:w="1183" w:type="dxa"/>
          </w:tcPr>
          <w:p w14:paraId="321E31CB" w14:textId="42300B5B" w:rsidR="00F2225C" w:rsidRPr="00F2225C" w:rsidRDefault="00F2225C" w:rsidP="00F2225C">
            <w:pPr>
              <w:rPr>
                <w:rFonts w:ascii="Arial Narrow" w:hAnsi="Arial Narrow"/>
                <w:sz w:val="20"/>
                <w:lang w:eastAsia="en-US"/>
              </w:rPr>
            </w:pPr>
            <w:r w:rsidRPr="00F2225C">
              <w:rPr>
                <w:rFonts w:ascii="Arial Narrow" w:hAnsi="Arial Narrow"/>
                <w:sz w:val="20"/>
                <w:lang w:eastAsia="en-US"/>
              </w:rPr>
              <w:t>Reproductive partner testing</w:t>
            </w:r>
          </w:p>
        </w:tc>
        <w:tc>
          <w:tcPr>
            <w:tcW w:w="3348" w:type="dxa"/>
          </w:tcPr>
          <w:p w14:paraId="4B690193" w14:textId="64994913" w:rsidR="00F2225C" w:rsidRPr="00F2225C" w:rsidRDefault="00F2225C" w:rsidP="00F2225C">
            <w:pPr>
              <w:rPr>
                <w:rFonts w:ascii="Arial Narrow" w:hAnsi="Arial Narrow"/>
                <w:sz w:val="20"/>
              </w:rPr>
            </w:pPr>
            <w:r w:rsidRPr="00F2225C">
              <w:rPr>
                <w:rFonts w:ascii="Arial Narrow" w:hAnsi="Arial Narrow"/>
                <w:sz w:val="20"/>
              </w:rPr>
              <w:t>SGT for reproductive partners - XXXX only (because FA &amp; SMA both use XXXX)</w:t>
            </w:r>
          </w:p>
        </w:tc>
        <w:tc>
          <w:tcPr>
            <w:tcW w:w="747" w:type="dxa"/>
          </w:tcPr>
          <w:p w14:paraId="166E5386" w14:textId="67954633" w:rsidR="00F2225C" w:rsidRPr="00F2225C" w:rsidRDefault="00F2225C" w:rsidP="00F2225C">
            <w:pPr>
              <w:jc w:val="center"/>
              <w:rPr>
                <w:rFonts w:ascii="Arial Narrow" w:hAnsi="Arial Narrow"/>
                <w:sz w:val="20"/>
              </w:rPr>
            </w:pPr>
            <w:r w:rsidRPr="00F2225C">
              <w:rPr>
                <w:rFonts w:ascii="Arial Narrow" w:hAnsi="Arial Narrow"/>
                <w:sz w:val="20"/>
              </w:rPr>
              <w:t>13</w:t>
            </w:r>
          </w:p>
        </w:tc>
        <w:tc>
          <w:tcPr>
            <w:tcW w:w="748" w:type="dxa"/>
          </w:tcPr>
          <w:p w14:paraId="2186FD78" w14:textId="64B30CBC" w:rsidR="00F2225C" w:rsidRPr="00F2225C" w:rsidRDefault="00F2225C" w:rsidP="00F2225C">
            <w:pPr>
              <w:jc w:val="center"/>
              <w:rPr>
                <w:rFonts w:ascii="Arial Narrow" w:hAnsi="Arial Narrow"/>
                <w:sz w:val="20"/>
              </w:rPr>
            </w:pPr>
            <w:r w:rsidRPr="00F2225C">
              <w:rPr>
                <w:rFonts w:ascii="Arial Narrow" w:hAnsi="Arial Narrow"/>
                <w:sz w:val="20"/>
              </w:rPr>
              <w:t>15</w:t>
            </w:r>
          </w:p>
        </w:tc>
        <w:tc>
          <w:tcPr>
            <w:tcW w:w="747" w:type="dxa"/>
          </w:tcPr>
          <w:p w14:paraId="52B6AA80" w14:textId="43FC6BF4" w:rsidR="00F2225C" w:rsidRPr="00F2225C" w:rsidRDefault="00F2225C" w:rsidP="00F2225C">
            <w:pPr>
              <w:jc w:val="center"/>
              <w:rPr>
                <w:rFonts w:ascii="Arial Narrow" w:hAnsi="Arial Narrow"/>
                <w:sz w:val="20"/>
              </w:rPr>
            </w:pPr>
            <w:r w:rsidRPr="00F2225C">
              <w:rPr>
                <w:rFonts w:ascii="Arial Narrow" w:hAnsi="Arial Narrow"/>
                <w:sz w:val="20"/>
              </w:rPr>
              <w:t>16</w:t>
            </w:r>
          </w:p>
        </w:tc>
        <w:tc>
          <w:tcPr>
            <w:tcW w:w="748" w:type="dxa"/>
          </w:tcPr>
          <w:p w14:paraId="44B7DC66" w14:textId="45C63972" w:rsidR="00F2225C" w:rsidRPr="00F2225C" w:rsidRDefault="00F2225C" w:rsidP="00F2225C">
            <w:pPr>
              <w:jc w:val="center"/>
              <w:rPr>
                <w:rFonts w:ascii="Arial Narrow" w:hAnsi="Arial Narrow"/>
                <w:sz w:val="20"/>
              </w:rPr>
            </w:pPr>
            <w:r w:rsidRPr="00F2225C">
              <w:rPr>
                <w:rFonts w:ascii="Arial Narrow" w:hAnsi="Arial Narrow"/>
                <w:sz w:val="20"/>
              </w:rPr>
              <w:t>16</w:t>
            </w:r>
          </w:p>
        </w:tc>
        <w:tc>
          <w:tcPr>
            <w:tcW w:w="747" w:type="dxa"/>
          </w:tcPr>
          <w:p w14:paraId="5C8EFE1C" w14:textId="6096A108" w:rsidR="00F2225C" w:rsidRPr="00F2225C" w:rsidRDefault="00F2225C" w:rsidP="00F2225C">
            <w:pPr>
              <w:jc w:val="center"/>
              <w:rPr>
                <w:rFonts w:ascii="Arial Narrow" w:hAnsi="Arial Narrow"/>
                <w:sz w:val="20"/>
              </w:rPr>
            </w:pPr>
            <w:r w:rsidRPr="00F2225C">
              <w:rPr>
                <w:rFonts w:ascii="Arial Narrow" w:hAnsi="Arial Narrow"/>
                <w:sz w:val="20"/>
              </w:rPr>
              <w:t>15</w:t>
            </w:r>
          </w:p>
        </w:tc>
        <w:tc>
          <w:tcPr>
            <w:tcW w:w="748" w:type="dxa"/>
          </w:tcPr>
          <w:p w14:paraId="74B755D4" w14:textId="0DAC88D9" w:rsidR="00F2225C" w:rsidRPr="00F2225C" w:rsidRDefault="00F2225C" w:rsidP="00F2225C">
            <w:pPr>
              <w:jc w:val="center"/>
              <w:rPr>
                <w:rFonts w:ascii="Arial Narrow" w:hAnsi="Arial Narrow"/>
                <w:sz w:val="20"/>
              </w:rPr>
            </w:pPr>
            <w:r w:rsidRPr="00F2225C">
              <w:rPr>
                <w:rFonts w:ascii="Arial Narrow" w:hAnsi="Arial Narrow"/>
                <w:sz w:val="20"/>
              </w:rPr>
              <w:t>16</w:t>
            </w:r>
          </w:p>
        </w:tc>
      </w:tr>
      <w:tr w:rsidR="0035490F" w14:paraId="51CF4CDA" w14:textId="77777777" w:rsidTr="0035490F">
        <w:tc>
          <w:tcPr>
            <w:tcW w:w="9016" w:type="dxa"/>
            <w:gridSpan w:val="8"/>
          </w:tcPr>
          <w:p w14:paraId="662FC617" w14:textId="07A97E7F" w:rsidR="0035490F" w:rsidRPr="0035490F" w:rsidRDefault="0035490F" w:rsidP="0035490F">
            <w:pPr>
              <w:rPr>
                <w:rFonts w:ascii="Arial Narrow" w:hAnsi="Arial Narrow"/>
                <w:b/>
                <w:bCs/>
                <w:sz w:val="20"/>
              </w:rPr>
            </w:pPr>
            <w:r w:rsidRPr="0035490F">
              <w:rPr>
                <w:rFonts w:ascii="Arial Narrow" w:hAnsi="Arial Narrow"/>
                <w:b/>
                <w:bCs/>
                <w:sz w:val="20"/>
              </w:rPr>
              <w:t>Change in use of other health technologies</w:t>
            </w:r>
          </w:p>
        </w:tc>
      </w:tr>
      <w:tr w:rsidR="0035490F" w14:paraId="4789E294" w14:textId="77777777" w:rsidTr="00172488">
        <w:tc>
          <w:tcPr>
            <w:tcW w:w="1183" w:type="dxa"/>
            <w:vMerge w:val="restart"/>
          </w:tcPr>
          <w:p w14:paraId="7EA357BF" w14:textId="11286911" w:rsidR="0035490F" w:rsidRPr="00F2225C" w:rsidRDefault="0035490F" w:rsidP="0035490F">
            <w:pPr>
              <w:rPr>
                <w:rFonts w:ascii="Arial Narrow" w:hAnsi="Arial Narrow"/>
                <w:sz w:val="20"/>
              </w:rPr>
            </w:pPr>
            <w:r>
              <w:rPr>
                <w:rFonts w:ascii="Arial Narrow" w:hAnsi="Arial Narrow"/>
                <w:sz w:val="20"/>
              </w:rPr>
              <w:t>Affected individuals</w:t>
            </w:r>
          </w:p>
        </w:tc>
        <w:tc>
          <w:tcPr>
            <w:tcW w:w="3348" w:type="dxa"/>
          </w:tcPr>
          <w:p w14:paraId="5B6A466D" w14:textId="74719837" w:rsidR="0035490F" w:rsidRPr="00F2225C" w:rsidRDefault="0035490F" w:rsidP="0035490F">
            <w:pPr>
              <w:rPr>
                <w:rFonts w:ascii="Arial Narrow" w:hAnsi="Arial Narrow"/>
                <w:sz w:val="20"/>
              </w:rPr>
            </w:pPr>
            <w:r w:rsidRPr="00567350">
              <w:rPr>
                <w:rFonts w:ascii="Arial Narrow" w:hAnsi="Arial Narrow"/>
                <w:sz w:val="20"/>
              </w:rPr>
              <w:t>Gene panel test (1585 AAAA) after SGT negative</w:t>
            </w:r>
          </w:p>
        </w:tc>
        <w:tc>
          <w:tcPr>
            <w:tcW w:w="747" w:type="dxa"/>
          </w:tcPr>
          <w:p w14:paraId="171CB02C" w14:textId="44E959B6" w:rsidR="0035490F" w:rsidRPr="00F2225C" w:rsidRDefault="0035490F" w:rsidP="0035490F">
            <w:pPr>
              <w:jc w:val="center"/>
              <w:rPr>
                <w:rFonts w:ascii="Arial Narrow" w:hAnsi="Arial Narrow"/>
                <w:sz w:val="20"/>
              </w:rPr>
            </w:pPr>
            <w:r w:rsidRPr="00567350">
              <w:rPr>
                <w:rFonts w:ascii="Arial Narrow" w:hAnsi="Arial Narrow"/>
                <w:sz w:val="20"/>
              </w:rPr>
              <w:t>104</w:t>
            </w:r>
          </w:p>
        </w:tc>
        <w:tc>
          <w:tcPr>
            <w:tcW w:w="748" w:type="dxa"/>
          </w:tcPr>
          <w:p w14:paraId="429F4307" w14:textId="47236BF7" w:rsidR="0035490F" w:rsidRPr="00F2225C" w:rsidRDefault="0035490F" w:rsidP="0035490F">
            <w:pPr>
              <w:jc w:val="center"/>
              <w:rPr>
                <w:rFonts w:ascii="Arial Narrow" w:hAnsi="Arial Narrow"/>
                <w:sz w:val="20"/>
              </w:rPr>
            </w:pPr>
            <w:r w:rsidRPr="00567350">
              <w:rPr>
                <w:rFonts w:ascii="Arial Narrow" w:hAnsi="Arial Narrow"/>
                <w:sz w:val="20"/>
              </w:rPr>
              <w:t>118</w:t>
            </w:r>
          </w:p>
        </w:tc>
        <w:tc>
          <w:tcPr>
            <w:tcW w:w="747" w:type="dxa"/>
          </w:tcPr>
          <w:p w14:paraId="72DB4279" w14:textId="34F1BC32" w:rsidR="0035490F" w:rsidRPr="00F2225C" w:rsidRDefault="0035490F" w:rsidP="0035490F">
            <w:pPr>
              <w:jc w:val="center"/>
              <w:rPr>
                <w:rFonts w:ascii="Arial Narrow" w:hAnsi="Arial Narrow"/>
                <w:sz w:val="20"/>
              </w:rPr>
            </w:pPr>
            <w:r w:rsidRPr="00567350">
              <w:rPr>
                <w:rFonts w:ascii="Arial Narrow" w:hAnsi="Arial Narrow"/>
                <w:sz w:val="20"/>
              </w:rPr>
              <w:t>126</w:t>
            </w:r>
          </w:p>
        </w:tc>
        <w:tc>
          <w:tcPr>
            <w:tcW w:w="748" w:type="dxa"/>
          </w:tcPr>
          <w:p w14:paraId="6092217A" w14:textId="38CD9F5C" w:rsidR="0035490F" w:rsidRPr="00F2225C" w:rsidRDefault="0035490F" w:rsidP="0035490F">
            <w:pPr>
              <w:jc w:val="center"/>
              <w:rPr>
                <w:rFonts w:ascii="Arial Narrow" w:hAnsi="Arial Narrow"/>
                <w:sz w:val="20"/>
              </w:rPr>
            </w:pPr>
            <w:r w:rsidRPr="00567350">
              <w:rPr>
                <w:rFonts w:ascii="Arial Narrow" w:hAnsi="Arial Narrow"/>
                <w:sz w:val="20"/>
              </w:rPr>
              <w:t>127</w:t>
            </w:r>
          </w:p>
        </w:tc>
        <w:tc>
          <w:tcPr>
            <w:tcW w:w="747" w:type="dxa"/>
          </w:tcPr>
          <w:p w14:paraId="611B3988" w14:textId="4367540E" w:rsidR="0035490F" w:rsidRPr="00F2225C" w:rsidRDefault="0035490F" w:rsidP="0035490F">
            <w:pPr>
              <w:jc w:val="center"/>
              <w:rPr>
                <w:rFonts w:ascii="Arial Narrow" w:hAnsi="Arial Narrow"/>
                <w:sz w:val="20"/>
              </w:rPr>
            </w:pPr>
            <w:r w:rsidRPr="00567350">
              <w:rPr>
                <w:rFonts w:ascii="Arial Narrow" w:hAnsi="Arial Narrow"/>
                <w:sz w:val="20"/>
              </w:rPr>
              <w:t>122</w:t>
            </w:r>
          </w:p>
        </w:tc>
        <w:tc>
          <w:tcPr>
            <w:tcW w:w="748" w:type="dxa"/>
          </w:tcPr>
          <w:p w14:paraId="6C7B0C0B" w14:textId="6E10696F" w:rsidR="0035490F" w:rsidRPr="00F2225C" w:rsidRDefault="0035490F" w:rsidP="0035490F">
            <w:pPr>
              <w:jc w:val="center"/>
              <w:rPr>
                <w:rFonts w:ascii="Arial Narrow" w:hAnsi="Arial Narrow"/>
                <w:sz w:val="20"/>
              </w:rPr>
            </w:pPr>
            <w:r w:rsidRPr="00567350">
              <w:rPr>
                <w:rFonts w:ascii="Arial Narrow" w:hAnsi="Arial Narrow"/>
                <w:sz w:val="20"/>
              </w:rPr>
              <w:t>128</w:t>
            </w:r>
          </w:p>
        </w:tc>
      </w:tr>
      <w:tr w:rsidR="0035490F" w14:paraId="76354642" w14:textId="77777777" w:rsidTr="00172488">
        <w:tc>
          <w:tcPr>
            <w:tcW w:w="1183" w:type="dxa"/>
            <w:vMerge/>
          </w:tcPr>
          <w:p w14:paraId="2A87F82D" w14:textId="77777777" w:rsidR="0035490F" w:rsidRDefault="0035490F" w:rsidP="0035490F">
            <w:pPr>
              <w:rPr>
                <w:rFonts w:ascii="Arial Narrow" w:hAnsi="Arial Narrow"/>
                <w:sz w:val="20"/>
              </w:rPr>
            </w:pPr>
          </w:p>
        </w:tc>
        <w:tc>
          <w:tcPr>
            <w:tcW w:w="3348" w:type="dxa"/>
          </w:tcPr>
          <w:p w14:paraId="3D489DC1" w14:textId="59C18489" w:rsidR="0035490F" w:rsidRPr="00F2225C" w:rsidRDefault="0035490F" w:rsidP="0035490F">
            <w:pPr>
              <w:rPr>
                <w:rFonts w:ascii="Arial Narrow" w:hAnsi="Arial Narrow"/>
                <w:sz w:val="20"/>
              </w:rPr>
            </w:pPr>
            <w:r w:rsidRPr="00567350">
              <w:rPr>
                <w:rFonts w:ascii="Arial Narrow" w:hAnsi="Arial Narrow"/>
                <w:sz w:val="20"/>
              </w:rPr>
              <w:t>Biopsy (where SGT &amp; gene panel both negative)</w:t>
            </w:r>
          </w:p>
        </w:tc>
        <w:tc>
          <w:tcPr>
            <w:tcW w:w="747" w:type="dxa"/>
          </w:tcPr>
          <w:p w14:paraId="25D8D2ED" w14:textId="70065EAC" w:rsidR="0035490F" w:rsidRPr="00F2225C" w:rsidRDefault="0035490F" w:rsidP="0035490F">
            <w:pPr>
              <w:jc w:val="center"/>
              <w:rPr>
                <w:rFonts w:ascii="Arial Narrow" w:hAnsi="Arial Narrow"/>
                <w:sz w:val="20"/>
              </w:rPr>
            </w:pPr>
            <w:r w:rsidRPr="00567350">
              <w:rPr>
                <w:rFonts w:ascii="Arial Narrow" w:hAnsi="Arial Narrow"/>
                <w:sz w:val="20"/>
              </w:rPr>
              <w:t>-1993</w:t>
            </w:r>
          </w:p>
        </w:tc>
        <w:tc>
          <w:tcPr>
            <w:tcW w:w="748" w:type="dxa"/>
          </w:tcPr>
          <w:p w14:paraId="0A209176" w14:textId="3F6AE3B2" w:rsidR="0035490F" w:rsidRPr="00F2225C" w:rsidRDefault="0035490F" w:rsidP="0035490F">
            <w:pPr>
              <w:jc w:val="center"/>
              <w:rPr>
                <w:rFonts w:ascii="Arial Narrow" w:hAnsi="Arial Narrow"/>
                <w:sz w:val="20"/>
              </w:rPr>
            </w:pPr>
            <w:r w:rsidRPr="00567350">
              <w:rPr>
                <w:rFonts w:ascii="Arial Narrow" w:hAnsi="Arial Narrow"/>
                <w:sz w:val="20"/>
              </w:rPr>
              <w:t>-2272</w:t>
            </w:r>
          </w:p>
        </w:tc>
        <w:tc>
          <w:tcPr>
            <w:tcW w:w="747" w:type="dxa"/>
          </w:tcPr>
          <w:p w14:paraId="1E791AA9" w14:textId="02ADFD35" w:rsidR="0035490F" w:rsidRPr="00F2225C" w:rsidRDefault="0035490F" w:rsidP="0035490F">
            <w:pPr>
              <w:jc w:val="center"/>
              <w:rPr>
                <w:rFonts w:ascii="Arial Narrow" w:hAnsi="Arial Narrow"/>
                <w:sz w:val="20"/>
              </w:rPr>
            </w:pPr>
            <w:r w:rsidRPr="00567350">
              <w:rPr>
                <w:rFonts w:ascii="Arial Narrow" w:hAnsi="Arial Narrow"/>
                <w:sz w:val="20"/>
              </w:rPr>
              <w:t>-2426</w:t>
            </w:r>
          </w:p>
        </w:tc>
        <w:tc>
          <w:tcPr>
            <w:tcW w:w="748" w:type="dxa"/>
          </w:tcPr>
          <w:p w14:paraId="2700811D" w14:textId="67D7900D" w:rsidR="0035490F" w:rsidRPr="00F2225C" w:rsidRDefault="0035490F" w:rsidP="0035490F">
            <w:pPr>
              <w:jc w:val="center"/>
              <w:rPr>
                <w:rFonts w:ascii="Arial Narrow" w:hAnsi="Arial Narrow"/>
                <w:sz w:val="20"/>
              </w:rPr>
            </w:pPr>
            <w:r w:rsidRPr="00567350">
              <w:rPr>
                <w:rFonts w:ascii="Arial Narrow" w:hAnsi="Arial Narrow"/>
                <w:sz w:val="20"/>
              </w:rPr>
              <w:t>-2446</w:t>
            </w:r>
          </w:p>
        </w:tc>
        <w:tc>
          <w:tcPr>
            <w:tcW w:w="747" w:type="dxa"/>
          </w:tcPr>
          <w:p w14:paraId="59660675" w14:textId="53BE2C99" w:rsidR="0035490F" w:rsidRPr="00F2225C" w:rsidRDefault="0035490F" w:rsidP="0035490F">
            <w:pPr>
              <w:jc w:val="center"/>
              <w:rPr>
                <w:rFonts w:ascii="Arial Narrow" w:hAnsi="Arial Narrow"/>
                <w:sz w:val="20"/>
              </w:rPr>
            </w:pPr>
            <w:r w:rsidRPr="00567350">
              <w:rPr>
                <w:rFonts w:ascii="Arial Narrow" w:hAnsi="Arial Narrow"/>
                <w:sz w:val="20"/>
              </w:rPr>
              <w:t>-2348</w:t>
            </w:r>
          </w:p>
        </w:tc>
        <w:tc>
          <w:tcPr>
            <w:tcW w:w="748" w:type="dxa"/>
          </w:tcPr>
          <w:p w14:paraId="3A1296F0" w14:textId="41C1CD50" w:rsidR="0035490F" w:rsidRPr="00F2225C" w:rsidRDefault="0035490F" w:rsidP="0035490F">
            <w:pPr>
              <w:jc w:val="center"/>
              <w:rPr>
                <w:rFonts w:ascii="Arial Narrow" w:hAnsi="Arial Narrow"/>
                <w:sz w:val="20"/>
              </w:rPr>
            </w:pPr>
            <w:r w:rsidRPr="00567350">
              <w:rPr>
                <w:rFonts w:ascii="Arial Narrow" w:hAnsi="Arial Narrow"/>
                <w:sz w:val="20"/>
              </w:rPr>
              <w:t>-2451</w:t>
            </w:r>
          </w:p>
        </w:tc>
      </w:tr>
      <w:tr w:rsidR="00F2225C" w14:paraId="0D9A671F" w14:textId="77777777" w:rsidTr="00172488">
        <w:tc>
          <w:tcPr>
            <w:tcW w:w="1183" w:type="dxa"/>
          </w:tcPr>
          <w:p w14:paraId="089440BB" w14:textId="13C37CF2" w:rsidR="00F2225C" w:rsidRPr="00F2225C" w:rsidRDefault="00F2225C" w:rsidP="00F2225C">
            <w:pPr>
              <w:rPr>
                <w:rFonts w:ascii="Arial Narrow" w:hAnsi="Arial Narrow"/>
                <w:sz w:val="20"/>
                <w:lang w:eastAsia="en-US"/>
              </w:rPr>
            </w:pPr>
            <w:r w:rsidRPr="00F2225C">
              <w:rPr>
                <w:rFonts w:ascii="Arial Narrow" w:hAnsi="Arial Narrow"/>
                <w:sz w:val="20"/>
              </w:rPr>
              <w:t>Fetal</w:t>
            </w:r>
          </w:p>
        </w:tc>
        <w:tc>
          <w:tcPr>
            <w:tcW w:w="3348" w:type="dxa"/>
          </w:tcPr>
          <w:p w14:paraId="3A8407DF" w14:textId="4D9D0FC1" w:rsidR="00F2225C" w:rsidRPr="00F2225C" w:rsidRDefault="00F2225C" w:rsidP="00F2225C">
            <w:pPr>
              <w:rPr>
                <w:rFonts w:ascii="Arial Narrow" w:hAnsi="Arial Narrow"/>
                <w:sz w:val="20"/>
              </w:rPr>
            </w:pPr>
            <w:r w:rsidRPr="00F2225C">
              <w:rPr>
                <w:rFonts w:ascii="Arial Narrow" w:hAnsi="Arial Narrow"/>
                <w:sz w:val="20"/>
              </w:rPr>
              <w:t>Fetal testing (1585 CCCC)</w:t>
            </w:r>
          </w:p>
        </w:tc>
        <w:tc>
          <w:tcPr>
            <w:tcW w:w="747" w:type="dxa"/>
          </w:tcPr>
          <w:p w14:paraId="762EC9DA" w14:textId="1D722FAA" w:rsidR="00F2225C" w:rsidRPr="00F2225C" w:rsidRDefault="00F2225C" w:rsidP="00F2225C">
            <w:pPr>
              <w:jc w:val="center"/>
              <w:rPr>
                <w:rFonts w:ascii="Arial Narrow" w:hAnsi="Arial Narrow"/>
                <w:sz w:val="20"/>
              </w:rPr>
            </w:pPr>
            <w:r w:rsidRPr="00F2225C">
              <w:rPr>
                <w:rFonts w:ascii="Arial Narrow" w:hAnsi="Arial Narrow"/>
                <w:sz w:val="20"/>
              </w:rPr>
              <w:t>79</w:t>
            </w:r>
          </w:p>
        </w:tc>
        <w:tc>
          <w:tcPr>
            <w:tcW w:w="748" w:type="dxa"/>
          </w:tcPr>
          <w:p w14:paraId="7C02BA36" w14:textId="409B4A59" w:rsidR="00F2225C" w:rsidRPr="00F2225C" w:rsidRDefault="00F2225C" w:rsidP="00F2225C">
            <w:pPr>
              <w:jc w:val="center"/>
              <w:rPr>
                <w:rFonts w:ascii="Arial Narrow" w:hAnsi="Arial Narrow"/>
                <w:sz w:val="20"/>
              </w:rPr>
            </w:pPr>
            <w:r w:rsidRPr="00F2225C">
              <w:rPr>
                <w:rFonts w:ascii="Arial Narrow" w:hAnsi="Arial Narrow"/>
                <w:sz w:val="20"/>
              </w:rPr>
              <w:t>90</w:t>
            </w:r>
          </w:p>
        </w:tc>
        <w:tc>
          <w:tcPr>
            <w:tcW w:w="747" w:type="dxa"/>
          </w:tcPr>
          <w:p w14:paraId="0FAE99F0" w14:textId="20801E03" w:rsidR="00F2225C" w:rsidRPr="00F2225C" w:rsidRDefault="00F2225C" w:rsidP="00F2225C">
            <w:pPr>
              <w:jc w:val="center"/>
              <w:rPr>
                <w:rFonts w:ascii="Arial Narrow" w:hAnsi="Arial Narrow"/>
                <w:sz w:val="20"/>
              </w:rPr>
            </w:pPr>
            <w:r w:rsidRPr="00F2225C">
              <w:rPr>
                <w:rFonts w:ascii="Arial Narrow" w:hAnsi="Arial Narrow"/>
                <w:sz w:val="20"/>
              </w:rPr>
              <w:t>96</w:t>
            </w:r>
          </w:p>
        </w:tc>
        <w:tc>
          <w:tcPr>
            <w:tcW w:w="748" w:type="dxa"/>
          </w:tcPr>
          <w:p w14:paraId="38544A74" w14:textId="6E0C1F38" w:rsidR="00F2225C" w:rsidRPr="00F2225C" w:rsidRDefault="00F2225C" w:rsidP="00F2225C">
            <w:pPr>
              <w:jc w:val="center"/>
              <w:rPr>
                <w:rFonts w:ascii="Arial Narrow" w:hAnsi="Arial Narrow"/>
                <w:sz w:val="20"/>
              </w:rPr>
            </w:pPr>
            <w:r w:rsidRPr="00F2225C">
              <w:rPr>
                <w:rFonts w:ascii="Arial Narrow" w:hAnsi="Arial Narrow"/>
                <w:sz w:val="20"/>
              </w:rPr>
              <w:t>97</w:t>
            </w:r>
          </w:p>
        </w:tc>
        <w:tc>
          <w:tcPr>
            <w:tcW w:w="747" w:type="dxa"/>
          </w:tcPr>
          <w:p w14:paraId="14B91BCF" w14:textId="6216A825" w:rsidR="00F2225C" w:rsidRPr="00F2225C" w:rsidRDefault="00F2225C" w:rsidP="00F2225C">
            <w:pPr>
              <w:jc w:val="center"/>
              <w:rPr>
                <w:rFonts w:ascii="Arial Narrow" w:hAnsi="Arial Narrow"/>
                <w:sz w:val="20"/>
              </w:rPr>
            </w:pPr>
            <w:r w:rsidRPr="00F2225C">
              <w:rPr>
                <w:rFonts w:ascii="Arial Narrow" w:hAnsi="Arial Narrow"/>
                <w:sz w:val="20"/>
              </w:rPr>
              <w:t>93</w:t>
            </w:r>
          </w:p>
        </w:tc>
        <w:tc>
          <w:tcPr>
            <w:tcW w:w="748" w:type="dxa"/>
          </w:tcPr>
          <w:p w14:paraId="1C6C9B9C" w14:textId="1A3D7693" w:rsidR="00F2225C" w:rsidRPr="00F2225C" w:rsidRDefault="00F2225C" w:rsidP="00F2225C">
            <w:pPr>
              <w:jc w:val="center"/>
              <w:rPr>
                <w:rFonts w:ascii="Arial Narrow" w:hAnsi="Arial Narrow"/>
                <w:sz w:val="20"/>
              </w:rPr>
            </w:pPr>
            <w:r w:rsidRPr="00F2225C">
              <w:rPr>
                <w:rFonts w:ascii="Arial Narrow" w:hAnsi="Arial Narrow"/>
                <w:sz w:val="20"/>
              </w:rPr>
              <w:t>97</w:t>
            </w:r>
          </w:p>
        </w:tc>
      </w:tr>
    </w:tbl>
    <w:p w14:paraId="6B9F7A46" w14:textId="20B63098" w:rsidR="007C6962" w:rsidRPr="00F2225C" w:rsidRDefault="00E20DB6" w:rsidP="00F2225C">
      <w:pPr>
        <w:rPr>
          <w:rFonts w:ascii="Arial Narrow" w:hAnsi="Arial Narrow"/>
          <w:sz w:val="20"/>
          <w:szCs w:val="16"/>
          <w:lang w:eastAsia="en-US"/>
        </w:rPr>
      </w:pPr>
      <w:r>
        <w:rPr>
          <w:rFonts w:ascii="Arial Narrow" w:hAnsi="Arial Narrow"/>
          <w:sz w:val="20"/>
          <w:szCs w:val="16"/>
          <w:lang w:eastAsia="en-US"/>
        </w:rPr>
        <w:t xml:space="preserve">FA = Friedreich’s Ataxia; FSHD1 = </w:t>
      </w:r>
      <w:r w:rsidRPr="00E20DB6">
        <w:rPr>
          <w:rFonts w:ascii="Arial Narrow" w:hAnsi="Arial Narrow"/>
          <w:sz w:val="20"/>
          <w:szCs w:val="16"/>
          <w:lang w:eastAsia="en-US"/>
        </w:rPr>
        <w:t>Facioscapulohumeral dystrophy type 1</w:t>
      </w:r>
      <w:r>
        <w:rPr>
          <w:rFonts w:ascii="Arial Narrow" w:hAnsi="Arial Narrow"/>
          <w:sz w:val="20"/>
          <w:szCs w:val="16"/>
          <w:lang w:eastAsia="en-US"/>
        </w:rPr>
        <w:t>;</w:t>
      </w:r>
      <w:r w:rsidRPr="00E20DB6">
        <w:rPr>
          <w:rFonts w:ascii="Arial Narrow" w:hAnsi="Arial Narrow"/>
          <w:sz w:val="20"/>
          <w:szCs w:val="16"/>
          <w:lang w:eastAsia="en-US"/>
        </w:rPr>
        <w:t xml:space="preserve"> </w:t>
      </w:r>
      <w:r w:rsidR="00F2225C" w:rsidRPr="00F2225C">
        <w:rPr>
          <w:rFonts w:ascii="Arial Narrow" w:hAnsi="Arial Narrow"/>
          <w:sz w:val="20"/>
          <w:szCs w:val="16"/>
          <w:lang w:eastAsia="en-US"/>
        </w:rPr>
        <w:t>GPT = gene panel testing; NMD = neuromuscular disease; SGT = single gene testing</w:t>
      </w:r>
      <w:r>
        <w:rPr>
          <w:rFonts w:ascii="Arial Narrow" w:hAnsi="Arial Narrow"/>
          <w:sz w:val="20"/>
          <w:szCs w:val="16"/>
          <w:lang w:eastAsia="en-US"/>
        </w:rPr>
        <w:t xml:space="preserve">; SMA = Spinal </w:t>
      </w:r>
      <w:r w:rsidR="00A304F0">
        <w:rPr>
          <w:rFonts w:ascii="Arial Narrow" w:hAnsi="Arial Narrow"/>
          <w:sz w:val="20"/>
          <w:szCs w:val="16"/>
          <w:lang w:eastAsia="en-US"/>
        </w:rPr>
        <w:t>M</w:t>
      </w:r>
      <w:r>
        <w:rPr>
          <w:rFonts w:ascii="Arial Narrow" w:hAnsi="Arial Narrow"/>
          <w:sz w:val="20"/>
          <w:szCs w:val="16"/>
          <w:lang w:eastAsia="en-US"/>
        </w:rPr>
        <w:t xml:space="preserve">uscular </w:t>
      </w:r>
      <w:r w:rsidR="00A304F0">
        <w:rPr>
          <w:rFonts w:ascii="Arial Narrow" w:hAnsi="Arial Narrow"/>
          <w:sz w:val="20"/>
          <w:szCs w:val="16"/>
          <w:lang w:eastAsia="en-US"/>
        </w:rPr>
        <w:t>A</w:t>
      </w:r>
      <w:r>
        <w:rPr>
          <w:rFonts w:ascii="Arial Narrow" w:hAnsi="Arial Narrow"/>
          <w:sz w:val="20"/>
          <w:szCs w:val="16"/>
          <w:lang w:eastAsia="en-US"/>
        </w:rPr>
        <w:t>trophy</w:t>
      </w:r>
      <w:r w:rsidR="00F2225C" w:rsidRPr="00F2225C">
        <w:rPr>
          <w:rFonts w:ascii="Arial Narrow" w:hAnsi="Arial Narrow"/>
          <w:sz w:val="20"/>
          <w:szCs w:val="16"/>
          <w:lang w:eastAsia="en-US"/>
        </w:rPr>
        <w:t>. Table incorporates post-MSAC Executive corrections to the analyses.</w:t>
      </w:r>
    </w:p>
    <w:p w14:paraId="4595909A" w14:textId="72BD6471" w:rsidR="007D4B83" w:rsidRDefault="003750E0" w:rsidP="007D4B83">
      <w:pPr>
        <w:spacing w:before="240"/>
        <w:rPr>
          <w:rFonts w:ascii="Franklin Gothic Book" w:hAnsi="Franklin Gothic Book"/>
          <w:sz w:val="22"/>
          <w:szCs w:val="22"/>
        </w:rPr>
      </w:pPr>
      <w:r>
        <w:rPr>
          <w:rFonts w:ascii="Franklin Gothic Book" w:hAnsi="Franklin Gothic Book"/>
          <w:sz w:val="22"/>
          <w:szCs w:val="22"/>
        </w:rPr>
        <w:t xml:space="preserve">The total </w:t>
      </w:r>
      <w:r w:rsidR="008C34D5">
        <w:rPr>
          <w:rFonts w:ascii="Franklin Gothic Book" w:hAnsi="Franklin Gothic Book"/>
          <w:sz w:val="22"/>
          <w:szCs w:val="22"/>
        </w:rPr>
        <w:t xml:space="preserve">financial </w:t>
      </w:r>
      <w:r>
        <w:rPr>
          <w:rFonts w:ascii="Franklin Gothic Book" w:hAnsi="Franklin Gothic Book"/>
          <w:sz w:val="22"/>
          <w:szCs w:val="22"/>
        </w:rPr>
        <w:t xml:space="preserve">costs </w:t>
      </w:r>
      <w:r w:rsidR="0072285D">
        <w:rPr>
          <w:rFonts w:ascii="Franklin Gothic Book" w:hAnsi="Franklin Gothic Book"/>
          <w:sz w:val="22"/>
          <w:szCs w:val="22"/>
        </w:rPr>
        <w:t xml:space="preserve">to the MBS </w:t>
      </w:r>
      <w:r>
        <w:rPr>
          <w:rFonts w:ascii="Franklin Gothic Book" w:hAnsi="Franklin Gothic Book"/>
          <w:sz w:val="22"/>
          <w:szCs w:val="22"/>
        </w:rPr>
        <w:t>of single gene testing, gene panel testing, cascade testing, reproductive partner testing, fetal testing and offset biopsy costs are shown in</w:t>
      </w:r>
      <w:r w:rsidR="00D53228">
        <w:rPr>
          <w:rFonts w:ascii="Franklin Gothic Book" w:hAnsi="Franklin Gothic Book"/>
          <w:sz w:val="22"/>
          <w:szCs w:val="22"/>
        </w:rPr>
        <w:t xml:space="preserve"> Table 9</w:t>
      </w:r>
      <w:r>
        <w:rPr>
          <w:rFonts w:ascii="Franklin Gothic Book" w:hAnsi="Franklin Gothic Book"/>
          <w:sz w:val="22"/>
          <w:szCs w:val="22"/>
        </w:rPr>
        <w:t>.</w:t>
      </w:r>
      <w:r w:rsidR="00A304F0">
        <w:rPr>
          <w:rFonts w:ascii="Franklin Gothic Book" w:hAnsi="Franklin Gothic Book"/>
          <w:sz w:val="22"/>
          <w:szCs w:val="22"/>
        </w:rPr>
        <w:t xml:space="preserve"> </w:t>
      </w:r>
      <w:r w:rsidR="0035490F">
        <w:rPr>
          <w:rFonts w:ascii="Franklin Gothic Book" w:hAnsi="Franklin Gothic Book"/>
          <w:sz w:val="22"/>
          <w:szCs w:val="22"/>
        </w:rPr>
        <w:t>Costs to the MBS</w:t>
      </w:r>
      <w:r w:rsidR="00A304F0">
        <w:rPr>
          <w:rFonts w:ascii="Franklin Gothic Book" w:hAnsi="Franklin Gothic Book"/>
          <w:sz w:val="22"/>
          <w:szCs w:val="22"/>
        </w:rPr>
        <w:t xml:space="preserve"> </w:t>
      </w:r>
      <w:r w:rsidR="00636EBC">
        <w:rPr>
          <w:rFonts w:ascii="Franklin Gothic Book" w:hAnsi="Franklin Gothic Book"/>
          <w:sz w:val="22"/>
          <w:szCs w:val="22"/>
        </w:rPr>
        <w:t>are based on</w:t>
      </w:r>
      <w:r w:rsidR="00A304F0">
        <w:rPr>
          <w:rFonts w:ascii="Franklin Gothic Book" w:hAnsi="Franklin Gothic Book"/>
          <w:sz w:val="22"/>
          <w:szCs w:val="22"/>
        </w:rPr>
        <w:t xml:space="preserve"> </w:t>
      </w:r>
      <w:r w:rsidR="004B3D54">
        <w:rPr>
          <w:rFonts w:ascii="Franklin Gothic Book" w:hAnsi="Franklin Gothic Book"/>
          <w:sz w:val="22"/>
          <w:szCs w:val="22"/>
        </w:rPr>
        <w:t>genetic testing</w:t>
      </w:r>
      <w:r w:rsidR="00A304F0">
        <w:rPr>
          <w:rFonts w:ascii="Franklin Gothic Book" w:hAnsi="Franklin Gothic Book"/>
          <w:sz w:val="22"/>
          <w:szCs w:val="22"/>
        </w:rPr>
        <w:t xml:space="preserve"> be</w:t>
      </w:r>
      <w:r w:rsidR="00636EBC">
        <w:rPr>
          <w:rFonts w:ascii="Franklin Gothic Book" w:hAnsi="Franklin Gothic Book"/>
          <w:sz w:val="22"/>
          <w:szCs w:val="22"/>
        </w:rPr>
        <w:t>ing</w:t>
      </w:r>
      <w:r w:rsidR="00A304F0">
        <w:rPr>
          <w:rFonts w:ascii="Franklin Gothic Book" w:hAnsi="Franklin Gothic Book"/>
          <w:sz w:val="22"/>
          <w:szCs w:val="22"/>
        </w:rPr>
        <w:t xml:space="preserve"> conducted on an outpatient basis </w:t>
      </w:r>
      <w:r w:rsidR="00636EBC">
        <w:rPr>
          <w:rFonts w:ascii="Franklin Gothic Book" w:hAnsi="Franklin Gothic Book"/>
          <w:sz w:val="22"/>
          <w:szCs w:val="22"/>
        </w:rPr>
        <w:t>(</w:t>
      </w:r>
      <w:r w:rsidR="00A304F0">
        <w:rPr>
          <w:rFonts w:ascii="Franklin Gothic Book" w:hAnsi="Franklin Gothic Book"/>
          <w:sz w:val="22"/>
          <w:szCs w:val="22"/>
        </w:rPr>
        <w:t>85% benefit</w:t>
      </w:r>
      <w:r w:rsidR="0035490F">
        <w:rPr>
          <w:rFonts w:ascii="Franklin Gothic Book" w:hAnsi="Franklin Gothic Book"/>
          <w:sz w:val="22"/>
          <w:szCs w:val="22"/>
        </w:rPr>
        <w:t>, including the greatest permissible gap where applicable</w:t>
      </w:r>
      <w:r w:rsidR="00636EBC">
        <w:rPr>
          <w:rFonts w:ascii="Franklin Gothic Book" w:hAnsi="Franklin Gothic Book"/>
          <w:sz w:val="22"/>
          <w:szCs w:val="22"/>
        </w:rPr>
        <w:t>)</w:t>
      </w:r>
      <w:r w:rsidR="00A304F0">
        <w:rPr>
          <w:rFonts w:ascii="Franklin Gothic Book" w:hAnsi="Franklin Gothic Book"/>
          <w:sz w:val="22"/>
          <w:szCs w:val="22"/>
        </w:rPr>
        <w:t xml:space="preserve">, </w:t>
      </w:r>
      <w:r w:rsidR="00636EBC">
        <w:rPr>
          <w:rFonts w:ascii="Franklin Gothic Book" w:hAnsi="Franklin Gothic Book"/>
          <w:sz w:val="22"/>
          <w:szCs w:val="22"/>
        </w:rPr>
        <w:t xml:space="preserve">and </w:t>
      </w:r>
      <w:r w:rsidR="00A304F0">
        <w:rPr>
          <w:rFonts w:ascii="Franklin Gothic Book" w:hAnsi="Franklin Gothic Book"/>
          <w:sz w:val="22"/>
          <w:szCs w:val="22"/>
        </w:rPr>
        <w:t>biops</w:t>
      </w:r>
      <w:r w:rsidR="00636EBC">
        <w:rPr>
          <w:rFonts w:ascii="Franklin Gothic Book" w:hAnsi="Franklin Gothic Book"/>
          <w:sz w:val="22"/>
          <w:szCs w:val="22"/>
        </w:rPr>
        <w:t>ies</w:t>
      </w:r>
      <w:r w:rsidR="00A304F0">
        <w:rPr>
          <w:rFonts w:ascii="Franklin Gothic Book" w:hAnsi="Franklin Gothic Book"/>
          <w:sz w:val="22"/>
          <w:szCs w:val="22"/>
        </w:rPr>
        <w:t xml:space="preserve"> on an inpatient basis </w:t>
      </w:r>
      <w:r w:rsidR="00636EBC">
        <w:rPr>
          <w:rFonts w:ascii="Franklin Gothic Book" w:hAnsi="Franklin Gothic Book"/>
          <w:sz w:val="22"/>
          <w:szCs w:val="22"/>
        </w:rPr>
        <w:t>(</w:t>
      </w:r>
      <w:r w:rsidR="00A304F0">
        <w:rPr>
          <w:rFonts w:ascii="Franklin Gothic Book" w:hAnsi="Franklin Gothic Book"/>
          <w:sz w:val="22"/>
          <w:szCs w:val="22"/>
        </w:rPr>
        <w:t>75% benefit</w:t>
      </w:r>
      <w:r w:rsidR="00636EBC">
        <w:rPr>
          <w:rFonts w:ascii="Franklin Gothic Book" w:hAnsi="Franklin Gothic Book"/>
          <w:sz w:val="22"/>
          <w:szCs w:val="22"/>
        </w:rPr>
        <w:t>)</w:t>
      </w:r>
      <w:r w:rsidR="00A304F0">
        <w:rPr>
          <w:rFonts w:ascii="Franklin Gothic Book" w:hAnsi="Franklin Gothic Book"/>
          <w:sz w:val="22"/>
          <w:szCs w:val="22"/>
        </w:rPr>
        <w:t>.</w:t>
      </w:r>
      <w:bookmarkStart w:id="22" w:name="_Ref114230020"/>
    </w:p>
    <w:p w14:paraId="1A62A93D" w14:textId="77777777" w:rsidR="00290AA4" w:rsidRPr="007D4B83" w:rsidRDefault="00290AA4" w:rsidP="007D4B83">
      <w:pPr>
        <w:spacing w:before="240"/>
        <w:rPr>
          <w:rFonts w:ascii="Franklin Gothic Book" w:hAnsi="Franklin Gothic Book"/>
          <w:sz w:val="22"/>
          <w:szCs w:val="22"/>
        </w:rPr>
      </w:pPr>
    </w:p>
    <w:p w14:paraId="11E2D179" w14:textId="69DBE7AF" w:rsidR="003750E0" w:rsidRDefault="003750E0" w:rsidP="007D4B83">
      <w:pPr>
        <w:pStyle w:val="Caption"/>
        <w:spacing w:before="240"/>
        <w:rPr>
          <w:rFonts w:ascii="Franklin Gothic Book" w:hAnsi="Franklin Gothic Book"/>
          <w:sz w:val="22"/>
          <w:szCs w:val="22"/>
        </w:rPr>
      </w:pPr>
      <w:r>
        <w:t xml:space="preserve">Table </w:t>
      </w:r>
      <w:r w:rsidR="008260AB">
        <w:fldChar w:fldCharType="begin"/>
      </w:r>
      <w:r w:rsidR="008260AB">
        <w:instrText xml:space="preserve"> SEQ Table \* ARABIC </w:instrText>
      </w:r>
      <w:r w:rsidR="008260AB">
        <w:fldChar w:fldCharType="separate"/>
      </w:r>
      <w:r w:rsidR="008260AB">
        <w:rPr>
          <w:noProof/>
        </w:rPr>
        <w:t>9</w:t>
      </w:r>
      <w:r w:rsidR="008260AB">
        <w:rPr>
          <w:noProof/>
        </w:rPr>
        <w:fldChar w:fldCharType="end"/>
      </w:r>
      <w:bookmarkEnd w:id="22"/>
      <w:r>
        <w:t xml:space="preserve"> </w:t>
      </w:r>
      <w:r w:rsidR="00B17238">
        <w:t xml:space="preserve">Net financial </w:t>
      </w:r>
      <w:r w:rsidR="004972A3">
        <w:t>implications of SGT</w:t>
      </w:r>
      <w:r>
        <w:t xml:space="preserve"> </w:t>
      </w:r>
      <w:r w:rsidR="004B3D54">
        <w:t xml:space="preserve">to the MBS </w:t>
      </w:r>
      <w:r>
        <w:t>by year</w:t>
      </w:r>
      <w:r w:rsidR="009E6EE0">
        <w:t xml:space="preserve">, and cumulative total cost, </w:t>
      </w:r>
      <w:r w:rsidR="00E6112A">
        <w:t xml:space="preserve">using the </w:t>
      </w:r>
      <w:r w:rsidR="009E6EE0">
        <w:t xml:space="preserve">base case </w:t>
      </w:r>
      <w:r w:rsidR="00E6112A">
        <w:t xml:space="preserve">of </w:t>
      </w:r>
      <w:r w:rsidR="009E6EE0">
        <w:t>95% diagnostic yield from SGT</w:t>
      </w:r>
      <w:r w:rsidR="00E6112A">
        <w:t>,</w:t>
      </w:r>
      <w:r w:rsidR="00F9243F">
        <w:t xml:space="preserve"> and offset from </w:t>
      </w:r>
      <w:r w:rsidR="00FE12E8">
        <w:t xml:space="preserve">all </w:t>
      </w:r>
      <w:r w:rsidR="00F9243F">
        <w:t>biopsies avoided</w:t>
      </w:r>
    </w:p>
    <w:tbl>
      <w:tblPr>
        <w:tblStyle w:val="TableGrid"/>
        <w:tblW w:w="0" w:type="auto"/>
        <w:tblLayout w:type="fixed"/>
        <w:tblCellMar>
          <w:left w:w="57" w:type="dxa"/>
          <w:right w:w="57" w:type="dxa"/>
        </w:tblCellMar>
        <w:tblLook w:val="04A0" w:firstRow="1" w:lastRow="0" w:firstColumn="1" w:lastColumn="0" w:noHBand="0" w:noVBand="1"/>
      </w:tblPr>
      <w:tblGrid>
        <w:gridCol w:w="1696"/>
        <w:gridCol w:w="1045"/>
        <w:gridCol w:w="1046"/>
        <w:gridCol w:w="1046"/>
        <w:gridCol w:w="1045"/>
        <w:gridCol w:w="1046"/>
        <w:gridCol w:w="1046"/>
        <w:gridCol w:w="1046"/>
      </w:tblGrid>
      <w:tr w:rsidR="003750E0" w:rsidRPr="00636EBC" w14:paraId="0C7D073D" w14:textId="77777777" w:rsidTr="00202FC0">
        <w:tc>
          <w:tcPr>
            <w:tcW w:w="1696" w:type="dxa"/>
          </w:tcPr>
          <w:p w14:paraId="538EB541" w14:textId="4568CD21" w:rsidR="003750E0" w:rsidRPr="00636EBC" w:rsidRDefault="0072285D" w:rsidP="00636EBC">
            <w:pPr>
              <w:rPr>
                <w:rFonts w:ascii="Arial Narrow" w:hAnsi="Arial Narrow"/>
                <w:b/>
                <w:bCs/>
                <w:sz w:val="20"/>
              </w:rPr>
            </w:pPr>
            <w:r>
              <w:rPr>
                <w:rFonts w:ascii="Arial Narrow" w:hAnsi="Arial Narrow"/>
                <w:b/>
                <w:bCs/>
                <w:sz w:val="20"/>
              </w:rPr>
              <w:t>Parameter</w:t>
            </w:r>
          </w:p>
        </w:tc>
        <w:tc>
          <w:tcPr>
            <w:tcW w:w="1045" w:type="dxa"/>
          </w:tcPr>
          <w:p w14:paraId="24CC67BD" w14:textId="3D7C16F3" w:rsidR="003750E0" w:rsidRPr="00636EBC" w:rsidRDefault="003750E0" w:rsidP="00636EBC">
            <w:pPr>
              <w:jc w:val="center"/>
              <w:rPr>
                <w:rFonts w:ascii="Arial Narrow" w:hAnsi="Arial Narrow"/>
                <w:b/>
                <w:bCs/>
                <w:sz w:val="20"/>
              </w:rPr>
            </w:pPr>
            <w:r w:rsidRPr="00636EBC">
              <w:rPr>
                <w:rFonts w:ascii="Arial Narrow" w:hAnsi="Arial Narrow"/>
                <w:b/>
                <w:bCs/>
                <w:sz w:val="20"/>
              </w:rPr>
              <w:t>Year 1</w:t>
            </w:r>
          </w:p>
        </w:tc>
        <w:tc>
          <w:tcPr>
            <w:tcW w:w="1046" w:type="dxa"/>
          </w:tcPr>
          <w:p w14:paraId="50B4916E" w14:textId="5C89505A" w:rsidR="003750E0" w:rsidRPr="00636EBC" w:rsidRDefault="003750E0" w:rsidP="00636EBC">
            <w:pPr>
              <w:jc w:val="center"/>
              <w:rPr>
                <w:rFonts w:ascii="Arial Narrow" w:hAnsi="Arial Narrow"/>
                <w:b/>
                <w:bCs/>
                <w:sz w:val="20"/>
              </w:rPr>
            </w:pPr>
            <w:r w:rsidRPr="00636EBC">
              <w:rPr>
                <w:rFonts w:ascii="Arial Narrow" w:hAnsi="Arial Narrow"/>
                <w:b/>
                <w:bCs/>
                <w:sz w:val="20"/>
              </w:rPr>
              <w:t>Year 2</w:t>
            </w:r>
          </w:p>
        </w:tc>
        <w:tc>
          <w:tcPr>
            <w:tcW w:w="1046" w:type="dxa"/>
          </w:tcPr>
          <w:p w14:paraId="3A3C05A6" w14:textId="1ADC7200" w:rsidR="003750E0" w:rsidRPr="00636EBC" w:rsidRDefault="003750E0" w:rsidP="00636EBC">
            <w:pPr>
              <w:jc w:val="center"/>
              <w:rPr>
                <w:rFonts w:ascii="Arial Narrow" w:hAnsi="Arial Narrow"/>
                <w:b/>
                <w:bCs/>
                <w:sz w:val="20"/>
              </w:rPr>
            </w:pPr>
            <w:r w:rsidRPr="00636EBC">
              <w:rPr>
                <w:rFonts w:ascii="Arial Narrow" w:hAnsi="Arial Narrow"/>
                <w:b/>
                <w:bCs/>
                <w:sz w:val="20"/>
              </w:rPr>
              <w:t>Year 3</w:t>
            </w:r>
          </w:p>
        </w:tc>
        <w:tc>
          <w:tcPr>
            <w:tcW w:w="1045" w:type="dxa"/>
          </w:tcPr>
          <w:p w14:paraId="2BB17F3B" w14:textId="160E33A8" w:rsidR="003750E0" w:rsidRPr="00636EBC" w:rsidRDefault="003750E0" w:rsidP="00636EBC">
            <w:pPr>
              <w:jc w:val="center"/>
              <w:rPr>
                <w:rFonts w:ascii="Arial Narrow" w:hAnsi="Arial Narrow"/>
                <w:b/>
                <w:bCs/>
                <w:sz w:val="20"/>
              </w:rPr>
            </w:pPr>
            <w:r w:rsidRPr="00636EBC">
              <w:rPr>
                <w:rFonts w:ascii="Arial Narrow" w:hAnsi="Arial Narrow"/>
                <w:b/>
                <w:bCs/>
                <w:sz w:val="20"/>
              </w:rPr>
              <w:t>Year 4</w:t>
            </w:r>
          </w:p>
        </w:tc>
        <w:tc>
          <w:tcPr>
            <w:tcW w:w="1046" w:type="dxa"/>
          </w:tcPr>
          <w:p w14:paraId="536AD0AD" w14:textId="39E07CB6" w:rsidR="003750E0" w:rsidRPr="00636EBC" w:rsidRDefault="003750E0" w:rsidP="00636EBC">
            <w:pPr>
              <w:jc w:val="center"/>
              <w:rPr>
                <w:rFonts w:ascii="Arial Narrow" w:hAnsi="Arial Narrow"/>
                <w:b/>
                <w:bCs/>
                <w:sz w:val="20"/>
              </w:rPr>
            </w:pPr>
            <w:r w:rsidRPr="00636EBC">
              <w:rPr>
                <w:rFonts w:ascii="Arial Narrow" w:hAnsi="Arial Narrow"/>
                <w:b/>
                <w:bCs/>
                <w:sz w:val="20"/>
              </w:rPr>
              <w:t>Year 5</w:t>
            </w:r>
          </w:p>
        </w:tc>
        <w:tc>
          <w:tcPr>
            <w:tcW w:w="1046" w:type="dxa"/>
          </w:tcPr>
          <w:p w14:paraId="43D4594F" w14:textId="741D334C" w:rsidR="003750E0" w:rsidRPr="00636EBC" w:rsidRDefault="003750E0" w:rsidP="00636EBC">
            <w:pPr>
              <w:jc w:val="center"/>
              <w:rPr>
                <w:rFonts w:ascii="Arial Narrow" w:hAnsi="Arial Narrow"/>
                <w:b/>
                <w:bCs/>
                <w:sz w:val="20"/>
              </w:rPr>
            </w:pPr>
            <w:r w:rsidRPr="00636EBC">
              <w:rPr>
                <w:rFonts w:ascii="Arial Narrow" w:hAnsi="Arial Narrow"/>
                <w:b/>
                <w:bCs/>
                <w:sz w:val="20"/>
              </w:rPr>
              <w:t>Year 6</w:t>
            </w:r>
          </w:p>
        </w:tc>
        <w:tc>
          <w:tcPr>
            <w:tcW w:w="1046" w:type="dxa"/>
          </w:tcPr>
          <w:p w14:paraId="538C3712" w14:textId="77777777" w:rsidR="003750E0" w:rsidRPr="00636EBC" w:rsidRDefault="003750E0" w:rsidP="00636EBC">
            <w:pPr>
              <w:jc w:val="center"/>
              <w:rPr>
                <w:rFonts w:ascii="Arial Narrow" w:hAnsi="Arial Narrow"/>
                <w:b/>
                <w:bCs/>
                <w:sz w:val="20"/>
              </w:rPr>
            </w:pPr>
            <w:r w:rsidRPr="00636EBC">
              <w:rPr>
                <w:rFonts w:ascii="Arial Narrow" w:hAnsi="Arial Narrow"/>
                <w:b/>
                <w:bCs/>
                <w:sz w:val="20"/>
              </w:rPr>
              <w:t xml:space="preserve">Total </w:t>
            </w:r>
          </w:p>
          <w:p w14:paraId="44730B15" w14:textId="429E721A" w:rsidR="003750E0" w:rsidRPr="00636EBC" w:rsidRDefault="003750E0" w:rsidP="00636EBC">
            <w:pPr>
              <w:jc w:val="center"/>
              <w:rPr>
                <w:rFonts w:ascii="Arial Narrow" w:hAnsi="Arial Narrow"/>
                <w:b/>
                <w:bCs/>
                <w:sz w:val="20"/>
              </w:rPr>
            </w:pPr>
            <w:r w:rsidRPr="00636EBC">
              <w:rPr>
                <w:rFonts w:ascii="Arial Narrow" w:hAnsi="Arial Narrow"/>
                <w:b/>
                <w:bCs/>
                <w:sz w:val="20"/>
              </w:rPr>
              <w:t>(yrs 1-6)</w:t>
            </w:r>
          </w:p>
        </w:tc>
      </w:tr>
      <w:tr w:rsidR="0035490F" w:rsidRPr="00636EBC" w14:paraId="2689C050" w14:textId="77777777" w:rsidTr="00202FC0">
        <w:tc>
          <w:tcPr>
            <w:tcW w:w="9016" w:type="dxa"/>
            <w:gridSpan w:val="8"/>
          </w:tcPr>
          <w:p w14:paraId="12FD9D57" w14:textId="515CCF84" w:rsidR="0035490F" w:rsidRPr="00636EBC" w:rsidRDefault="0035490F" w:rsidP="0072285D">
            <w:pPr>
              <w:rPr>
                <w:rFonts w:ascii="Arial Narrow" w:hAnsi="Arial Narrow"/>
                <w:b/>
                <w:bCs/>
                <w:sz w:val="20"/>
              </w:rPr>
            </w:pPr>
            <w:r>
              <w:rPr>
                <w:rFonts w:ascii="Arial Narrow" w:hAnsi="Arial Narrow"/>
                <w:b/>
                <w:bCs/>
                <w:sz w:val="20"/>
              </w:rPr>
              <w:t>Estimated cost of the proposed health technology</w:t>
            </w:r>
          </w:p>
        </w:tc>
      </w:tr>
      <w:tr w:rsidR="003750E0" w14:paraId="66269918" w14:textId="77777777" w:rsidTr="00202FC0">
        <w:trPr>
          <w:trHeight w:val="900"/>
        </w:trPr>
        <w:tc>
          <w:tcPr>
            <w:tcW w:w="1696" w:type="dxa"/>
          </w:tcPr>
          <w:p w14:paraId="338B6423" w14:textId="276AE1C5" w:rsidR="003750E0" w:rsidRPr="003750E0" w:rsidRDefault="003750E0" w:rsidP="00E20DB6">
            <w:pPr>
              <w:rPr>
                <w:rFonts w:ascii="Arial Narrow" w:hAnsi="Arial Narrow"/>
                <w:sz w:val="20"/>
              </w:rPr>
            </w:pPr>
            <w:r w:rsidRPr="003750E0">
              <w:rPr>
                <w:rFonts w:ascii="Arial Narrow" w:hAnsi="Arial Narrow"/>
                <w:sz w:val="20"/>
              </w:rPr>
              <w:t>XXXX (A</w:t>
            </w:r>
            <w:r w:rsidR="009E6EE0">
              <w:rPr>
                <w:rFonts w:ascii="Arial Narrow" w:hAnsi="Arial Narrow"/>
                <w:sz w:val="20"/>
              </w:rPr>
              <w:t>ffected individuals</w:t>
            </w:r>
            <w:r w:rsidRPr="003750E0">
              <w:rPr>
                <w:rFonts w:ascii="Arial Narrow" w:hAnsi="Arial Narrow"/>
                <w:sz w:val="20"/>
              </w:rPr>
              <w:t xml:space="preserve"> + cascade + reproductive partner)</w:t>
            </w:r>
          </w:p>
        </w:tc>
        <w:tc>
          <w:tcPr>
            <w:tcW w:w="1045" w:type="dxa"/>
          </w:tcPr>
          <w:p w14:paraId="058D564E" w14:textId="5F3C3341" w:rsidR="003750E0" w:rsidRPr="003750E0" w:rsidRDefault="003750E0" w:rsidP="00EE43FD">
            <w:pPr>
              <w:jc w:val="right"/>
              <w:rPr>
                <w:rFonts w:ascii="Arial Narrow" w:hAnsi="Arial Narrow"/>
                <w:sz w:val="20"/>
              </w:rPr>
            </w:pPr>
            <w:r w:rsidRPr="003750E0">
              <w:rPr>
                <w:rFonts w:ascii="Arial Narrow" w:hAnsi="Arial Narrow"/>
                <w:sz w:val="20"/>
              </w:rPr>
              <w:t>$2,568,624</w:t>
            </w:r>
          </w:p>
        </w:tc>
        <w:tc>
          <w:tcPr>
            <w:tcW w:w="1046" w:type="dxa"/>
          </w:tcPr>
          <w:p w14:paraId="1A349BAC" w14:textId="238736E2" w:rsidR="003750E0" w:rsidRPr="003750E0" w:rsidRDefault="003750E0" w:rsidP="00EE43FD">
            <w:pPr>
              <w:jc w:val="right"/>
              <w:rPr>
                <w:rFonts w:ascii="Arial Narrow" w:hAnsi="Arial Narrow"/>
                <w:sz w:val="20"/>
              </w:rPr>
            </w:pPr>
            <w:r w:rsidRPr="003750E0">
              <w:rPr>
                <w:rFonts w:ascii="Arial Narrow" w:hAnsi="Arial Narrow"/>
                <w:sz w:val="20"/>
              </w:rPr>
              <w:t>$2,928,231</w:t>
            </w:r>
          </w:p>
        </w:tc>
        <w:tc>
          <w:tcPr>
            <w:tcW w:w="1046" w:type="dxa"/>
          </w:tcPr>
          <w:p w14:paraId="6F44C4D6" w14:textId="15512FA8" w:rsidR="003750E0" w:rsidRPr="003750E0" w:rsidRDefault="003750E0" w:rsidP="00EE43FD">
            <w:pPr>
              <w:jc w:val="right"/>
              <w:rPr>
                <w:rFonts w:ascii="Arial Narrow" w:hAnsi="Arial Narrow"/>
                <w:sz w:val="20"/>
              </w:rPr>
            </w:pPr>
            <w:r w:rsidRPr="003750E0">
              <w:rPr>
                <w:rFonts w:ascii="Arial Narrow" w:hAnsi="Arial Narrow"/>
                <w:sz w:val="20"/>
              </w:rPr>
              <w:t>$3,127,351</w:t>
            </w:r>
          </w:p>
        </w:tc>
        <w:tc>
          <w:tcPr>
            <w:tcW w:w="1045" w:type="dxa"/>
          </w:tcPr>
          <w:p w14:paraId="3C403E27" w14:textId="669DF24E" w:rsidR="003750E0" w:rsidRPr="003750E0" w:rsidRDefault="003750E0" w:rsidP="00EE43FD">
            <w:pPr>
              <w:jc w:val="right"/>
              <w:rPr>
                <w:rFonts w:ascii="Arial Narrow" w:hAnsi="Arial Narrow"/>
                <w:sz w:val="20"/>
              </w:rPr>
            </w:pPr>
            <w:r w:rsidRPr="003750E0">
              <w:rPr>
                <w:rFonts w:ascii="Arial Narrow" w:hAnsi="Arial Narrow"/>
                <w:sz w:val="20"/>
              </w:rPr>
              <w:t>$3,152,369</w:t>
            </w:r>
          </w:p>
        </w:tc>
        <w:tc>
          <w:tcPr>
            <w:tcW w:w="1046" w:type="dxa"/>
          </w:tcPr>
          <w:p w14:paraId="079D341D" w14:textId="546595F7" w:rsidR="003750E0" w:rsidRPr="003750E0" w:rsidRDefault="003750E0" w:rsidP="00EE43FD">
            <w:pPr>
              <w:jc w:val="right"/>
              <w:rPr>
                <w:rFonts w:ascii="Arial Narrow" w:hAnsi="Arial Narrow"/>
                <w:sz w:val="20"/>
              </w:rPr>
            </w:pPr>
            <w:r w:rsidRPr="003750E0">
              <w:rPr>
                <w:rFonts w:ascii="Arial Narrow" w:hAnsi="Arial Narrow"/>
                <w:sz w:val="20"/>
              </w:rPr>
              <w:t>$3,026,275</w:t>
            </w:r>
          </w:p>
        </w:tc>
        <w:tc>
          <w:tcPr>
            <w:tcW w:w="1046" w:type="dxa"/>
          </w:tcPr>
          <w:p w14:paraId="34E4FD20" w14:textId="583719B1" w:rsidR="003750E0" w:rsidRPr="003750E0" w:rsidRDefault="003750E0" w:rsidP="00EE43FD">
            <w:pPr>
              <w:jc w:val="right"/>
              <w:rPr>
                <w:rFonts w:ascii="Arial Narrow" w:hAnsi="Arial Narrow"/>
                <w:sz w:val="20"/>
              </w:rPr>
            </w:pPr>
            <w:r w:rsidRPr="003750E0">
              <w:rPr>
                <w:rFonts w:ascii="Arial Narrow" w:hAnsi="Arial Narrow"/>
                <w:sz w:val="20"/>
              </w:rPr>
              <w:t>$3,159,431</w:t>
            </w:r>
          </w:p>
        </w:tc>
        <w:tc>
          <w:tcPr>
            <w:tcW w:w="1046" w:type="dxa"/>
          </w:tcPr>
          <w:p w14:paraId="4FCF7E21" w14:textId="54E189E5" w:rsidR="003750E0" w:rsidRPr="003750E0" w:rsidRDefault="003750E0" w:rsidP="00EE43FD">
            <w:pPr>
              <w:jc w:val="right"/>
              <w:rPr>
                <w:rFonts w:ascii="Arial Narrow" w:hAnsi="Arial Narrow"/>
                <w:sz w:val="20"/>
              </w:rPr>
            </w:pPr>
            <w:r w:rsidRPr="003750E0">
              <w:rPr>
                <w:rFonts w:ascii="Arial Narrow" w:hAnsi="Arial Narrow"/>
                <w:sz w:val="20"/>
              </w:rPr>
              <w:t>$17,962,280</w:t>
            </w:r>
          </w:p>
        </w:tc>
      </w:tr>
      <w:tr w:rsidR="003750E0" w14:paraId="591763C4" w14:textId="77777777" w:rsidTr="00202FC0">
        <w:tc>
          <w:tcPr>
            <w:tcW w:w="1696" w:type="dxa"/>
          </w:tcPr>
          <w:p w14:paraId="71CC1724" w14:textId="13681A2F" w:rsidR="003750E0" w:rsidRPr="003750E0" w:rsidRDefault="003750E0" w:rsidP="00E20DB6">
            <w:pPr>
              <w:rPr>
                <w:rFonts w:ascii="Arial Narrow" w:hAnsi="Arial Narrow"/>
                <w:sz w:val="20"/>
              </w:rPr>
            </w:pPr>
            <w:r w:rsidRPr="003750E0">
              <w:rPr>
                <w:rFonts w:ascii="Arial Narrow" w:hAnsi="Arial Narrow"/>
                <w:sz w:val="20"/>
              </w:rPr>
              <w:t>YYYY (A</w:t>
            </w:r>
            <w:r w:rsidR="009E6EE0">
              <w:rPr>
                <w:rFonts w:ascii="Arial Narrow" w:hAnsi="Arial Narrow"/>
                <w:sz w:val="20"/>
              </w:rPr>
              <w:t>ffected individuals</w:t>
            </w:r>
            <w:r w:rsidRPr="003750E0">
              <w:rPr>
                <w:rFonts w:ascii="Arial Narrow" w:hAnsi="Arial Narrow"/>
                <w:sz w:val="20"/>
              </w:rPr>
              <w:t xml:space="preserve"> + cascade)</w:t>
            </w:r>
          </w:p>
        </w:tc>
        <w:tc>
          <w:tcPr>
            <w:tcW w:w="1045" w:type="dxa"/>
          </w:tcPr>
          <w:p w14:paraId="3DA0AFB9" w14:textId="5A61ADDA" w:rsidR="003750E0" w:rsidRPr="003750E0" w:rsidRDefault="003750E0" w:rsidP="00EE43FD">
            <w:pPr>
              <w:jc w:val="right"/>
              <w:rPr>
                <w:rFonts w:ascii="Arial Narrow" w:hAnsi="Arial Narrow"/>
                <w:sz w:val="20"/>
              </w:rPr>
            </w:pPr>
            <w:r w:rsidRPr="003750E0">
              <w:rPr>
                <w:rFonts w:ascii="Arial Narrow" w:hAnsi="Arial Narrow"/>
                <w:sz w:val="20"/>
              </w:rPr>
              <w:t>$270,392</w:t>
            </w:r>
          </w:p>
        </w:tc>
        <w:tc>
          <w:tcPr>
            <w:tcW w:w="1046" w:type="dxa"/>
          </w:tcPr>
          <w:p w14:paraId="5882188F" w14:textId="70576D9E" w:rsidR="003750E0" w:rsidRPr="003750E0" w:rsidRDefault="003750E0" w:rsidP="00EE43FD">
            <w:pPr>
              <w:jc w:val="right"/>
              <w:rPr>
                <w:rFonts w:ascii="Arial Narrow" w:hAnsi="Arial Narrow"/>
                <w:sz w:val="20"/>
              </w:rPr>
            </w:pPr>
            <w:r w:rsidRPr="003750E0">
              <w:rPr>
                <w:rFonts w:ascii="Arial Narrow" w:hAnsi="Arial Narrow"/>
                <w:sz w:val="20"/>
              </w:rPr>
              <w:t>$308,247</w:t>
            </w:r>
          </w:p>
        </w:tc>
        <w:tc>
          <w:tcPr>
            <w:tcW w:w="1046" w:type="dxa"/>
          </w:tcPr>
          <w:p w14:paraId="11F50350" w14:textId="6515360A" w:rsidR="003750E0" w:rsidRPr="003750E0" w:rsidRDefault="003750E0" w:rsidP="00EE43FD">
            <w:pPr>
              <w:jc w:val="right"/>
              <w:rPr>
                <w:rFonts w:ascii="Arial Narrow" w:hAnsi="Arial Narrow"/>
                <w:sz w:val="20"/>
              </w:rPr>
            </w:pPr>
            <w:r w:rsidRPr="003750E0">
              <w:rPr>
                <w:rFonts w:ascii="Arial Narrow" w:hAnsi="Arial Narrow"/>
                <w:sz w:val="20"/>
              </w:rPr>
              <w:t>$329,208</w:t>
            </w:r>
          </w:p>
        </w:tc>
        <w:tc>
          <w:tcPr>
            <w:tcW w:w="1045" w:type="dxa"/>
          </w:tcPr>
          <w:p w14:paraId="7F8CD3F9" w14:textId="79C71058" w:rsidR="003750E0" w:rsidRPr="003750E0" w:rsidRDefault="003750E0" w:rsidP="00EE43FD">
            <w:pPr>
              <w:jc w:val="right"/>
              <w:rPr>
                <w:rFonts w:ascii="Arial Narrow" w:hAnsi="Arial Narrow"/>
                <w:sz w:val="20"/>
              </w:rPr>
            </w:pPr>
            <w:r w:rsidRPr="003750E0">
              <w:rPr>
                <w:rFonts w:ascii="Arial Narrow" w:hAnsi="Arial Narrow"/>
                <w:sz w:val="20"/>
              </w:rPr>
              <w:t>$331,841</w:t>
            </w:r>
          </w:p>
        </w:tc>
        <w:tc>
          <w:tcPr>
            <w:tcW w:w="1046" w:type="dxa"/>
          </w:tcPr>
          <w:p w14:paraId="58ACF556" w14:textId="64CB03B1" w:rsidR="003750E0" w:rsidRPr="003750E0" w:rsidRDefault="003750E0" w:rsidP="00EE43FD">
            <w:pPr>
              <w:jc w:val="right"/>
              <w:rPr>
                <w:rFonts w:ascii="Arial Narrow" w:hAnsi="Arial Narrow"/>
                <w:sz w:val="20"/>
              </w:rPr>
            </w:pPr>
            <w:r w:rsidRPr="003750E0">
              <w:rPr>
                <w:rFonts w:ascii="Arial Narrow" w:hAnsi="Arial Narrow"/>
                <w:sz w:val="20"/>
              </w:rPr>
              <w:t>$318,568</w:t>
            </w:r>
          </w:p>
        </w:tc>
        <w:tc>
          <w:tcPr>
            <w:tcW w:w="1046" w:type="dxa"/>
          </w:tcPr>
          <w:p w14:paraId="7E4CC412" w14:textId="5B5983BA" w:rsidR="003750E0" w:rsidRPr="003750E0" w:rsidRDefault="003750E0" w:rsidP="00EE43FD">
            <w:pPr>
              <w:jc w:val="right"/>
              <w:rPr>
                <w:rFonts w:ascii="Arial Narrow" w:hAnsi="Arial Narrow"/>
                <w:sz w:val="20"/>
              </w:rPr>
            </w:pPr>
            <w:r w:rsidRPr="003750E0">
              <w:rPr>
                <w:rFonts w:ascii="Arial Narrow" w:hAnsi="Arial Narrow"/>
                <w:sz w:val="20"/>
              </w:rPr>
              <w:t>$332,585</w:t>
            </w:r>
          </w:p>
        </w:tc>
        <w:tc>
          <w:tcPr>
            <w:tcW w:w="1046" w:type="dxa"/>
          </w:tcPr>
          <w:p w14:paraId="620AF2F4" w14:textId="141F5C07" w:rsidR="003750E0" w:rsidRPr="003750E0" w:rsidRDefault="003750E0" w:rsidP="00EE43FD">
            <w:pPr>
              <w:jc w:val="right"/>
              <w:rPr>
                <w:rFonts w:ascii="Arial Narrow" w:hAnsi="Arial Narrow"/>
                <w:sz w:val="20"/>
              </w:rPr>
            </w:pPr>
            <w:r w:rsidRPr="003750E0">
              <w:rPr>
                <w:rFonts w:ascii="Arial Narrow" w:hAnsi="Arial Narrow"/>
                <w:sz w:val="20"/>
              </w:rPr>
              <w:t>$1,890,841</w:t>
            </w:r>
          </w:p>
        </w:tc>
      </w:tr>
      <w:tr w:rsidR="0035490F" w:rsidRPr="00636EBC" w14:paraId="06F80E72" w14:textId="77777777" w:rsidTr="00202FC0">
        <w:tc>
          <w:tcPr>
            <w:tcW w:w="9016" w:type="dxa"/>
            <w:gridSpan w:val="8"/>
          </w:tcPr>
          <w:p w14:paraId="038E58FA" w14:textId="53CE04D9" w:rsidR="0035490F" w:rsidRPr="00636EBC" w:rsidRDefault="0035490F" w:rsidP="00567350">
            <w:pPr>
              <w:rPr>
                <w:rFonts w:ascii="Arial Narrow" w:hAnsi="Arial Narrow"/>
                <w:b/>
                <w:bCs/>
                <w:sz w:val="20"/>
              </w:rPr>
            </w:pPr>
            <w:r>
              <w:rPr>
                <w:rFonts w:ascii="Arial Narrow" w:hAnsi="Arial Narrow"/>
                <w:b/>
                <w:bCs/>
                <w:sz w:val="20"/>
              </w:rPr>
              <w:t>Change in cost of other health technologies</w:t>
            </w:r>
          </w:p>
        </w:tc>
      </w:tr>
      <w:tr w:rsidR="003750E0" w14:paraId="77704DDF" w14:textId="77777777" w:rsidTr="00202FC0">
        <w:tc>
          <w:tcPr>
            <w:tcW w:w="1696" w:type="dxa"/>
          </w:tcPr>
          <w:p w14:paraId="715B29F8" w14:textId="121A29C6" w:rsidR="003750E0" w:rsidRPr="003750E0" w:rsidRDefault="003750E0" w:rsidP="00E20DB6">
            <w:pPr>
              <w:rPr>
                <w:rFonts w:ascii="Arial Narrow" w:hAnsi="Arial Narrow"/>
                <w:sz w:val="20"/>
              </w:rPr>
            </w:pPr>
            <w:r w:rsidRPr="003750E0">
              <w:rPr>
                <w:rFonts w:ascii="Arial Narrow" w:hAnsi="Arial Narrow"/>
                <w:sz w:val="20"/>
              </w:rPr>
              <w:t>1585 AAAA</w:t>
            </w:r>
          </w:p>
        </w:tc>
        <w:tc>
          <w:tcPr>
            <w:tcW w:w="1045" w:type="dxa"/>
          </w:tcPr>
          <w:p w14:paraId="51661225" w14:textId="10C1515F" w:rsidR="003750E0" w:rsidRPr="003750E0" w:rsidRDefault="003750E0" w:rsidP="00EE43FD">
            <w:pPr>
              <w:jc w:val="right"/>
              <w:rPr>
                <w:rFonts w:ascii="Arial Narrow" w:hAnsi="Arial Narrow"/>
                <w:sz w:val="20"/>
              </w:rPr>
            </w:pPr>
            <w:r w:rsidRPr="003750E0">
              <w:rPr>
                <w:rFonts w:ascii="Arial Narrow" w:hAnsi="Arial Narrow"/>
                <w:sz w:val="20"/>
              </w:rPr>
              <w:t>$115,436</w:t>
            </w:r>
          </w:p>
        </w:tc>
        <w:tc>
          <w:tcPr>
            <w:tcW w:w="1046" w:type="dxa"/>
          </w:tcPr>
          <w:p w14:paraId="53D2E371" w14:textId="635B6514" w:rsidR="003750E0" w:rsidRPr="003750E0" w:rsidRDefault="003750E0" w:rsidP="00EE43FD">
            <w:pPr>
              <w:jc w:val="right"/>
              <w:rPr>
                <w:rFonts w:ascii="Arial Narrow" w:hAnsi="Arial Narrow"/>
                <w:sz w:val="20"/>
              </w:rPr>
            </w:pPr>
            <w:r w:rsidRPr="003750E0">
              <w:rPr>
                <w:rFonts w:ascii="Arial Narrow" w:hAnsi="Arial Narrow"/>
                <w:sz w:val="20"/>
              </w:rPr>
              <w:t>$131,597</w:t>
            </w:r>
          </w:p>
        </w:tc>
        <w:tc>
          <w:tcPr>
            <w:tcW w:w="1046" w:type="dxa"/>
          </w:tcPr>
          <w:p w14:paraId="5C6C4343" w14:textId="4441999D" w:rsidR="003750E0" w:rsidRPr="003750E0" w:rsidRDefault="003750E0" w:rsidP="00EE43FD">
            <w:pPr>
              <w:jc w:val="right"/>
              <w:rPr>
                <w:rFonts w:ascii="Arial Narrow" w:hAnsi="Arial Narrow"/>
                <w:sz w:val="20"/>
              </w:rPr>
            </w:pPr>
            <w:r w:rsidRPr="003750E0">
              <w:rPr>
                <w:rFonts w:ascii="Arial Narrow" w:hAnsi="Arial Narrow"/>
                <w:sz w:val="20"/>
              </w:rPr>
              <w:t>$140,546</w:t>
            </w:r>
          </w:p>
        </w:tc>
        <w:tc>
          <w:tcPr>
            <w:tcW w:w="1045" w:type="dxa"/>
          </w:tcPr>
          <w:p w14:paraId="405D39AE" w14:textId="23AF04B6" w:rsidR="003750E0" w:rsidRPr="003750E0" w:rsidRDefault="003750E0" w:rsidP="00EE43FD">
            <w:pPr>
              <w:jc w:val="right"/>
              <w:rPr>
                <w:rFonts w:ascii="Arial Narrow" w:hAnsi="Arial Narrow"/>
                <w:sz w:val="20"/>
              </w:rPr>
            </w:pPr>
            <w:r w:rsidRPr="003750E0">
              <w:rPr>
                <w:rFonts w:ascii="Arial Narrow" w:hAnsi="Arial Narrow"/>
                <w:sz w:val="20"/>
              </w:rPr>
              <w:t>$141,670</w:t>
            </w:r>
          </w:p>
        </w:tc>
        <w:tc>
          <w:tcPr>
            <w:tcW w:w="1046" w:type="dxa"/>
          </w:tcPr>
          <w:p w14:paraId="537AA7F8" w14:textId="0C548A72" w:rsidR="003750E0" w:rsidRPr="003750E0" w:rsidRDefault="003750E0" w:rsidP="00EE43FD">
            <w:pPr>
              <w:jc w:val="right"/>
              <w:rPr>
                <w:rFonts w:ascii="Arial Narrow" w:hAnsi="Arial Narrow"/>
                <w:sz w:val="20"/>
              </w:rPr>
            </w:pPr>
            <w:r w:rsidRPr="003750E0">
              <w:rPr>
                <w:rFonts w:ascii="Arial Narrow" w:hAnsi="Arial Narrow"/>
                <w:sz w:val="20"/>
              </w:rPr>
              <w:t>$136,003</w:t>
            </w:r>
          </w:p>
        </w:tc>
        <w:tc>
          <w:tcPr>
            <w:tcW w:w="1046" w:type="dxa"/>
          </w:tcPr>
          <w:p w14:paraId="238AB42E" w14:textId="224FE01A" w:rsidR="003750E0" w:rsidRPr="003750E0" w:rsidRDefault="003750E0" w:rsidP="00EE43FD">
            <w:pPr>
              <w:jc w:val="right"/>
              <w:rPr>
                <w:rFonts w:ascii="Arial Narrow" w:hAnsi="Arial Narrow"/>
                <w:sz w:val="20"/>
              </w:rPr>
            </w:pPr>
            <w:r w:rsidRPr="003750E0">
              <w:rPr>
                <w:rFonts w:ascii="Arial Narrow" w:hAnsi="Arial Narrow"/>
                <w:sz w:val="20"/>
              </w:rPr>
              <w:t>$141,987</w:t>
            </w:r>
          </w:p>
        </w:tc>
        <w:tc>
          <w:tcPr>
            <w:tcW w:w="1046" w:type="dxa"/>
          </w:tcPr>
          <w:p w14:paraId="1B2F0F72" w14:textId="6D55111F" w:rsidR="003750E0" w:rsidRPr="003750E0" w:rsidRDefault="003750E0" w:rsidP="00EE43FD">
            <w:pPr>
              <w:jc w:val="right"/>
              <w:rPr>
                <w:rFonts w:ascii="Arial Narrow" w:hAnsi="Arial Narrow"/>
                <w:sz w:val="20"/>
              </w:rPr>
            </w:pPr>
            <w:r w:rsidRPr="003750E0">
              <w:rPr>
                <w:rFonts w:ascii="Arial Narrow" w:hAnsi="Arial Narrow"/>
                <w:sz w:val="20"/>
              </w:rPr>
              <w:t>$807,239</w:t>
            </w:r>
          </w:p>
        </w:tc>
      </w:tr>
      <w:tr w:rsidR="003750E0" w14:paraId="30E35C22" w14:textId="77777777" w:rsidTr="00202FC0">
        <w:tc>
          <w:tcPr>
            <w:tcW w:w="1696" w:type="dxa"/>
          </w:tcPr>
          <w:p w14:paraId="2A684C77" w14:textId="737EBDA2" w:rsidR="003750E0" w:rsidRPr="003750E0" w:rsidRDefault="003750E0" w:rsidP="00E20DB6">
            <w:pPr>
              <w:rPr>
                <w:rFonts w:ascii="Arial Narrow" w:hAnsi="Arial Narrow"/>
                <w:sz w:val="20"/>
              </w:rPr>
            </w:pPr>
            <w:r w:rsidRPr="003750E0">
              <w:rPr>
                <w:rFonts w:ascii="Arial Narrow" w:hAnsi="Arial Narrow"/>
                <w:sz w:val="20"/>
              </w:rPr>
              <w:t>1585 CCCC</w:t>
            </w:r>
          </w:p>
        </w:tc>
        <w:tc>
          <w:tcPr>
            <w:tcW w:w="1045" w:type="dxa"/>
          </w:tcPr>
          <w:p w14:paraId="7E4A2CCC" w14:textId="603DD4EE" w:rsidR="003750E0" w:rsidRPr="003750E0" w:rsidRDefault="003750E0" w:rsidP="00EE43FD">
            <w:pPr>
              <w:jc w:val="right"/>
              <w:rPr>
                <w:rFonts w:ascii="Arial Narrow" w:hAnsi="Arial Narrow"/>
                <w:sz w:val="20"/>
              </w:rPr>
            </w:pPr>
            <w:r w:rsidRPr="003750E0">
              <w:rPr>
                <w:rFonts w:ascii="Arial Narrow" w:hAnsi="Arial Narrow"/>
                <w:sz w:val="20"/>
              </w:rPr>
              <w:t>$119,287</w:t>
            </w:r>
          </w:p>
        </w:tc>
        <w:tc>
          <w:tcPr>
            <w:tcW w:w="1046" w:type="dxa"/>
          </w:tcPr>
          <w:p w14:paraId="7EA57774" w14:textId="3F1E89A6" w:rsidR="003750E0" w:rsidRPr="003750E0" w:rsidRDefault="003750E0" w:rsidP="00EE43FD">
            <w:pPr>
              <w:jc w:val="right"/>
              <w:rPr>
                <w:rFonts w:ascii="Arial Narrow" w:hAnsi="Arial Narrow"/>
                <w:sz w:val="20"/>
              </w:rPr>
            </w:pPr>
            <w:r w:rsidRPr="003750E0">
              <w:rPr>
                <w:rFonts w:ascii="Arial Narrow" w:hAnsi="Arial Narrow"/>
                <w:sz w:val="20"/>
              </w:rPr>
              <w:t>$135,987</w:t>
            </w:r>
          </w:p>
        </w:tc>
        <w:tc>
          <w:tcPr>
            <w:tcW w:w="1046" w:type="dxa"/>
          </w:tcPr>
          <w:p w14:paraId="2CE4AC55" w14:textId="11938152" w:rsidR="003750E0" w:rsidRPr="003750E0" w:rsidRDefault="003750E0" w:rsidP="00EE43FD">
            <w:pPr>
              <w:jc w:val="right"/>
              <w:rPr>
                <w:rFonts w:ascii="Arial Narrow" w:hAnsi="Arial Narrow"/>
                <w:sz w:val="20"/>
              </w:rPr>
            </w:pPr>
            <w:r w:rsidRPr="003750E0">
              <w:rPr>
                <w:rFonts w:ascii="Arial Narrow" w:hAnsi="Arial Narrow"/>
                <w:sz w:val="20"/>
              </w:rPr>
              <w:t>$145,234</w:t>
            </w:r>
          </w:p>
        </w:tc>
        <w:tc>
          <w:tcPr>
            <w:tcW w:w="1045" w:type="dxa"/>
          </w:tcPr>
          <w:p w14:paraId="5BB3F0D9" w14:textId="62D4DC5C" w:rsidR="003750E0" w:rsidRPr="003750E0" w:rsidRDefault="003750E0" w:rsidP="00EE43FD">
            <w:pPr>
              <w:jc w:val="right"/>
              <w:rPr>
                <w:rFonts w:ascii="Arial Narrow" w:hAnsi="Arial Narrow"/>
                <w:sz w:val="20"/>
              </w:rPr>
            </w:pPr>
            <w:r w:rsidRPr="003750E0">
              <w:rPr>
                <w:rFonts w:ascii="Arial Narrow" w:hAnsi="Arial Narrow"/>
                <w:sz w:val="20"/>
              </w:rPr>
              <w:t>$146,396</w:t>
            </w:r>
          </w:p>
        </w:tc>
        <w:tc>
          <w:tcPr>
            <w:tcW w:w="1046" w:type="dxa"/>
          </w:tcPr>
          <w:p w14:paraId="212BA8F9" w14:textId="1B16B0C2" w:rsidR="003750E0" w:rsidRPr="003750E0" w:rsidRDefault="003750E0" w:rsidP="00EE43FD">
            <w:pPr>
              <w:jc w:val="right"/>
              <w:rPr>
                <w:rFonts w:ascii="Arial Narrow" w:hAnsi="Arial Narrow"/>
                <w:sz w:val="20"/>
              </w:rPr>
            </w:pPr>
            <w:r w:rsidRPr="003750E0">
              <w:rPr>
                <w:rFonts w:ascii="Arial Narrow" w:hAnsi="Arial Narrow"/>
                <w:sz w:val="20"/>
              </w:rPr>
              <w:t>$140,540</w:t>
            </w:r>
          </w:p>
        </w:tc>
        <w:tc>
          <w:tcPr>
            <w:tcW w:w="1046" w:type="dxa"/>
          </w:tcPr>
          <w:p w14:paraId="22FE20C4" w14:textId="5087B534" w:rsidR="003750E0" w:rsidRPr="003750E0" w:rsidRDefault="003750E0" w:rsidP="00EE43FD">
            <w:pPr>
              <w:jc w:val="right"/>
              <w:rPr>
                <w:rFonts w:ascii="Arial Narrow" w:hAnsi="Arial Narrow"/>
                <w:sz w:val="20"/>
              </w:rPr>
            </w:pPr>
            <w:r w:rsidRPr="003750E0">
              <w:rPr>
                <w:rFonts w:ascii="Arial Narrow" w:hAnsi="Arial Narrow"/>
                <w:sz w:val="20"/>
              </w:rPr>
              <w:t>$146,724</w:t>
            </w:r>
          </w:p>
        </w:tc>
        <w:tc>
          <w:tcPr>
            <w:tcW w:w="1046" w:type="dxa"/>
          </w:tcPr>
          <w:p w14:paraId="0A3BBD8C" w14:textId="013F649C" w:rsidR="003750E0" w:rsidRPr="003750E0" w:rsidRDefault="003750E0" w:rsidP="00EE43FD">
            <w:pPr>
              <w:jc w:val="right"/>
              <w:rPr>
                <w:rFonts w:ascii="Arial Narrow" w:hAnsi="Arial Narrow"/>
                <w:sz w:val="20"/>
              </w:rPr>
            </w:pPr>
            <w:r w:rsidRPr="003750E0">
              <w:rPr>
                <w:rFonts w:ascii="Arial Narrow" w:hAnsi="Arial Narrow"/>
                <w:sz w:val="20"/>
              </w:rPr>
              <w:t>$834,166</w:t>
            </w:r>
          </w:p>
        </w:tc>
      </w:tr>
      <w:tr w:rsidR="00E04D23" w14:paraId="67202818" w14:textId="77777777" w:rsidTr="00202FC0">
        <w:trPr>
          <w:trHeight w:val="160"/>
        </w:trPr>
        <w:tc>
          <w:tcPr>
            <w:tcW w:w="1696" w:type="dxa"/>
            <w:tcBorders>
              <w:bottom w:val="double" w:sz="4" w:space="0" w:color="auto"/>
            </w:tcBorders>
          </w:tcPr>
          <w:p w14:paraId="1D5247A4" w14:textId="63A65F54" w:rsidR="00E04D23" w:rsidRPr="003750E0" w:rsidRDefault="00E04D23" w:rsidP="00E04D23">
            <w:pPr>
              <w:rPr>
                <w:rFonts w:ascii="Arial Narrow" w:hAnsi="Arial Narrow"/>
                <w:sz w:val="20"/>
              </w:rPr>
            </w:pPr>
            <w:r w:rsidRPr="003750E0">
              <w:rPr>
                <w:rFonts w:ascii="Arial Narrow" w:hAnsi="Arial Narrow"/>
                <w:sz w:val="20"/>
              </w:rPr>
              <w:t>Biopsy</w:t>
            </w:r>
            <w:r>
              <w:rPr>
                <w:rFonts w:ascii="Arial Narrow" w:hAnsi="Arial Narrow"/>
                <w:sz w:val="20"/>
              </w:rPr>
              <w:t xml:space="preserve"> – MBS items</w:t>
            </w:r>
          </w:p>
        </w:tc>
        <w:tc>
          <w:tcPr>
            <w:tcW w:w="1045" w:type="dxa"/>
            <w:tcBorders>
              <w:bottom w:val="double" w:sz="4" w:space="0" w:color="auto"/>
            </w:tcBorders>
          </w:tcPr>
          <w:p w14:paraId="78931666" w14:textId="04D4402D" w:rsidR="00E04D23" w:rsidRPr="003750E0" w:rsidRDefault="00E04D23" w:rsidP="00EE43FD">
            <w:pPr>
              <w:jc w:val="right"/>
              <w:rPr>
                <w:rFonts w:ascii="Arial Narrow" w:hAnsi="Arial Narrow"/>
                <w:sz w:val="20"/>
              </w:rPr>
            </w:pPr>
            <w:r w:rsidRPr="00E04D23">
              <w:rPr>
                <w:rFonts w:ascii="Arial Narrow" w:hAnsi="Arial Narrow"/>
                <w:sz w:val="20"/>
              </w:rPr>
              <w:t>-$1,234,639</w:t>
            </w:r>
          </w:p>
        </w:tc>
        <w:tc>
          <w:tcPr>
            <w:tcW w:w="1046" w:type="dxa"/>
            <w:tcBorders>
              <w:bottom w:val="double" w:sz="4" w:space="0" w:color="auto"/>
            </w:tcBorders>
          </w:tcPr>
          <w:p w14:paraId="3DCF2D42" w14:textId="5DAEB831" w:rsidR="00E04D23" w:rsidRPr="003750E0" w:rsidRDefault="00E04D23" w:rsidP="00EE43FD">
            <w:pPr>
              <w:jc w:val="right"/>
              <w:rPr>
                <w:rFonts w:ascii="Arial Narrow" w:hAnsi="Arial Narrow"/>
                <w:sz w:val="20"/>
              </w:rPr>
            </w:pPr>
            <w:r w:rsidRPr="00E04D23">
              <w:rPr>
                <w:rFonts w:ascii="Arial Narrow" w:hAnsi="Arial Narrow"/>
                <w:sz w:val="20"/>
              </w:rPr>
              <w:t>-$1,407,488</w:t>
            </w:r>
          </w:p>
        </w:tc>
        <w:tc>
          <w:tcPr>
            <w:tcW w:w="1046" w:type="dxa"/>
            <w:tcBorders>
              <w:bottom w:val="double" w:sz="4" w:space="0" w:color="auto"/>
            </w:tcBorders>
          </w:tcPr>
          <w:p w14:paraId="50080D86" w14:textId="12DD1256" w:rsidR="00E04D23" w:rsidRPr="003750E0" w:rsidRDefault="00E04D23" w:rsidP="00EE43FD">
            <w:pPr>
              <w:jc w:val="right"/>
              <w:rPr>
                <w:rFonts w:ascii="Arial Narrow" w:hAnsi="Arial Narrow"/>
                <w:sz w:val="20"/>
              </w:rPr>
            </w:pPr>
            <w:r w:rsidRPr="00E04D23">
              <w:rPr>
                <w:rFonts w:ascii="Arial Narrow" w:hAnsi="Arial Narrow"/>
                <w:sz w:val="20"/>
              </w:rPr>
              <w:t>-$1,503,197</w:t>
            </w:r>
          </w:p>
        </w:tc>
        <w:tc>
          <w:tcPr>
            <w:tcW w:w="1045" w:type="dxa"/>
            <w:tcBorders>
              <w:bottom w:val="double" w:sz="4" w:space="0" w:color="auto"/>
            </w:tcBorders>
          </w:tcPr>
          <w:p w14:paraId="5FFBB1A2" w14:textId="46151B40" w:rsidR="00E04D23" w:rsidRPr="003750E0" w:rsidRDefault="00E04D23" w:rsidP="00EE43FD">
            <w:pPr>
              <w:jc w:val="right"/>
              <w:rPr>
                <w:rFonts w:ascii="Arial Narrow" w:hAnsi="Arial Narrow"/>
                <w:sz w:val="20"/>
              </w:rPr>
            </w:pPr>
            <w:r w:rsidRPr="00E04D23">
              <w:rPr>
                <w:rFonts w:ascii="Arial Narrow" w:hAnsi="Arial Narrow"/>
                <w:sz w:val="20"/>
              </w:rPr>
              <w:t>-$1,515,223</w:t>
            </w:r>
          </w:p>
        </w:tc>
        <w:tc>
          <w:tcPr>
            <w:tcW w:w="1046" w:type="dxa"/>
            <w:tcBorders>
              <w:bottom w:val="double" w:sz="4" w:space="0" w:color="auto"/>
            </w:tcBorders>
          </w:tcPr>
          <w:p w14:paraId="55DA7987" w14:textId="32C32DF5" w:rsidR="00E04D23" w:rsidRPr="003750E0" w:rsidRDefault="00E04D23" w:rsidP="00EE43FD">
            <w:pPr>
              <w:jc w:val="right"/>
              <w:rPr>
                <w:rFonts w:ascii="Arial Narrow" w:hAnsi="Arial Narrow"/>
                <w:sz w:val="20"/>
              </w:rPr>
            </w:pPr>
            <w:r w:rsidRPr="00E04D23">
              <w:rPr>
                <w:rFonts w:ascii="Arial Narrow" w:hAnsi="Arial Narrow"/>
                <w:sz w:val="20"/>
              </w:rPr>
              <w:t>-$1,454,614</w:t>
            </w:r>
          </w:p>
        </w:tc>
        <w:tc>
          <w:tcPr>
            <w:tcW w:w="1046" w:type="dxa"/>
            <w:tcBorders>
              <w:bottom w:val="double" w:sz="4" w:space="0" w:color="auto"/>
            </w:tcBorders>
          </w:tcPr>
          <w:p w14:paraId="39751C8A" w14:textId="04C6E354" w:rsidR="00E04D23" w:rsidRPr="003750E0" w:rsidRDefault="00E04D23" w:rsidP="00EE43FD">
            <w:pPr>
              <w:jc w:val="right"/>
              <w:rPr>
                <w:rFonts w:ascii="Arial Narrow" w:hAnsi="Arial Narrow"/>
                <w:sz w:val="20"/>
              </w:rPr>
            </w:pPr>
            <w:r w:rsidRPr="00E04D23">
              <w:rPr>
                <w:rFonts w:ascii="Arial Narrow" w:hAnsi="Arial Narrow"/>
                <w:sz w:val="20"/>
              </w:rPr>
              <w:t>-$1,518,617</w:t>
            </w:r>
          </w:p>
        </w:tc>
        <w:tc>
          <w:tcPr>
            <w:tcW w:w="1046" w:type="dxa"/>
            <w:tcBorders>
              <w:bottom w:val="double" w:sz="4" w:space="0" w:color="auto"/>
            </w:tcBorders>
          </w:tcPr>
          <w:p w14:paraId="5CD4B492" w14:textId="5D0BC064" w:rsidR="00E04D23" w:rsidRPr="003750E0" w:rsidRDefault="00E04D23" w:rsidP="00EE43FD">
            <w:pPr>
              <w:jc w:val="right"/>
              <w:rPr>
                <w:rFonts w:ascii="Arial Narrow" w:hAnsi="Arial Narrow"/>
                <w:sz w:val="20"/>
              </w:rPr>
            </w:pPr>
            <w:r w:rsidRPr="00E04D23">
              <w:rPr>
                <w:rFonts w:ascii="Arial Narrow" w:hAnsi="Arial Narrow"/>
                <w:sz w:val="20"/>
              </w:rPr>
              <w:t>-$8,633,778</w:t>
            </w:r>
          </w:p>
        </w:tc>
      </w:tr>
      <w:tr w:rsidR="00E04D23" w14:paraId="35ECF688" w14:textId="77777777" w:rsidTr="00202FC0">
        <w:trPr>
          <w:trHeight w:val="267"/>
        </w:trPr>
        <w:tc>
          <w:tcPr>
            <w:tcW w:w="1696" w:type="dxa"/>
            <w:tcBorders>
              <w:top w:val="double" w:sz="4" w:space="0" w:color="auto"/>
            </w:tcBorders>
          </w:tcPr>
          <w:p w14:paraId="23780C09" w14:textId="0B4C551E" w:rsidR="00E04D23" w:rsidRPr="009E6EE0" w:rsidRDefault="00E04D23" w:rsidP="00E04D23">
            <w:pPr>
              <w:rPr>
                <w:rFonts w:ascii="Arial Narrow" w:hAnsi="Arial Narrow"/>
                <w:b/>
                <w:bCs/>
                <w:sz w:val="20"/>
              </w:rPr>
            </w:pPr>
            <w:r w:rsidRPr="009E6EE0">
              <w:rPr>
                <w:rFonts w:ascii="Arial Narrow" w:hAnsi="Arial Narrow"/>
                <w:b/>
                <w:bCs/>
                <w:sz w:val="20"/>
              </w:rPr>
              <w:t xml:space="preserve">Net </w:t>
            </w:r>
            <w:r w:rsidR="004972A3">
              <w:rPr>
                <w:rFonts w:ascii="Arial Narrow" w:hAnsi="Arial Narrow"/>
                <w:b/>
                <w:bCs/>
                <w:sz w:val="20"/>
              </w:rPr>
              <w:t>financial impact</w:t>
            </w:r>
            <w:r w:rsidRPr="009E6EE0">
              <w:rPr>
                <w:rFonts w:ascii="Arial Narrow" w:hAnsi="Arial Narrow"/>
                <w:b/>
                <w:bCs/>
                <w:sz w:val="20"/>
              </w:rPr>
              <w:t xml:space="preserve"> to </w:t>
            </w:r>
            <w:r w:rsidR="004972A3">
              <w:rPr>
                <w:rFonts w:ascii="Arial Narrow" w:hAnsi="Arial Narrow"/>
                <w:b/>
                <w:bCs/>
                <w:sz w:val="20"/>
              </w:rPr>
              <w:t xml:space="preserve">the </w:t>
            </w:r>
            <w:r w:rsidRPr="009E6EE0">
              <w:rPr>
                <w:rFonts w:ascii="Arial Narrow" w:hAnsi="Arial Narrow"/>
                <w:b/>
                <w:bCs/>
                <w:sz w:val="20"/>
              </w:rPr>
              <w:t>MBS</w:t>
            </w:r>
          </w:p>
        </w:tc>
        <w:tc>
          <w:tcPr>
            <w:tcW w:w="1045" w:type="dxa"/>
            <w:tcBorders>
              <w:top w:val="double" w:sz="4" w:space="0" w:color="auto"/>
            </w:tcBorders>
          </w:tcPr>
          <w:p w14:paraId="4F726BD1" w14:textId="0A6A10E8" w:rsidR="00E04D23" w:rsidRPr="0072285D" w:rsidRDefault="00E04D23" w:rsidP="00EE43FD">
            <w:pPr>
              <w:jc w:val="right"/>
              <w:rPr>
                <w:rFonts w:ascii="Arial Narrow" w:hAnsi="Arial Narrow"/>
                <w:b/>
                <w:bCs/>
                <w:sz w:val="20"/>
              </w:rPr>
            </w:pPr>
            <w:r w:rsidRPr="0072285D">
              <w:rPr>
                <w:rFonts w:ascii="Arial Narrow" w:hAnsi="Arial Narrow"/>
                <w:b/>
                <w:bCs/>
                <w:sz w:val="20"/>
              </w:rPr>
              <w:t>$1,839,099</w:t>
            </w:r>
          </w:p>
        </w:tc>
        <w:tc>
          <w:tcPr>
            <w:tcW w:w="1046" w:type="dxa"/>
            <w:tcBorders>
              <w:top w:val="double" w:sz="4" w:space="0" w:color="auto"/>
            </w:tcBorders>
          </w:tcPr>
          <w:p w14:paraId="739F13C1" w14:textId="22173FD1" w:rsidR="00E04D23" w:rsidRPr="0072285D" w:rsidRDefault="00E04D23" w:rsidP="00EE43FD">
            <w:pPr>
              <w:jc w:val="right"/>
              <w:rPr>
                <w:rFonts w:ascii="Arial Narrow" w:hAnsi="Arial Narrow"/>
                <w:b/>
                <w:bCs/>
                <w:sz w:val="20"/>
              </w:rPr>
            </w:pPr>
            <w:r w:rsidRPr="0072285D">
              <w:rPr>
                <w:rFonts w:ascii="Arial Narrow" w:hAnsi="Arial Narrow"/>
                <w:b/>
                <w:bCs/>
                <w:sz w:val="20"/>
              </w:rPr>
              <w:t>$2,096,573</w:t>
            </w:r>
          </w:p>
        </w:tc>
        <w:tc>
          <w:tcPr>
            <w:tcW w:w="1046" w:type="dxa"/>
            <w:tcBorders>
              <w:top w:val="double" w:sz="4" w:space="0" w:color="auto"/>
            </w:tcBorders>
          </w:tcPr>
          <w:p w14:paraId="38C5C35B" w14:textId="70F7FCDB" w:rsidR="00E04D23" w:rsidRPr="0072285D" w:rsidRDefault="00E04D23" w:rsidP="00EE43FD">
            <w:pPr>
              <w:jc w:val="right"/>
              <w:rPr>
                <w:rFonts w:ascii="Arial Narrow" w:hAnsi="Arial Narrow"/>
                <w:b/>
                <w:bCs/>
                <w:sz w:val="20"/>
              </w:rPr>
            </w:pPr>
            <w:r w:rsidRPr="0072285D">
              <w:rPr>
                <w:rFonts w:ascii="Arial Narrow" w:hAnsi="Arial Narrow"/>
                <w:b/>
                <w:bCs/>
                <w:sz w:val="20"/>
              </w:rPr>
              <w:t>$2,239,140</w:t>
            </w:r>
          </w:p>
        </w:tc>
        <w:tc>
          <w:tcPr>
            <w:tcW w:w="1045" w:type="dxa"/>
            <w:tcBorders>
              <w:top w:val="double" w:sz="4" w:space="0" w:color="auto"/>
            </w:tcBorders>
          </w:tcPr>
          <w:p w14:paraId="15E457CC" w14:textId="74AC45C8" w:rsidR="00E04D23" w:rsidRPr="0072285D" w:rsidRDefault="00E04D23" w:rsidP="00EE43FD">
            <w:pPr>
              <w:jc w:val="right"/>
              <w:rPr>
                <w:rFonts w:ascii="Arial Narrow" w:hAnsi="Arial Narrow"/>
                <w:b/>
                <w:bCs/>
                <w:sz w:val="20"/>
              </w:rPr>
            </w:pPr>
            <w:r w:rsidRPr="0072285D">
              <w:rPr>
                <w:rFonts w:ascii="Arial Narrow" w:hAnsi="Arial Narrow"/>
                <w:b/>
                <w:bCs/>
                <w:sz w:val="20"/>
              </w:rPr>
              <w:t>$2,257,054</w:t>
            </w:r>
          </w:p>
        </w:tc>
        <w:tc>
          <w:tcPr>
            <w:tcW w:w="1046" w:type="dxa"/>
            <w:tcBorders>
              <w:top w:val="double" w:sz="4" w:space="0" w:color="auto"/>
            </w:tcBorders>
          </w:tcPr>
          <w:p w14:paraId="7408E980" w14:textId="0FFDFCF9" w:rsidR="00E04D23" w:rsidRPr="0072285D" w:rsidRDefault="00E04D23" w:rsidP="00EE43FD">
            <w:pPr>
              <w:jc w:val="right"/>
              <w:rPr>
                <w:rFonts w:ascii="Arial Narrow" w:hAnsi="Arial Narrow"/>
                <w:b/>
                <w:bCs/>
                <w:sz w:val="20"/>
              </w:rPr>
            </w:pPr>
            <w:r w:rsidRPr="0072285D">
              <w:rPr>
                <w:rFonts w:ascii="Arial Narrow" w:hAnsi="Arial Narrow"/>
                <w:b/>
                <w:bCs/>
                <w:sz w:val="20"/>
              </w:rPr>
              <w:t>$2,166,771</w:t>
            </w:r>
          </w:p>
        </w:tc>
        <w:tc>
          <w:tcPr>
            <w:tcW w:w="1046" w:type="dxa"/>
            <w:tcBorders>
              <w:top w:val="double" w:sz="4" w:space="0" w:color="auto"/>
            </w:tcBorders>
          </w:tcPr>
          <w:p w14:paraId="14F2BCC7" w14:textId="1DDEA4EA" w:rsidR="00E04D23" w:rsidRPr="0072285D" w:rsidRDefault="00E04D23" w:rsidP="00EE43FD">
            <w:pPr>
              <w:jc w:val="right"/>
              <w:rPr>
                <w:rFonts w:ascii="Arial Narrow" w:hAnsi="Arial Narrow"/>
                <w:b/>
                <w:bCs/>
                <w:sz w:val="20"/>
              </w:rPr>
            </w:pPr>
            <w:r w:rsidRPr="0072285D">
              <w:rPr>
                <w:rFonts w:ascii="Arial Narrow" w:hAnsi="Arial Narrow"/>
                <w:b/>
                <w:bCs/>
                <w:sz w:val="20"/>
              </w:rPr>
              <w:t>$2,262,109</w:t>
            </w:r>
          </w:p>
        </w:tc>
        <w:tc>
          <w:tcPr>
            <w:tcW w:w="1046" w:type="dxa"/>
            <w:tcBorders>
              <w:top w:val="double" w:sz="4" w:space="0" w:color="auto"/>
            </w:tcBorders>
          </w:tcPr>
          <w:p w14:paraId="3F40D9B6" w14:textId="0169714A" w:rsidR="00E04D23" w:rsidRPr="0072285D" w:rsidRDefault="00E04D23" w:rsidP="00EE43FD">
            <w:pPr>
              <w:jc w:val="right"/>
              <w:rPr>
                <w:rFonts w:ascii="Arial Narrow" w:hAnsi="Arial Narrow"/>
                <w:b/>
                <w:bCs/>
                <w:sz w:val="20"/>
              </w:rPr>
            </w:pPr>
            <w:r w:rsidRPr="0072285D">
              <w:rPr>
                <w:rFonts w:ascii="Arial Narrow" w:hAnsi="Arial Narrow"/>
                <w:b/>
                <w:bCs/>
                <w:sz w:val="20"/>
              </w:rPr>
              <w:t>$12,860,748</w:t>
            </w:r>
          </w:p>
        </w:tc>
      </w:tr>
    </w:tbl>
    <w:p w14:paraId="4576CE24" w14:textId="6C112131" w:rsidR="003750E0" w:rsidRPr="00791457" w:rsidRDefault="00E20DB6" w:rsidP="00791457">
      <w:pPr>
        <w:rPr>
          <w:rFonts w:ascii="Arial Narrow" w:hAnsi="Arial Narrow"/>
          <w:sz w:val="20"/>
          <w:szCs w:val="16"/>
          <w:lang w:eastAsia="en-US"/>
        </w:rPr>
      </w:pPr>
      <w:r w:rsidRPr="00F2225C">
        <w:rPr>
          <w:rFonts w:ascii="Arial Narrow" w:hAnsi="Arial Narrow"/>
          <w:sz w:val="20"/>
          <w:szCs w:val="16"/>
          <w:lang w:eastAsia="en-US"/>
        </w:rPr>
        <w:t>Table incorporates post-MSAC Executive corrections to the analyses.</w:t>
      </w:r>
    </w:p>
    <w:p w14:paraId="7998639E" w14:textId="4D3B4B5B" w:rsidR="00791457" w:rsidRDefault="00972F54" w:rsidP="00264776">
      <w:pPr>
        <w:spacing w:before="240"/>
        <w:rPr>
          <w:rFonts w:ascii="Franklin Gothic Book" w:hAnsi="Franklin Gothic Book"/>
          <w:sz w:val="22"/>
          <w:szCs w:val="22"/>
        </w:rPr>
      </w:pPr>
      <w:r>
        <w:rPr>
          <w:rFonts w:ascii="Franklin Gothic Book" w:hAnsi="Franklin Gothic Book"/>
          <w:sz w:val="22"/>
          <w:szCs w:val="22"/>
        </w:rPr>
        <w:t xml:space="preserve">In addition to the costs to the MBS, </w:t>
      </w:r>
      <w:r w:rsidR="004B3D54">
        <w:rPr>
          <w:rFonts w:ascii="Franklin Gothic Book" w:hAnsi="Franklin Gothic Book"/>
          <w:sz w:val="22"/>
          <w:szCs w:val="22"/>
        </w:rPr>
        <w:t>a biopsy also includes</w:t>
      </w:r>
      <w:r w:rsidR="00B17238">
        <w:rPr>
          <w:rFonts w:ascii="Franklin Gothic Book" w:hAnsi="Franklin Gothic Book"/>
          <w:sz w:val="22"/>
          <w:szCs w:val="22"/>
        </w:rPr>
        <w:t xml:space="preserve"> </w:t>
      </w:r>
      <w:r w:rsidR="004B3D54">
        <w:rPr>
          <w:rFonts w:ascii="Franklin Gothic Book" w:hAnsi="Franklin Gothic Book"/>
          <w:sz w:val="22"/>
          <w:szCs w:val="22"/>
        </w:rPr>
        <w:t>a $522 day admission cost to the insurer or the patient</w:t>
      </w:r>
      <w:r w:rsidR="00B17238">
        <w:rPr>
          <w:rFonts w:ascii="Franklin Gothic Book" w:hAnsi="Franklin Gothic Book"/>
          <w:sz w:val="22"/>
          <w:szCs w:val="22"/>
        </w:rPr>
        <w:t xml:space="preserve"> </w:t>
      </w:r>
      <w:r w:rsidR="004B3D54">
        <w:rPr>
          <w:rFonts w:ascii="Franklin Gothic Book" w:hAnsi="Franklin Gothic Book"/>
          <w:sz w:val="22"/>
          <w:szCs w:val="22"/>
        </w:rPr>
        <w:t>(</w:t>
      </w:r>
      <w:r w:rsidR="00B17238">
        <w:rPr>
          <w:rFonts w:ascii="Franklin Gothic Book" w:hAnsi="Franklin Gothic Book"/>
          <w:sz w:val="22"/>
          <w:szCs w:val="22"/>
        </w:rPr>
        <w:fldChar w:fldCharType="begin"/>
      </w:r>
      <w:r w:rsidR="00B17238">
        <w:rPr>
          <w:rFonts w:ascii="Franklin Gothic Book" w:hAnsi="Franklin Gothic Book"/>
          <w:sz w:val="22"/>
          <w:szCs w:val="22"/>
        </w:rPr>
        <w:instrText xml:space="preserve"> REF _Ref113888142 </w:instrText>
      </w:r>
      <w:r w:rsidR="00636EBC">
        <w:rPr>
          <w:rFonts w:ascii="Franklin Gothic Book" w:hAnsi="Franklin Gothic Book"/>
          <w:sz w:val="22"/>
          <w:szCs w:val="22"/>
        </w:rPr>
        <w:instrText xml:space="preserve"> \* MERGEFORMAT </w:instrText>
      </w:r>
      <w:r w:rsidR="00B17238">
        <w:rPr>
          <w:rFonts w:ascii="Franklin Gothic Book" w:hAnsi="Franklin Gothic Book"/>
          <w:sz w:val="22"/>
          <w:szCs w:val="22"/>
        </w:rPr>
        <w:fldChar w:fldCharType="separate"/>
      </w:r>
      <w:r w:rsidR="008260AB" w:rsidRPr="008260AB">
        <w:rPr>
          <w:rFonts w:ascii="Franklin Gothic Book" w:hAnsi="Franklin Gothic Book"/>
          <w:sz w:val="22"/>
          <w:szCs w:val="22"/>
        </w:rPr>
        <w:t>Table 10</w:t>
      </w:r>
      <w:r w:rsidR="00B17238">
        <w:rPr>
          <w:rFonts w:ascii="Franklin Gothic Book" w:hAnsi="Franklin Gothic Book"/>
          <w:sz w:val="22"/>
          <w:szCs w:val="22"/>
        </w:rPr>
        <w:fldChar w:fldCharType="end"/>
      </w:r>
      <w:r w:rsidR="004B3D54">
        <w:rPr>
          <w:rFonts w:ascii="Franklin Gothic Book" w:hAnsi="Franklin Gothic Book"/>
          <w:sz w:val="22"/>
          <w:szCs w:val="22"/>
        </w:rPr>
        <w:t>)</w:t>
      </w:r>
      <w:r w:rsidR="004972A3">
        <w:rPr>
          <w:rFonts w:ascii="Franklin Gothic Book" w:hAnsi="Franklin Gothic Book"/>
          <w:sz w:val="22"/>
          <w:szCs w:val="22"/>
        </w:rPr>
        <w:t xml:space="preserve">, </w:t>
      </w:r>
      <w:r w:rsidR="0035490F">
        <w:rPr>
          <w:rFonts w:ascii="Franklin Gothic Book" w:hAnsi="Franklin Gothic Book"/>
          <w:sz w:val="22"/>
          <w:szCs w:val="22"/>
        </w:rPr>
        <w:t>as per</w:t>
      </w:r>
      <w:r w:rsidR="004972A3">
        <w:rPr>
          <w:rFonts w:ascii="Franklin Gothic Book" w:hAnsi="Franklin Gothic Book"/>
          <w:sz w:val="22"/>
          <w:szCs w:val="22"/>
        </w:rPr>
        <w:t xml:space="preserve"> the gene panel assessment (1585 PSD Table 7</w:t>
      </w:r>
      <w:r w:rsidR="004972A3" w:rsidRPr="0035490F">
        <w:rPr>
          <w:rFonts w:ascii="Franklin Gothic Book" w:hAnsi="Franklin Gothic Book"/>
          <w:sz w:val="22"/>
          <w:szCs w:val="22"/>
        </w:rPr>
        <w:t>)</w:t>
      </w:r>
      <w:r w:rsidR="00636EBC" w:rsidRPr="0035490F">
        <w:rPr>
          <w:rFonts w:ascii="Franklin Gothic Book" w:hAnsi="Franklin Gothic Book"/>
          <w:sz w:val="22"/>
          <w:szCs w:val="22"/>
        </w:rPr>
        <w:t>.</w:t>
      </w:r>
    </w:p>
    <w:p w14:paraId="6BE4636C" w14:textId="656C1DBF" w:rsidR="00791457" w:rsidRDefault="00791457" w:rsidP="007D4B83">
      <w:pPr>
        <w:pStyle w:val="Caption"/>
        <w:spacing w:before="240"/>
      </w:pPr>
      <w:bookmarkStart w:id="23" w:name="_Ref113888142"/>
      <w:r>
        <w:t xml:space="preserve">Table </w:t>
      </w:r>
      <w:r w:rsidR="008260AB">
        <w:fldChar w:fldCharType="begin"/>
      </w:r>
      <w:r w:rsidR="008260AB">
        <w:instrText xml:space="preserve"> SEQ Table \* ARABIC </w:instrText>
      </w:r>
      <w:r w:rsidR="008260AB">
        <w:fldChar w:fldCharType="separate"/>
      </w:r>
      <w:r w:rsidR="008260AB">
        <w:rPr>
          <w:noProof/>
        </w:rPr>
        <w:t>10</w:t>
      </w:r>
      <w:r w:rsidR="008260AB">
        <w:rPr>
          <w:noProof/>
        </w:rPr>
        <w:fldChar w:fldCharType="end"/>
      </w:r>
      <w:bookmarkEnd w:id="23"/>
      <w:r>
        <w:t xml:space="preserve"> Net financial </w:t>
      </w:r>
      <w:r w:rsidR="00135247">
        <w:t>implications</w:t>
      </w:r>
      <w:r w:rsidR="007036A7">
        <w:t xml:space="preserve"> of SGT</w:t>
      </w:r>
      <w:r>
        <w:t xml:space="preserve"> </w:t>
      </w:r>
      <w:r w:rsidR="0035490F">
        <w:t>to</w:t>
      </w:r>
      <w:r>
        <w:t xml:space="preserve"> other health budgets</w:t>
      </w:r>
    </w:p>
    <w:tbl>
      <w:tblPr>
        <w:tblStyle w:val="TableGrid"/>
        <w:tblW w:w="0" w:type="auto"/>
        <w:tblCellMar>
          <w:left w:w="57" w:type="dxa"/>
          <w:right w:w="57" w:type="dxa"/>
        </w:tblCellMar>
        <w:tblLook w:val="04A0" w:firstRow="1" w:lastRow="0" w:firstColumn="1" w:lastColumn="0" w:noHBand="0" w:noVBand="1"/>
      </w:tblPr>
      <w:tblGrid>
        <w:gridCol w:w="1744"/>
        <w:gridCol w:w="1038"/>
        <w:gridCol w:w="1039"/>
        <w:gridCol w:w="1039"/>
        <w:gridCol w:w="1039"/>
        <w:gridCol w:w="1039"/>
        <w:gridCol w:w="1039"/>
        <w:gridCol w:w="1039"/>
      </w:tblGrid>
      <w:tr w:rsidR="00791457" w:rsidRPr="00DC54B2" w14:paraId="74E0ED0E" w14:textId="77777777" w:rsidTr="0072285D">
        <w:trPr>
          <w:tblHeader/>
        </w:trPr>
        <w:tc>
          <w:tcPr>
            <w:tcW w:w="1744" w:type="dxa"/>
          </w:tcPr>
          <w:p w14:paraId="323AE4DC" w14:textId="77777777" w:rsidR="00791457" w:rsidRPr="00DC54B2" w:rsidRDefault="00791457" w:rsidP="00DC54B2">
            <w:pPr>
              <w:rPr>
                <w:rFonts w:ascii="Arial Narrow" w:hAnsi="Arial Narrow"/>
                <w:b/>
                <w:bCs/>
                <w:sz w:val="20"/>
              </w:rPr>
            </w:pPr>
          </w:p>
        </w:tc>
        <w:tc>
          <w:tcPr>
            <w:tcW w:w="1038" w:type="dxa"/>
          </w:tcPr>
          <w:p w14:paraId="186AACCF" w14:textId="77777777" w:rsidR="00791457" w:rsidRPr="00DC54B2" w:rsidRDefault="00791457" w:rsidP="00DC54B2">
            <w:pPr>
              <w:jc w:val="center"/>
              <w:rPr>
                <w:rFonts w:ascii="Arial Narrow" w:hAnsi="Arial Narrow"/>
                <w:b/>
                <w:bCs/>
                <w:sz w:val="20"/>
              </w:rPr>
            </w:pPr>
            <w:r w:rsidRPr="00DC54B2">
              <w:rPr>
                <w:rFonts w:ascii="Arial Narrow" w:hAnsi="Arial Narrow"/>
                <w:b/>
                <w:bCs/>
                <w:sz w:val="20"/>
              </w:rPr>
              <w:t>Year 1</w:t>
            </w:r>
          </w:p>
        </w:tc>
        <w:tc>
          <w:tcPr>
            <w:tcW w:w="1039" w:type="dxa"/>
          </w:tcPr>
          <w:p w14:paraId="4F742F5B" w14:textId="77777777" w:rsidR="00791457" w:rsidRPr="00DC54B2" w:rsidRDefault="00791457" w:rsidP="00DC54B2">
            <w:pPr>
              <w:jc w:val="center"/>
              <w:rPr>
                <w:rFonts w:ascii="Arial Narrow" w:hAnsi="Arial Narrow"/>
                <w:b/>
                <w:bCs/>
                <w:sz w:val="20"/>
              </w:rPr>
            </w:pPr>
            <w:r w:rsidRPr="00DC54B2">
              <w:rPr>
                <w:rFonts w:ascii="Arial Narrow" w:hAnsi="Arial Narrow"/>
                <w:b/>
                <w:bCs/>
                <w:sz w:val="20"/>
              </w:rPr>
              <w:t>Year 2</w:t>
            </w:r>
          </w:p>
        </w:tc>
        <w:tc>
          <w:tcPr>
            <w:tcW w:w="1039" w:type="dxa"/>
          </w:tcPr>
          <w:p w14:paraId="37498BB4" w14:textId="77777777" w:rsidR="00791457" w:rsidRPr="00DC54B2" w:rsidRDefault="00791457" w:rsidP="00DC54B2">
            <w:pPr>
              <w:jc w:val="center"/>
              <w:rPr>
                <w:rFonts w:ascii="Arial Narrow" w:hAnsi="Arial Narrow"/>
                <w:b/>
                <w:bCs/>
                <w:sz w:val="20"/>
              </w:rPr>
            </w:pPr>
            <w:r w:rsidRPr="00DC54B2">
              <w:rPr>
                <w:rFonts w:ascii="Arial Narrow" w:hAnsi="Arial Narrow"/>
                <w:b/>
                <w:bCs/>
                <w:sz w:val="20"/>
              </w:rPr>
              <w:t>Year 3</w:t>
            </w:r>
          </w:p>
        </w:tc>
        <w:tc>
          <w:tcPr>
            <w:tcW w:w="1039" w:type="dxa"/>
          </w:tcPr>
          <w:p w14:paraId="1B814379" w14:textId="77777777" w:rsidR="00791457" w:rsidRPr="00DC54B2" w:rsidRDefault="00791457" w:rsidP="00DC54B2">
            <w:pPr>
              <w:jc w:val="center"/>
              <w:rPr>
                <w:rFonts w:ascii="Arial Narrow" w:hAnsi="Arial Narrow"/>
                <w:b/>
                <w:bCs/>
                <w:sz w:val="20"/>
              </w:rPr>
            </w:pPr>
            <w:r w:rsidRPr="00DC54B2">
              <w:rPr>
                <w:rFonts w:ascii="Arial Narrow" w:hAnsi="Arial Narrow"/>
                <w:b/>
                <w:bCs/>
                <w:sz w:val="20"/>
              </w:rPr>
              <w:t>Year 4</w:t>
            </w:r>
          </w:p>
        </w:tc>
        <w:tc>
          <w:tcPr>
            <w:tcW w:w="1039" w:type="dxa"/>
          </w:tcPr>
          <w:p w14:paraId="49062C95" w14:textId="77777777" w:rsidR="00791457" w:rsidRPr="00DC54B2" w:rsidRDefault="00791457" w:rsidP="00DC54B2">
            <w:pPr>
              <w:jc w:val="center"/>
              <w:rPr>
                <w:rFonts w:ascii="Arial Narrow" w:hAnsi="Arial Narrow"/>
                <w:b/>
                <w:bCs/>
                <w:sz w:val="20"/>
              </w:rPr>
            </w:pPr>
            <w:r w:rsidRPr="00DC54B2">
              <w:rPr>
                <w:rFonts w:ascii="Arial Narrow" w:hAnsi="Arial Narrow"/>
                <w:b/>
                <w:bCs/>
                <w:sz w:val="20"/>
              </w:rPr>
              <w:t>Year 5</w:t>
            </w:r>
          </w:p>
        </w:tc>
        <w:tc>
          <w:tcPr>
            <w:tcW w:w="1039" w:type="dxa"/>
          </w:tcPr>
          <w:p w14:paraId="0CE92FBE" w14:textId="77777777" w:rsidR="00791457" w:rsidRPr="00DC54B2" w:rsidRDefault="00791457" w:rsidP="00DC54B2">
            <w:pPr>
              <w:jc w:val="center"/>
              <w:rPr>
                <w:rFonts w:ascii="Arial Narrow" w:hAnsi="Arial Narrow"/>
                <w:b/>
                <w:bCs/>
                <w:sz w:val="20"/>
              </w:rPr>
            </w:pPr>
            <w:r w:rsidRPr="00DC54B2">
              <w:rPr>
                <w:rFonts w:ascii="Arial Narrow" w:hAnsi="Arial Narrow"/>
                <w:b/>
                <w:bCs/>
                <w:sz w:val="20"/>
              </w:rPr>
              <w:t>Year 6</w:t>
            </w:r>
          </w:p>
        </w:tc>
        <w:tc>
          <w:tcPr>
            <w:tcW w:w="1039" w:type="dxa"/>
          </w:tcPr>
          <w:p w14:paraId="68D936CE" w14:textId="77777777" w:rsidR="00791457" w:rsidRPr="00DC54B2" w:rsidRDefault="00791457" w:rsidP="00DC54B2">
            <w:pPr>
              <w:jc w:val="center"/>
              <w:rPr>
                <w:rFonts w:ascii="Arial Narrow" w:hAnsi="Arial Narrow"/>
                <w:b/>
                <w:bCs/>
                <w:sz w:val="20"/>
              </w:rPr>
            </w:pPr>
            <w:r w:rsidRPr="00DC54B2">
              <w:rPr>
                <w:rFonts w:ascii="Arial Narrow" w:hAnsi="Arial Narrow"/>
                <w:b/>
                <w:bCs/>
                <w:sz w:val="20"/>
              </w:rPr>
              <w:t xml:space="preserve">Total </w:t>
            </w:r>
          </w:p>
          <w:p w14:paraId="7018722C" w14:textId="77777777" w:rsidR="00791457" w:rsidRPr="00DC54B2" w:rsidRDefault="00791457" w:rsidP="00DC54B2">
            <w:pPr>
              <w:jc w:val="center"/>
              <w:rPr>
                <w:rFonts w:ascii="Arial Narrow" w:hAnsi="Arial Narrow"/>
                <w:b/>
                <w:bCs/>
                <w:sz w:val="20"/>
              </w:rPr>
            </w:pPr>
            <w:r w:rsidRPr="00DC54B2">
              <w:rPr>
                <w:rFonts w:ascii="Arial Narrow" w:hAnsi="Arial Narrow"/>
                <w:b/>
                <w:bCs/>
                <w:sz w:val="20"/>
              </w:rPr>
              <w:t>(yrs 1-6)</w:t>
            </w:r>
          </w:p>
        </w:tc>
      </w:tr>
      <w:tr w:rsidR="00791457" w:rsidRPr="00791457" w14:paraId="105F720B" w14:textId="77777777" w:rsidTr="00EE43FD">
        <w:trPr>
          <w:tblHeader/>
        </w:trPr>
        <w:tc>
          <w:tcPr>
            <w:tcW w:w="9016" w:type="dxa"/>
            <w:gridSpan w:val="8"/>
          </w:tcPr>
          <w:p w14:paraId="38AE437A" w14:textId="0274AF68" w:rsidR="00791457" w:rsidRPr="00791457" w:rsidRDefault="00791457" w:rsidP="00791457">
            <w:pPr>
              <w:rPr>
                <w:rFonts w:ascii="Arial Narrow" w:hAnsi="Arial Narrow"/>
                <w:sz w:val="20"/>
              </w:rPr>
            </w:pPr>
            <w:r w:rsidRPr="00791457">
              <w:rPr>
                <w:rFonts w:ascii="Arial Narrow" w:hAnsi="Arial Narrow"/>
                <w:sz w:val="20"/>
              </w:rPr>
              <w:t>Cost to the insurer or patient</w:t>
            </w:r>
          </w:p>
        </w:tc>
      </w:tr>
      <w:tr w:rsidR="00791457" w14:paraId="23BAFAED" w14:textId="77777777" w:rsidTr="0072285D">
        <w:trPr>
          <w:trHeight w:val="438"/>
        </w:trPr>
        <w:tc>
          <w:tcPr>
            <w:tcW w:w="1744" w:type="dxa"/>
          </w:tcPr>
          <w:p w14:paraId="73F321A7" w14:textId="2658B531" w:rsidR="00791457" w:rsidRPr="003750E0" w:rsidRDefault="00EE43FD" w:rsidP="00791457">
            <w:pPr>
              <w:rPr>
                <w:rFonts w:ascii="Arial Narrow" w:hAnsi="Arial Narrow"/>
                <w:sz w:val="20"/>
              </w:rPr>
            </w:pPr>
            <w:r>
              <w:rPr>
                <w:rFonts w:ascii="Arial Narrow" w:hAnsi="Arial Narrow"/>
                <w:sz w:val="20"/>
              </w:rPr>
              <w:t xml:space="preserve">   </w:t>
            </w:r>
            <w:r w:rsidR="00791457">
              <w:rPr>
                <w:rFonts w:ascii="Arial Narrow" w:hAnsi="Arial Narrow"/>
                <w:sz w:val="20"/>
              </w:rPr>
              <w:t>Biopsy – day admission</w:t>
            </w:r>
          </w:p>
        </w:tc>
        <w:tc>
          <w:tcPr>
            <w:tcW w:w="1038" w:type="dxa"/>
          </w:tcPr>
          <w:p w14:paraId="515EEF57" w14:textId="48850A9D" w:rsidR="00791457" w:rsidRPr="003750E0" w:rsidRDefault="00791457" w:rsidP="00EE43FD">
            <w:pPr>
              <w:jc w:val="right"/>
              <w:rPr>
                <w:rFonts w:ascii="Arial Narrow" w:hAnsi="Arial Narrow"/>
                <w:sz w:val="20"/>
              </w:rPr>
            </w:pPr>
            <w:r w:rsidRPr="00791457">
              <w:rPr>
                <w:rFonts w:ascii="Arial Narrow" w:hAnsi="Arial Narrow"/>
                <w:sz w:val="20"/>
              </w:rPr>
              <w:noBreakHyphen/>
              <w:t>$1,100,114</w:t>
            </w:r>
          </w:p>
        </w:tc>
        <w:tc>
          <w:tcPr>
            <w:tcW w:w="1039" w:type="dxa"/>
          </w:tcPr>
          <w:p w14:paraId="4210B732" w14:textId="7685FFB5" w:rsidR="00791457" w:rsidRPr="003750E0" w:rsidRDefault="00791457" w:rsidP="00EE43FD">
            <w:pPr>
              <w:jc w:val="right"/>
              <w:rPr>
                <w:rFonts w:ascii="Arial Narrow" w:hAnsi="Arial Narrow"/>
                <w:sz w:val="20"/>
              </w:rPr>
            </w:pPr>
            <w:r w:rsidRPr="00791457">
              <w:rPr>
                <w:rFonts w:ascii="Arial Narrow" w:hAnsi="Arial Narrow"/>
                <w:sz w:val="20"/>
              </w:rPr>
              <w:noBreakHyphen/>
              <w:t>$1,254,130</w:t>
            </w:r>
          </w:p>
        </w:tc>
        <w:tc>
          <w:tcPr>
            <w:tcW w:w="1039" w:type="dxa"/>
          </w:tcPr>
          <w:p w14:paraId="1650C3CC" w14:textId="2ACB8345" w:rsidR="00791457" w:rsidRPr="003750E0" w:rsidRDefault="00791457" w:rsidP="00EE43FD">
            <w:pPr>
              <w:jc w:val="right"/>
              <w:rPr>
                <w:rFonts w:ascii="Arial Narrow" w:hAnsi="Arial Narrow"/>
                <w:sz w:val="20"/>
              </w:rPr>
            </w:pPr>
            <w:r w:rsidRPr="00791457">
              <w:rPr>
                <w:rFonts w:ascii="Arial Narrow" w:hAnsi="Arial Narrow"/>
                <w:sz w:val="20"/>
              </w:rPr>
              <w:noBreakHyphen/>
              <w:t>$1,339,411</w:t>
            </w:r>
          </w:p>
        </w:tc>
        <w:tc>
          <w:tcPr>
            <w:tcW w:w="1039" w:type="dxa"/>
          </w:tcPr>
          <w:p w14:paraId="3374194A" w14:textId="77EF9B76" w:rsidR="00791457" w:rsidRPr="003750E0" w:rsidRDefault="00791457" w:rsidP="00EE43FD">
            <w:pPr>
              <w:jc w:val="right"/>
              <w:rPr>
                <w:rFonts w:ascii="Arial Narrow" w:hAnsi="Arial Narrow"/>
                <w:sz w:val="20"/>
              </w:rPr>
            </w:pPr>
            <w:r w:rsidRPr="00791457">
              <w:rPr>
                <w:rFonts w:ascii="Arial Narrow" w:hAnsi="Arial Narrow"/>
                <w:sz w:val="20"/>
              </w:rPr>
              <w:noBreakHyphen/>
              <w:t>$1,350,126</w:t>
            </w:r>
          </w:p>
        </w:tc>
        <w:tc>
          <w:tcPr>
            <w:tcW w:w="1039" w:type="dxa"/>
          </w:tcPr>
          <w:p w14:paraId="07FAFDDC" w14:textId="38CD2991" w:rsidR="00791457" w:rsidRPr="003750E0" w:rsidRDefault="00791457" w:rsidP="00EE43FD">
            <w:pPr>
              <w:jc w:val="right"/>
              <w:rPr>
                <w:rFonts w:ascii="Arial Narrow" w:hAnsi="Arial Narrow"/>
                <w:sz w:val="20"/>
              </w:rPr>
            </w:pPr>
            <w:r w:rsidRPr="00791457">
              <w:rPr>
                <w:rFonts w:ascii="Arial Narrow" w:hAnsi="Arial Narrow"/>
                <w:sz w:val="20"/>
              </w:rPr>
              <w:noBreakHyphen/>
              <w:t>$1,296,121</w:t>
            </w:r>
          </w:p>
        </w:tc>
        <w:tc>
          <w:tcPr>
            <w:tcW w:w="1039" w:type="dxa"/>
          </w:tcPr>
          <w:p w14:paraId="42E98975" w14:textId="3CDAD2F7" w:rsidR="00791457" w:rsidRPr="003750E0" w:rsidRDefault="00791457" w:rsidP="00EE43FD">
            <w:pPr>
              <w:jc w:val="right"/>
              <w:rPr>
                <w:rFonts w:ascii="Arial Narrow" w:hAnsi="Arial Narrow"/>
                <w:sz w:val="20"/>
              </w:rPr>
            </w:pPr>
            <w:r w:rsidRPr="00791457">
              <w:rPr>
                <w:rFonts w:ascii="Arial Narrow" w:hAnsi="Arial Narrow"/>
                <w:sz w:val="20"/>
              </w:rPr>
              <w:noBreakHyphen/>
              <w:t>$1,353,150</w:t>
            </w:r>
          </w:p>
        </w:tc>
        <w:tc>
          <w:tcPr>
            <w:tcW w:w="1039" w:type="dxa"/>
          </w:tcPr>
          <w:p w14:paraId="144B319C" w14:textId="66E6B233" w:rsidR="00791457" w:rsidRPr="003750E0" w:rsidRDefault="00791457" w:rsidP="00EE43FD">
            <w:pPr>
              <w:jc w:val="right"/>
              <w:rPr>
                <w:rFonts w:ascii="Arial Narrow" w:hAnsi="Arial Narrow"/>
                <w:sz w:val="20"/>
              </w:rPr>
            </w:pPr>
            <w:r w:rsidRPr="00791457">
              <w:rPr>
                <w:rFonts w:ascii="Arial Narrow" w:hAnsi="Arial Narrow"/>
                <w:sz w:val="20"/>
              </w:rPr>
              <w:noBreakHyphen/>
              <w:t>$7,693,052</w:t>
            </w:r>
          </w:p>
        </w:tc>
      </w:tr>
      <w:tr w:rsidR="00E04D23" w14:paraId="68C1194A" w14:textId="77777777" w:rsidTr="0072285D">
        <w:trPr>
          <w:trHeight w:val="77"/>
        </w:trPr>
        <w:tc>
          <w:tcPr>
            <w:tcW w:w="1744" w:type="dxa"/>
            <w:tcBorders>
              <w:bottom w:val="double" w:sz="4" w:space="0" w:color="auto"/>
            </w:tcBorders>
          </w:tcPr>
          <w:p w14:paraId="15ED6E63" w14:textId="099BD4AD" w:rsidR="00E04D23" w:rsidRDefault="00E04D23" w:rsidP="00E04D23">
            <w:pPr>
              <w:rPr>
                <w:rFonts w:ascii="Arial Narrow" w:hAnsi="Arial Narrow"/>
                <w:sz w:val="20"/>
              </w:rPr>
            </w:pPr>
            <w:r>
              <w:rPr>
                <w:rFonts w:ascii="Arial Narrow" w:hAnsi="Arial Narrow"/>
                <w:sz w:val="20"/>
              </w:rPr>
              <w:t xml:space="preserve">Net cost to </w:t>
            </w:r>
            <w:r w:rsidR="00EE43FD">
              <w:rPr>
                <w:rFonts w:ascii="Arial Narrow" w:hAnsi="Arial Narrow"/>
                <w:sz w:val="20"/>
              </w:rPr>
              <w:t xml:space="preserve">the </w:t>
            </w:r>
            <w:r>
              <w:rPr>
                <w:rFonts w:ascii="Arial Narrow" w:hAnsi="Arial Narrow"/>
                <w:sz w:val="20"/>
              </w:rPr>
              <w:t>MBS</w:t>
            </w:r>
          </w:p>
        </w:tc>
        <w:tc>
          <w:tcPr>
            <w:tcW w:w="1038" w:type="dxa"/>
            <w:tcBorders>
              <w:bottom w:val="double" w:sz="4" w:space="0" w:color="auto"/>
            </w:tcBorders>
          </w:tcPr>
          <w:p w14:paraId="50B07ED7" w14:textId="2A16DF9B" w:rsidR="00E04D23" w:rsidRPr="00791457" w:rsidRDefault="00E04D23" w:rsidP="00EE43FD">
            <w:pPr>
              <w:jc w:val="right"/>
              <w:rPr>
                <w:rFonts w:ascii="Arial Narrow" w:hAnsi="Arial Narrow"/>
                <w:sz w:val="20"/>
              </w:rPr>
            </w:pPr>
            <w:r w:rsidRPr="00E04D23">
              <w:rPr>
                <w:rFonts w:ascii="Arial Narrow" w:hAnsi="Arial Narrow"/>
                <w:sz w:val="20"/>
              </w:rPr>
              <w:t>$1,839,099</w:t>
            </w:r>
          </w:p>
        </w:tc>
        <w:tc>
          <w:tcPr>
            <w:tcW w:w="1039" w:type="dxa"/>
            <w:tcBorders>
              <w:bottom w:val="double" w:sz="4" w:space="0" w:color="auto"/>
            </w:tcBorders>
          </w:tcPr>
          <w:p w14:paraId="1DFEE4C2" w14:textId="4A8CFF3F" w:rsidR="00E04D23" w:rsidRPr="00791457" w:rsidRDefault="00E04D23" w:rsidP="00EE43FD">
            <w:pPr>
              <w:jc w:val="right"/>
              <w:rPr>
                <w:rFonts w:ascii="Arial Narrow" w:hAnsi="Arial Narrow"/>
                <w:sz w:val="20"/>
              </w:rPr>
            </w:pPr>
            <w:r w:rsidRPr="00E04D23">
              <w:rPr>
                <w:rFonts w:ascii="Arial Narrow" w:hAnsi="Arial Narrow"/>
                <w:sz w:val="20"/>
              </w:rPr>
              <w:t>$2,096,573</w:t>
            </w:r>
          </w:p>
        </w:tc>
        <w:tc>
          <w:tcPr>
            <w:tcW w:w="1039" w:type="dxa"/>
            <w:tcBorders>
              <w:bottom w:val="double" w:sz="4" w:space="0" w:color="auto"/>
            </w:tcBorders>
          </w:tcPr>
          <w:p w14:paraId="569ABA78" w14:textId="1E28E7BC" w:rsidR="00E04D23" w:rsidRPr="00791457" w:rsidRDefault="00E04D23" w:rsidP="00EE43FD">
            <w:pPr>
              <w:jc w:val="right"/>
              <w:rPr>
                <w:rFonts w:ascii="Arial Narrow" w:hAnsi="Arial Narrow"/>
                <w:sz w:val="20"/>
              </w:rPr>
            </w:pPr>
            <w:r w:rsidRPr="00E04D23">
              <w:rPr>
                <w:rFonts w:ascii="Arial Narrow" w:hAnsi="Arial Narrow"/>
                <w:sz w:val="20"/>
              </w:rPr>
              <w:t>$2,239,140</w:t>
            </w:r>
          </w:p>
        </w:tc>
        <w:tc>
          <w:tcPr>
            <w:tcW w:w="1039" w:type="dxa"/>
            <w:tcBorders>
              <w:bottom w:val="double" w:sz="4" w:space="0" w:color="auto"/>
            </w:tcBorders>
          </w:tcPr>
          <w:p w14:paraId="08F07F30" w14:textId="224ED497" w:rsidR="00E04D23" w:rsidRPr="00791457" w:rsidRDefault="00E04D23" w:rsidP="00EE43FD">
            <w:pPr>
              <w:jc w:val="right"/>
              <w:rPr>
                <w:rFonts w:ascii="Arial Narrow" w:hAnsi="Arial Narrow"/>
                <w:sz w:val="20"/>
              </w:rPr>
            </w:pPr>
            <w:r w:rsidRPr="00E04D23">
              <w:rPr>
                <w:rFonts w:ascii="Arial Narrow" w:hAnsi="Arial Narrow"/>
                <w:sz w:val="20"/>
              </w:rPr>
              <w:t>$2,257,054</w:t>
            </w:r>
          </w:p>
        </w:tc>
        <w:tc>
          <w:tcPr>
            <w:tcW w:w="1039" w:type="dxa"/>
            <w:tcBorders>
              <w:bottom w:val="double" w:sz="4" w:space="0" w:color="auto"/>
            </w:tcBorders>
          </w:tcPr>
          <w:p w14:paraId="0D4C1601" w14:textId="453E6EA9" w:rsidR="00E04D23" w:rsidRPr="00791457" w:rsidRDefault="00E04D23" w:rsidP="00EE43FD">
            <w:pPr>
              <w:jc w:val="right"/>
              <w:rPr>
                <w:rFonts w:ascii="Arial Narrow" w:hAnsi="Arial Narrow"/>
                <w:sz w:val="20"/>
              </w:rPr>
            </w:pPr>
            <w:r w:rsidRPr="00E04D23">
              <w:rPr>
                <w:rFonts w:ascii="Arial Narrow" w:hAnsi="Arial Narrow"/>
                <w:sz w:val="20"/>
              </w:rPr>
              <w:t>$2,166,771</w:t>
            </w:r>
          </w:p>
        </w:tc>
        <w:tc>
          <w:tcPr>
            <w:tcW w:w="1039" w:type="dxa"/>
            <w:tcBorders>
              <w:bottom w:val="double" w:sz="4" w:space="0" w:color="auto"/>
            </w:tcBorders>
          </w:tcPr>
          <w:p w14:paraId="3AF4D55E" w14:textId="07282004" w:rsidR="00E04D23" w:rsidRPr="00791457" w:rsidRDefault="00E04D23" w:rsidP="00EE43FD">
            <w:pPr>
              <w:jc w:val="right"/>
              <w:rPr>
                <w:rFonts w:ascii="Arial Narrow" w:hAnsi="Arial Narrow"/>
                <w:sz w:val="20"/>
              </w:rPr>
            </w:pPr>
            <w:r w:rsidRPr="00E04D23">
              <w:rPr>
                <w:rFonts w:ascii="Arial Narrow" w:hAnsi="Arial Narrow"/>
                <w:sz w:val="20"/>
              </w:rPr>
              <w:t>$2,262,109</w:t>
            </w:r>
          </w:p>
        </w:tc>
        <w:tc>
          <w:tcPr>
            <w:tcW w:w="1039" w:type="dxa"/>
            <w:tcBorders>
              <w:bottom w:val="double" w:sz="4" w:space="0" w:color="auto"/>
            </w:tcBorders>
          </w:tcPr>
          <w:p w14:paraId="5DAA490B" w14:textId="2960EC08" w:rsidR="00E04D23" w:rsidRPr="00791457" w:rsidRDefault="00E04D23" w:rsidP="00EE43FD">
            <w:pPr>
              <w:jc w:val="right"/>
              <w:rPr>
                <w:rFonts w:ascii="Arial Narrow" w:hAnsi="Arial Narrow"/>
                <w:sz w:val="20"/>
              </w:rPr>
            </w:pPr>
            <w:r w:rsidRPr="00E04D23">
              <w:rPr>
                <w:rFonts w:ascii="Arial Narrow" w:hAnsi="Arial Narrow"/>
                <w:sz w:val="20"/>
              </w:rPr>
              <w:t>$12,860,748</w:t>
            </w:r>
          </w:p>
        </w:tc>
      </w:tr>
      <w:tr w:rsidR="00791457" w14:paraId="448997D9" w14:textId="77777777" w:rsidTr="0072285D">
        <w:tc>
          <w:tcPr>
            <w:tcW w:w="1744" w:type="dxa"/>
            <w:tcBorders>
              <w:top w:val="double" w:sz="4" w:space="0" w:color="auto"/>
            </w:tcBorders>
          </w:tcPr>
          <w:p w14:paraId="573913FD" w14:textId="5742FA3D" w:rsidR="00791457" w:rsidRPr="007C23E2" w:rsidRDefault="00EE43FD" w:rsidP="00791457">
            <w:pPr>
              <w:rPr>
                <w:rFonts w:ascii="Arial Narrow" w:hAnsi="Arial Narrow"/>
                <w:b/>
                <w:bCs/>
                <w:sz w:val="20"/>
              </w:rPr>
            </w:pPr>
            <w:r>
              <w:rPr>
                <w:rFonts w:ascii="Arial Narrow" w:hAnsi="Arial Narrow"/>
                <w:b/>
                <w:bCs/>
                <w:sz w:val="20"/>
              </w:rPr>
              <w:t>Net</w:t>
            </w:r>
            <w:r w:rsidR="00791457" w:rsidRPr="007C23E2">
              <w:rPr>
                <w:rFonts w:ascii="Arial Narrow" w:hAnsi="Arial Narrow"/>
                <w:b/>
                <w:bCs/>
                <w:sz w:val="20"/>
              </w:rPr>
              <w:t xml:space="preserve"> financial impact </w:t>
            </w:r>
            <w:r>
              <w:rPr>
                <w:rFonts w:ascii="Arial Narrow" w:hAnsi="Arial Narrow"/>
                <w:b/>
                <w:bCs/>
                <w:sz w:val="20"/>
              </w:rPr>
              <w:t>to</w:t>
            </w:r>
            <w:r w:rsidR="00791457" w:rsidRPr="007C23E2">
              <w:rPr>
                <w:rFonts w:ascii="Arial Narrow" w:hAnsi="Arial Narrow"/>
                <w:b/>
                <w:bCs/>
                <w:sz w:val="20"/>
              </w:rPr>
              <w:t xml:space="preserve"> all health budgets</w:t>
            </w:r>
          </w:p>
        </w:tc>
        <w:tc>
          <w:tcPr>
            <w:tcW w:w="1038" w:type="dxa"/>
            <w:tcBorders>
              <w:top w:val="double" w:sz="4" w:space="0" w:color="auto"/>
            </w:tcBorders>
          </w:tcPr>
          <w:p w14:paraId="43C0AC19" w14:textId="52B0199F" w:rsidR="00791457" w:rsidRPr="007C23E2" w:rsidRDefault="00791457" w:rsidP="00EE43FD">
            <w:pPr>
              <w:jc w:val="right"/>
              <w:rPr>
                <w:rFonts w:ascii="Arial Narrow" w:hAnsi="Arial Narrow"/>
                <w:b/>
                <w:bCs/>
                <w:sz w:val="20"/>
              </w:rPr>
            </w:pPr>
            <w:r w:rsidRPr="007C23E2">
              <w:rPr>
                <w:rFonts w:ascii="Arial Narrow" w:hAnsi="Arial Narrow"/>
                <w:b/>
                <w:bCs/>
                <w:sz w:val="20"/>
              </w:rPr>
              <w:t>$738,986</w:t>
            </w:r>
          </w:p>
        </w:tc>
        <w:tc>
          <w:tcPr>
            <w:tcW w:w="1039" w:type="dxa"/>
            <w:tcBorders>
              <w:top w:val="double" w:sz="4" w:space="0" w:color="auto"/>
            </w:tcBorders>
          </w:tcPr>
          <w:p w14:paraId="51971718" w14:textId="48D3C0E1" w:rsidR="00791457" w:rsidRPr="007C23E2" w:rsidRDefault="00791457" w:rsidP="00EE43FD">
            <w:pPr>
              <w:jc w:val="right"/>
              <w:rPr>
                <w:rFonts w:ascii="Arial Narrow" w:hAnsi="Arial Narrow"/>
                <w:b/>
                <w:bCs/>
                <w:sz w:val="20"/>
              </w:rPr>
            </w:pPr>
            <w:r w:rsidRPr="007C23E2">
              <w:rPr>
                <w:rFonts w:ascii="Arial Narrow" w:hAnsi="Arial Narrow"/>
                <w:b/>
                <w:bCs/>
                <w:sz w:val="20"/>
              </w:rPr>
              <w:t>$842,444</w:t>
            </w:r>
          </w:p>
        </w:tc>
        <w:tc>
          <w:tcPr>
            <w:tcW w:w="1039" w:type="dxa"/>
            <w:tcBorders>
              <w:top w:val="double" w:sz="4" w:space="0" w:color="auto"/>
            </w:tcBorders>
          </w:tcPr>
          <w:p w14:paraId="2C5DCFA8" w14:textId="7E9B4297" w:rsidR="00791457" w:rsidRPr="007C23E2" w:rsidRDefault="00791457" w:rsidP="00EE43FD">
            <w:pPr>
              <w:jc w:val="right"/>
              <w:rPr>
                <w:rFonts w:ascii="Arial Narrow" w:hAnsi="Arial Narrow"/>
                <w:b/>
                <w:bCs/>
                <w:sz w:val="20"/>
              </w:rPr>
            </w:pPr>
            <w:r w:rsidRPr="007C23E2">
              <w:rPr>
                <w:rFonts w:ascii="Arial Narrow" w:hAnsi="Arial Narrow"/>
                <w:b/>
                <w:bCs/>
                <w:sz w:val="20"/>
              </w:rPr>
              <w:t>$899,730</w:t>
            </w:r>
          </w:p>
        </w:tc>
        <w:tc>
          <w:tcPr>
            <w:tcW w:w="1039" w:type="dxa"/>
            <w:tcBorders>
              <w:top w:val="double" w:sz="4" w:space="0" w:color="auto"/>
            </w:tcBorders>
          </w:tcPr>
          <w:p w14:paraId="25F43500" w14:textId="2556864E" w:rsidR="00791457" w:rsidRPr="007C23E2" w:rsidRDefault="00791457" w:rsidP="00EE43FD">
            <w:pPr>
              <w:jc w:val="right"/>
              <w:rPr>
                <w:rFonts w:ascii="Arial Narrow" w:hAnsi="Arial Narrow"/>
                <w:b/>
                <w:bCs/>
                <w:sz w:val="20"/>
              </w:rPr>
            </w:pPr>
            <w:r w:rsidRPr="007C23E2">
              <w:rPr>
                <w:rFonts w:ascii="Arial Narrow" w:hAnsi="Arial Narrow"/>
                <w:b/>
                <w:bCs/>
                <w:sz w:val="20"/>
              </w:rPr>
              <w:t>$906,928</w:t>
            </w:r>
          </w:p>
        </w:tc>
        <w:tc>
          <w:tcPr>
            <w:tcW w:w="1039" w:type="dxa"/>
            <w:tcBorders>
              <w:top w:val="double" w:sz="4" w:space="0" w:color="auto"/>
            </w:tcBorders>
          </w:tcPr>
          <w:p w14:paraId="24A21A17" w14:textId="036B2419" w:rsidR="00791457" w:rsidRPr="007C23E2" w:rsidRDefault="00791457" w:rsidP="00EE43FD">
            <w:pPr>
              <w:jc w:val="right"/>
              <w:rPr>
                <w:rFonts w:ascii="Arial Narrow" w:hAnsi="Arial Narrow"/>
                <w:b/>
                <w:bCs/>
                <w:sz w:val="20"/>
              </w:rPr>
            </w:pPr>
            <w:r w:rsidRPr="007C23E2">
              <w:rPr>
                <w:rFonts w:ascii="Arial Narrow" w:hAnsi="Arial Narrow"/>
                <w:b/>
                <w:bCs/>
                <w:sz w:val="20"/>
              </w:rPr>
              <w:t>$870,650</w:t>
            </w:r>
          </w:p>
        </w:tc>
        <w:tc>
          <w:tcPr>
            <w:tcW w:w="1039" w:type="dxa"/>
            <w:tcBorders>
              <w:top w:val="double" w:sz="4" w:space="0" w:color="auto"/>
            </w:tcBorders>
          </w:tcPr>
          <w:p w14:paraId="79CFBD11" w14:textId="40548AAE" w:rsidR="00791457" w:rsidRPr="007C23E2" w:rsidRDefault="00791457" w:rsidP="00EE43FD">
            <w:pPr>
              <w:jc w:val="right"/>
              <w:rPr>
                <w:rFonts w:ascii="Arial Narrow" w:hAnsi="Arial Narrow"/>
                <w:b/>
                <w:bCs/>
                <w:sz w:val="20"/>
              </w:rPr>
            </w:pPr>
            <w:r w:rsidRPr="007C23E2">
              <w:rPr>
                <w:rFonts w:ascii="Arial Narrow" w:hAnsi="Arial Narrow"/>
                <w:b/>
                <w:bCs/>
                <w:sz w:val="20"/>
              </w:rPr>
              <w:t>$908,959</w:t>
            </w:r>
          </w:p>
        </w:tc>
        <w:tc>
          <w:tcPr>
            <w:tcW w:w="1039" w:type="dxa"/>
            <w:tcBorders>
              <w:top w:val="double" w:sz="4" w:space="0" w:color="auto"/>
            </w:tcBorders>
          </w:tcPr>
          <w:p w14:paraId="319537C7" w14:textId="06590683" w:rsidR="00791457" w:rsidRPr="007C23E2" w:rsidRDefault="00791457" w:rsidP="00EE43FD">
            <w:pPr>
              <w:jc w:val="right"/>
              <w:rPr>
                <w:rFonts w:ascii="Arial Narrow" w:hAnsi="Arial Narrow"/>
                <w:b/>
                <w:bCs/>
                <w:sz w:val="20"/>
              </w:rPr>
            </w:pPr>
            <w:r w:rsidRPr="007C23E2">
              <w:rPr>
                <w:rFonts w:ascii="Arial Narrow" w:hAnsi="Arial Narrow"/>
                <w:b/>
                <w:bCs/>
                <w:sz w:val="20"/>
              </w:rPr>
              <w:t>$5,167,696</w:t>
            </w:r>
          </w:p>
        </w:tc>
      </w:tr>
    </w:tbl>
    <w:p w14:paraId="4151A68F" w14:textId="77777777" w:rsidR="00791457" w:rsidRPr="00DC54B2" w:rsidRDefault="00791457" w:rsidP="00791457">
      <w:pPr>
        <w:rPr>
          <w:rFonts w:ascii="Arial Narrow" w:hAnsi="Arial Narrow"/>
          <w:sz w:val="20"/>
          <w:szCs w:val="16"/>
          <w:lang w:eastAsia="en-US"/>
        </w:rPr>
      </w:pPr>
      <w:r w:rsidRPr="00F2225C">
        <w:rPr>
          <w:rFonts w:ascii="Arial Narrow" w:hAnsi="Arial Narrow"/>
          <w:sz w:val="20"/>
          <w:szCs w:val="16"/>
          <w:lang w:eastAsia="en-US"/>
        </w:rPr>
        <w:t>Table incorporates post-MSAC Executive corrections to the analyses.</w:t>
      </w:r>
    </w:p>
    <w:p w14:paraId="7B23B339" w14:textId="77777777" w:rsidR="00F11243" w:rsidRDefault="00F11243" w:rsidP="00F11243">
      <w:pPr>
        <w:rPr>
          <w:rFonts w:ascii="Franklin Gothic Book" w:hAnsi="Franklin Gothic Book"/>
          <w:sz w:val="22"/>
          <w:szCs w:val="22"/>
        </w:rPr>
      </w:pPr>
    </w:p>
    <w:p w14:paraId="5789DD18" w14:textId="4882676B" w:rsidR="00300624" w:rsidRDefault="00A304F0" w:rsidP="00F11243">
      <w:pPr>
        <w:rPr>
          <w:rFonts w:ascii="Franklin Gothic Book" w:hAnsi="Franklin Gothic Book"/>
          <w:sz w:val="22"/>
          <w:szCs w:val="22"/>
        </w:rPr>
      </w:pPr>
      <w:r>
        <w:rPr>
          <w:rFonts w:ascii="Franklin Gothic Book" w:hAnsi="Franklin Gothic Book"/>
          <w:sz w:val="22"/>
          <w:szCs w:val="22"/>
        </w:rPr>
        <w:t>S</w:t>
      </w:r>
      <w:r w:rsidR="009E6EE0">
        <w:rPr>
          <w:rFonts w:ascii="Franklin Gothic Book" w:hAnsi="Franklin Gothic Book"/>
          <w:sz w:val="22"/>
          <w:szCs w:val="22"/>
        </w:rPr>
        <w:t>ensitivity analyses were undertaken</w:t>
      </w:r>
      <w:r>
        <w:rPr>
          <w:rFonts w:ascii="Franklin Gothic Book" w:hAnsi="Franklin Gothic Book"/>
          <w:sz w:val="22"/>
          <w:szCs w:val="22"/>
        </w:rPr>
        <w:t xml:space="preserve"> to explore the effect of uncertain variables on the net financial impact</w:t>
      </w:r>
      <w:r w:rsidR="00791457">
        <w:rPr>
          <w:rFonts w:ascii="Franklin Gothic Book" w:hAnsi="Franklin Gothic Book"/>
          <w:sz w:val="22"/>
          <w:szCs w:val="22"/>
        </w:rPr>
        <w:t xml:space="preserve"> to the MBS</w:t>
      </w:r>
      <w:r w:rsidR="00300624">
        <w:rPr>
          <w:rFonts w:ascii="Franklin Gothic Book" w:hAnsi="Franklin Gothic Book"/>
          <w:sz w:val="22"/>
          <w:szCs w:val="22"/>
        </w:rPr>
        <w:t xml:space="preserve"> </w:t>
      </w:r>
      <w:r w:rsidR="00EE43FD">
        <w:rPr>
          <w:rFonts w:ascii="Franklin Gothic Book" w:hAnsi="Franklin Gothic Book"/>
          <w:sz w:val="22"/>
          <w:szCs w:val="22"/>
        </w:rPr>
        <w:t>(</w:t>
      </w:r>
      <w:r w:rsidR="00D53228">
        <w:rPr>
          <w:rFonts w:ascii="Franklin Gothic Book" w:hAnsi="Franklin Gothic Book"/>
          <w:sz w:val="22"/>
          <w:szCs w:val="22"/>
        </w:rPr>
        <w:t>Table 11</w:t>
      </w:r>
      <w:r w:rsidR="00EE43FD">
        <w:rPr>
          <w:rFonts w:ascii="Franklin Gothic Book" w:hAnsi="Franklin Gothic Book"/>
          <w:sz w:val="22"/>
          <w:szCs w:val="22"/>
        </w:rPr>
        <w:t>)</w:t>
      </w:r>
      <w:r w:rsidR="00300624">
        <w:rPr>
          <w:rFonts w:ascii="Franklin Gothic Book" w:hAnsi="Franklin Gothic Book"/>
          <w:sz w:val="22"/>
          <w:szCs w:val="22"/>
        </w:rPr>
        <w:t>,</w:t>
      </w:r>
      <w:r w:rsidR="009E6EE0">
        <w:rPr>
          <w:rFonts w:ascii="Franklin Gothic Book" w:hAnsi="Franklin Gothic Book"/>
          <w:sz w:val="22"/>
          <w:szCs w:val="22"/>
        </w:rPr>
        <w:t xml:space="preserve"> to</w:t>
      </w:r>
      <w:r w:rsidR="007C23E2">
        <w:rPr>
          <w:rFonts w:ascii="Franklin Gothic Book" w:hAnsi="Franklin Gothic Book"/>
          <w:sz w:val="22"/>
          <w:szCs w:val="22"/>
        </w:rPr>
        <w:t xml:space="preserve"> </w:t>
      </w:r>
      <w:r w:rsidR="00225C49">
        <w:rPr>
          <w:rFonts w:ascii="Franklin Gothic Book" w:hAnsi="Franklin Gothic Book"/>
          <w:sz w:val="22"/>
          <w:szCs w:val="22"/>
        </w:rPr>
        <w:t xml:space="preserve">show </w:t>
      </w:r>
      <w:r w:rsidR="007C23E2">
        <w:rPr>
          <w:rFonts w:ascii="Franklin Gothic Book" w:hAnsi="Franklin Gothic Book"/>
          <w:sz w:val="22"/>
          <w:szCs w:val="22"/>
        </w:rPr>
        <w:t>the effect of</w:t>
      </w:r>
      <w:r w:rsidR="00300624">
        <w:rPr>
          <w:rFonts w:ascii="Franklin Gothic Book" w:hAnsi="Franklin Gothic Book"/>
          <w:sz w:val="22"/>
          <w:szCs w:val="22"/>
        </w:rPr>
        <w:t>:</w:t>
      </w:r>
    </w:p>
    <w:p w14:paraId="486A3EAE" w14:textId="63D09073" w:rsidR="00300624" w:rsidRPr="00300624" w:rsidRDefault="009E6EE0" w:rsidP="00300624">
      <w:pPr>
        <w:pStyle w:val="ListParagraph"/>
        <w:numPr>
          <w:ilvl w:val="0"/>
          <w:numId w:val="46"/>
        </w:numPr>
        <w:spacing w:before="240"/>
        <w:rPr>
          <w:rFonts w:ascii="Franklin Gothic Book" w:hAnsi="Franklin Gothic Book"/>
          <w:sz w:val="22"/>
          <w:szCs w:val="22"/>
        </w:rPr>
      </w:pPr>
      <w:r w:rsidRPr="00300624">
        <w:rPr>
          <w:rFonts w:ascii="Franklin Gothic Book" w:hAnsi="Franklin Gothic Book"/>
          <w:sz w:val="22"/>
          <w:szCs w:val="22"/>
        </w:rPr>
        <w:t xml:space="preserve">a change in diagnostic yield </w:t>
      </w:r>
      <w:r w:rsidR="00EE43FD">
        <w:rPr>
          <w:rFonts w:ascii="Franklin Gothic Book" w:hAnsi="Franklin Gothic Book"/>
          <w:sz w:val="22"/>
          <w:szCs w:val="22"/>
        </w:rPr>
        <w:t>of</w:t>
      </w:r>
      <w:r w:rsidRPr="00300624">
        <w:rPr>
          <w:rFonts w:ascii="Franklin Gothic Book" w:hAnsi="Franklin Gothic Book"/>
          <w:sz w:val="22"/>
          <w:szCs w:val="22"/>
        </w:rPr>
        <w:t xml:space="preserve"> sing</w:t>
      </w:r>
      <w:r w:rsidR="008C34D5">
        <w:rPr>
          <w:rFonts w:ascii="Franklin Gothic Book" w:hAnsi="Franklin Gothic Book"/>
          <w:sz w:val="22"/>
          <w:szCs w:val="22"/>
        </w:rPr>
        <w:t>l</w:t>
      </w:r>
      <w:r w:rsidRPr="00300624">
        <w:rPr>
          <w:rFonts w:ascii="Franklin Gothic Book" w:hAnsi="Franklin Gothic Book"/>
          <w:sz w:val="22"/>
          <w:szCs w:val="22"/>
        </w:rPr>
        <w:t>e gene testing from 95% to 60%</w:t>
      </w:r>
    </w:p>
    <w:p w14:paraId="2861E591" w14:textId="20618781" w:rsidR="009E6EE0" w:rsidRDefault="009E6EE0" w:rsidP="00300624">
      <w:pPr>
        <w:pStyle w:val="ListParagraph"/>
        <w:numPr>
          <w:ilvl w:val="0"/>
          <w:numId w:val="46"/>
        </w:numPr>
        <w:spacing w:before="240"/>
        <w:rPr>
          <w:rFonts w:ascii="Franklin Gothic Book" w:hAnsi="Franklin Gothic Book"/>
          <w:sz w:val="22"/>
          <w:szCs w:val="22"/>
        </w:rPr>
      </w:pPr>
      <w:r w:rsidRPr="00300624">
        <w:rPr>
          <w:rFonts w:ascii="Franklin Gothic Book" w:hAnsi="Franklin Gothic Book"/>
          <w:sz w:val="22"/>
          <w:szCs w:val="22"/>
        </w:rPr>
        <w:t>a change in the proportion of individuals who did not have a diagnostic genetic test result that proceeded to a biopsy</w:t>
      </w:r>
    </w:p>
    <w:p w14:paraId="6E876A24" w14:textId="6A1C5256" w:rsidR="007D4B83" w:rsidRPr="007D4B83" w:rsidRDefault="00A304F0" w:rsidP="007D4B83">
      <w:pPr>
        <w:pStyle w:val="ListParagraph"/>
        <w:numPr>
          <w:ilvl w:val="0"/>
          <w:numId w:val="46"/>
        </w:numPr>
        <w:spacing w:before="240"/>
        <w:rPr>
          <w:rFonts w:ascii="Franklin Gothic Book" w:hAnsi="Franklin Gothic Book"/>
          <w:sz w:val="22"/>
          <w:szCs w:val="22"/>
        </w:rPr>
      </w:pPr>
      <w:r w:rsidRPr="00F52304">
        <w:rPr>
          <w:rFonts w:ascii="Franklin Gothic Book" w:hAnsi="Franklin Gothic Book"/>
          <w:sz w:val="22"/>
          <w:szCs w:val="22"/>
        </w:rPr>
        <w:t>the RCPA’s proposal to add</w:t>
      </w:r>
      <w:r w:rsidR="00300624" w:rsidRPr="00F52304">
        <w:rPr>
          <w:rFonts w:ascii="Franklin Gothic Book" w:hAnsi="Franklin Gothic Book"/>
          <w:sz w:val="22"/>
          <w:szCs w:val="22"/>
        </w:rPr>
        <w:t xml:space="preserve"> gene sequencing</w:t>
      </w:r>
      <w:r w:rsidRPr="00F52304">
        <w:rPr>
          <w:rFonts w:ascii="Franklin Gothic Book" w:hAnsi="Franklin Gothic Book"/>
          <w:sz w:val="22"/>
          <w:szCs w:val="22"/>
        </w:rPr>
        <w:t xml:space="preserve"> </w:t>
      </w:r>
      <w:r w:rsidR="007C23E2">
        <w:rPr>
          <w:rFonts w:ascii="Franklin Gothic Book" w:hAnsi="Franklin Gothic Book"/>
          <w:sz w:val="22"/>
          <w:szCs w:val="22"/>
        </w:rPr>
        <w:t xml:space="preserve">(1585 EEEE) </w:t>
      </w:r>
      <w:r w:rsidRPr="00F52304">
        <w:rPr>
          <w:rFonts w:ascii="Franklin Gothic Book" w:hAnsi="Franklin Gothic Book"/>
          <w:sz w:val="22"/>
          <w:szCs w:val="22"/>
        </w:rPr>
        <w:t>to reproductive partner testing</w:t>
      </w:r>
      <w:r w:rsidR="00300624" w:rsidRPr="00F52304">
        <w:rPr>
          <w:rFonts w:ascii="Franklin Gothic Book" w:hAnsi="Franklin Gothic Book"/>
          <w:sz w:val="22"/>
          <w:szCs w:val="22"/>
        </w:rPr>
        <w:t>, given the small proportion of cases where sequence variation may also be relevant.</w:t>
      </w:r>
      <w:bookmarkStart w:id="24" w:name="_Ref114230070"/>
      <w:r w:rsidR="007D4B83">
        <w:br w:type="page"/>
      </w:r>
    </w:p>
    <w:p w14:paraId="6CAB16E1" w14:textId="18265A00" w:rsidR="009E6EE0" w:rsidRDefault="00E6112A" w:rsidP="007D4B83">
      <w:pPr>
        <w:pStyle w:val="Caption"/>
        <w:spacing w:before="240"/>
        <w:rPr>
          <w:rFonts w:ascii="Franklin Gothic Book" w:hAnsi="Franklin Gothic Book"/>
          <w:sz w:val="22"/>
          <w:szCs w:val="22"/>
        </w:rPr>
      </w:pPr>
      <w:r>
        <w:t xml:space="preserve">Table </w:t>
      </w:r>
      <w:r w:rsidR="008260AB">
        <w:fldChar w:fldCharType="begin"/>
      </w:r>
      <w:r w:rsidR="008260AB">
        <w:instrText xml:space="preserve"> SEQ Table \* ARABIC </w:instrText>
      </w:r>
      <w:r w:rsidR="008260AB">
        <w:fldChar w:fldCharType="separate"/>
      </w:r>
      <w:r w:rsidR="008260AB">
        <w:rPr>
          <w:noProof/>
        </w:rPr>
        <w:t>11</w:t>
      </w:r>
      <w:r w:rsidR="008260AB">
        <w:rPr>
          <w:noProof/>
        </w:rPr>
        <w:fldChar w:fldCharType="end"/>
      </w:r>
      <w:bookmarkEnd w:id="24"/>
      <w:r>
        <w:t xml:space="preserve"> Sensitivity analys</w:t>
      </w:r>
      <w:r w:rsidR="0079690E">
        <w:t>e</w:t>
      </w:r>
      <w:r>
        <w:t>s</w:t>
      </w:r>
      <w:r w:rsidR="0079690E">
        <w:t xml:space="preserve"> </w:t>
      </w:r>
      <w:r w:rsidR="008C34D5">
        <w:t>on the net financial cost to the MBS</w:t>
      </w:r>
    </w:p>
    <w:tbl>
      <w:tblPr>
        <w:tblStyle w:val="TableGrid"/>
        <w:tblW w:w="5000" w:type="pct"/>
        <w:tblCellMar>
          <w:left w:w="57" w:type="dxa"/>
          <w:right w:w="57" w:type="dxa"/>
        </w:tblCellMar>
        <w:tblLook w:val="04A0" w:firstRow="1" w:lastRow="0" w:firstColumn="1" w:lastColumn="0" w:noHBand="0" w:noVBand="1"/>
      </w:tblPr>
      <w:tblGrid>
        <w:gridCol w:w="1480"/>
        <w:gridCol w:w="935"/>
        <w:gridCol w:w="970"/>
        <w:gridCol w:w="970"/>
        <w:gridCol w:w="972"/>
        <w:gridCol w:w="972"/>
        <w:gridCol w:w="972"/>
        <w:gridCol w:w="1029"/>
        <w:gridCol w:w="716"/>
      </w:tblGrid>
      <w:tr w:rsidR="00172488" w:rsidRPr="008C34D5" w14:paraId="49588494" w14:textId="7EB9C00A" w:rsidTr="00172488">
        <w:trPr>
          <w:trHeight w:val="939"/>
          <w:tblHeader/>
        </w:trPr>
        <w:tc>
          <w:tcPr>
            <w:tcW w:w="862" w:type="pct"/>
          </w:tcPr>
          <w:p w14:paraId="1F5F98E9" w14:textId="77777777" w:rsidR="00F9243F" w:rsidRPr="00972F54" w:rsidRDefault="00F9243F" w:rsidP="007C23E2">
            <w:pPr>
              <w:rPr>
                <w:rFonts w:ascii="Arial Narrow" w:hAnsi="Arial Narrow"/>
                <w:b/>
                <w:bCs/>
                <w:sz w:val="20"/>
                <w:lang w:eastAsia="en-US"/>
              </w:rPr>
            </w:pPr>
          </w:p>
        </w:tc>
        <w:tc>
          <w:tcPr>
            <w:tcW w:w="233" w:type="pct"/>
          </w:tcPr>
          <w:p w14:paraId="3179DF0A" w14:textId="1AFA1382" w:rsidR="00F9243F" w:rsidRPr="00972F54" w:rsidRDefault="00F9243F" w:rsidP="007C23E2">
            <w:pPr>
              <w:jc w:val="center"/>
              <w:rPr>
                <w:rFonts w:ascii="Arial Narrow" w:hAnsi="Arial Narrow"/>
                <w:b/>
                <w:bCs/>
                <w:sz w:val="20"/>
                <w:lang w:eastAsia="en-US"/>
              </w:rPr>
            </w:pPr>
            <w:r w:rsidRPr="00972F54">
              <w:rPr>
                <w:rFonts w:ascii="Arial Narrow" w:hAnsi="Arial Narrow"/>
                <w:b/>
                <w:bCs/>
                <w:sz w:val="20"/>
              </w:rPr>
              <w:t>Year 1</w:t>
            </w:r>
          </w:p>
        </w:tc>
        <w:tc>
          <w:tcPr>
            <w:tcW w:w="579" w:type="pct"/>
          </w:tcPr>
          <w:p w14:paraId="2B6E458C" w14:textId="1A4E9BC5" w:rsidR="00F9243F" w:rsidRPr="00972F54" w:rsidRDefault="00F9243F" w:rsidP="007C23E2">
            <w:pPr>
              <w:jc w:val="center"/>
              <w:rPr>
                <w:rFonts w:ascii="Arial Narrow" w:hAnsi="Arial Narrow"/>
                <w:b/>
                <w:bCs/>
                <w:sz w:val="20"/>
                <w:lang w:eastAsia="en-US"/>
              </w:rPr>
            </w:pPr>
            <w:r w:rsidRPr="00972F54">
              <w:rPr>
                <w:rFonts w:ascii="Arial Narrow" w:hAnsi="Arial Narrow"/>
                <w:b/>
                <w:bCs/>
                <w:sz w:val="20"/>
              </w:rPr>
              <w:t>Year 2</w:t>
            </w:r>
          </w:p>
        </w:tc>
        <w:tc>
          <w:tcPr>
            <w:tcW w:w="579" w:type="pct"/>
          </w:tcPr>
          <w:p w14:paraId="406EC734" w14:textId="1515A7BF" w:rsidR="00F9243F" w:rsidRPr="00972F54" w:rsidRDefault="00F9243F" w:rsidP="007C23E2">
            <w:pPr>
              <w:jc w:val="center"/>
              <w:rPr>
                <w:rFonts w:ascii="Arial Narrow" w:hAnsi="Arial Narrow"/>
                <w:b/>
                <w:bCs/>
                <w:sz w:val="20"/>
                <w:lang w:eastAsia="en-US"/>
              </w:rPr>
            </w:pPr>
            <w:r w:rsidRPr="00972F54">
              <w:rPr>
                <w:rFonts w:ascii="Arial Narrow" w:hAnsi="Arial Narrow"/>
                <w:b/>
                <w:bCs/>
                <w:sz w:val="20"/>
              </w:rPr>
              <w:t>Year 3</w:t>
            </w:r>
          </w:p>
        </w:tc>
        <w:tc>
          <w:tcPr>
            <w:tcW w:w="580" w:type="pct"/>
          </w:tcPr>
          <w:p w14:paraId="74DCEA55" w14:textId="3F517154" w:rsidR="00F9243F" w:rsidRPr="00972F54" w:rsidRDefault="00F9243F" w:rsidP="007C23E2">
            <w:pPr>
              <w:jc w:val="center"/>
              <w:rPr>
                <w:rFonts w:ascii="Arial Narrow" w:hAnsi="Arial Narrow"/>
                <w:b/>
                <w:bCs/>
                <w:sz w:val="20"/>
                <w:lang w:eastAsia="en-US"/>
              </w:rPr>
            </w:pPr>
            <w:r w:rsidRPr="00972F54">
              <w:rPr>
                <w:rFonts w:ascii="Arial Narrow" w:hAnsi="Arial Narrow"/>
                <w:b/>
                <w:bCs/>
                <w:sz w:val="20"/>
              </w:rPr>
              <w:t>Year 4</w:t>
            </w:r>
          </w:p>
        </w:tc>
        <w:tc>
          <w:tcPr>
            <w:tcW w:w="580" w:type="pct"/>
          </w:tcPr>
          <w:p w14:paraId="5A16B3EA" w14:textId="5E5734C0" w:rsidR="00F9243F" w:rsidRPr="00972F54" w:rsidRDefault="00F9243F" w:rsidP="007C23E2">
            <w:pPr>
              <w:jc w:val="center"/>
              <w:rPr>
                <w:rFonts w:ascii="Arial Narrow" w:hAnsi="Arial Narrow"/>
                <w:b/>
                <w:bCs/>
                <w:sz w:val="20"/>
                <w:lang w:eastAsia="en-US"/>
              </w:rPr>
            </w:pPr>
            <w:r w:rsidRPr="00972F54">
              <w:rPr>
                <w:rFonts w:ascii="Arial Narrow" w:hAnsi="Arial Narrow"/>
                <w:b/>
                <w:bCs/>
                <w:sz w:val="20"/>
              </w:rPr>
              <w:t>Year 5</w:t>
            </w:r>
          </w:p>
        </w:tc>
        <w:tc>
          <w:tcPr>
            <w:tcW w:w="580" w:type="pct"/>
          </w:tcPr>
          <w:p w14:paraId="34010DB9" w14:textId="5CB9834F" w:rsidR="00F9243F" w:rsidRPr="00972F54" w:rsidRDefault="00F9243F" w:rsidP="007C23E2">
            <w:pPr>
              <w:jc w:val="center"/>
              <w:rPr>
                <w:rFonts w:ascii="Arial Narrow" w:hAnsi="Arial Narrow"/>
                <w:b/>
                <w:bCs/>
                <w:sz w:val="20"/>
                <w:lang w:eastAsia="en-US"/>
              </w:rPr>
            </w:pPr>
            <w:r w:rsidRPr="00972F54">
              <w:rPr>
                <w:rFonts w:ascii="Arial Narrow" w:hAnsi="Arial Narrow"/>
                <w:b/>
                <w:bCs/>
                <w:sz w:val="20"/>
              </w:rPr>
              <w:t>Year 6</w:t>
            </w:r>
          </w:p>
        </w:tc>
        <w:tc>
          <w:tcPr>
            <w:tcW w:w="611" w:type="pct"/>
          </w:tcPr>
          <w:p w14:paraId="6BABCE19" w14:textId="5E82BB97" w:rsidR="00F9243F" w:rsidRPr="00972F54" w:rsidRDefault="00F9243F" w:rsidP="007C23E2">
            <w:pPr>
              <w:jc w:val="center"/>
              <w:rPr>
                <w:rFonts w:ascii="Arial Narrow" w:hAnsi="Arial Narrow"/>
                <w:b/>
                <w:bCs/>
                <w:sz w:val="20"/>
              </w:rPr>
            </w:pPr>
            <w:r w:rsidRPr="00972F54">
              <w:rPr>
                <w:rFonts w:ascii="Arial Narrow" w:hAnsi="Arial Narrow"/>
                <w:b/>
                <w:bCs/>
                <w:sz w:val="20"/>
              </w:rPr>
              <w:t>Total</w:t>
            </w:r>
          </w:p>
          <w:p w14:paraId="27783365" w14:textId="23180606" w:rsidR="00F9243F" w:rsidRPr="00972F54" w:rsidRDefault="00F9243F" w:rsidP="007C23E2">
            <w:pPr>
              <w:jc w:val="center"/>
              <w:rPr>
                <w:rFonts w:ascii="Arial Narrow" w:hAnsi="Arial Narrow"/>
                <w:b/>
                <w:bCs/>
                <w:sz w:val="20"/>
                <w:lang w:eastAsia="en-US"/>
              </w:rPr>
            </w:pPr>
            <w:r w:rsidRPr="00972F54">
              <w:rPr>
                <w:rFonts w:ascii="Arial Narrow" w:hAnsi="Arial Narrow"/>
                <w:b/>
                <w:bCs/>
                <w:sz w:val="20"/>
              </w:rPr>
              <w:t>(yrs 1-6)</w:t>
            </w:r>
          </w:p>
        </w:tc>
        <w:tc>
          <w:tcPr>
            <w:tcW w:w="397" w:type="pct"/>
          </w:tcPr>
          <w:p w14:paraId="370933FF" w14:textId="1027294A" w:rsidR="00F9243F" w:rsidRPr="00972F54" w:rsidRDefault="00F9243F" w:rsidP="007C23E2">
            <w:pPr>
              <w:jc w:val="center"/>
              <w:rPr>
                <w:rFonts w:ascii="Arial Narrow" w:hAnsi="Arial Narrow"/>
                <w:b/>
                <w:bCs/>
                <w:sz w:val="20"/>
                <w:lang w:eastAsia="en-US"/>
              </w:rPr>
            </w:pPr>
            <w:r w:rsidRPr="00972F54">
              <w:rPr>
                <w:rFonts w:ascii="Arial Narrow" w:hAnsi="Arial Narrow"/>
                <w:b/>
                <w:bCs/>
                <w:sz w:val="20"/>
              </w:rPr>
              <w:t xml:space="preserve">Change </w:t>
            </w:r>
            <w:r w:rsidR="00972F54">
              <w:rPr>
                <w:rFonts w:ascii="Arial Narrow" w:hAnsi="Arial Narrow"/>
                <w:b/>
                <w:bCs/>
                <w:sz w:val="20"/>
              </w:rPr>
              <w:t>from</w:t>
            </w:r>
            <w:r w:rsidRPr="00972F54">
              <w:rPr>
                <w:rFonts w:ascii="Arial Narrow" w:hAnsi="Arial Narrow"/>
                <w:b/>
                <w:bCs/>
                <w:sz w:val="20"/>
              </w:rPr>
              <w:t xml:space="preserve"> base case (%)</w:t>
            </w:r>
          </w:p>
        </w:tc>
      </w:tr>
      <w:tr w:rsidR="00172488" w:rsidRPr="00F2225C" w14:paraId="2CD64DFC" w14:textId="77777777" w:rsidTr="00172488">
        <w:trPr>
          <w:trHeight w:val="191"/>
        </w:trPr>
        <w:tc>
          <w:tcPr>
            <w:tcW w:w="862" w:type="pct"/>
          </w:tcPr>
          <w:p w14:paraId="3966973F" w14:textId="08D351CF" w:rsidR="00122A8F" w:rsidRPr="00F9243F" w:rsidRDefault="00122A8F" w:rsidP="00122A8F">
            <w:pPr>
              <w:rPr>
                <w:rFonts w:ascii="Arial Narrow" w:hAnsi="Arial Narrow"/>
                <w:sz w:val="20"/>
              </w:rPr>
            </w:pPr>
            <w:r w:rsidRPr="00F9243F">
              <w:rPr>
                <w:rFonts w:ascii="Arial Narrow" w:hAnsi="Arial Narrow"/>
                <w:sz w:val="20"/>
              </w:rPr>
              <w:t>Base case</w:t>
            </w:r>
          </w:p>
        </w:tc>
        <w:tc>
          <w:tcPr>
            <w:tcW w:w="233" w:type="pct"/>
          </w:tcPr>
          <w:p w14:paraId="2FC52D5F" w14:textId="452BD3E9" w:rsidR="00122A8F" w:rsidRPr="00122A8F" w:rsidRDefault="00122A8F" w:rsidP="00122A8F">
            <w:pPr>
              <w:jc w:val="right"/>
              <w:rPr>
                <w:rFonts w:ascii="Arial Narrow" w:hAnsi="Arial Narrow"/>
                <w:sz w:val="20"/>
              </w:rPr>
            </w:pPr>
            <w:r w:rsidRPr="004A3474">
              <w:rPr>
                <w:rFonts w:ascii="Arial Narrow" w:hAnsi="Arial Narrow"/>
                <w:sz w:val="20"/>
              </w:rPr>
              <w:t>$1,839,099</w:t>
            </w:r>
          </w:p>
        </w:tc>
        <w:tc>
          <w:tcPr>
            <w:tcW w:w="579" w:type="pct"/>
          </w:tcPr>
          <w:p w14:paraId="3A6A550D" w14:textId="3D6D7C0B" w:rsidR="00122A8F" w:rsidRPr="00122A8F" w:rsidRDefault="00122A8F" w:rsidP="00122A8F">
            <w:pPr>
              <w:jc w:val="right"/>
              <w:rPr>
                <w:rFonts w:ascii="Arial Narrow" w:hAnsi="Arial Narrow"/>
                <w:sz w:val="20"/>
              </w:rPr>
            </w:pPr>
            <w:r w:rsidRPr="004A3474">
              <w:rPr>
                <w:rFonts w:ascii="Arial Narrow" w:hAnsi="Arial Narrow"/>
                <w:sz w:val="20"/>
              </w:rPr>
              <w:t>$2,096,573</w:t>
            </w:r>
          </w:p>
        </w:tc>
        <w:tc>
          <w:tcPr>
            <w:tcW w:w="579" w:type="pct"/>
          </w:tcPr>
          <w:p w14:paraId="1C4DAEC3" w14:textId="2C3C949A" w:rsidR="00122A8F" w:rsidRPr="00122A8F" w:rsidRDefault="00122A8F" w:rsidP="00122A8F">
            <w:pPr>
              <w:jc w:val="right"/>
              <w:rPr>
                <w:rFonts w:ascii="Arial Narrow" w:hAnsi="Arial Narrow"/>
                <w:sz w:val="20"/>
              </w:rPr>
            </w:pPr>
            <w:r w:rsidRPr="004A3474">
              <w:rPr>
                <w:rFonts w:ascii="Arial Narrow" w:hAnsi="Arial Narrow"/>
                <w:sz w:val="20"/>
              </w:rPr>
              <w:t>$2,239,140</w:t>
            </w:r>
          </w:p>
        </w:tc>
        <w:tc>
          <w:tcPr>
            <w:tcW w:w="580" w:type="pct"/>
          </w:tcPr>
          <w:p w14:paraId="6B363CEA" w14:textId="2B1DB349" w:rsidR="00122A8F" w:rsidRPr="00122A8F" w:rsidRDefault="00122A8F" w:rsidP="00122A8F">
            <w:pPr>
              <w:jc w:val="right"/>
              <w:rPr>
                <w:rFonts w:ascii="Arial Narrow" w:hAnsi="Arial Narrow"/>
                <w:sz w:val="20"/>
              </w:rPr>
            </w:pPr>
            <w:r w:rsidRPr="004A3474">
              <w:rPr>
                <w:rFonts w:ascii="Arial Narrow" w:hAnsi="Arial Narrow"/>
                <w:sz w:val="20"/>
              </w:rPr>
              <w:t>$2,257,054</w:t>
            </w:r>
          </w:p>
        </w:tc>
        <w:tc>
          <w:tcPr>
            <w:tcW w:w="580" w:type="pct"/>
          </w:tcPr>
          <w:p w14:paraId="1ACBC131" w14:textId="2D73BB1B" w:rsidR="00122A8F" w:rsidRPr="00122A8F" w:rsidRDefault="00122A8F" w:rsidP="00122A8F">
            <w:pPr>
              <w:jc w:val="right"/>
              <w:rPr>
                <w:rFonts w:ascii="Arial Narrow" w:hAnsi="Arial Narrow"/>
                <w:sz w:val="20"/>
              </w:rPr>
            </w:pPr>
            <w:r w:rsidRPr="004A3474">
              <w:rPr>
                <w:rFonts w:ascii="Arial Narrow" w:hAnsi="Arial Narrow"/>
                <w:sz w:val="20"/>
              </w:rPr>
              <w:t>$2,166,771</w:t>
            </w:r>
          </w:p>
        </w:tc>
        <w:tc>
          <w:tcPr>
            <w:tcW w:w="580" w:type="pct"/>
          </w:tcPr>
          <w:p w14:paraId="15BF22BC" w14:textId="4BDDCE81" w:rsidR="00122A8F" w:rsidRPr="00122A8F" w:rsidRDefault="00122A8F" w:rsidP="00122A8F">
            <w:pPr>
              <w:jc w:val="right"/>
              <w:rPr>
                <w:rFonts w:ascii="Arial Narrow" w:hAnsi="Arial Narrow"/>
                <w:sz w:val="20"/>
              </w:rPr>
            </w:pPr>
            <w:r w:rsidRPr="004A3474">
              <w:rPr>
                <w:rFonts w:ascii="Arial Narrow" w:hAnsi="Arial Narrow"/>
                <w:sz w:val="20"/>
              </w:rPr>
              <w:t>$2,262,109</w:t>
            </w:r>
          </w:p>
        </w:tc>
        <w:tc>
          <w:tcPr>
            <w:tcW w:w="611" w:type="pct"/>
          </w:tcPr>
          <w:p w14:paraId="60A44709" w14:textId="17480096" w:rsidR="00122A8F" w:rsidRPr="00122A8F" w:rsidRDefault="00122A8F" w:rsidP="00122A8F">
            <w:pPr>
              <w:jc w:val="right"/>
              <w:rPr>
                <w:rFonts w:ascii="Arial Narrow" w:hAnsi="Arial Narrow"/>
                <w:sz w:val="20"/>
              </w:rPr>
            </w:pPr>
            <w:r w:rsidRPr="004A3474">
              <w:rPr>
                <w:rFonts w:ascii="Arial Narrow" w:hAnsi="Arial Narrow"/>
                <w:sz w:val="20"/>
              </w:rPr>
              <w:t>$12,860,748</w:t>
            </w:r>
          </w:p>
        </w:tc>
        <w:tc>
          <w:tcPr>
            <w:tcW w:w="397" w:type="pct"/>
          </w:tcPr>
          <w:p w14:paraId="1945FBB7" w14:textId="643A3233" w:rsidR="00122A8F" w:rsidRPr="00F9243F" w:rsidRDefault="00122A8F" w:rsidP="00122A8F">
            <w:pPr>
              <w:jc w:val="center"/>
              <w:rPr>
                <w:rFonts w:ascii="Arial Narrow" w:hAnsi="Arial Narrow"/>
                <w:sz w:val="20"/>
              </w:rPr>
            </w:pPr>
            <w:r>
              <w:rPr>
                <w:rFonts w:ascii="Arial Narrow" w:hAnsi="Arial Narrow"/>
                <w:sz w:val="20"/>
              </w:rPr>
              <w:t>-</w:t>
            </w:r>
          </w:p>
        </w:tc>
      </w:tr>
      <w:tr w:rsidR="00E20DB6" w:rsidRPr="00F2225C" w14:paraId="4F3C0936" w14:textId="77777777" w:rsidTr="00172488">
        <w:trPr>
          <w:trHeight w:val="247"/>
        </w:trPr>
        <w:tc>
          <w:tcPr>
            <w:tcW w:w="5000" w:type="pct"/>
            <w:gridSpan w:val="9"/>
          </w:tcPr>
          <w:p w14:paraId="05C41A92" w14:textId="36D15358" w:rsidR="00E20DB6" w:rsidRPr="00F9243F" w:rsidRDefault="00E20DB6" w:rsidP="007C23E2">
            <w:pPr>
              <w:rPr>
                <w:rFonts w:ascii="Arial Narrow" w:hAnsi="Arial Narrow"/>
                <w:sz w:val="20"/>
              </w:rPr>
            </w:pPr>
            <w:r>
              <w:rPr>
                <w:rFonts w:ascii="Arial Narrow" w:hAnsi="Arial Narrow"/>
                <w:sz w:val="20"/>
              </w:rPr>
              <w:t>Diagnostic yield of SGT (base case: 95%)</w:t>
            </w:r>
          </w:p>
        </w:tc>
      </w:tr>
      <w:tr w:rsidR="00172488" w:rsidRPr="00F2225C" w14:paraId="494DF74F" w14:textId="77777777" w:rsidTr="00172488">
        <w:trPr>
          <w:trHeight w:val="102"/>
        </w:trPr>
        <w:tc>
          <w:tcPr>
            <w:tcW w:w="862" w:type="pct"/>
          </w:tcPr>
          <w:p w14:paraId="5A428DE8" w14:textId="77777777" w:rsidR="00EE43FD" w:rsidRPr="00F9243F" w:rsidRDefault="00EE43FD" w:rsidP="00683ECE">
            <w:pPr>
              <w:rPr>
                <w:rFonts w:ascii="Arial Narrow" w:hAnsi="Arial Narrow"/>
                <w:sz w:val="20"/>
              </w:rPr>
            </w:pPr>
            <w:r>
              <w:rPr>
                <w:rFonts w:ascii="Arial Narrow" w:hAnsi="Arial Narrow"/>
                <w:sz w:val="20"/>
              </w:rPr>
              <w:t>90%</w:t>
            </w:r>
          </w:p>
        </w:tc>
        <w:tc>
          <w:tcPr>
            <w:tcW w:w="233" w:type="pct"/>
          </w:tcPr>
          <w:p w14:paraId="464ADE2A" w14:textId="77777777" w:rsidR="00EE43FD" w:rsidRPr="007C23E2" w:rsidRDefault="00EE43FD" w:rsidP="00683ECE">
            <w:pPr>
              <w:jc w:val="right"/>
              <w:rPr>
                <w:rFonts w:ascii="Arial Narrow" w:hAnsi="Arial Narrow"/>
                <w:sz w:val="20"/>
              </w:rPr>
            </w:pPr>
            <w:r w:rsidRPr="00EE43FD">
              <w:rPr>
                <w:rFonts w:ascii="Arial Narrow" w:hAnsi="Arial Narrow"/>
                <w:sz w:val="20"/>
              </w:rPr>
              <w:t>$1,889,031</w:t>
            </w:r>
          </w:p>
        </w:tc>
        <w:tc>
          <w:tcPr>
            <w:tcW w:w="579" w:type="pct"/>
          </w:tcPr>
          <w:p w14:paraId="4139DCC8" w14:textId="77777777" w:rsidR="00EE43FD" w:rsidRPr="007C23E2" w:rsidRDefault="00EE43FD" w:rsidP="00683ECE">
            <w:pPr>
              <w:jc w:val="right"/>
              <w:rPr>
                <w:rFonts w:ascii="Arial Narrow" w:hAnsi="Arial Narrow"/>
                <w:sz w:val="20"/>
              </w:rPr>
            </w:pPr>
            <w:r w:rsidRPr="00EE43FD">
              <w:rPr>
                <w:rFonts w:ascii="Arial Narrow" w:hAnsi="Arial Narrow"/>
                <w:sz w:val="20"/>
              </w:rPr>
              <w:t>$2,153,496</w:t>
            </w:r>
          </w:p>
        </w:tc>
        <w:tc>
          <w:tcPr>
            <w:tcW w:w="579" w:type="pct"/>
          </w:tcPr>
          <w:p w14:paraId="63D7B13B" w14:textId="77777777" w:rsidR="00EE43FD" w:rsidRPr="007C23E2" w:rsidRDefault="00EE43FD" w:rsidP="00683ECE">
            <w:pPr>
              <w:jc w:val="right"/>
              <w:rPr>
                <w:rFonts w:ascii="Arial Narrow" w:hAnsi="Arial Narrow"/>
                <w:sz w:val="20"/>
              </w:rPr>
            </w:pPr>
            <w:r w:rsidRPr="00EE43FD">
              <w:rPr>
                <w:rFonts w:ascii="Arial Narrow" w:hAnsi="Arial Narrow"/>
                <w:sz w:val="20"/>
              </w:rPr>
              <w:t>$2,299,933</w:t>
            </w:r>
          </w:p>
        </w:tc>
        <w:tc>
          <w:tcPr>
            <w:tcW w:w="580" w:type="pct"/>
          </w:tcPr>
          <w:p w14:paraId="64B716B3" w14:textId="77777777" w:rsidR="00EE43FD" w:rsidRPr="007C23E2" w:rsidRDefault="00EE43FD" w:rsidP="00683ECE">
            <w:pPr>
              <w:jc w:val="right"/>
              <w:rPr>
                <w:rFonts w:ascii="Arial Narrow" w:hAnsi="Arial Narrow"/>
                <w:sz w:val="20"/>
              </w:rPr>
            </w:pPr>
            <w:r w:rsidRPr="00EE43FD">
              <w:rPr>
                <w:rFonts w:ascii="Arial Narrow" w:hAnsi="Arial Narrow"/>
                <w:sz w:val="20"/>
              </w:rPr>
              <w:t>$2,318,333</w:t>
            </w:r>
          </w:p>
        </w:tc>
        <w:tc>
          <w:tcPr>
            <w:tcW w:w="580" w:type="pct"/>
          </w:tcPr>
          <w:p w14:paraId="5EEEAAF1" w14:textId="77777777" w:rsidR="00EE43FD" w:rsidRPr="007C23E2" w:rsidRDefault="00EE43FD" w:rsidP="00683ECE">
            <w:pPr>
              <w:jc w:val="right"/>
              <w:rPr>
                <w:rFonts w:ascii="Arial Narrow" w:hAnsi="Arial Narrow"/>
                <w:sz w:val="20"/>
              </w:rPr>
            </w:pPr>
            <w:r w:rsidRPr="00EE43FD">
              <w:rPr>
                <w:rFonts w:ascii="Arial Narrow" w:hAnsi="Arial Narrow"/>
                <w:sz w:val="20"/>
              </w:rPr>
              <w:t>$2,225,599</w:t>
            </w:r>
          </w:p>
        </w:tc>
        <w:tc>
          <w:tcPr>
            <w:tcW w:w="580" w:type="pct"/>
          </w:tcPr>
          <w:p w14:paraId="0520B832" w14:textId="77777777" w:rsidR="00EE43FD" w:rsidRPr="007C23E2" w:rsidRDefault="00EE43FD" w:rsidP="00683ECE">
            <w:pPr>
              <w:jc w:val="right"/>
              <w:rPr>
                <w:rFonts w:ascii="Arial Narrow" w:hAnsi="Arial Narrow"/>
                <w:sz w:val="20"/>
              </w:rPr>
            </w:pPr>
            <w:r w:rsidRPr="00EE43FD">
              <w:rPr>
                <w:rFonts w:ascii="Arial Narrow" w:hAnsi="Arial Narrow"/>
                <w:sz w:val="20"/>
              </w:rPr>
              <w:t>$2,323,526</w:t>
            </w:r>
          </w:p>
        </w:tc>
        <w:tc>
          <w:tcPr>
            <w:tcW w:w="611" w:type="pct"/>
          </w:tcPr>
          <w:p w14:paraId="53470511" w14:textId="77777777" w:rsidR="00EE43FD" w:rsidRPr="007C23E2" w:rsidRDefault="00EE43FD" w:rsidP="00683ECE">
            <w:pPr>
              <w:jc w:val="right"/>
              <w:rPr>
                <w:rFonts w:ascii="Arial Narrow" w:hAnsi="Arial Narrow"/>
                <w:sz w:val="20"/>
              </w:rPr>
            </w:pPr>
            <w:r w:rsidRPr="00EE43FD">
              <w:rPr>
                <w:rFonts w:ascii="Arial Narrow" w:hAnsi="Arial Narrow"/>
                <w:sz w:val="20"/>
              </w:rPr>
              <w:t>$13,209,918</w:t>
            </w:r>
          </w:p>
        </w:tc>
        <w:tc>
          <w:tcPr>
            <w:tcW w:w="397" w:type="pct"/>
          </w:tcPr>
          <w:p w14:paraId="669A5223" w14:textId="77777777" w:rsidR="00EE43FD" w:rsidRPr="007C23E2" w:rsidRDefault="00EE43FD" w:rsidP="00683ECE">
            <w:pPr>
              <w:jc w:val="center"/>
              <w:rPr>
                <w:rFonts w:ascii="Arial Narrow" w:hAnsi="Arial Narrow"/>
                <w:sz w:val="20"/>
              </w:rPr>
            </w:pPr>
            <w:r w:rsidRPr="00EE43FD">
              <w:rPr>
                <w:rFonts w:ascii="Arial Narrow" w:hAnsi="Arial Narrow"/>
                <w:sz w:val="20"/>
              </w:rPr>
              <w:t>3%</w:t>
            </w:r>
          </w:p>
        </w:tc>
      </w:tr>
      <w:tr w:rsidR="00172488" w:rsidRPr="00F2225C" w14:paraId="16D997AC" w14:textId="77777777" w:rsidTr="00172488">
        <w:trPr>
          <w:trHeight w:val="151"/>
        </w:trPr>
        <w:tc>
          <w:tcPr>
            <w:tcW w:w="862" w:type="pct"/>
          </w:tcPr>
          <w:p w14:paraId="04E8ECE4" w14:textId="77777777" w:rsidR="00EE43FD" w:rsidRPr="00F9243F" w:rsidRDefault="00EE43FD" w:rsidP="00E51DD9">
            <w:pPr>
              <w:rPr>
                <w:rFonts w:ascii="Arial Narrow" w:hAnsi="Arial Narrow"/>
                <w:sz w:val="20"/>
              </w:rPr>
            </w:pPr>
            <w:r>
              <w:rPr>
                <w:rFonts w:ascii="Arial Narrow" w:hAnsi="Arial Narrow"/>
                <w:sz w:val="20"/>
              </w:rPr>
              <w:t>80%</w:t>
            </w:r>
          </w:p>
        </w:tc>
        <w:tc>
          <w:tcPr>
            <w:tcW w:w="233" w:type="pct"/>
          </w:tcPr>
          <w:p w14:paraId="76D48AA4" w14:textId="77777777" w:rsidR="00EE43FD" w:rsidRPr="007C23E2" w:rsidRDefault="00EE43FD" w:rsidP="00E51DD9">
            <w:pPr>
              <w:jc w:val="right"/>
              <w:rPr>
                <w:rFonts w:ascii="Arial Narrow" w:hAnsi="Arial Narrow"/>
                <w:sz w:val="20"/>
              </w:rPr>
            </w:pPr>
            <w:r w:rsidRPr="00EE43FD">
              <w:rPr>
                <w:rFonts w:ascii="Arial Narrow" w:hAnsi="Arial Narrow"/>
                <w:sz w:val="20"/>
              </w:rPr>
              <w:t>$1,988,895</w:t>
            </w:r>
          </w:p>
        </w:tc>
        <w:tc>
          <w:tcPr>
            <w:tcW w:w="579" w:type="pct"/>
          </w:tcPr>
          <w:p w14:paraId="52D7AF09" w14:textId="77777777" w:rsidR="00EE43FD" w:rsidRPr="007C23E2" w:rsidRDefault="00EE43FD" w:rsidP="00E51DD9">
            <w:pPr>
              <w:jc w:val="right"/>
              <w:rPr>
                <w:rFonts w:ascii="Arial Narrow" w:hAnsi="Arial Narrow"/>
                <w:sz w:val="20"/>
              </w:rPr>
            </w:pPr>
            <w:r w:rsidRPr="00EE43FD">
              <w:rPr>
                <w:rFonts w:ascii="Arial Narrow" w:hAnsi="Arial Narrow"/>
                <w:sz w:val="20"/>
              </w:rPr>
              <w:t>$2,267,340</w:t>
            </w:r>
          </w:p>
        </w:tc>
        <w:tc>
          <w:tcPr>
            <w:tcW w:w="579" w:type="pct"/>
          </w:tcPr>
          <w:p w14:paraId="3762D70B" w14:textId="77777777" w:rsidR="00EE43FD" w:rsidRPr="007C23E2" w:rsidRDefault="00EE43FD" w:rsidP="00E51DD9">
            <w:pPr>
              <w:jc w:val="right"/>
              <w:rPr>
                <w:rFonts w:ascii="Arial Narrow" w:hAnsi="Arial Narrow"/>
                <w:sz w:val="20"/>
              </w:rPr>
            </w:pPr>
            <w:r w:rsidRPr="00EE43FD">
              <w:rPr>
                <w:rFonts w:ascii="Arial Narrow" w:hAnsi="Arial Narrow"/>
                <w:sz w:val="20"/>
              </w:rPr>
              <w:t>$2,421,519</w:t>
            </w:r>
          </w:p>
        </w:tc>
        <w:tc>
          <w:tcPr>
            <w:tcW w:w="580" w:type="pct"/>
          </w:tcPr>
          <w:p w14:paraId="65E0949D" w14:textId="77777777" w:rsidR="00EE43FD" w:rsidRPr="007C23E2" w:rsidRDefault="00EE43FD" w:rsidP="00E51DD9">
            <w:pPr>
              <w:jc w:val="right"/>
              <w:rPr>
                <w:rFonts w:ascii="Arial Narrow" w:hAnsi="Arial Narrow"/>
                <w:sz w:val="20"/>
              </w:rPr>
            </w:pPr>
            <w:r w:rsidRPr="00EE43FD">
              <w:rPr>
                <w:rFonts w:ascii="Arial Narrow" w:hAnsi="Arial Narrow"/>
                <w:sz w:val="20"/>
              </w:rPr>
              <w:t>$2,440,891</w:t>
            </w:r>
          </w:p>
        </w:tc>
        <w:tc>
          <w:tcPr>
            <w:tcW w:w="580" w:type="pct"/>
          </w:tcPr>
          <w:p w14:paraId="73B24025" w14:textId="77777777" w:rsidR="00EE43FD" w:rsidRPr="007C23E2" w:rsidRDefault="00EE43FD" w:rsidP="00E51DD9">
            <w:pPr>
              <w:jc w:val="right"/>
              <w:rPr>
                <w:rFonts w:ascii="Arial Narrow" w:hAnsi="Arial Narrow"/>
                <w:sz w:val="20"/>
              </w:rPr>
            </w:pPr>
            <w:r w:rsidRPr="00EE43FD">
              <w:rPr>
                <w:rFonts w:ascii="Arial Narrow" w:hAnsi="Arial Narrow"/>
                <w:sz w:val="20"/>
              </w:rPr>
              <w:t>$2,343,255</w:t>
            </w:r>
          </w:p>
        </w:tc>
        <w:tc>
          <w:tcPr>
            <w:tcW w:w="580" w:type="pct"/>
          </w:tcPr>
          <w:p w14:paraId="1853C7FA" w14:textId="77777777" w:rsidR="00EE43FD" w:rsidRPr="007C23E2" w:rsidRDefault="00EE43FD" w:rsidP="00E51DD9">
            <w:pPr>
              <w:jc w:val="right"/>
              <w:rPr>
                <w:rFonts w:ascii="Arial Narrow" w:hAnsi="Arial Narrow"/>
                <w:sz w:val="20"/>
              </w:rPr>
            </w:pPr>
            <w:r w:rsidRPr="00EE43FD">
              <w:rPr>
                <w:rFonts w:ascii="Arial Narrow" w:hAnsi="Arial Narrow"/>
                <w:sz w:val="20"/>
              </w:rPr>
              <w:t>$2,446,359</w:t>
            </w:r>
          </w:p>
        </w:tc>
        <w:tc>
          <w:tcPr>
            <w:tcW w:w="611" w:type="pct"/>
          </w:tcPr>
          <w:p w14:paraId="612B7119" w14:textId="77777777" w:rsidR="00EE43FD" w:rsidRPr="007C23E2" w:rsidRDefault="00EE43FD" w:rsidP="00E51DD9">
            <w:pPr>
              <w:jc w:val="right"/>
              <w:rPr>
                <w:rFonts w:ascii="Arial Narrow" w:hAnsi="Arial Narrow"/>
                <w:sz w:val="20"/>
              </w:rPr>
            </w:pPr>
            <w:r w:rsidRPr="00EE43FD">
              <w:rPr>
                <w:rFonts w:ascii="Arial Narrow" w:hAnsi="Arial Narrow"/>
                <w:sz w:val="20"/>
              </w:rPr>
              <w:t>$13,908,258</w:t>
            </w:r>
          </w:p>
        </w:tc>
        <w:tc>
          <w:tcPr>
            <w:tcW w:w="397" w:type="pct"/>
          </w:tcPr>
          <w:p w14:paraId="5A9EBD86" w14:textId="77777777" w:rsidR="00EE43FD" w:rsidRPr="007C23E2" w:rsidRDefault="00EE43FD" w:rsidP="00E51DD9">
            <w:pPr>
              <w:jc w:val="center"/>
              <w:rPr>
                <w:rFonts w:ascii="Arial Narrow" w:hAnsi="Arial Narrow"/>
                <w:sz w:val="20"/>
              </w:rPr>
            </w:pPr>
            <w:r w:rsidRPr="00EE43FD">
              <w:rPr>
                <w:rFonts w:ascii="Arial Narrow" w:hAnsi="Arial Narrow"/>
                <w:sz w:val="20"/>
              </w:rPr>
              <w:t>8%</w:t>
            </w:r>
          </w:p>
        </w:tc>
      </w:tr>
      <w:tr w:rsidR="00172488" w:rsidRPr="00F2225C" w14:paraId="15233666" w14:textId="77777777" w:rsidTr="00172488">
        <w:trPr>
          <w:trHeight w:val="215"/>
        </w:trPr>
        <w:tc>
          <w:tcPr>
            <w:tcW w:w="862" w:type="pct"/>
          </w:tcPr>
          <w:p w14:paraId="676A5B6C" w14:textId="77777777" w:rsidR="00EE43FD" w:rsidRPr="00F9243F" w:rsidRDefault="00EE43FD" w:rsidP="006B7951">
            <w:pPr>
              <w:rPr>
                <w:rFonts w:ascii="Arial Narrow" w:hAnsi="Arial Narrow"/>
                <w:sz w:val="20"/>
              </w:rPr>
            </w:pPr>
            <w:r>
              <w:rPr>
                <w:rFonts w:ascii="Arial Narrow" w:hAnsi="Arial Narrow"/>
                <w:sz w:val="20"/>
              </w:rPr>
              <w:t>70%</w:t>
            </w:r>
          </w:p>
        </w:tc>
        <w:tc>
          <w:tcPr>
            <w:tcW w:w="233" w:type="pct"/>
          </w:tcPr>
          <w:p w14:paraId="76422CD3" w14:textId="77777777" w:rsidR="00EE43FD" w:rsidRPr="007C23E2" w:rsidRDefault="00EE43FD" w:rsidP="006B7951">
            <w:pPr>
              <w:jc w:val="right"/>
              <w:rPr>
                <w:rFonts w:ascii="Arial Narrow" w:hAnsi="Arial Narrow"/>
                <w:sz w:val="20"/>
              </w:rPr>
            </w:pPr>
            <w:r w:rsidRPr="00EE43FD">
              <w:rPr>
                <w:rFonts w:ascii="Arial Narrow" w:hAnsi="Arial Narrow"/>
                <w:sz w:val="20"/>
              </w:rPr>
              <w:t>$2,088,758</w:t>
            </w:r>
          </w:p>
        </w:tc>
        <w:tc>
          <w:tcPr>
            <w:tcW w:w="579" w:type="pct"/>
          </w:tcPr>
          <w:p w14:paraId="63BE9EC0" w14:textId="77777777" w:rsidR="00EE43FD" w:rsidRPr="007C23E2" w:rsidRDefault="00EE43FD" w:rsidP="006B7951">
            <w:pPr>
              <w:jc w:val="right"/>
              <w:rPr>
                <w:rFonts w:ascii="Arial Narrow" w:hAnsi="Arial Narrow"/>
                <w:sz w:val="20"/>
              </w:rPr>
            </w:pPr>
            <w:r w:rsidRPr="00EE43FD">
              <w:rPr>
                <w:rFonts w:ascii="Arial Narrow" w:hAnsi="Arial Narrow"/>
                <w:sz w:val="20"/>
              </w:rPr>
              <w:t>$2,381,184</w:t>
            </w:r>
          </w:p>
        </w:tc>
        <w:tc>
          <w:tcPr>
            <w:tcW w:w="579" w:type="pct"/>
          </w:tcPr>
          <w:p w14:paraId="22DD0E95" w14:textId="77777777" w:rsidR="00EE43FD" w:rsidRPr="007C23E2" w:rsidRDefault="00EE43FD" w:rsidP="006B7951">
            <w:pPr>
              <w:jc w:val="right"/>
              <w:rPr>
                <w:rFonts w:ascii="Arial Narrow" w:hAnsi="Arial Narrow"/>
                <w:sz w:val="20"/>
              </w:rPr>
            </w:pPr>
            <w:r w:rsidRPr="00EE43FD">
              <w:rPr>
                <w:rFonts w:ascii="Arial Narrow" w:hAnsi="Arial Narrow"/>
                <w:sz w:val="20"/>
              </w:rPr>
              <w:t>$2,543,105</w:t>
            </w:r>
          </w:p>
        </w:tc>
        <w:tc>
          <w:tcPr>
            <w:tcW w:w="580" w:type="pct"/>
          </w:tcPr>
          <w:p w14:paraId="15853403" w14:textId="77777777" w:rsidR="00EE43FD" w:rsidRPr="007C23E2" w:rsidRDefault="00EE43FD" w:rsidP="006B7951">
            <w:pPr>
              <w:jc w:val="right"/>
              <w:rPr>
                <w:rFonts w:ascii="Arial Narrow" w:hAnsi="Arial Narrow"/>
                <w:sz w:val="20"/>
              </w:rPr>
            </w:pPr>
            <w:r w:rsidRPr="00EE43FD">
              <w:rPr>
                <w:rFonts w:ascii="Arial Narrow" w:hAnsi="Arial Narrow"/>
                <w:sz w:val="20"/>
              </w:rPr>
              <w:t>$2,563,449</w:t>
            </w:r>
          </w:p>
        </w:tc>
        <w:tc>
          <w:tcPr>
            <w:tcW w:w="580" w:type="pct"/>
          </w:tcPr>
          <w:p w14:paraId="32290E50" w14:textId="77777777" w:rsidR="00EE43FD" w:rsidRPr="007C23E2" w:rsidRDefault="00EE43FD" w:rsidP="006B7951">
            <w:pPr>
              <w:jc w:val="right"/>
              <w:rPr>
                <w:rFonts w:ascii="Arial Narrow" w:hAnsi="Arial Narrow"/>
                <w:sz w:val="20"/>
              </w:rPr>
            </w:pPr>
            <w:r w:rsidRPr="00EE43FD">
              <w:rPr>
                <w:rFonts w:ascii="Arial Narrow" w:hAnsi="Arial Narrow"/>
                <w:sz w:val="20"/>
              </w:rPr>
              <w:t>$2,460,911</w:t>
            </w:r>
          </w:p>
        </w:tc>
        <w:tc>
          <w:tcPr>
            <w:tcW w:w="580" w:type="pct"/>
          </w:tcPr>
          <w:p w14:paraId="6C16E7E1" w14:textId="77777777" w:rsidR="00EE43FD" w:rsidRPr="007C23E2" w:rsidRDefault="00EE43FD" w:rsidP="006B7951">
            <w:pPr>
              <w:jc w:val="right"/>
              <w:rPr>
                <w:rFonts w:ascii="Arial Narrow" w:hAnsi="Arial Narrow"/>
                <w:sz w:val="20"/>
              </w:rPr>
            </w:pPr>
            <w:r w:rsidRPr="00EE43FD">
              <w:rPr>
                <w:rFonts w:ascii="Arial Narrow" w:hAnsi="Arial Narrow"/>
                <w:sz w:val="20"/>
              </w:rPr>
              <w:t>$2,569,192</w:t>
            </w:r>
          </w:p>
        </w:tc>
        <w:tc>
          <w:tcPr>
            <w:tcW w:w="611" w:type="pct"/>
          </w:tcPr>
          <w:p w14:paraId="45CA9441" w14:textId="77777777" w:rsidR="00EE43FD" w:rsidRPr="007C23E2" w:rsidRDefault="00EE43FD" w:rsidP="006B7951">
            <w:pPr>
              <w:jc w:val="right"/>
              <w:rPr>
                <w:rFonts w:ascii="Arial Narrow" w:hAnsi="Arial Narrow"/>
                <w:sz w:val="20"/>
              </w:rPr>
            </w:pPr>
            <w:r w:rsidRPr="00EE43FD">
              <w:rPr>
                <w:rFonts w:ascii="Arial Narrow" w:hAnsi="Arial Narrow"/>
                <w:sz w:val="20"/>
              </w:rPr>
              <w:t>$14,606,599</w:t>
            </w:r>
          </w:p>
        </w:tc>
        <w:tc>
          <w:tcPr>
            <w:tcW w:w="397" w:type="pct"/>
          </w:tcPr>
          <w:p w14:paraId="07A662A6" w14:textId="77777777" w:rsidR="00EE43FD" w:rsidRPr="007C23E2" w:rsidRDefault="00EE43FD" w:rsidP="006B7951">
            <w:pPr>
              <w:jc w:val="center"/>
              <w:rPr>
                <w:rFonts w:ascii="Arial Narrow" w:hAnsi="Arial Narrow"/>
                <w:sz w:val="20"/>
              </w:rPr>
            </w:pPr>
            <w:r w:rsidRPr="00EE43FD">
              <w:rPr>
                <w:rFonts w:ascii="Arial Narrow" w:hAnsi="Arial Narrow"/>
                <w:sz w:val="20"/>
              </w:rPr>
              <w:t>14%</w:t>
            </w:r>
          </w:p>
        </w:tc>
      </w:tr>
      <w:tr w:rsidR="00172488" w:rsidRPr="00F2225C" w14:paraId="174C7CBE" w14:textId="771C9AEB" w:rsidTr="00172488">
        <w:trPr>
          <w:trHeight w:val="265"/>
        </w:trPr>
        <w:tc>
          <w:tcPr>
            <w:tcW w:w="862" w:type="pct"/>
          </w:tcPr>
          <w:p w14:paraId="63E30844" w14:textId="1666C97A" w:rsidR="007C23E2" w:rsidRPr="00F9243F" w:rsidRDefault="007C23E2" w:rsidP="007C23E2">
            <w:pPr>
              <w:rPr>
                <w:rFonts w:ascii="Arial Narrow" w:hAnsi="Arial Narrow"/>
                <w:sz w:val="20"/>
                <w:lang w:eastAsia="en-US"/>
              </w:rPr>
            </w:pPr>
            <w:r w:rsidRPr="00F9243F">
              <w:rPr>
                <w:rFonts w:ascii="Arial Narrow" w:hAnsi="Arial Narrow"/>
                <w:sz w:val="20"/>
              </w:rPr>
              <w:t>60%</w:t>
            </w:r>
          </w:p>
        </w:tc>
        <w:tc>
          <w:tcPr>
            <w:tcW w:w="233" w:type="pct"/>
          </w:tcPr>
          <w:p w14:paraId="17C10521" w14:textId="404B262D" w:rsidR="007C23E2" w:rsidRPr="00F9243F" w:rsidRDefault="007C23E2" w:rsidP="00EE43FD">
            <w:pPr>
              <w:jc w:val="right"/>
              <w:rPr>
                <w:rFonts w:ascii="Arial Narrow" w:hAnsi="Arial Narrow"/>
                <w:sz w:val="20"/>
              </w:rPr>
            </w:pPr>
            <w:r w:rsidRPr="007C23E2">
              <w:rPr>
                <w:rFonts w:ascii="Arial Narrow" w:hAnsi="Arial Narrow"/>
                <w:sz w:val="20"/>
              </w:rPr>
              <w:t>$2,188,621</w:t>
            </w:r>
          </w:p>
        </w:tc>
        <w:tc>
          <w:tcPr>
            <w:tcW w:w="579" w:type="pct"/>
          </w:tcPr>
          <w:p w14:paraId="62EE7018" w14:textId="1E046238" w:rsidR="007C23E2" w:rsidRPr="00F9243F" w:rsidRDefault="007C23E2" w:rsidP="00EE43FD">
            <w:pPr>
              <w:jc w:val="right"/>
              <w:rPr>
                <w:rFonts w:ascii="Arial Narrow" w:hAnsi="Arial Narrow"/>
                <w:sz w:val="20"/>
              </w:rPr>
            </w:pPr>
            <w:r w:rsidRPr="007C23E2">
              <w:rPr>
                <w:rFonts w:ascii="Arial Narrow" w:hAnsi="Arial Narrow"/>
                <w:sz w:val="20"/>
              </w:rPr>
              <w:t>$2,495,028</w:t>
            </w:r>
          </w:p>
        </w:tc>
        <w:tc>
          <w:tcPr>
            <w:tcW w:w="579" w:type="pct"/>
          </w:tcPr>
          <w:p w14:paraId="704F2FE4" w14:textId="7FF64C5A" w:rsidR="007C23E2" w:rsidRPr="00F9243F" w:rsidRDefault="007C23E2" w:rsidP="00EE43FD">
            <w:pPr>
              <w:jc w:val="right"/>
              <w:rPr>
                <w:rFonts w:ascii="Arial Narrow" w:hAnsi="Arial Narrow"/>
                <w:sz w:val="20"/>
              </w:rPr>
            </w:pPr>
            <w:r w:rsidRPr="007C23E2">
              <w:rPr>
                <w:rFonts w:ascii="Arial Narrow" w:hAnsi="Arial Narrow"/>
                <w:sz w:val="20"/>
              </w:rPr>
              <w:t>$2,664,690</w:t>
            </w:r>
          </w:p>
        </w:tc>
        <w:tc>
          <w:tcPr>
            <w:tcW w:w="580" w:type="pct"/>
          </w:tcPr>
          <w:p w14:paraId="28ED429A" w14:textId="26DC1FCB" w:rsidR="007C23E2" w:rsidRPr="00F9243F" w:rsidRDefault="007C23E2" w:rsidP="00EE43FD">
            <w:pPr>
              <w:jc w:val="right"/>
              <w:rPr>
                <w:rFonts w:ascii="Arial Narrow" w:hAnsi="Arial Narrow"/>
                <w:sz w:val="20"/>
              </w:rPr>
            </w:pPr>
            <w:r w:rsidRPr="007C23E2">
              <w:rPr>
                <w:rFonts w:ascii="Arial Narrow" w:hAnsi="Arial Narrow"/>
                <w:sz w:val="20"/>
              </w:rPr>
              <w:t>$2,686,008</w:t>
            </w:r>
          </w:p>
        </w:tc>
        <w:tc>
          <w:tcPr>
            <w:tcW w:w="580" w:type="pct"/>
          </w:tcPr>
          <w:p w14:paraId="3120E2B1" w14:textId="65BC7567" w:rsidR="007C23E2" w:rsidRPr="00F9243F" w:rsidRDefault="007C23E2" w:rsidP="00EE43FD">
            <w:pPr>
              <w:jc w:val="right"/>
              <w:rPr>
                <w:rFonts w:ascii="Arial Narrow" w:hAnsi="Arial Narrow"/>
                <w:sz w:val="20"/>
              </w:rPr>
            </w:pPr>
            <w:r w:rsidRPr="007C23E2">
              <w:rPr>
                <w:rFonts w:ascii="Arial Narrow" w:hAnsi="Arial Narrow"/>
                <w:sz w:val="20"/>
              </w:rPr>
              <w:t>$2,578,567</w:t>
            </w:r>
          </w:p>
        </w:tc>
        <w:tc>
          <w:tcPr>
            <w:tcW w:w="580" w:type="pct"/>
          </w:tcPr>
          <w:p w14:paraId="55A5647C" w14:textId="7732A4A2" w:rsidR="007C23E2" w:rsidRPr="00F9243F" w:rsidRDefault="007C23E2" w:rsidP="00EE43FD">
            <w:pPr>
              <w:jc w:val="right"/>
              <w:rPr>
                <w:rFonts w:ascii="Arial Narrow" w:hAnsi="Arial Narrow"/>
                <w:sz w:val="20"/>
              </w:rPr>
            </w:pPr>
            <w:r w:rsidRPr="007C23E2">
              <w:rPr>
                <w:rFonts w:ascii="Arial Narrow" w:hAnsi="Arial Narrow"/>
                <w:sz w:val="20"/>
              </w:rPr>
              <w:t>$2,692,024</w:t>
            </w:r>
          </w:p>
        </w:tc>
        <w:tc>
          <w:tcPr>
            <w:tcW w:w="611" w:type="pct"/>
          </w:tcPr>
          <w:p w14:paraId="450CCE20" w14:textId="6CE2E29F" w:rsidR="007C23E2" w:rsidRPr="00F9243F" w:rsidRDefault="007C23E2" w:rsidP="00EE43FD">
            <w:pPr>
              <w:jc w:val="right"/>
              <w:rPr>
                <w:rFonts w:ascii="Arial Narrow" w:hAnsi="Arial Narrow"/>
                <w:sz w:val="20"/>
              </w:rPr>
            </w:pPr>
            <w:r w:rsidRPr="007C23E2">
              <w:rPr>
                <w:rFonts w:ascii="Arial Narrow" w:hAnsi="Arial Narrow"/>
                <w:sz w:val="20"/>
              </w:rPr>
              <w:t>$15,304,940</w:t>
            </w:r>
          </w:p>
        </w:tc>
        <w:tc>
          <w:tcPr>
            <w:tcW w:w="397" w:type="pct"/>
          </w:tcPr>
          <w:p w14:paraId="1F702F0C" w14:textId="3366F73A" w:rsidR="007C23E2" w:rsidRPr="00F9243F" w:rsidRDefault="007C23E2" w:rsidP="007C23E2">
            <w:pPr>
              <w:jc w:val="center"/>
              <w:rPr>
                <w:rFonts w:ascii="Arial Narrow" w:hAnsi="Arial Narrow"/>
                <w:sz w:val="20"/>
              </w:rPr>
            </w:pPr>
            <w:r w:rsidRPr="007C23E2">
              <w:rPr>
                <w:rFonts w:ascii="Arial Narrow" w:hAnsi="Arial Narrow"/>
                <w:sz w:val="20"/>
              </w:rPr>
              <w:t>19%</w:t>
            </w:r>
          </w:p>
        </w:tc>
      </w:tr>
      <w:tr w:rsidR="00F9243F" w:rsidRPr="008E4631" w14:paraId="0AE9ED46" w14:textId="77777777" w:rsidTr="00172488">
        <w:trPr>
          <w:trHeight w:val="230"/>
        </w:trPr>
        <w:tc>
          <w:tcPr>
            <w:tcW w:w="5000" w:type="pct"/>
            <w:gridSpan w:val="9"/>
          </w:tcPr>
          <w:p w14:paraId="0DB59A37" w14:textId="394DA463" w:rsidR="00F9243F" w:rsidRPr="00F9243F" w:rsidRDefault="00F9243F" w:rsidP="007C23E2">
            <w:pPr>
              <w:rPr>
                <w:rFonts w:ascii="Arial Narrow" w:hAnsi="Arial Narrow"/>
                <w:sz w:val="20"/>
              </w:rPr>
            </w:pPr>
            <w:r w:rsidRPr="00F9243F">
              <w:rPr>
                <w:rFonts w:ascii="Arial Narrow" w:hAnsi="Arial Narrow"/>
                <w:sz w:val="20"/>
              </w:rPr>
              <w:t>Proportion of biopsies offset (base case: 100%)</w:t>
            </w:r>
          </w:p>
        </w:tc>
      </w:tr>
      <w:tr w:rsidR="00172488" w:rsidRPr="008E4631" w14:paraId="50E9EAE4" w14:textId="77777777" w:rsidTr="00172488">
        <w:trPr>
          <w:trHeight w:val="416"/>
        </w:trPr>
        <w:tc>
          <w:tcPr>
            <w:tcW w:w="862" w:type="pct"/>
          </w:tcPr>
          <w:p w14:paraId="5CB333B0" w14:textId="30950A81" w:rsidR="007C23E2" w:rsidRPr="00F9243F" w:rsidRDefault="007C23E2" w:rsidP="007C23E2">
            <w:pPr>
              <w:rPr>
                <w:rFonts w:ascii="Arial Narrow" w:hAnsi="Arial Narrow"/>
                <w:sz w:val="20"/>
                <w:lang w:eastAsia="en-US"/>
              </w:rPr>
            </w:pPr>
            <w:r w:rsidRPr="00F9243F">
              <w:rPr>
                <w:rFonts w:ascii="Arial Narrow" w:hAnsi="Arial Narrow"/>
                <w:sz w:val="20"/>
              </w:rPr>
              <w:t>90% of biopsies offset</w:t>
            </w:r>
          </w:p>
        </w:tc>
        <w:tc>
          <w:tcPr>
            <w:tcW w:w="233" w:type="pct"/>
          </w:tcPr>
          <w:p w14:paraId="61D2DC0C" w14:textId="65C1F716" w:rsidR="007C23E2" w:rsidRPr="00F9243F" w:rsidRDefault="007C23E2" w:rsidP="00EE43FD">
            <w:pPr>
              <w:jc w:val="right"/>
              <w:rPr>
                <w:rFonts w:ascii="Arial Narrow" w:hAnsi="Arial Narrow"/>
                <w:sz w:val="20"/>
              </w:rPr>
            </w:pPr>
            <w:r w:rsidRPr="007C23E2">
              <w:rPr>
                <w:rFonts w:ascii="Arial Narrow" w:hAnsi="Arial Narrow"/>
                <w:sz w:val="20"/>
              </w:rPr>
              <w:t>$1,962,563</w:t>
            </w:r>
          </w:p>
        </w:tc>
        <w:tc>
          <w:tcPr>
            <w:tcW w:w="579" w:type="pct"/>
          </w:tcPr>
          <w:p w14:paraId="7150B4E3" w14:textId="5D30FAE8" w:rsidR="007C23E2" w:rsidRPr="00F9243F" w:rsidRDefault="007C23E2" w:rsidP="00EE43FD">
            <w:pPr>
              <w:jc w:val="right"/>
              <w:rPr>
                <w:rFonts w:ascii="Arial Narrow" w:hAnsi="Arial Narrow"/>
                <w:sz w:val="20"/>
              </w:rPr>
            </w:pPr>
            <w:r w:rsidRPr="007C23E2">
              <w:rPr>
                <w:rFonts w:ascii="Arial Narrow" w:hAnsi="Arial Narrow"/>
                <w:sz w:val="20"/>
              </w:rPr>
              <w:t>$2,237,322</w:t>
            </w:r>
          </w:p>
        </w:tc>
        <w:tc>
          <w:tcPr>
            <w:tcW w:w="579" w:type="pct"/>
          </w:tcPr>
          <w:p w14:paraId="40386452" w14:textId="3B16700C" w:rsidR="007C23E2" w:rsidRPr="00F9243F" w:rsidRDefault="007C23E2" w:rsidP="00EE43FD">
            <w:pPr>
              <w:jc w:val="right"/>
              <w:rPr>
                <w:rFonts w:ascii="Arial Narrow" w:hAnsi="Arial Narrow"/>
                <w:sz w:val="20"/>
              </w:rPr>
            </w:pPr>
            <w:r w:rsidRPr="007C23E2">
              <w:rPr>
                <w:rFonts w:ascii="Arial Narrow" w:hAnsi="Arial Narrow"/>
                <w:sz w:val="20"/>
              </w:rPr>
              <w:t>$2,389,460</w:t>
            </w:r>
          </w:p>
        </w:tc>
        <w:tc>
          <w:tcPr>
            <w:tcW w:w="580" w:type="pct"/>
          </w:tcPr>
          <w:p w14:paraId="4E6D815E" w14:textId="1F140E53" w:rsidR="007C23E2" w:rsidRPr="00F9243F" w:rsidRDefault="007C23E2" w:rsidP="00EE43FD">
            <w:pPr>
              <w:jc w:val="right"/>
              <w:rPr>
                <w:rFonts w:ascii="Arial Narrow" w:hAnsi="Arial Narrow"/>
                <w:sz w:val="20"/>
              </w:rPr>
            </w:pPr>
            <w:r w:rsidRPr="007C23E2">
              <w:rPr>
                <w:rFonts w:ascii="Arial Narrow" w:hAnsi="Arial Narrow"/>
                <w:sz w:val="20"/>
              </w:rPr>
              <w:t>$2,408,576</w:t>
            </w:r>
          </w:p>
        </w:tc>
        <w:tc>
          <w:tcPr>
            <w:tcW w:w="580" w:type="pct"/>
          </w:tcPr>
          <w:p w14:paraId="5A08DC59" w14:textId="5F765400" w:rsidR="007C23E2" w:rsidRPr="00F9243F" w:rsidRDefault="007C23E2" w:rsidP="00EE43FD">
            <w:pPr>
              <w:jc w:val="right"/>
              <w:rPr>
                <w:rFonts w:ascii="Arial Narrow" w:hAnsi="Arial Narrow"/>
                <w:sz w:val="20"/>
              </w:rPr>
            </w:pPr>
            <w:r w:rsidRPr="007C23E2">
              <w:rPr>
                <w:rFonts w:ascii="Arial Narrow" w:hAnsi="Arial Narrow"/>
                <w:sz w:val="20"/>
              </w:rPr>
              <w:t>$2,312,233</w:t>
            </w:r>
          </w:p>
        </w:tc>
        <w:tc>
          <w:tcPr>
            <w:tcW w:w="580" w:type="pct"/>
          </w:tcPr>
          <w:p w14:paraId="20FA1D13" w14:textId="598179A3" w:rsidR="007C23E2" w:rsidRPr="00F9243F" w:rsidRDefault="007C23E2" w:rsidP="00EE43FD">
            <w:pPr>
              <w:jc w:val="right"/>
              <w:rPr>
                <w:rFonts w:ascii="Arial Narrow" w:hAnsi="Arial Narrow"/>
                <w:sz w:val="20"/>
              </w:rPr>
            </w:pPr>
            <w:r w:rsidRPr="007C23E2">
              <w:rPr>
                <w:rFonts w:ascii="Arial Narrow" w:hAnsi="Arial Narrow"/>
                <w:sz w:val="20"/>
              </w:rPr>
              <w:t>$2,413,971</w:t>
            </w:r>
          </w:p>
        </w:tc>
        <w:tc>
          <w:tcPr>
            <w:tcW w:w="611" w:type="pct"/>
          </w:tcPr>
          <w:p w14:paraId="363A141B" w14:textId="25236B1F" w:rsidR="007C23E2" w:rsidRPr="00F9243F" w:rsidRDefault="007C23E2" w:rsidP="00EE43FD">
            <w:pPr>
              <w:jc w:val="right"/>
              <w:rPr>
                <w:rFonts w:ascii="Arial Narrow" w:hAnsi="Arial Narrow"/>
                <w:sz w:val="20"/>
              </w:rPr>
            </w:pPr>
            <w:r w:rsidRPr="007C23E2">
              <w:rPr>
                <w:rFonts w:ascii="Arial Narrow" w:hAnsi="Arial Narrow"/>
                <w:sz w:val="20"/>
              </w:rPr>
              <w:t>$13,724,125</w:t>
            </w:r>
          </w:p>
        </w:tc>
        <w:tc>
          <w:tcPr>
            <w:tcW w:w="397" w:type="pct"/>
          </w:tcPr>
          <w:p w14:paraId="6D221E1B" w14:textId="065EAF57" w:rsidR="007C23E2" w:rsidRPr="00F9243F" w:rsidRDefault="007C23E2" w:rsidP="007C23E2">
            <w:pPr>
              <w:jc w:val="center"/>
              <w:rPr>
                <w:rFonts w:ascii="Arial Narrow" w:hAnsi="Arial Narrow"/>
                <w:sz w:val="20"/>
              </w:rPr>
            </w:pPr>
            <w:r w:rsidRPr="007C23E2">
              <w:rPr>
                <w:rFonts w:ascii="Arial Narrow" w:hAnsi="Arial Narrow"/>
                <w:sz w:val="20"/>
              </w:rPr>
              <w:t>7%</w:t>
            </w:r>
          </w:p>
        </w:tc>
      </w:tr>
      <w:tr w:rsidR="00172488" w:rsidRPr="008E4631" w14:paraId="6EA2FFE3" w14:textId="77777777" w:rsidTr="00172488">
        <w:trPr>
          <w:trHeight w:val="366"/>
        </w:trPr>
        <w:tc>
          <w:tcPr>
            <w:tcW w:w="862" w:type="pct"/>
          </w:tcPr>
          <w:p w14:paraId="38E51B0C" w14:textId="7670B27A" w:rsidR="007C23E2" w:rsidRPr="00F9243F" w:rsidRDefault="007C23E2" w:rsidP="007C23E2">
            <w:pPr>
              <w:rPr>
                <w:rFonts w:ascii="Arial Narrow" w:hAnsi="Arial Narrow"/>
                <w:sz w:val="20"/>
                <w:lang w:eastAsia="en-US"/>
              </w:rPr>
            </w:pPr>
            <w:r w:rsidRPr="00F9243F">
              <w:rPr>
                <w:rFonts w:ascii="Arial Narrow" w:hAnsi="Arial Narrow"/>
                <w:sz w:val="20"/>
              </w:rPr>
              <w:t>75% of biopsies offset</w:t>
            </w:r>
          </w:p>
        </w:tc>
        <w:tc>
          <w:tcPr>
            <w:tcW w:w="233" w:type="pct"/>
          </w:tcPr>
          <w:p w14:paraId="484B7C9E" w14:textId="4967BEB8" w:rsidR="007C23E2" w:rsidRPr="00F9243F" w:rsidRDefault="007C23E2" w:rsidP="00EE43FD">
            <w:pPr>
              <w:jc w:val="right"/>
              <w:rPr>
                <w:rFonts w:ascii="Arial Narrow" w:hAnsi="Arial Narrow"/>
                <w:sz w:val="20"/>
              </w:rPr>
            </w:pPr>
            <w:r w:rsidRPr="007C23E2">
              <w:rPr>
                <w:rFonts w:ascii="Arial Narrow" w:hAnsi="Arial Narrow"/>
                <w:sz w:val="20"/>
              </w:rPr>
              <w:t>$2,147,759</w:t>
            </w:r>
          </w:p>
        </w:tc>
        <w:tc>
          <w:tcPr>
            <w:tcW w:w="579" w:type="pct"/>
          </w:tcPr>
          <w:p w14:paraId="12F88A66" w14:textId="2C0C7395" w:rsidR="007C23E2" w:rsidRPr="00F9243F" w:rsidRDefault="007C23E2" w:rsidP="00EE43FD">
            <w:pPr>
              <w:jc w:val="right"/>
              <w:rPr>
                <w:rFonts w:ascii="Arial Narrow" w:hAnsi="Arial Narrow"/>
                <w:sz w:val="20"/>
              </w:rPr>
            </w:pPr>
            <w:r w:rsidRPr="007C23E2">
              <w:rPr>
                <w:rFonts w:ascii="Arial Narrow" w:hAnsi="Arial Narrow"/>
                <w:sz w:val="20"/>
              </w:rPr>
              <w:t>$2,448,445</w:t>
            </w:r>
          </w:p>
        </w:tc>
        <w:tc>
          <w:tcPr>
            <w:tcW w:w="579" w:type="pct"/>
          </w:tcPr>
          <w:p w14:paraId="63E22C17" w14:textId="74BAF3B1" w:rsidR="007C23E2" w:rsidRPr="00F9243F" w:rsidRDefault="007C23E2" w:rsidP="00EE43FD">
            <w:pPr>
              <w:jc w:val="right"/>
              <w:rPr>
                <w:rFonts w:ascii="Arial Narrow" w:hAnsi="Arial Narrow"/>
                <w:sz w:val="20"/>
              </w:rPr>
            </w:pPr>
            <w:r w:rsidRPr="007C23E2">
              <w:rPr>
                <w:rFonts w:ascii="Arial Narrow" w:hAnsi="Arial Narrow"/>
                <w:sz w:val="20"/>
              </w:rPr>
              <w:t>$2,614,940</w:t>
            </w:r>
          </w:p>
        </w:tc>
        <w:tc>
          <w:tcPr>
            <w:tcW w:w="580" w:type="pct"/>
          </w:tcPr>
          <w:p w14:paraId="76C261AB" w14:textId="7D8F50DD" w:rsidR="007C23E2" w:rsidRPr="00F9243F" w:rsidRDefault="007C23E2" w:rsidP="00EE43FD">
            <w:pPr>
              <w:jc w:val="right"/>
              <w:rPr>
                <w:rFonts w:ascii="Arial Narrow" w:hAnsi="Arial Narrow"/>
                <w:sz w:val="20"/>
              </w:rPr>
            </w:pPr>
            <w:r w:rsidRPr="007C23E2">
              <w:rPr>
                <w:rFonts w:ascii="Arial Narrow" w:hAnsi="Arial Narrow"/>
                <w:sz w:val="20"/>
              </w:rPr>
              <w:t>$2,635,859</w:t>
            </w:r>
          </w:p>
        </w:tc>
        <w:tc>
          <w:tcPr>
            <w:tcW w:w="580" w:type="pct"/>
          </w:tcPr>
          <w:p w14:paraId="1A29CBDE" w14:textId="38396927" w:rsidR="007C23E2" w:rsidRPr="00F9243F" w:rsidRDefault="007C23E2" w:rsidP="00EE43FD">
            <w:pPr>
              <w:jc w:val="right"/>
              <w:rPr>
                <w:rFonts w:ascii="Arial Narrow" w:hAnsi="Arial Narrow"/>
                <w:sz w:val="20"/>
              </w:rPr>
            </w:pPr>
            <w:r w:rsidRPr="007C23E2">
              <w:rPr>
                <w:rFonts w:ascii="Arial Narrow" w:hAnsi="Arial Narrow"/>
                <w:sz w:val="20"/>
              </w:rPr>
              <w:t>$2,530,425</w:t>
            </w:r>
          </w:p>
        </w:tc>
        <w:tc>
          <w:tcPr>
            <w:tcW w:w="580" w:type="pct"/>
          </w:tcPr>
          <w:p w14:paraId="507EC91B" w14:textId="0D83DEBA" w:rsidR="007C23E2" w:rsidRPr="00F9243F" w:rsidRDefault="007C23E2" w:rsidP="00EE43FD">
            <w:pPr>
              <w:jc w:val="right"/>
              <w:rPr>
                <w:rFonts w:ascii="Arial Narrow" w:hAnsi="Arial Narrow"/>
                <w:sz w:val="20"/>
              </w:rPr>
            </w:pPr>
            <w:r w:rsidRPr="007C23E2">
              <w:rPr>
                <w:rFonts w:ascii="Arial Narrow" w:hAnsi="Arial Narrow"/>
                <w:sz w:val="20"/>
              </w:rPr>
              <w:t>$2,641,764</w:t>
            </w:r>
          </w:p>
        </w:tc>
        <w:tc>
          <w:tcPr>
            <w:tcW w:w="611" w:type="pct"/>
          </w:tcPr>
          <w:p w14:paraId="2AF5F943" w14:textId="706F4C56" w:rsidR="007C23E2" w:rsidRPr="00F9243F" w:rsidRDefault="007C23E2" w:rsidP="00EE43FD">
            <w:pPr>
              <w:jc w:val="right"/>
              <w:rPr>
                <w:rFonts w:ascii="Arial Narrow" w:hAnsi="Arial Narrow"/>
                <w:sz w:val="20"/>
              </w:rPr>
            </w:pPr>
            <w:r w:rsidRPr="007C23E2">
              <w:rPr>
                <w:rFonts w:ascii="Arial Narrow" w:hAnsi="Arial Narrow"/>
                <w:sz w:val="20"/>
              </w:rPr>
              <w:t>$15,019,192</w:t>
            </w:r>
          </w:p>
        </w:tc>
        <w:tc>
          <w:tcPr>
            <w:tcW w:w="397" w:type="pct"/>
          </w:tcPr>
          <w:p w14:paraId="39683AC2" w14:textId="2B6BE199" w:rsidR="007C23E2" w:rsidRPr="00F9243F" w:rsidRDefault="007C23E2" w:rsidP="007C23E2">
            <w:pPr>
              <w:jc w:val="center"/>
              <w:rPr>
                <w:rFonts w:ascii="Arial Narrow" w:hAnsi="Arial Narrow"/>
                <w:sz w:val="20"/>
              </w:rPr>
            </w:pPr>
            <w:r w:rsidRPr="007C23E2">
              <w:rPr>
                <w:rFonts w:ascii="Arial Narrow" w:hAnsi="Arial Narrow"/>
                <w:sz w:val="20"/>
              </w:rPr>
              <w:t>17%</w:t>
            </w:r>
          </w:p>
        </w:tc>
      </w:tr>
      <w:tr w:rsidR="00E20DB6" w:rsidRPr="008E4631" w14:paraId="7F0855ED" w14:textId="77777777" w:rsidTr="00172488">
        <w:trPr>
          <w:trHeight w:val="221"/>
        </w:trPr>
        <w:tc>
          <w:tcPr>
            <w:tcW w:w="5000" w:type="pct"/>
            <w:gridSpan w:val="9"/>
          </w:tcPr>
          <w:p w14:paraId="6586CA36" w14:textId="581701D6" w:rsidR="00E20DB6" w:rsidRPr="00F9243F" w:rsidRDefault="00E20DB6" w:rsidP="007C23E2">
            <w:pPr>
              <w:rPr>
                <w:rFonts w:ascii="Arial Narrow" w:hAnsi="Arial Narrow"/>
                <w:sz w:val="20"/>
              </w:rPr>
            </w:pPr>
            <w:r>
              <w:rPr>
                <w:rFonts w:ascii="Arial Narrow" w:hAnsi="Arial Narrow"/>
                <w:sz w:val="20"/>
              </w:rPr>
              <w:t>Test(s) used for reproductive partner testing (base case: SGT only)</w:t>
            </w:r>
          </w:p>
        </w:tc>
      </w:tr>
      <w:tr w:rsidR="00172488" w:rsidRPr="008E4631" w14:paraId="7ADD610D" w14:textId="77777777" w:rsidTr="00172488">
        <w:trPr>
          <w:trHeight w:val="692"/>
        </w:trPr>
        <w:tc>
          <w:tcPr>
            <w:tcW w:w="862" w:type="pct"/>
          </w:tcPr>
          <w:p w14:paraId="7DD55CE8" w14:textId="05AE4BCF" w:rsidR="007C23E2" w:rsidRPr="00F9243F" w:rsidRDefault="007C23E2" w:rsidP="007C23E2">
            <w:pPr>
              <w:rPr>
                <w:rFonts w:ascii="Arial Narrow" w:hAnsi="Arial Narrow"/>
                <w:sz w:val="20"/>
              </w:rPr>
            </w:pPr>
            <w:r w:rsidRPr="0079690E">
              <w:rPr>
                <w:rFonts w:ascii="Arial Narrow" w:hAnsi="Arial Narrow"/>
                <w:sz w:val="20"/>
              </w:rPr>
              <w:t xml:space="preserve">SGT and gene sequencing </w:t>
            </w:r>
            <w:r>
              <w:rPr>
                <w:rFonts w:ascii="Arial Narrow" w:hAnsi="Arial Narrow"/>
                <w:sz w:val="20"/>
              </w:rPr>
              <w:t>(RCPA proposal)</w:t>
            </w:r>
          </w:p>
        </w:tc>
        <w:tc>
          <w:tcPr>
            <w:tcW w:w="233" w:type="pct"/>
          </w:tcPr>
          <w:p w14:paraId="7D5A1B33" w14:textId="5EC25F95" w:rsidR="007C23E2" w:rsidRPr="00F9243F" w:rsidRDefault="007C23E2" w:rsidP="00EE43FD">
            <w:pPr>
              <w:jc w:val="right"/>
              <w:rPr>
                <w:rFonts w:ascii="Arial Narrow" w:hAnsi="Arial Narrow"/>
                <w:sz w:val="20"/>
              </w:rPr>
            </w:pPr>
            <w:r w:rsidRPr="007C23E2">
              <w:rPr>
                <w:rFonts w:ascii="Arial Narrow" w:hAnsi="Arial Narrow"/>
                <w:sz w:val="20"/>
              </w:rPr>
              <w:t>$1,853,055</w:t>
            </w:r>
          </w:p>
        </w:tc>
        <w:tc>
          <w:tcPr>
            <w:tcW w:w="579" w:type="pct"/>
          </w:tcPr>
          <w:p w14:paraId="04D27B87" w14:textId="61D9C1C0" w:rsidR="007C23E2" w:rsidRPr="00F9243F" w:rsidRDefault="007C23E2" w:rsidP="00EE43FD">
            <w:pPr>
              <w:jc w:val="right"/>
              <w:rPr>
                <w:rFonts w:ascii="Arial Narrow" w:hAnsi="Arial Narrow"/>
                <w:sz w:val="20"/>
              </w:rPr>
            </w:pPr>
            <w:r w:rsidRPr="007C23E2">
              <w:rPr>
                <w:rFonts w:ascii="Arial Narrow" w:hAnsi="Arial Narrow"/>
                <w:sz w:val="20"/>
              </w:rPr>
              <w:t>$2,112,482</w:t>
            </w:r>
          </w:p>
        </w:tc>
        <w:tc>
          <w:tcPr>
            <w:tcW w:w="579" w:type="pct"/>
          </w:tcPr>
          <w:p w14:paraId="19D9913C" w14:textId="400C3F1A" w:rsidR="007C23E2" w:rsidRPr="00F9243F" w:rsidRDefault="007C23E2" w:rsidP="00EE43FD">
            <w:pPr>
              <w:jc w:val="right"/>
              <w:rPr>
                <w:rFonts w:ascii="Arial Narrow" w:hAnsi="Arial Narrow"/>
                <w:sz w:val="20"/>
              </w:rPr>
            </w:pPr>
            <w:r w:rsidRPr="007C23E2">
              <w:rPr>
                <w:rFonts w:ascii="Arial Narrow" w:hAnsi="Arial Narrow"/>
                <w:sz w:val="20"/>
              </w:rPr>
              <w:t>$2,256,131</w:t>
            </w:r>
          </w:p>
        </w:tc>
        <w:tc>
          <w:tcPr>
            <w:tcW w:w="580" w:type="pct"/>
          </w:tcPr>
          <w:p w14:paraId="4AA55E33" w14:textId="30DD9DF1" w:rsidR="007C23E2" w:rsidRPr="00F9243F" w:rsidRDefault="007C23E2" w:rsidP="00EE43FD">
            <w:pPr>
              <w:jc w:val="right"/>
              <w:rPr>
                <w:rFonts w:ascii="Arial Narrow" w:hAnsi="Arial Narrow"/>
                <w:sz w:val="20"/>
              </w:rPr>
            </w:pPr>
            <w:r w:rsidRPr="007C23E2">
              <w:rPr>
                <w:rFonts w:ascii="Arial Narrow" w:hAnsi="Arial Narrow"/>
                <w:sz w:val="20"/>
              </w:rPr>
              <w:t>$2,274,180</w:t>
            </w:r>
          </w:p>
        </w:tc>
        <w:tc>
          <w:tcPr>
            <w:tcW w:w="580" w:type="pct"/>
          </w:tcPr>
          <w:p w14:paraId="451B953B" w14:textId="5A2BDF88" w:rsidR="007C23E2" w:rsidRPr="00F9243F" w:rsidRDefault="007C23E2" w:rsidP="00EE43FD">
            <w:pPr>
              <w:jc w:val="right"/>
              <w:rPr>
                <w:rFonts w:ascii="Arial Narrow" w:hAnsi="Arial Narrow"/>
                <w:sz w:val="20"/>
              </w:rPr>
            </w:pPr>
            <w:r w:rsidRPr="007C23E2">
              <w:rPr>
                <w:rFonts w:ascii="Arial Narrow" w:hAnsi="Arial Narrow"/>
                <w:sz w:val="20"/>
              </w:rPr>
              <w:t>$2,183,213</w:t>
            </w:r>
          </w:p>
        </w:tc>
        <w:tc>
          <w:tcPr>
            <w:tcW w:w="580" w:type="pct"/>
          </w:tcPr>
          <w:p w14:paraId="4E38D5F2" w14:textId="602B4344" w:rsidR="007C23E2" w:rsidRPr="00F9243F" w:rsidRDefault="007C23E2" w:rsidP="00EE43FD">
            <w:pPr>
              <w:jc w:val="right"/>
              <w:rPr>
                <w:rFonts w:ascii="Arial Narrow" w:hAnsi="Arial Narrow"/>
                <w:sz w:val="20"/>
              </w:rPr>
            </w:pPr>
            <w:r w:rsidRPr="007C23E2">
              <w:rPr>
                <w:rFonts w:ascii="Arial Narrow" w:hAnsi="Arial Narrow"/>
                <w:sz w:val="20"/>
              </w:rPr>
              <w:t>$2,279,274</w:t>
            </w:r>
          </w:p>
        </w:tc>
        <w:tc>
          <w:tcPr>
            <w:tcW w:w="611" w:type="pct"/>
          </w:tcPr>
          <w:p w14:paraId="757472C3" w14:textId="76C05FE4" w:rsidR="007C23E2" w:rsidRPr="00F9243F" w:rsidRDefault="007C23E2" w:rsidP="00EE43FD">
            <w:pPr>
              <w:jc w:val="right"/>
              <w:rPr>
                <w:rFonts w:ascii="Arial Narrow" w:hAnsi="Arial Narrow"/>
                <w:sz w:val="20"/>
              </w:rPr>
            </w:pPr>
            <w:r w:rsidRPr="007C23E2">
              <w:rPr>
                <w:rFonts w:ascii="Arial Narrow" w:hAnsi="Arial Narrow"/>
                <w:sz w:val="20"/>
              </w:rPr>
              <w:t>$12,958,335</w:t>
            </w:r>
          </w:p>
        </w:tc>
        <w:tc>
          <w:tcPr>
            <w:tcW w:w="397" w:type="pct"/>
          </w:tcPr>
          <w:p w14:paraId="0F63987B" w14:textId="67B05C0F" w:rsidR="007C23E2" w:rsidRPr="00F9243F" w:rsidRDefault="007C23E2" w:rsidP="007C23E2">
            <w:pPr>
              <w:jc w:val="center"/>
              <w:rPr>
                <w:rFonts w:ascii="Arial Narrow" w:hAnsi="Arial Narrow"/>
                <w:sz w:val="20"/>
              </w:rPr>
            </w:pPr>
            <w:r w:rsidRPr="007C23E2">
              <w:rPr>
                <w:rFonts w:ascii="Arial Narrow" w:hAnsi="Arial Narrow"/>
                <w:sz w:val="20"/>
              </w:rPr>
              <w:t>0.8%</w:t>
            </w:r>
          </w:p>
        </w:tc>
      </w:tr>
    </w:tbl>
    <w:p w14:paraId="294C8674" w14:textId="3B110F87" w:rsidR="00264776" w:rsidRPr="00972F54" w:rsidRDefault="00E20DB6" w:rsidP="00972F54">
      <w:pPr>
        <w:rPr>
          <w:b/>
          <w:bCs/>
          <w:szCs w:val="16"/>
          <w:lang w:eastAsia="en-US"/>
        </w:rPr>
      </w:pPr>
      <w:r w:rsidRPr="00F2225C">
        <w:rPr>
          <w:rFonts w:ascii="Arial Narrow" w:hAnsi="Arial Narrow"/>
          <w:sz w:val="20"/>
          <w:szCs w:val="16"/>
          <w:lang w:eastAsia="en-US"/>
        </w:rPr>
        <w:t>Table incorporates post-MSAC Executive corrections to the analyses</w:t>
      </w:r>
      <w:r>
        <w:rPr>
          <w:rFonts w:ascii="Arial Narrow" w:hAnsi="Arial Narrow"/>
          <w:sz w:val="20"/>
          <w:szCs w:val="16"/>
          <w:lang w:eastAsia="en-US"/>
        </w:rPr>
        <w:t>, and addition of the RCPA’s post-PSD proposal</w:t>
      </w:r>
      <w:r w:rsidRPr="00F2225C">
        <w:rPr>
          <w:rFonts w:ascii="Arial Narrow" w:hAnsi="Arial Narrow"/>
          <w:sz w:val="20"/>
          <w:szCs w:val="16"/>
          <w:lang w:eastAsia="en-US"/>
        </w:rPr>
        <w:t>.</w:t>
      </w:r>
    </w:p>
    <w:p w14:paraId="7F6BF477" w14:textId="2CFA63CA" w:rsidR="003869F4" w:rsidRPr="00CE28E3" w:rsidRDefault="003869F4" w:rsidP="003F311A">
      <w:pPr>
        <w:pStyle w:val="Heading1"/>
        <w:ind w:hanging="720"/>
      </w:pPr>
      <w:bookmarkStart w:id="25" w:name="_Toc85459620"/>
      <w:bookmarkStart w:id="26" w:name="_Toc90153902"/>
      <w:r w:rsidRPr="00CE28E3">
        <w:t xml:space="preserve">Other relevant </w:t>
      </w:r>
      <w:r>
        <w:t>information</w:t>
      </w:r>
      <w:bookmarkEnd w:id="25"/>
      <w:bookmarkEnd w:id="26"/>
    </w:p>
    <w:p w14:paraId="0CA95849" w14:textId="6202CB4F" w:rsidR="003869F4" w:rsidRPr="003869F4" w:rsidRDefault="00264776" w:rsidP="008D1C4A">
      <w:pPr>
        <w:spacing w:before="120" w:after="160"/>
        <w:rPr>
          <w:rFonts w:ascii="Franklin Gothic Book" w:eastAsia="Calibri" w:hAnsi="Franklin Gothic Book"/>
          <w:sz w:val="22"/>
          <w:szCs w:val="22"/>
          <w:lang w:eastAsia="en-US"/>
        </w:rPr>
      </w:pPr>
      <w:r>
        <w:rPr>
          <w:rFonts w:ascii="Franklin Gothic Book" w:eastAsia="Calibri" w:hAnsi="Franklin Gothic Book"/>
          <w:sz w:val="22"/>
          <w:szCs w:val="22"/>
          <w:lang w:eastAsia="en-US"/>
        </w:rPr>
        <w:t>Nil</w:t>
      </w:r>
      <w:r w:rsidR="003869F4" w:rsidRPr="003869F4">
        <w:rPr>
          <w:rFonts w:ascii="Franklin Gothic Book" w:eastAsia="Calibri" w:hAnsi="Franklin Gothic Book"/>
          <w:sz w:val="22"/>
          <w:szCs w:val="22"/>
          <w:lang w:eastAsia="en-US"/>
        </w:rPr>
        <w:t>.</w:t>
      </w:r>
    </w:p>
    <w:p w14:paraId="42F6656A" w14:textId="6DB9A8F4" w:rsidR="009E6309" w:rsidRDefault="009E6309" w:rsidP="009E6309">
      <w:pPr>
        <w:pStyle w:val="Heading1"/>
        <w:ind w:hanging="720"/>
      </w:pPr>
      <w:r>
        <w:t>Applicant comments on MSAC’s Public Summary Document</w:t>
      </w:r>
    </w:p>
    <w:p w14:paraId="1F6D24E3" w14:textId="2260F909" w:rsidR="00CB32AD" w:rsidRDefault="00CB32AD" w:rsidP="002876B8">
      <w:pPr>
        <w:spacing w:before="240"/>
        <w:rPr>
          <w:rFonts w:ascii="Franklin Gothic Book" w:hAnsi="Franklin Gothic Book"/>
          <w:sz w:val="22"/>
          <w:szCs w:val="22"/>
        </w:rPr>
      </w:pPr>
      <w:r w:rsidRPr="00CB32AD">
        <w:rPr>
          <w:rFonts w:ascii="Franklin Gothic Book" w:hAnsi="Franklin Gothic Book"/>
          <w:sz w:val="22"/>
          <w:szCs w:val="22"/>
        </w:rPr>
        <w:t xml:space="preserve">Firstly, the College would like to take this opportunity to thank the Department and the MSAC for their assistance in </w:t>
      </w:r>
      <w:r>
        <w:rPr>
          <w:rFonts w:ascii="Franklin Gothic Book" w:hAnsi="Franklin Gothic Book"/>
          <w:sz w:val="22"/>
          <w:szCs w:val="22"/>
        </w:rPr>
        <w:t>progressing this addition</w:t>
      </w:r>
      <w:r w:rsidR="00E47AAC">
        <w:rPr>
          <w:rFonts w:ascii="Franklin Gothic Book" w:hAnsi="Franklin Gothic Book"/>
          <w:sz w:val="22"/>
          <w:szCs w:val="22"/>
        </w:rPr>
        <w:t xml:space="preserve"> to Application 1585</w:t>
      </w:r>
      <w:r w:rsidR="009526B2" w:rsidRPr="009526B2">
        <w:rPr>
          <w:rFonts w:ascii="Franklin Gothic Book" w:hAnsi="Franklin Gothic Book"/>
          <w:sz w:val="22"/>
          <w:szCs w:val="22"/>
        </w:rPr>
        <w:t xml:space="preserve"> </w:t>
      </w:r>
      <w:r w:rsidR="009526B2" w:rsidRPr="00CB32AD">
        <w:rPr>
          <w:rFonts w:ascii="Franklin Gothic Book" w:hAnsi="Franklin Gothic Book"/>
          <w:sz w:val="22"/>
          <w:szCs w:val="22"/>
        </w:rPr>
        <w:t>to a successful outcome</w:t>
      </w:r>
      <w:r w:rsidR="00B37175">
        <w:rPr>
          <w:rFonts w:ascii="Franklin Gothic Book" w:hAnsi="Franklin Gothic Book"/>
          <w:sz w:val="22"/>
          <w:szCs w:val="22"/>
        </w:rPr>
        <w:t xml:space="preserve">. Single gene testing in conjunction with </w:t>
      </w:r>
      <w:r w:rsidR="009526B2">
        <w:rPr>
          <w:rFonts w:ascii="Franklin Gothic Book" w:hAnsi="Franklin Gothic Book"/>
          <w:sz w:val="22"/>
          <w:szCs w:val="22"/>
        </w:rPr>
        <w:t>gene panel testing</w:t>
      </w:r>
      <w:r w:rsidR="00E47AAC">
        <w:rPr>
          <w:rFonts w:ascii="Franklin Gothic Book" w:hAnsi="Franklin Gothic Book"/>
          <w:sz w:val="22"/>
          <w:szCs w:val="22"/>
        </w:rPr>
        <w:t xml:space="preserve">, </w:t>
      </w:r>
      <w:r w:rsidR="009526B2">
        <w:rPr>
          <w:rFonts w:ascii="Franklin Gothic Book" w:hAnsi="Franklin Gothic Book"/>
          <w:sz w:val="22"/>
          <w:szCs w:val="22"/>
        </w:rPr>
        <w:t>will ensure</w:t>
      </w:r>
      <w:r w:rsidRPr="00CB32AD">
        <w:rPr>
          <w:rFonts w:ascii="Franklin Gothic Book" w:hAnsi="Franklin Gothic Book"/>
          <w:sz w:val="22"/>
          <w:szCs w:val="22"/>
        </w:rPr>
        <w:t xml:space="preserve"> all NMD patients </w:t>
      </w:r>
      <w:r w:rsidR="009526B2">
        <w:rPr>
          <w:rFonts w:ascii="Franklin Gothic Book" w:hAnsi="Franklin Gothic Book"/>
          <w:sz w:val="22"/>
          <w:szCs w:val="22"/>
        </w:rPr>
        <w:t xml:space="preserve">have </w:t>
      </w:r>
      <w:r w:rsidRPr="00CB32AD">
        <w:rPr>
          <w:rFonts w:ascii="Franklin Gothic Book" w:hAnsi="Franklin Gothic Book"/>
          <w:sz w:val="22"/>
          <w:szCs w:val="22"/>
        </w:rPr>
        <w:t>equitable access to a test that may provide a definitive diagnosis and end their diagnostic odyssey.</w:t>
      </w:r>
    </w:p>
    <w:p w14:paraId="6947B782" w14:textId="5F20C109" w:rsidR="002876B8" w:rsidRPr="00751313" w:rsidRDefault="00B07282" w:rsidP="00751313">
      <w:pPr>
        <w:spacing w:before="240"/>
        <w:rPr>
          <w:rFonts w:ascii="Franklin Gothic Book" w:hAnsi="Franklin Gothic Book"/>
          <w:sz w:val="22"/>
          <w:szCs w:val="22"/>
        </w:rPr>
      </w:pPr>
      <w:r w:rsidRPr="00751313">
        <w:rPr>
          <w:rFonts w:ascii="Franklin Gothic Book" w:hAnsi="Franklin Gothic Book"/>
          <w:sz w:val="22"/>
          <w:szCs w:val="22"/>
        </w:rPr>
        <w:t>Regarding r</w:t>
      </w:r>
      <w:r w:rsidR="002876B8" w:rsidRPr="00751313">
        <w:rPr>
          <w:rFonts w:ascii="Franklin Gothic Book" w:hAnsi="Franklin Gothic Book"/>
          <w:sz w:val="22"/>
          <w:szCs w:val="22"/>
        </w:rPr>
        <w:t xml:space="preserve">eproductive partner testing – the same item number is going to be used on the proviso that underlying variation is the same type as that identified in one of the partners previously. For repeat disorders, the majority of cases would be covered. However, there </w:t>
      </w:r>
      <w:r w:rsidR="00103D8A" w:rsidRPr="00751313">
        <w:rPr>
          <w:rFonts w:ascii="Franklin Gothic Book" w:hAnsi="Franklin Gothic Book"/>
          <w:sz w:val="22"/>
          <w:szCs w:val="22"/>
        </w:rPr>
        <w:t>is a</w:t>
      </w:r>
      <w:r w:rsidR="002876B8" w:rsidRPr="00751313">
        <w:rPr>
          <w:rFonts w:ascii="Franklin Gothic Book" w:hAnsi="Franklin Gothic Book"/>
          <w:sz w:val="22"/>
          <w:szCs w:val="22"/>
        </w:rPr>
        <w:t xml:space="preserve"> small proportion of cases where sequence variation may also be relevant - i.e. CSNB, FXN etc. Disclaimers on test sensitivity would be on the reports for general scenarios. However, if there is a relevant FHx, comprehensive testing </w:t>
      </w:r>
      <w:r w:rsidR="00B55CD5" w:rsidRPr="00751313">
        <w:rPr>
          <w:rFonts w:ascii="Franklin Gothic Book" w:hAnsi="Franklin Gothic Book"/>
          <w:sz w:val="22"/>
          <w:szCs w:val="22"/>
        </w:rPr>
        <w:t xml:space="preserve">may </w:t>
      </w:r>
      <w:r w:rsidR="002876B8" w:rsidRPr="00751313">
        <w:rPr>
          <w:rFonts w:ascii="Franklin Gothic Book" w:hAnsi="Franklin Gothic Book"/>
          <w:sz w:val="22"/>
          <w:szCs w:val="22"/>
        </w:rPr>
        <w:t>be required i.e. the SGT + sequencing (through the GPT)</w:t>
      </w:r>
      <w:r w:rsidR="00A52DFC" w:rsidRPr="00751313">
        <w:rPr>
          <w:rFonts w:ascii="Franklin Gothic Book" w:hAnsi="Franklin Gothic Book"/>
          <w:sz w:val="22"/>
          <w:szCs w:val="22"/>
        </w:rPr>
        <w:t xml:space="preserve">. A practice </w:t>
      </w:r>
      <w:r w:rsidR="002876B8" w:rsidRPr="00751313">
        <w:rPr>
          <w:rFonts w:ascii="Franklin Gothic Book" w:hAnsi="Franklin Gothic Book"/>
          <w:sz w:val="22"/>
          <w:szCs w:val="22"/>
        </w:rPr>
        <w:t xml:space="preserve">note </w:t>
      </w:r>
      <w:r w:rsidR="00A52DFC" w:rsidRPr="00751313">
        <w:rPr>
          <w:rFonts w:ascii="Franklin Gothic Book" w:hAnsi="Franklin Gothic Book"/>
          <w:sz w:val="22"/>
          <w:szCs w:val="22"/>
        </w:rPr>
        <w:t xml:space="preserve">is required </w:t>
      </w:r>
      <w:r w:rsidR="002876B8" w:rsidRPr="00751313">
        <w:rPr>
          <w:rFonts w:ascii="Franklin Gothic Book" w:hAnsi="Franklin Gothic Book"/>
          <w:sz w:val="22"/>
          <w:szCs w:val="22"/>
        </w:rPr>
        <w:t>to refer to the relevant partner testing for panel (sequencing) findings if there is a FHx and sequencing variation would also need to be excluded as a second tier if the SGT is NAD and the familial variation is unknown</w:t>
      </w:r>
      <w:r w:rsidR="008645E7" w:rsidRPr="00751313">
        <w:rPr>
          <w:rFonts w:ascii="Franklin Gothic Book" w:hAnsi="Franklin Gothic Book"/>
          <w:sz w:val="22"/>
          <w:szCs w:val="22"/>
        </w:rPr>
        <w:t>.</w:t>
      </w:r>
    </w:p>
    <w:p w14:paraId="0F19E546" w14:textId="3C2C997C" w:rsidR="009E6309" w:rsidRDefault="009E6309" w:rsidP="009E6309">
      <w:pPr>
        <w:pStyle w:val="Heading1"/>
        <w:ind w:hanging="720"/>
      </w:pPr>
      <w:r>
        <w:t>Further information on MSAC</w:t>
      </w:r>
    </w:p>
    <w:p w14:paraId="398061C4" w14:textId="6389FE9D" w:rsidR="003B02B8" w:rsidRPr="007D4B83" w:rsidRDefault="009E6309" w:rsidP="007D4B83">
      <w:pPr>
        <w:pStyle w:val="TableFigureFooter"/>
        <w:spacing w:after="600"/>
        <w:rPr>
          <w:rFonts w:ascii="Franklin Gothic Book" w:hAnsi="Franklin Gothic Book"/>
          <w:sz w:val="22"/>
        </w:rPr>
      </w:pPr>
      <w:r w:rsidRPr="009E6309">
        <w:rPr>
          <w:rFonts w:ascii="Franklin Gothic Book" w:hAnsi="Franklin Gothic Book"/>
          <w:sz w:val="22"/>
        </w:rPr>
        <w:t xml:space="preserve">MSAC Terms of Reference and other information are available on the MSAC Website: </w:t>
      </w:r>
      <w:hyperlink r:id="rId9" w:tooltip="Link to the MSAC website" w:history="1">
        <w:r w:rsidRPr="009E6309">
          <w:rPr>
            <w:rStyle w:val="Hyperlink"/>
            <w:rFonts w:ascii="Franklin Gothic Book" w:hAnsi="Franklin Gothic Book"/>
            <w:sz w:val="22"/>
          </w:rPr>
          <w:t>visit the MSAC website</w:t>
        </w:r>
      </w:hyperlink>
    </w:p>
    <w:sectPr w:rsidR="003B02B8" w:rsidRPr="007D4B83" w:rsidSect="007D4B83">
      <w:footerReference w:type="default" r:id="rId1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1A29" w14:textId="77777777" w:rsidR="00300624" w:rsidRDefault="00300624" w:rsidP="00065623">
      <w:r>
        <w:separator/>
      </w:r>
    </w:p>
    <w:p w14:paraId="4CEC63C5" w14:textId="77777777" w:rsidR="00300624" w:rsidRDefault="00300624"/>
    <w:p w14:paraId="23BC6458" w14:textId="77777777" w:rsidR="00300624" w:rsidRDefault="00300624" w:rsidP="006F4EBA"/>
  </w:endnote>
  <w:endnote w:type="continuationSeparator" w:id="0">
    <w:p w14:paraId="0F401C32" w14:textId="77777777" w:rsidR="00300624" w:rsidRDefault="00300624" w:rsidP="00065623">
      <w:r>
        <w:continuationSeparator/>
      </w:r>
    </w:p>
    <w:p w14:paraId="29867159" w14:textId="77777777" w:rsidR="00300624" w:rsidRDefault="00300624"/>
    <w:p w14:paraId="25B72C3D" w14:textId="77777777" w:rsidR="00300624" w:rsidRDefault="00300624" w:rsidP="006F4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Humanist 77 7 BT">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773568"/>
      <w:docPartObj>
        <w:docPartGallery w:val="Page Numbers (Bottom of Page)"/>
        <w:docPartUnique/>
      </w:docPartObj>
    </w:sdtPr>
    <w:sdtEndPr>
      <w:rPr>
        <w:rFonts w:ascii="Franklin Gothic Book" w:hAnsi="Franklin Gothic Book"/>
        <w:noProof/>
      </w:rPr>
    </w:sdtEndPr>
    <w:sdtContent>
      <w:p w14:paraId="38173A0F" w14:textId="68CFD08E" w:rsidR="00300624" w:rsidRPr="00493F7D" w:rsidRDefault="00300624" w:rsidP="00493F7D">
        <w:pPr>
          <w:pStyle w:val="Footer"/>
          <w:jc w:val="right"/>
          <w:rPr>
            <w:rFonts w:ascii="Franklin Gothic Book" w:hAnsi="Franklin Gothic Book"/>
          </w:rPr>
        </w:pPr>
        <w:r w:rsidRPr="00071D98">
          <w:rPr>
            <w:rFonts w:ascii="Franklin Gothic Book" w:hAnsi="Franklin Gothic Book"/>
          </w:rPr>
          <w:fldChar w:fldCharType="begin"/>
        </w:r>
        <w:r w:rsidRPr="00071D98">
          <w:rPr>
            <w:rFonts w:ascii="Franklin Gothic Book" w:hAnsi="Franklin Gothic Book"/>
          </w:rPr>
          <w:instrText xml:space="preserve"> PAGE   \* MERGEFORMAT </w:instrText>
        </w:r>
        <w:r w:rsidRPr="00071D98">
          <w:rPr>
            <w:rFonts w:ascii="Franklin Gothic Book" w:hAnsi="Franklin Gothic Book"/>
          </w:rPr>
          <w:fldChar w:fldCharType="separate"/>
        </w:r>
        <w:r w:rsidRPr="00071D98">
          <w:rPr>
            <w:rFonts w:ascii="Franklin Gothic Book" w:hAnsi="Franklin Gothic Book"/>
            <w:noProof/>
          </w:rPr>
          <w:t>1</w:t>
        </w:r>
        <w:r w:rsidRPr="00071D98">
          <w:rPr>
            <w:rFonts w:ascii="Franklin Gothic Book" w:hAnsi="Franklin Gothic Book"/>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C4D44" w14:textId="77777777" w:rsidR="00300624" w:rsidRDefault="00300624" w:rsidP="00065623">
      <w:r>
        <w:separator/>
      </w:r>
    </w:p>
    <w:p w14:paraId="6EBCEE7C" w14:textId="77777777" w:rsidR="00300624" w:rsidRDefault="00300624"/>
    <w:p w14:paraId="61160182" w14:textId="77777777" w:rsidR="00300624" w:rsidRDefault="00300624" w:rsidP="006F4EBA"/>
  </w:footnote>
  <w:footnote w:type="continuationSeparator" w:id="0">
    <w:p w14:paraId="7B72BC34" w14:textId="77777777" w:rsidR="00300624" w:rsidRDefault="00300624" w:rsidP="00065623">
      <w:r>
        <w:continuationSeparator/>
      </w:r>
    </w:p>
    <w:p w14:paraId="7BAB2361" w14:textId="77777777" w:rsidR="00300624" w:rsidRDefault="00300624"/>
    <w:p w14:paraId="6F793041" w14:textId="77777777" w:rsidR="00300624" w:rsidRDefault="00300624" w:rsidP="006F4EBA"/>
  </w:footnote>
  <w:footnote w:id="1">
    <w:p w14:paraId="714651D1" w14:textId="36EBBD66" w:rsidR="00300624" w:rsidRPr="00AD64F6" w:rsidRDefault="00300624">
      <w:pPr>
        <w:pStyle w:val="FootnoteText"/>
        <w:rPr>
          <w:rFonts w:ascii="Franklin Gothic Book" w:hAnsi="Franklin Gothic Book"/>
        </w:rPr>
      </w:pPr>
      <w:r w:rsidRPr="00AD64F6">
        <w:rPr>
          <w:rStyle w:val="FootnoteReference"/>
          <w:rFonts w:ascii="Franklin Gothic Book" w:hAnsi="Franklin Gothic Book"/>
        </w:rPr>
        <w:footnoteRef/>
      </w:r>
      <w:r w:rsidRPr="00AD64F6">
        <w:rPr>
          <w:rFonts w:ascii="Franklin Gothic Book" w:hAnsi="Franklin Gothic Book"/>
        </w:rPr>
        <w:t xml:space="preserve"> Public Summary Document (PSD) for MSAC Application 1585 (</w:t>
      </w:r>
      <w:hyperlink r:id="rId1" w:history="1">
        <w:r w:rsidRPr="00AD64F6">
          <w:rPr>
            <w:rStyle w:val="Hyperlink"/>
            <w:rFonts w:ascii="Franklin Gothic Book" w:hAnsi="Franklin Gothic Book"/>
          </w:rPr>
          <w:t>December 2021</w:t>
        </w:r>
      </w:hyperlink>
      <w:r w:rsidRPr="00AD64F6">
        <w:rPr>
          <w:rFonts w:ascii="Franklin Gothic Book" w:hAnsi="Franklin Gothic Book"/>
        </w:rPr>
        <w:t>)</w:t>
      </w:r>
    </w:p>
  </w:footnote>
  <w:footnote w:id="2">
    <w:p w14:paraId="32ED0D98" w14:textId="0FF62FD9" w:rsidR="00E618D6" w:rsidRPr="00E618D6" w:rsidRDefault="00E618D6">
      <w:pPr>
        <w:pStyle w:val="FootnoteText"/>
        <w:rPr>
          <w:rFonts w:ascii="Franklin Gothic Book" w:hAnsi="Franklin Gothic Book"/>
        </w:rPr>
      </w:pPr>
      <w:r w:rsidRPr="00E618D6">
        <w:rPr>
          <w:rStyle w:val="FootnoteReference"/>
          <w:rFonts w:ascii="Franklin Gothic Book" w:hAnsi="Franklin Gothic Book"/>
        </w:rPr>
        <w:footnoteRef/>
      </w:r>
      <w:r w:rsidRPr="00E618D6">
        <w:rPr>
          <w:rFonts w:ascii="Franklin Gothic Book" w:hAnsi="Franklin Gothic Book"/>
        </w:rPr>
        <w:t xml:space="preserve"> Delatycki MB, Williamson R, Forrest SM (2000). Friedreich ataxia: an overview. </w:t>
      </w:r>
      <w:r w:rsidRPr="00E618D6">
        <w:rPr>
          <w:rFonts w:ascii="Franklin Gothic Book" w:hAnsi="Franklin Gothic Book"/>
          <w:i/>
          <w:iCs/>
        </w:rPr>
        <w:t>J Med Genet</w:t>
      </w:r>
      <w:r w:rsidRPr="00E618D6">
        <w:rPr>
          <w:rFonts w:ascii="Franklin Gothic Book" w:hAnsi="Franklin Gothic Book"/>
        </w:rPr>
        <w:t>,</w:t>
      </w:r>
      <w:r w:rsidRPr="00E618D6">
        <w:rPr>
          <w:rFonts w:ascii="Franklin Gothic Book" w:hAnsi="Franklin Gothic Book"/>
          <w:i/>
          <w:iCs/>
        </w:rPr>
        <w:t> </w:t>
      </w:r>
      <w:r w:rsidRPr="00E618D6">
        <w:rPr>
          <w:rFonts w:ascii="Franklin Gothic Book" w:hAnsi="Franklin Gothic Book"/>
          <w:b/>
          <w:bCs/>
        </w:rPr>
        <w:t>37:</w:t>
      </w:r>
      <w:r w:rsidRPr="00E618D6">
        <w:rPr>
          <w:rFonts w:ascii="Franklin Gothic Book" w:hAnsi="Franklin Gothic Book"/>
        </w:rPr>
        <w:t>1-8.</w:t>
      </w:r>
    </w:p>
  </w:footnote>
  <w:footnote w:id="3">
    <w:p w14:paraId="17FF3B09" w14:textId="341BF4B2" w:rsidR="00E618D6" w:rsidRPr="00751B8B" w:rsidRDefault="00E618D6">
      <w:pPr>
        <w:pStyle w:val="FootnoteText"/>
        <w:rPr>
          <w:rFonts w:ascii="Franklin Gothic Book" w:hAnsi="Franklin Gothic Book"/>
        </w:rPr>
      </w:pPr>
      <w:r w:rsidRPr="00751B8B">
        <w:rPr>
          <w:rStyle w:val="FootnoteReference"/>
          <w:rFonts w:ascii="Franklin Gothic Book" w:hAnsi="Franklin Gothic Book"/>
        </w:rPr>
        <w:footnoteRef/>
      </w:r>
      <w:r w:rsidRPr="00751B8B">
        <w:rPr>
          <w:rFonts w:ascii="Franklin Gothic Book" w:hAnsi="Franklin Gothic Book"/>
        </w:rPr>
        <w:t xml:space="preserve"> Keinath MC, Prior DE, Prior TW. (2021). Spinal Muscular Atrophy: Mutations, Testing, and Clinical Relevance. </w:t>
      </w:r>
      <w:r w:rsidRPr="00751B8B">
        <w:rPr>
          <w:rFonts w:ascii="Franklin Gothic Book" w:hAnsi="Franklin Gothic Book"/>
          <w:i/>
          <w:iCs/>
          <w:u w:val="single"/>
        </w:rPr>
        <w:t>Appl Clin Genet</w:t>
      </w:r>
      <w:r w:rsidR="00751B8B">
        <w:rPr>
          <w:rFonts w:ascii="Franklin Gothic Book" w:hAnsi="Franklin Gothic Book"/>
        </w:rPr>
        <w:t>,</w:t>
      </w:r>
      <w:r w:rsidRPr="00751B8B">
        <w:rPr>
          <w:rFonts w:ascii="Franklin Gothic Book" w:hAnsi="Franklin Gothic Book"/>
        </w:rPr>
        <w:t xml:space="preserve"> </w:t>
      </w:r>
      <w:r w:rsidRPr="00751B8B">
        <w:rPr>
          <w:rFonts w:ascii="Franklin Gothic Book" w:hAnsi="Franklin Gothic Book"/>
          <w:b/>
          <w:bCs/>
        </w:rPr>
        <w:t>14</w:t>
      </w:r>
      <w:r w:rsidRPr="00751B8B">
        <w:rPr>
          <w:rFonts w:ascii="Franklin Gothic Book" w:hAnsi="Franklin Gothic Book"/>
        </w:rPr>
        <w:t>:11-25.</w:t>
      </w:r>
    </w:p>
  </w:footnote>
  <w:footnote w:id="4">
    <w:p w14:paraId="55E250E0" w14:textId="5E4E9198" w:rsidR="00E618D6" w:rsidRDefault="00E618D6">
      <w:pPr>
        <w:pStyle w:val="FootnoteText"/>
      </w:pPr>
      <w:r w:rsidRPr="00E618D6">
        <w:rPr>
          <w:rStyle w:val="FootnoteReference"/>
          <w:rFonts w:ascii="Franklin Gothic Book" w:hAnsi="Franklin Gothic Book"/>
        </w:rPr>
        <w:footnoteRef/>
      </w:r>
      <w:r w:rsidRPr="00E618D6">
        <w:rPr>
          <w:rFonts w:ascii="Franklin Gothic Book" w:hAnsi="Franklin Gothic Book"/>
        </w:rPr>
        <w:t xml:space="preserve"> Bidichandani SI &amp; Delatycki MB (2017). GeneReviews: Friedreich Ataxia. Available at: </w:t>
      </w:r>
      <w:hyperlink r:id="rId2" w:history="1">
        <w:r w:rsidRPr="00E618D6">
          <w:rPr>
            <w:rFonts w:ascii="Franklin Gothic Book" w:hAnsi="Franklin Gothic Book"/>
          </w:rPr>
          <w:t>https://www.ncbi.nlm.nih.gov/books/NBK1281/</w:t>
        </w:r>
      </w:hyperlink>
      <w:r w:rsidRPr="00E618D6">
        <w:rPr>
          <w:rFonts w:ascii="Franklin Gothic Book" w:hAnsi="Franklin Gothic Book"/>
        </w:rPr>
        <w:t xml:space="preserve">. 1:80 used as the midpoint of </w:t>
      </w:r>
      <w:r>
        <w:rPr>
          <w:rFonts w:ascii="Franklin Gothic Book" w:hAnsi="Franklin Gothic Book"/>
        </w:rPr>
        <w:t>“</w:t>
      </w:r>
      <w:r w:rsidRPr="00E618D6">
        <w:rPr>
          <w:rFonts w:ascii="Franklin Gothic Book" w:hAnsi="Franklin Gothic Book"/>
        </w:rPr>
        <w:t>1:60-1:100</w:t>
      </w:r>
      <w:r>
        <w:rPr>
          <w:rFonts w:ascii="Franklin Gothic Book" w:hAnsi="Franklin Gothic Book"/>
        </w:rPr>
        <w:t>”</w:t>
      </w:r>
      <w:r w:rsidRPr="00E618D6">
        <w:rPr>
          <w:rFonts w:ascii="Franklin Gothic Book" w:hAnsi="Franklin Gothic Book"/>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4A5"/>
    <w:multiLevelType w:val="hybridMultilevel"/>
    <w:tmpl w:val="17A2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66983"/>
    <w:multiLevelType w:val="hybridMultilevel"/>
    <w:tmpl w:val="6E0666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78188C"/>
    <w:multiLevelType w:val="hybridMultilevel"/>
    <w:tmpl w:val="C5B2E4A0"/>
    <w:lvl w:ilvl="0" w:tplc="C4E4FF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B032E"/>
    <w:multiLevelType w:val="hybridMultilevel"/>
    <w:tmpl w:val="21460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8004C"/>
    <w:multiLevelType w:val="hybridMultilevel"/>
    <w:tmpl w:val="4B8A3A36"/>
    <w:lvl w:ilvl="0" w:tplc="DBFA83DC">
      <w:start w:val="1"/>
      <w:numFmt w:val="bullet"/>
      <w:lvlText w:val=""/>
      <w:lvlJc w:val="left"/>
      <w:pPr>
        <w:tabs>
          <w:tab w:val="num" w:pos="1080"/>
        </w:tabs>
        <w:ind w:left="1080" w:hanging="360"/>
      </w:pPr>
      <w:rPr>
        <w:rFonts w:ascii="Symbol" w:hAnsi="Symbol" w:hint="default"/>
        <w:color w:val="auto"/>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F9A26AE"/>
    <w:multiLevelType w:val="hybridMultilevel"/>
    <w:tmpl w:val="5DBC578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8EB270D"/>
    <w:multiLevelType w:val="hybridMultilevel"/>
    <w:tmpl w:val="B1161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E421E"/>
    <w:multiLevelType w:val="hybridMultilevel"/>
    <w:tmpl w:val="6382EA38"/>
    <w:lvl w:ilvl="0" w:tplc="FB7A37EE">
      <w:start w:val="1"/>
      <w:numFmt w:val="bullet"/>
      <w:lvlText w:val=""/>
      <w:lvlJc w:val="left"/>
      <w:pPr>
        <w:tabs>
          <w:tab w:val="num" w:pos="360"/>
        </w:tabs>
        <w:ind w:left="360" w:hanging="360"/>
      </w:pPr>
      <w:rPr>
        <w:rFonts w:ascii="Symbol" w:hAnsi="Symbol" w:hint="default"/>
        <w:color w:val="3366FF"/>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1B1751"/>
    <w:multiLevelType w:val="hybridMultilevel"/>
    <w:tmpl w:val="5DBC578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C933BF8"/>
    <w:multiLevelType w:val="multilevel"/>
    <w:tmpl w:val="B22A93B6"/>
    <w:styleLink w:val="Heading1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2A6E7C"/>
    <w:multiLevelType w:val="hybridMultilevel"/>
    <w:tmpl w:val="9A66C17A"/>
    <w:lvl w:ilvl="0" w:tplc="0C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087306"/>
    <w:multiLevelType w:val="hybridMultilevel"/>
    <w:tmpl w:val="FC780A7E"/>
    <w:lvl w:ilvl="0" w:tplc="F3E05DEE">
      <w:numFmt w:val="bullet"/>
      <w:lvlText w:val="-"/>
      <w:lvlJc w:val="left"/>
      <w:pPr>
        <w:ind w:left="720" w:hanging="360"/>
      </w:pPr>
      <w:rPr>
        <w:rFonts w:ascii="Arial Narrow" w:eastAsiaTheme="minorHAnsi" w:hAnsi="Arial Narro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4212FE"/>
    <w:multiLevelType w:val="hybridMultilevel"/>
    <w:tmpl w:val="830E1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2D346E"/>
    <w:multiLevelType w:val="hybridMultilevel"/>
    <w:tmpl w:val="5E14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826091"/>
    <w:multiLevelType w:val="hybridMultilevel"/>
    <w:tmpl w:val="B7B4F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A24454"/>
    <w:multiLevelType w:val="hybridMultilevel"/>
    <w:tmpl w:val="B37AD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8D1632"/>
    <w:multiLevelType w:val="hybridMultilevel"/>
    <w:tmpl w:val="527CF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0B6ECC"/>
    <w:multiLevelType w:val="hybridMultilevel"/>
    <w:tmpl w:val="5A1ECD14"/>
    <w:lvl w:ilvl="0" w:tplc="DEFAC1A4">
      <w:start w:val="1"/>
      <w:numFmt w:val="bullet"/>
      <w:pStyle w:val="NormalBulletList"/>
      <w:lvlText w:val=""/>
      <w:lvlJc w:val="left"/>
      <w:pPr>
        <w:ind w:left="720" w:hanging="360"/>
      </w:pPr>
      <w:rPr>
        <w:rFonts w:ascii="Symbol" w:hAnsi="Symbol" w:hint="default"/>
      </w:rPr>
    </w:lvl>
    <w:lvl w:ilvl="1" w:tplc="CC2ADE4A">
      <w:start w:val="1"/>
      <w:numFmt w:val="bullet"/>
      <w:lvlText w:val="o"/>
      <w:lvlJc w:val="left"/>
      <w:pPr>
        <w:ind w:left="1440" w:hanging="360"/>
      </w:pPr>
      <w:rPr>
        <w:rFonts w:ascii="Courier New" w:hAnsi="Courier New" w:cs="Courier New" w:hint="default"/>
      </w:rPr>
    </w:lvl>
    <w:lvl w:ilvl="2" w:tplc="61E61A46" w:tentative="1">
      <w:start w:val="1"/>
      <w:numFmt w:val="bullet"/>
      <w:lvlText w:val=""/>
      <w:lvlJc w:val="left"/>
      <w:pPr>
        <w:ind w:left="2160" w:hanging="360"/>
      </w:pPr>
      <w:rPr>
        <w:rFonts w:ascii="Wingdings" w:hAnsi="Wingdings" w:hint="default"/>
      </w:rPr>
    </w:lvl>
    <w:lvl w:ilvl="3" w:tplc="48E8658E" w:tentative="1">
      <w:start w:val="1"/>
      <w:numFmt w:val="bullet"/>
      <w:lvlText w:val=""/>
      <w:lvlJc w:val="left"/>
      <w:pPr>
        <w:ind w:left="2880" w:hanging="360"/>
      </w:pPr>
      <w:rPr>
        <w:rFonts w:ascii="Symbol" w:hAnsi="Symbol" w:hint="default"/>
      </w:rPr>
    </w:lvl>
    <w:lvl w:ilvl="4" w:tplc="4EE87910" w:tentative="1">
      <w:start w:val="1"/>
      <w:numFmt w:val="bullet"/>
      <w:lvlText w:val="o"/>
      <w:lvlJc w:val="left"/>
      <w:pPr>
        <w:ind w:left="3600" w:hanging="360"/>
      </w:pPr>
      <w:rPr>
        <w:rFonts w:ascii="Courier New" w:hAnsi="Courier New" w:cs="Courier New" w:hint="default"/>
      </w:rPr>
    </w:lvl>
    <w:lvl w:ilvl="5" w:tplc="E2D8FC36" w:tentative="1">
      <w:start w:val="1"/>
      <w:numFmt w:val="bullet"/>
      <w:lvlText w:val=""/>
      <w:lvlJc w:val="left"/>
      <w:pPr>
        <w:ind w:left="4320" w:hanging="360"/>
      </w:pPr>
      <w:rPr>
        <w:rFonts w:ascii="Wingdings" w:hAnsi="Wingdings" w:hint="default"/>
      </w:rPr>
    </w:lvl>
    <w:lvl w:ilvl="6" w:tplc="4B22A9DC" w:tentative="1">
      <w:start w:val="1"/>
      <w:numFmt w:val="bullet"/>
      <w:lvlText w:val=""/>
      <w:lvlJc w:val="left"/>
      <w:pPr>
        <w:ind w:left="5040" w:hanging="360"/>
      </w:pPr>
      <w:rPr>
        <w:rFonts w:ascii="Symbol" w:hAnsi="Symbol" w:hint="default"/>
      </w:rPr>
    </w:lvl>
    <w:lvl w:ilvl="7" w:tplc="02445202" w:tentative="1">
      <w:start w:val="1"/>
      <w:numFmt w:val="bullet"/>
      <w:lvlText w:val="o"/>
      <w:lvlJc w:val="left"/>
      <w:pPr>
        <w:ind w:left="5760" w:hanging="360"/>
      </w:pPr>
      <w:rPr>
        <w:rFonts w:ascii="Courier New" w:hAnsi="Courier New" w:cs="Courier New" w:hint="default"/>
      </w:rPr>
    </w:lvl>
    <w:lvl w:ilvl="8" w:tplc="947490A4" w:tentative="1">
      <w:start w:val="1"/>
      <w:numFmt w:val="bullet"/>
      <w:lvlText w:val=""/>
      <w:lvlJc w:val="left"/>
      <w:pPr>
        <w:ind w:left="6480" w:hanging="360"/>
      </w:pPr>
      <w:rPr>
        <w:rFonts w:ascii="Wingdings" w:hAnsi="Wingdings" w:hint="default"/>
      </w:rPr>
    </w:lvl>
  </w:abstractNum>
  <w:abstractNum w:abstractNumId="18" w15:restartNumberingAfterBreak="0">
    <w:nsid w:val="459350D4"/>
    <w:multiLevelType w:val="hybridMultilevel"/>
    <w:tmpl w:val="78F835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5F473A9"/>
    <w:multiLevelType w:val="hybridMultilevel"/>
    <w:tmpl w:val="9C48153C"/>
    <w:lvl w:ilvl="0" w:tplc="2662FD0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123FED"/>
    <w:multiLevelType w:val="hybridMultilevel"/>
    <w:tmpl w:val="EA3818A2"/>
    <w:lvl w:ilvl="0" w:tplc="64BE4998">
      <w:start w:val="1"/>
      <w:numFmt w:val="bullet"/>
      <w:lvlText w:val=""/>
      <w:lvlJc w:val="left"/>
      <w:pPr>
        <w:tabs>
          <w:tab w:val="num" w:pos="1080"/>
        </w:tabs>
        <w:ind w:left="1080" w:hanging="360"/>
      </w:pPr>
      <w:rPr>
        <w:rFonts w:ascii="Symbol" w:hAnsi="Symbol" w:hint="default"/>
        <w:color w:val="3366FF"/>
        <w:sz w:val="22"/>
        <w:szCs w:val="22"/>
      </w:rPr>
    </w:lvl>
    <w:lvl w:ilvl="1" w:tplc="32EAB99E">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ABD5EE9"/>
    <w:multiLevelType w:val="hybridMultilevel"/>
    <w:tmpl w:val="C392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387448"/>
    <w:multiLevelType w:val="multilevel"/>
    <w:tmpl w:val="B22A93B6"/>
    <w:numStyleLink w:val="Heading1a"/>
  </w:abstractNum>
  <w:abstractNum w:abstractNumId="23" w15:restartNumberingAfterBreak="0">
    <w:nsid w:val="5D40331E"/>
    <w:multiLevelType w:val="hybridMultilevel"/>
    <w:tmpl w:val="8F040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5853F9"/>
    <w:multiLevelType w:val="hybridMultilevel"/>
    <w:tmpl w:val="91784F30"/>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4B95411"/>
    <w:multiLevelType w:val="hybridMultilevel"/>
    <w:tmpl w:val="5DBC578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9E24E9F"/>
    <w:multiLevelType w:val="hybridMultilevel"/>
    <w:tmpl w:val="E820B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373025"/>
    <w:multiLevelType w:val="hybridMultilevel"/>
    <w:tmpl w:val="6E0666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BA0B51"/>
    <w:multiLevelType w:val="hybridMultilevel"/>
    <w:tmpl w:val="AE58EF74"/>
    <w:lvl w:ilvl="0" w:tplc="0C090001">
      <w:start w:val="1"/>
      <w:numFmt w:val="bullet"/>
      <w:lvlText w:val=""/>
      <w:lvlJc w:val="left"/>
      <w:pPr>
        <w:tabs>
          <w:tab w:val="num" w:pos="1080"/>
        </w:tabs>
        <w:ind w:left="1080" w:hanging="720"/>
      </w:pPr>
      <w:rPr>
        <w:rFonts w:ascii="Symbol" w:hAnsi="Symbol"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05B1021"/>
    <w:multiLevelType w:val="hybridMultilevel"/>
    <w:tmpl w:val="5BE27282"/>
    <w:lvl w:ilvl="0" w:tplc="6C682B36">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071690"/>
    <w:multiLevelType w:val="hybridMultilevel"/>
    <w:tmpl w:val="5DBC578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465A62"/>
    <w:multiLevelType w:val="hybridMultilevel"/>
    <w:tmpl w:val="51F80F1C"/>
    <w:lvl w:ilvl="0" w:tplc="F3E05DEE">
      <w:numFmt w:val="bullet"/>
      <w:lvlText w:val="-"/>
      <w:lvlJc w:val="left"/>
      <w:pPr>
        <w:ind w:left="720" w:hanging="360"/>
      </w:pPr>
      <w:rPr>
        <w:rFonts w:ascii="Arial Narrow" w:eastAsiaTheme="minorHAnsi" w:hAnsi="Arial Narro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962F94"/>
    <w:multiLevelType w:val="hybridMultilevel"/>
    <w:tmpl w:val="74903CEE"/>
    <w:lvl w:ilvl="0" w:tplc="16D68352">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5" w15:restartNumberingAfterBreak="0">
    <w:nsid w:val="7EBC358B"/>
    <w:multiLevelType w:val="hybridMultilevel"/>
    <w:tmpl w:val="DA7C6A16"/>
    <w:lvl w:ilvl="0" w:tplc="5C548CF8">
      <w:start w:val="1"/>
      <w:numFmt w:val="bullet"/>
      <w:lvlText w:val=""/>
      <w:lvlJc w:val="left"/>
      <w:pPr>
        <w:tabs>
          <w:tab w:val="num" w:pos="360"/>
        </w:tabs>
        <w:ind w:left="360" w:hanging="360"/>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D02776"/>
    <w:multiLevelType w:val="hybridMultilevel"/>
    <w:tmpl w:val="4B8A3A36"/>
    <w:lvl w:ilvl="0" w:tplc="DBFA83DC">
      <w:start w:val="1"/>
      <w:numFmt w:val="bullet"/>
      <w:lvlText w:val=""/>
      <w:lvlJc w:val="left"/>
      <w:pPr>
        <w:tabs>
          <w:tab w:val="num" w:pos="360"/>
        </w:tabs>
        <w:ind w:left="360" w:hanging="360"/>
      </w:pPr>
      <w:rPr>
        <w:rFonts w:ascii="Symbol" w:hAnsi="Symbol" w:hint="default"/>
        <w:color w:val="auto"/>
        <w:sz w:val="22"/>
        <w:szCs w:val="22"/>
      </w:rPr>
    </w:lvl>
    <w:lvl w:ilvl="1" w:tplc="32EAB99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20"/>
  </w:num>
  <w:num w:numId="4">
    <w:abstractNumId w:val="35"/>
  </w:num>
  <w:num w:numId="5">
    <w:abstractNumId w:val="25"/>
  </w:num>
  <w:num w:numId="6">
    <w:abstractNumId w:val="24"/>
  </w:num>
  <w:num w:numId="7">
    <w:abstractNumId w:val="17"/>
  </w:num>
  <w:num w:numId="8">
    <w:abstractNumId w:val="10"/>
  </w:num>
  <w:num w:numId="9">
    <w:abstractNumId w:val="29"/>
  </w:num>
  <w:num w:numId="10">
    <w:abstractNumId w:val="34"/>
  </w:num>
  <w:num w:numId="11">
    <w:abstractNumId w:val="9"/>
  </w:num>
  <w:num w:numId="12">
    <w:abstractNumId w:val="22"/>
  </w:num>
  <w:num w:numId="13">
    <w:abstractNumId w:val="19"/>
  </w:num>
  <w:num w:numId="14">
    <w:abstractNumId w:val="36"/>
  </w:num>
  <w:num w:numId="15">
    <w:abstractNumId w:val="32"/>
  </w:num>
  <w:num w:numId="16">
    <w:abstractNumId w:val="11"/>
  </w:num>
  <w:num w:numId="17">
    <w:abstractNumId w:val="13"/>
  </w:num>
  <w:num w:numId="18">
    <w:abstractNumId w:val="3"/>
  </w:num>
  <w:num w:numId="19">
    <w:abstractNumId w:val="33"/>
  </w:num>
  <w:num w:numId="20">
    <w:abstractNumId w:val="30"/>
  </w:num>
  <w:num w:numId="21">
    <w:abstractNumId w:val="30"/>
  </w:num>
  <w:num w:numId="22">
    <w:abstractNumId w:val="30"/>
  </w:num>
  <w:num w:numId="23">
    <w:abstractNumId w:val="30"/>
  </w:num>
  <w:num w:numId="24">
    <w:abstractNumId w:val="30"/>
  </w:num>
  <w:num w:numId="25">
    <w:abstractNumId w:val="30"/>
  </w:num>
  <w:num w:numId="26">
    <w:abstractNumId w:val="30"/>
  </w:num>
  <w:num w:numId="27">
    <w:abstractNumId w:val="30"/>
  </w:num>
  <w:num w:numId="28">
    <w:abstractNumId w:val="30"/>
  </w:num>
  <w:num w:numId="29">
    <w:abstractNumId w:val="30"/>
  </w:num>
  <w:num w:numId="30">
    <w:abstractNumId w:val="23"/>
  </w:num>
  <w:num w:numId="31">
    <w:abstractNumId w:val="12"/>
  </w:num>
  <w:num w:numId="32">
    <w:abstractNumId w:val="15"/>
  </w:num>
  <w:num w:numId="33">
    <w:abstractNumId w:val="0"/>
  </w:num>
  <w:num w:numId="34">
    <w:abstractNumId w:val="28"/>
  </w:num>
  <w:num w:numId="35">
    <w:abstractNumId w:val="16"/>
  </w:num>
  <w:num w:numId="36">
    <w:abstractNumId w:val="30"/>
  </w:num>
  <w:num w:numId="37">
    <w:abstractNumId w:val="30"/>
  </w:num>
  <w:num w:numId="38">
    <w:abstractNumId w:val="1"/>
  </w:num>
  <w:num w:numId="39">
    <w:abstractNumId w:val="6"/>
  </w:num>
  <w:num w:numId="40">
    <w:abstractNumId w:val="14"/>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5"/>
  </w:num>
  <w:num w:numId="44">
    <w:abstractNumId w:val="31"/>
  </w:num>
  <w:num w:numId="45">
    <w:abstractNumId w:val="18"/>
  </w:num>
  <w:num w:numId="46">
    <w:abstractNumId w:val="2"/>
  </w:num>
  <w:num w:numId="47">
    <w:abstractNumId w:val="27"/>
  </w:num>
  <w:num w:numId="4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zMzE1sjA1sTS0MDNW0lEKTi0uzszPAykwrAUAkfagdCwAAAA="/>
  </w:docVars>
  <w:rsids>
    <w:rsidRoot w:val="00065623"/>
    <w:rsid w:val="00001884"/>
    <w:rsid w:val="000036AF"/>
    <w:rsid w:val="00005F22"/>
    <w:rsid w:val="00014731"/>
    <w:rsid w:val="000171A6"/>
    <w:rsid w:val="000213E9"/>
    <w:rsid w:val="00021DA2"/>
    <w:rsid w:val="000229A1"/>
    <w:rsid w:val="000268A1"/>
    <w:rsid w:val="00054151"/>
    <w:rsid w:val="0006073C"/>
    <w:rsid w:val="000632EF"/>
    <w:rsid w:val="00065623"/>
    <w:rsid w:val="00065754"/>
    <w:rsid w:val="00071D98"/>
    <w:rsid w:val="000827F0"/>
    <w:rsid w:val="0008767E"/>
    <w:rsid w:val="00090631"/>
    <w:rsid w:val="00090DFF"/>
    <w:rsid w:val="000915FE"/>
    <w:rsid w:val="00092030"/>
    <w:rsid w:val="00092ABF"/>
    <w:rsid w:val="000946F0"/>
    <w:rsid w:val="00094C3A"/>
    <w:rsid w:val="000A1D7B"/>
    <w:rsid w:val="000A21F1"/>
    <w:rsid w:val="000A63D3"/>
    <w:rsid w:val="000A738E"/>
    <w:rsid w:val="000C3D07"/>
    <w:rsid w:val="000E396B"/>
    <w:rsid w:val="000E3C10"/>
    <w:rsid w:val="000E6588"/>
    <w:rsid w:val="000F21FE"/>
    <w:rsid w:val="000F2404"/>
    <w:rsid w:val="00103D8A"/>
    <w:rsid w:val="00104710"/>
    <w:rsid w:val="001110AD"/>
    <w:rsid w:val="00122A8F"/>
    <w:rsid w:val="0013032B"/>
    <w:rsid w:val="0013112F"/>
    <w:rsid w:val="001326EB"/>
    <w:rsid w:val="00135247"/>
    <w:rsid w:val="00136257"/>
    <w:rsid w:val="00136969"/>
    <w:rsid w:val="00144106"/>
    <w:rsid w:val="0014507D"/>
    <w:rsid w:val="0014545A"/>
    <w:rsid w:val="001538CF"/>
    <w:rsid w:val="00155BF4"/>
    <w:rsid w:val="00157D30"/>
    <w:rsid w:val="00160173"/>
    <w:rsid w:val="00166767"/>
    <w:rsid w:val="00167C8A"/>
    <w:rsid w:val="00171759"/>
    <w:rsid w:val="00171ADC"/>
    <w:rsid w:val="00172488"/>
    <w:rsid w:val="001827B6"/>
    <w:rsid w:val="001921DF"/>
    <w:rsid w:val="001951EC"/>
    <w:rsid w:val="001A624A"/>
    <w:rsid w:val="001A669F"/>
    <w:rsid w:val="001B1DFA"/>
    <w:rsid w:val="001C125F"/>
    <w:rsid w:val="001C7004"/>
    <w:rsid w:val="001C75D8"/>
    <w:rsid w:val="001D24A5"/>
    <w:rsid w:val="001D2A85"/>
    <w:rsid w:val="001D47FB"/>
    <w:rsid w:val="001D60E0"/>
    <w:rsid w:val="001E457C"/>
    <w:rsid w:val="001F11FA"/>
    <w:rsid w:val="001F3C4C"/>
    <w:rsid w:val="00202FC0"/>
    <w:rsid w:val="00206760"/>
    <w:rsid w:val="0021159F"/>
    <w:rsid w:val="00215359"/>
    <w:rsid w:val="00217811"/>
    <w:rsid w:val="00225C49"/>
    <w:rsid w:val="00232AAC"/>
    <w:rsid w:val="00236247"/>
    <w:rsid w:val="00241BE0"/>
    <w:rsid w:val="00242AD4"/>
    <w:rsid w:val="00243952"/>
    <w:rsid w:val="00244877"/>
    <w:rsid w:val="00246B61"/>
    <w:rsid w:val="00252638"/>
    <w:rsid w:val="002530E8"/>
    <w:rsid w:val="00264776"/>
    <w:rsid w:val="0026665D"/>
    <w:rsid w:val="00267F42"/>
    <w:rsid w:val="00270E23"/>
    <w:rsid w:val="0027168E"/>
    <w:rsid w:val="00280975"/>
    <w:rsid w:val="00280998"/>
    <w:rsid w:val="00286676"/>
    <w:rsid w:val="00286BC8"/>
    <w:rsid w:val="002876B8"/>
    <w:rsid w:val="00290AA4"/>
    <w:rsid w:val="0029348E"/>
    <w:rsid w:val="0029349F"/>
    <w:rsid w:val="002957BA"/>
    <w:rsid w:val="002A3E68"/>
    <w:rsid w:val="002A7743"/>
    <w:rsid w:val="002B34D5"/>
    <w:rsid w:val="002D0267"/>
    <w:rsid w:val="002D08AA"/>
    <w:rsid w:val="002D2973"/>
    <w:rsid w:val="002D43CE"/>
    <w:rsid w:val="002D57BB"/>
    <w:rsid w:val="002E4460"/>
    <w:rsid w:val="002F3D9D"/>
    <w:rsid w:val="002F54B1"/>
    <w:rsid w:val="002F693D"/>
    <w:rsid w:val="002F6DA3"/>
    <w:rsid w:val="00300624"/>
    <w:rsid w:val="00301462"/>
    <w:rsid w:val="00303414"/>
    <w:rsid w:val="0031139E"/>
    <w:rsid w:val="003135E8"/>
    <w:rsid w:val="00316F9C"/>
    <w:rsid w:val="00330A60"/>
    <w:rsid w:val="00337945"/>
    <w:rsid w:val="0034047C"/>
    <w:rsid w:val="00342FAC"/>
    <w:rsid w:val="00344582"/>
    <w:rsid w:val="003515D1"/>
    <w:rsid w:val="0035490F"/>
    <w:rsid w:val="00354A5A"/>
    <w:rsid w:val="00354ED4"/>
    <w:rsid w:val="0035535A"/>
    <w:rsid w:val="00355B86"/>
    <w:rsid w:val="0035718D"/>
    <w:rsid w:val="00360DEF"/>
    <w:rsid w:val="00361DD2"/>
    <w:rsid w:val="003700A9"/>
    <w:rsid w:val="003750E0"/>
    <w:rsid w:val="003763BD"/>
    <w:rsid w:val="003869F4"/>
    <w:rsid w:val="00386D67"/>
    <w:rsid w:val="003A078D"/>
    <w:rsid w:val="003A326F"/>
    <w:rsid w:val="003A4F78"/>
    <w:rsid w:val="003B02B8"/>
    <w:rsid w:val="003B097E"/>
    <w:rsid w:val="003B0CA4"/>
    <w:rsid w:val="003B1EF8"/>
    <w:rsid w:val="003B6117"/>
    <w:rsid w:val="003D2991"/>
    <w:rsid w:val="003D4BFC"/>
    <w:rsid w:val="003D6A0F"/>
    <w:rsid w:val="003E1045"/>
    <w:rsid w:val="003E3728"/>
    <w:rsid w:val="003E44A3"/>
    <w:rsid w:val="003E63C9"/>
    <w:rsid w:val="003F0834"/>
    <w:rsid w:val="003F30AD"/>
    <w:rsid w:val="003F311A"/>
    <w:rsid w:val="003F5EE6"/>
    <w:rsid w:val="00401F6F"/>
    <w:rsid w:val="004031F7"/>
    <w:rsid w:val="00410178"/>
    <w:rsid w:val="00416AA1"/>
    <w:rsid w:val="0042114B"/>
    <w:rsid w:val="00426327"/>
    <w:rsid w:val="00433060"/>
    <w:rsid w:val="00440B13"/>
    <w:rsid w:val="00443F1D"/>
    <w:rsid w:val="00451310"/>
    <w:rsid w:val="00451FD3"/>
    <w:rsid w:val="00452DFC"/>
    <w:rsid w:val="00460DB6"/>
    <w:rsid w:val="00462DF7"/>
    <w:rsid w:val="004644F4"/>
    <w:rsid w:val="0046745E"/>
    <w:rsid w:val="004702AD"/>
    <w:rsid w:val="004851AB"/>
    <w:rsid w:val="004927A6"/>
    <w:rsid w:val="00493261"/>
    <w:rsid w:val="00493F7D"/>
    <w:rsid w:val="00495285"/>
    <w:rsid w:val="0049567D"/>
    <w:rsid w:val="004972A3"/>
    <w:rsid w:val="004A0BAC"/>
    <w:rsid w:val="004A228C"/>
    <w:rsid w:val="004A3474"/>
    <w:rsid w:val="004A4E41"/>
    <w:rsid w:val="004B01A4"/>
    <w:rsid w:val="004B2358"/>
    <w:rsid w:val="004B3D54"/>
    <w:rsid w:val="004B641D"/>
    <w:rsid w:val="004C0219"/>
    <w:rsid w:val="004C2B2A"/>
    <w:rsid w:val="004D0040"/>
    <w:rsid w:val="004D1800"/>
    <w:rsid w:val="004D5F42"/>
    <w:rsid w:val="004E348D"/>
    <w:rsid w:val="004E432D"/>
    <w:rsid w:val="004E5C21"/>
    <w:rsid w:val="0050188B"/>
    <w:rsid w:val="00511EE0"/>
    <w:rsid w:val="00514BAF"/>
    <w:rsid w:val="005159B7"/>
    <w:rsid w:val="00516ACE"/>
    <w:rsid w:val="0052065A"/>
    <w:rsid w:val="00524B44"/>
    <w:rsid w:val="005264A3"/>
    <w:rsid w:val="005342A2"/>
    <w:rsid w:val="00537A41"/>
    <w:rsid w:val="00540E5A"/>
    <w:rsid w:val="0054134A"/>
    <w:rsid w:val="005420D3"/>
    <w:rsid w:val="005422ED"/>
    <w:rsid w:val="00544BA0"/>
    <w:rsid w:val="00552DFF"/>
    <w:rsid w:val="00565224"/>
    <w:rsid w:val="00566DC3"/>
    <w:rsid w:val="00567131"/>
    <w:rsid w:val="0056736C"/>
    <w:rsid w:val="00567B74"/>
    <w:rsid w:val="005739AB"/>
    <w:rsid w:val="00573F22"/>
    <w:rsid w:val="005766AB"/>
    <w:rsid w:val="0057686A"/>
    <w:rsid w:val="00576ED3"/>
    <w:rsid w:val="00583D1B"/>
    <w:rsid w:val="005856E5"/>
    <w:rsid w:val="0058659C"/>
    <w:rsid w:val="00590817"/>
    <w:rsid w:val="00590A73"/>
    <w:rsid w:val="005922DB"/>
    <w:rsid w:val="00592500"/>
    <w:rsid w:val="005938FD"/>
    <w:rsid w:val="00594478"/>
    <w:rsid w:val="005971D0"/>
    <w:rsid w:val="005A14E4"/>
    <w:rsid w:val="005B59F4"/>
    <w:rsid w:val="005D0332"/>
    <w:rsid w:val="005D34B9"/>
    <w:rsid w:val="005D53B5"/>
    <w:rsid w:val="005D637D"/>
    <w:rsid w:val="005E1272"/>
    <w:rsid w:val="005E3645"/>
    <w:rsid w:val="005E42A8"/>
    <w:rsid w:val="005F004E"/>
    <w:rsid w:val="005F3E0D"/>
    <w:rsid w:val="00603860"/>
    <w:rsid w:val="006039A7"/>
    <w:rsid w:val="006074D3"/>
    <w:rsid w:val="00607988"/>
    <w:rsid w:val="00607D37"/>
    <w:rsid w:val="00610FC1"/>
    <w:rsid w:val="00611744"/>
    <w:rsid w:val="00612A11"/>
    <w:rsid w:val="0061621F"/>
    <w:rsid w:val="00633183"/>
    <w:rsid w:val="00636EBC"/>
    <w:rsid w:val="0063740F"/>
    <w:rsid w:val="00640A46"/>
    <w:rsid w:val="00644745"/>
    <w:rsid w:val="00652E31"/>
    <w:rsid w:val="0065529B"/>
    <w:rsid w:val="00672D28"/>
    <w:rsid w:val="0067402A"/>
    <w:rsid w:val="00676A80"/>
    <w:rsid w:val="00676C49"/>
    <w:rsid w:val="006805A1"/>
    <w:rsid w:val="00682445"/>
    <w:rsid w:val="00685001"/>
    <w:rsid w:val="00685493"/>
    <w:rsid w:val="00691BBF"/>
    <w:rsid w:val="00693716"/>
    <w:rsid w:val="0069560D"/>
    <w:rsid w:val="006A27C7"/>
    <w:rsid w:val="006A47F3"/>
    <w:rsid w:val="006B1A66"/>
    <w:rsid w:val="006B241A"/>
    <w:rsid w:val="006B5BE7"/>
    <w:rsid w:val="006B7F3E"/>
    <w:rsid w:val="006C1938"/>
    <w:rsid w:val="006C26E3"/>
    <w:rsid w:val="006C3324"/>
    <w:rsid w:val="006C5230"/>
    <w:rsid w:val="006D7D0C"/>
    <w:rsid w:val="006E2F06"/>
    <w:rsid w:val="006E4B29"/>
    <w:rsid w:val="006E7A8E"/>
    <w:rsid w:val="006F2A30"/>
    <w:rsid w:val="006F303F"/>
    <w:rsid w:val="006F47F4"/>
    <w:rsid w:val="006F4EBA"/>
    <w:rsid w:val="006F551C"/>
    <w:rsid w:val="00701A95"/>
    <w:rsid w:val="007036A7"/>
    <w:rsid w:val="00703892"/>
    <w:rsid w:val="00703BBA"/>
    <w:rsid w:val="00705C4B"/>
    <w:rsid w:val="00707FED"/>
    <w:rsid w:val="00713D11"/>
    <w:rsid w:val="0071498A"/>
    <w:rsid w:val="00714A8B"/>
    <w:rsid w:val="00722408"/>
    <w:rsid w:val="00722776"/>
    <w:rsid w:val="0072285D"/>
    <w:rsid w:val="007229D6"/>
    <w:rsid w:val="00723375"/>
    <w:rsid w:val="00723D85"/>
    <w:rsid w:val="00731492"/>
    <w:rsid w:val="00732C4E"/>
    <w:rsid w:val="00736B3B"/>
    <w:rsid w:val="00744C5D"/>
    <w:rsid w:val="007464E5"/>
    <w:rsid w:val="00751313"/>
    <w:rsid w:val="00751B8B"/>
    <w:rsid w:val="007554DA"/>
    <w:rsid w:val="00766E36"/>
    <w:rsid w:val="00767602"/>
    <w:rsid w:val="00775963"/>
    <w:rsid w:val="007808FD"/>
    <w:rsid w:val="007849B8"/>
    <w:rsid w:val="00787D19"/>
    <w:rsid w:val="00791457"/>
    <w:rsid w:val="007933B1"/>
    <w:rsid w:val="00794D30"/>
    <w:rsid w:val="007964EB"/>
    <w:rsid w:val="0079690E"/>
    <w:rsid w:val="00797D8D"/>
    <w:rsid w:val="007A0F08"/>
    <w:rsid w:val="007A3787"/>
    <w:rsid w:val="007A5361"/>
    <w:rsid w:val="007A6BE5"/>
    <w:rsid w:val="007A7B08"/>
    <w:rsid w:val="007C23E2"/>
    <w:rsid w:val="007C2D6A"/>
    <w:rsid w:val="007C4959"/>
    <w:rsid w:val="007C6962"/>
    <w:rsid w:val="007D1716"/>
    <w:rsid w:val="007D4B83"/>
    <w:rsid w:val="007D58A3"/>
    <w:rsid w:val="007D6C35"/>
    <w:rsid w:val="007D7ECB"/>
    <w:rsid w:val="007E0EAF"/>
    <w:rsid w:val="007F472D"/>
    <w:rsid w:val="007F4E20"/>
    <w:rsid w:val="007F5142"/>
    <w:rsid w:val="00802677"/>
    <w:rsid w:val="00806A9C"/>
    <w:rsid w:val="008125B8"/>
    <w:rsid w:val="00816AF5"/>
    <w:rsid w:val="008227C1"/>
    <w:rsid w:val="008260AB"/>
    <w:rsid w:val="00827C06"/>
    <w:rsid w:val="0083013B"/>
    <w:rsid w:val="0084645A"/>
    <w:rsid w:val="00850724"/>
    <w:rsid w:val="00857BAA"/>
    <w:rsid w:val="0086104A"/>
    <w:rsid w:val="008645E7"/>
    <w:rsid w:val="008667B3"/>
    <w:rsid w:val="00870B43"/>
    <w:rsid w:val="00872E54"/>
    <w:rsid w:val="0088197A"/>
    <w:rsid w:val="00881AFC"/>
    <w:rsid w:val="00891601"/>
    <w:rsid w:val="00895B7B"/>
    <w:rsid w:val="00896E79"/>
    <w:rsid w:val="008A0363"/>
    <w:rsid w:val="008A0D74"/>
    <w:rsid w:val="008A15AB"/>
    <w:rsid w:val="008A2E9C"/>
    <w:rsid w:val="008A5C67"/>
    <w:rsid w:val="008A6C0C"/>
    <w:rsid w:val="008A7405"/>
    <w:rsid w:val="008C01F4"/>
    <w:rsid w:val="008C34D5"/>
    <w:rsid w:val="008C630A"/>
    <w:rsid w:val="008C6DE4"/>
    <w:rsid w:val="008D1C4A"/>
    <w:rsid w:val="008D2A36"/>
    <w:rsid w:val="008E0A24"/>
    <w:rsid w:val="008E0CED"/>
    <w:rsid w:val="008E2DF5"/>
    <w:rsid w:val="008E5C06"/>
    <w:rsid w:val="00901821"/>
    <w:rsid w:val="00901C65"/>
    <w:rsid w:val="009110E5"/>
    <w:rsid w:val="00912AD8"/>
    <w:rsid w:val="009176A6"/>
    <w:rsid w:val="00920A83"/>
    <w:rsid w:val="00933B33"/>
    <w:rsid w:val="009351F0"/>
    <w:rsid w:val="009406C6"/>
    <w:rsid w:val="00940F74"/>
    <w:rsid w:val="009418C0"/>
    <w:rsid w:val="0094196C"/>
    <w:rsid w:val="00942172"/>
    <w:rsid w:val="00943312"/>
    <w:rsid w:val="0094578F"/>
    <w:rsid w:val="009508FC"/>
    <w:rsid w:val="00950C0C"/>
    <w:rsid w:val="009526B2"/>
    <w:rsid w:val="009606B7"/>
    <w:rsid w:val="00961AD6"/>
    <w:rsid w:val="00964755"/>
    <w:rsid w:val="0096567E"/>
    <w:rsid w:val="00972F54"/>
    <w:rsid w:val="00976B13"/>
    <w:rsid w:val="00990BF9"/>
    <w:rsid w:val="009A1EDB"/>
    <w:rsid w:val="009A688C"/>
    <w:rsid w:val="009A702B"/>
    <w:rsid w:val="009A7AD8"/>
    <w:rsid w:val="009B2D10"/>
    <w:rsid w:val="009B2DD5"/>
    <w:rsid w:val="009B7E2B"/>
    <w:rsid w:val="009C34E7"/>
    <w:rsid w:val="009C5E6A"/>
    <w:rsid w:val="009D121A"/>
    <w:rsid w:val="009D1BAC"/>
    <w:rsid w:val="009D64AB"/>
    <w:rsid w:val="009E242C"/>
    <w:rsid w:val="009E2FFB"/>
    <w:rsid w:val="009E6309"/>
    <w:rsid w:val="009E6EE0"/>
    <w:rsid w:val="009F0065"/>
    <w:rsid w:val="00A009C9"/>
    <w:rsid w:val="00A021B7"/>
    <w:rsid w:val="00A14A96"/>
    <w:rsid w:val="00A170D8"/>
    <w:rsid w:val="00A304F0"/>
    <w:rsid w:val="00A30752"/>
    <w:rsid w:val="00A30A85"/>
    <w:rsid w:val="00A317E6"/>
    <w:rsid w:val="00A35A4F"/>
    <w:rsid w:val="00A42816"/>
    <w:rsid w:val="00A436C5"/>
    <w:rsid w:val="00A43C17"/>
    <w:rsid w:val="00A442D0"/>
    <w:rsid w:val="00A44C6E"/>
    <w:rsid w:val="00A52DFC"/>
    <w:rsid w:val="00A52FEC"/>
    <w:rsid w:val="00A555F1"/>
    <w:rsid w:val="00A8603E"/>
    <w:rsid w:val="00A92E1A"/>
    <w:rsid w:val="00A94A9F"/>
    <w:rsid w:val="00A96916"/>
    <w:rsid w:val="00AA091D"/>
    <w:rsid w:val="00AA2646"/>
    <w:rsid w:val="00AA3E4B"/>
    <w:rsid w:val="00AA502F"/>
    <w:rsid w:val="00AA689B"/>
    <w:rsid w:val="00AB37FD"/>
    <w:rsid w:val="00AB6685"/>
    <w:rsid w:val="00AC0916"/>
    <w:rsid w:val="00AD026F"/>
    <w:rsid w:val="00AD3D6B"/>
    <w:rsid w:val="00AD64F6"/>
    <w:rsid w:val="00AE386B"/>
    <w:rsid w:val="00AE4C2D"/>
    <w:rsid w:val="00AE76A3"/>
    <w:rsid w:val="00AF072C"/>
    <w:rsid w:val="00AF64E7"/>
    <w:rsid w:val="00AF6679"/>
    <w:rsid w:val="00AF72BF"/>
    <w:rsid w:val="00B01F71"/>
    <w:rsid w:val="00B02E35"/>
    <w:rsid w:val="00B03576"/>
    <w:rsid w:val="00B0404B"/>
    <w:rsid w:val="00B0472C"/>
    <w:rsid w:val="00B07282"/>
    <w:rsid w:val="00B102D9"/>
    <w:rsid w:val="00B156B7"/>
    <w:rsid w:val="00B15DE2"/>
    <w:rsid w:val="00B17238"/>
    <w:rsid w:val="00B1779B"/>
    <w:rsid w:val="00B20E16"/>
    <w:rsid w:val="00B27FE3"/>
    <w:rsid w:val="00B301A3"/>
    <w:rsid w:val="00B33D7B"/>
    <w:rsid w:val="00B360D5"/>
    <w:rsid w:val="00B37175"/>
    <w:rsid w:val="00B37582"/>
    <w:rsid w:val="00B40410"/>
    <w:rsid w:val="00B411FE"/>
    <w:rsid w:val="00B440B4"/>
    <w:rsid w:val="00B46C7E"/>
    <w:rsid w:val="00B52FCF"/>
    <w:rsid w:val="00B55CD5"/>
    <w:rsid w:val="00B6033B"/>
    <w:rsid w:val="00B612B1"/>
    <w:rsid w:val="00B628E2"/>
    <w:rsid w:val="00B64BBB"/>
    <w:rsid w:val="00B823CB"/>
    <w:rsid w:val="00B83362"/>
    <w:rsid w:val="00B861F3"/>
    <w:rsid w:val="00BA5A83"/>
    <w:rsid w:val="00BA6799"/>
    <w:rsid w:val="00BB18CD"/>
    <w:rsid w:val="00BB26AB"/>
    <w:rsid w:val="00BB2AAF"/>
    <w:rsid w:val="00BC04A2"/>
    <w:rsid w:val="00BC44F4"/>
    <w:rsid w:val="00BD2697"/>
    <w:rsid w:val="00BD54EC"/>
    <w:rsid w:val="00BD6B08"/>
    <w:rsid w:val="00BD6C4E"/>
    <w:rsid w:val="00BD7F95"/>
    <w:rsid w:val="00BE23D6"/>
    <w:rsid w:val="00BE396E"/>
    <w:rsid w:val="00BE69AC"/>
    <w:rsid w:val="00BF0479"/>
    <w:rsid w:val="00BF0DFE"/>
    <w:rsid w:val="00BF3109"/>
    <w:rsid w:val="00BF4914"/>
    <w:rsid w:val="00BF49D4"/>
    <w:rsid w:val="00BF7193"/>
    <w:rsid w:val="00C0013C"/>
    <w:rsid w:val="00C05E06"/>
    <w:rsid w:val="00C05EDF"/>
    <w:rsid w:val="00C11CD6"/>
    <w:rsid w:val="00C13B47"/>
    <w:rsid w:val="00C15906"/>
    <w:rsid w:val="00C1782D"/>
    <w:rsid w:val="00C20B8A"/>
    <w:rsid w:val="00C20BEE"/>
    <w:rsid w:val="00C235EB"/>
    <w:rsid w:val="00C34180"/>
    <w:rsid w:val="00C44080"/>
    <w:rsid w:val="00C45D90"/>
    <w:rsid w:val="00C505D6"/>
    <w:rsid w:val="00C50B10"/>
    <w:rsid w:val="00C614AF"/>
    <w:rsid w:val="00C6656A"/>
    <w:rsid w:val="00C67123"/>
    <w:rsid w:val="00C703C1"/>
    <w:rsid w:val="00C808E5"/>
    <w:rsid w:val="00C83D8F"/>
    <w:rsid w:val="00C84EFB"/>
    <w:rsid w:val="00C876DC"/>
    <w:rsid w:val="00C90108"/>
    <w:rsid w:val="00C90EB4"/>
    <w:rsid w:val="00C91D6F"/>
    <w:rsid w:val="00CA6B6E"/>
    <w:rsid w:val="00CB1778"/>
    <w:rsid w:val="00CB2B61"/>
    <w:rsid w:val="00CB32AD"/>
    <w:rsid w:val="00CB7E7D"/>
    <w:rsid w:val="00CC038A"/>
    <w:rsid w:val="00CC23B0"/>
    <w:rsid w:val="00CC2520"/>
    <w:rsid w:val="00CC636B"/>
    <w:rsid w:val="00CC7BD3"/>
    <w:rsid w:val="00CD5843"/>
    <w:rsid w:val="00CD712E"/>
    <w:rsid w:val="00CD7AAF"/>
    <w:rsid w:val="00CE734D"/>
    <w:rsid w:val="00CF305A"/>
    <w:rsid w:val="00CF365D"/>
    <w:rsid w:val="00D06045"/>
    <w:rsid w:val="00D10820"/>
    <w:rsid w:val="00D118AD"/>
    <w:rsid w:val="00D12FC5"/>
    <w:rsid w:val="00D15284"/>
    <w:rsid w:val="00D1721D"/>
    <w:rsid w:val="00D27126"/>
    <w:rsid w:val="00D27B27"/>
    <w:rsid w:val="00D44670"/>
    <w:rsid w:val="00D46392"/>
    <w:rsid w:val="00D4755A"/>
    <w:rsid w:val="00D47A2C"/>
    <w:rsid w:val="00D53228"/>
    <w:rsid w:val="00D55D87"/>
    <w:rsid w:val="00D55F83"/>
    <w:rsid w:val="00D701CC"/>
    <w:rsid w:val="00D70C50"/>
    <w:rsid w:val="00D75654"/>
    <w:rsid w:val="00D769FB"/>
    <w:rsid w:val="00D82558"/>
    <w:rsid w:val="00D9288C"/>
    <w:rsid w:val="00D93418"/>
    <w:rsid w:val="00DA2F53"/>
    <w:rsid w:val="00DA36D1"/>
    <w:rsid w:val="00DA6509"/>
    <w:rsid w:val="00DB16CA"/>
    <w:rsid w:val="00DB1E71"/>
    <w:rsid w:val="00DB4A4B"/>
    <w:rsid w:val="00DC0E3C"/>
    <w:rsid w:val="00DC1D16"/>
    <w:rsid w:val="00DC304B"/>
    <w:rsid w:val="00DC3FFD"/>
    <w:rsid w:val="00DD0AF1"/>
    <w:rsid w:val="00DD311A"/>
    <w:rsid w:val="00DE1748"/>
    <w:rsid w:val="00DE552A"/>
    <w:rsid w:val="00E02561"/>
    <w:rsid w:val="00E031DE"/>
    <w:rsid w:val="00E04D23"/>
    <w:rsid w:val="00E06462"/>
    <w:rsid w:val="00E16CCC"/>
    <w:rsid w:val="00E20DB6"/>
    <w:rsid w:val="00E31F56"/>
    <w:rsid w:val="00E37C7F"/>
    <w:rsid w:val="00E47AAC"/>
    <w:rsid w:val="00E521B1"/>
    <w:rsid w:val="00E53985"/>
    <w:rsid w:val="00E57B85"/>
    <w:rsid w:val="00E6112A"/>
    <w:rsid w:val="00E618D6"/>
    <w:rsid w:val="00E62F27"/>
    <w:rsid w:val="00E655AA"/>
    <w:rsid w:val="00E713BF"/>
    <w:rsid w:val="00E72E00"/>
    <w:rsid w:val="00E7422C"/>
    <w:rsid w:val="00E74504"/>
    <w:rsid w:val="00E7560F"/>
    <w:rsid w:val="00E82F42"/>
    <w:rsid w:val="00E846B1"/>
    <w:rsid w:val="00E8729E"/>
    <w:rsid w:val="00E924FD"/>
    <w:rsid w:val="00E92614"/>
    <w:rsid w:val="00E936DA"/>
    <w:rsid w:val="00E97375"/>
    <w:rsid w:val="00EA3CBC"/>
    <w:rsid w:val="00EC5643"/>
    <w:rsid w:val="00ED4E80"/>
    <w:rsid w:val="00EE2D09"/>
    <w:rsid w:val="00EE43FD"/>
    <w:rsid w:val="00EF3110"/>
    <w:rsid w:val="00EF4713"/>
    <w:rsid w:val="00F04F02"/>
    <w:rsid w:val="00F106C9"/>
    <w:rsid w:val="00F11243"/>
    <w:rsid w:val="00F158CF"/>
    <w:rsid w:val="00F16E5D"/>
    <w:rsid w:val="00F20C93"/>
    <w:rsid w:val="00F21340"/>
    <w:rsid w:val="00F2152F"/>
    <w:rsid w:val="00F2225C"/>
    <w:rsid w:val="00F2353D"/>
    <w:rsid w:val="00F326F1"/>
    <w:rsid w:val="00F33D59"/>
    <w:rsid w:val="00F34E41"/>
    <w:rsid w:val="00F41AC4"/>
    <w:rsid w:val="00F477FE"/>
    <w:rsid w:val="00F51E0F"/>
    <w:rsid w:val="00F52304"/>
    <w:rsid w:val="00F530A0"/>
    <w:rsid w:val="00F53378"/>
    <w:rsid w:val="00F60AAE"/>
    <w:rsid w:val="00F64B99"/>
    <w:rsid w:val="00F72E76"/>
    <w:rsid w:val="00F7360A"/>
    <w:rsid w:val="00F7484F"/>
    <w:rsid w:val="00F8174C"/>
    <w:rsid w:val="00F90207"/>
    <w:rsid w:val="00F9243F"/>
    <w:rsid w:val="00F972E7"/>
    <w:rsid w:val="00FA36DD"/>
    <w:rsid w:val="00FA7CD3"/>
    <w:rsid w:val="00FB4992"/>
    <w:rsid w:val="00FB7083"/>
    <w:rsid w:val="00FC13AA"/>
    <w:rsid w:val="00FC2897"/>
    <w:rsid w:val="00FC5722"/>
    <w:rsid w:val="00FD60FF"/>
    <w:rsid w:val="00FD7834"/>
    <w:rsid w:val="00FE12E8"/>
    <w:rsid w:val="00FE1A4B"/>
    <w:rsid w:val="00FE5F2A"/>
    <w:rsid w:val="00FE6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66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pPr>
      <w:spacing w:after="0" w:line="240" w:lineRule="auto"/>
    </w:pPr>
    <w:rPr>
      <w:rFonts w:eastAsia="Times New Roman" w:cs="Times New Roman"/>
      <w:szCs w:val="20"/>
      <w:lang w:eastAsia="en-AU"/>
    </w:rPr>
  </w:style>
  <w:style w:type="paragraph" w:styleId="Heading1">
    <w:name w:val="heading 1"/>
    <w:basedOn w:val="Normal"/>
    <w:link w:val="Heading1Char"/>
    <w:uiPriority w:val="9"/>
    <w:qFormat/>
    <w:rsid w:val="008D1C4A"/>
    <w:pPr>
      <w:keepNext/>
      <w:keepLines/>
      <w:numPr>
        <w:numId w:val="20"/>
      </w:numPr>
      <w:spacing w:before="360" w:after="240"/>
      <w:outlineLvl w:val="0"/>
    </w:pPr>
    <w:rPr>
      <w:rFonts w:ascii="Franklin Gothic Medium" w:eastAsia="SimSun" w:hAnsi="Franklin Gothic Medium"/>
      <w:color w:val="000000"/>
      <w:sz w:val="32"/>
      <w:szCs w:val="26"/>
      <w:lang w:eastAsia="en-US"/>
    </w:rPr>
  </w:style>
  <w:style w:type="paragraph" w:styleId="Heading2">
    <w:name w:val="heading 2"/>
    <w:basedOn w:val="Normal"/>
    <w:link w:val="Heading2Char"/>
    <w:uiPriority w:val="9"/>
    <w:unhideWhenUsed/>
    <w:qFormat/>
    <w:rsid w:val="00E72E00"/>
    <w:pPr>
      <w:keepNext/>
      <w:keepLines/>
      <w:tabs>
        <w:tab w:val="left" w:pos="851"/>
      </w:tabs>
      <w:spacing w:before="360" w:after="200"/>
      <w:outlineLvl w:val="1"/>
    </w:pPr>
    <w:rPr>
      <w:rFonts w:ascii="Franklin Gothic Medium" w:eastAsia="SimSun" w:hAnsi="Franklin Gothic Medium"/>
      <w:szCs w:val="24"/>
      <w:lang w:eastAsia="en-US"/>
    </w:rPr>
  </w:style>
  <w:style w:type="paragraph" w:styleId="Heading3">
    <w:name w:val="heading 3"/>
    <w:basedOn w:val="Normal"/>
    <w:next w:val="Normal"/>
    <w:link w:val="Heading3Char"/>
    <w:uiPriority w:val="9"/>
    <w:unhideWhenUsed/>
    <w:qFormat/>
    <w:rsid w:val="008D1C4A"/>
    <w:pPr>
      <w:keepNext/>
      <w:keepLines/>
      <w:tabs>
        <w:tab w:val="left" w:pos="851"/>
      </w:tabs>
      <w:spacing w:before="360" w:after="200"/>
      <w:outlineLvl w:val="2"/>
    </w:pPr>
    <w:rPr>
      <w:rFonts w:ascii="Franklin Gothic Medium" w:eastAsia="SimSun" w:hAnsi="Franklin Gothic Medium"/>
      <w:i/>
      <w:szCs w:val="24"/>
      <w:lang w:eastAsia="en-US"/>
    </w:rPr>
  </w:style>
  <w:style w:type="paragraph" w:styleId="Heading4">
    <w:name w:val="heading 4"/>
    <w:basedOn w:val="Normal"/>
    <w:next w:val="Normal"/>
    <w:link w:val="Heading4Char"/>
    <w:uiPriority w:val="9"/>
    <w:semiHidden/>
    <w:unhideWhenUsed/>
    <w:qFormat/>
    <w:rsid w:val="007C2D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5623"/>
    <w:rPr>
      <w:color w:val="0000FF"/>
      <w:u w:val="single"/>
    </w:rPr>
  </w:style>
  <w:style w:type="paragraph" w:styleId="FootnoteText">
    <w:name w:val="footnote text"/>
    <w:basedOn w:val="Normal"/>
    <w:link w:val="FootnoteTextChar"/>
    <w:rsid w:val="00065623"/>
    <w:rPr>
      <w:sz w:val="20"/>
    </w:rPr>
  </w:style>
  <w:style w:type="character" w:customStyle="1" w:styleId="FootnoteTextChar">
    <w:name w:val="Footnote Text Char"/>
    <w:basedOn w:val="DefaultParagraphFont"/>
    <w:link w:val="FootnoteText"/>
    <w:uiPriority w:val="99"/>
    <w:rsid w:val="00065623"/>
    <w:rPr>
      <w:rFonts w:eastAsia="Times New Roman" w:cs="Times New Roman"/>
      <w:sz w:val="20"/>
      <w:szCs w:val="20"/>
      <w:lang w:eastAsia="en-AU"/>
    </w:rPr>
  </w:style>
  <w:style w:type="character" w:styleId="FootnoteReference">
    <w:name w:val="footnote reference"/>
    <w:basedOn w:val="DefaultParagraphFont"/>
    <w:rsid w:val="00065623"/>
    <w:rPr>
      <w:vertAlign w:val="superscript"/>
    </w:rPr>
  </w:style>
  <w:style w:type="paragraph" w:styleId="ListParagraph">
    <w:name w:val="List Paragraph"/>
    <w:aliases w:val="Styl moj,Akapit z listą1,Akapit z listą11,Body Text Bullet Points,Numbered para,BulletPoints,List Paragraph1,Bullet point,List Paragraph11,Recommendation,Section heading,Footnote,ES Paragraph,PBAC ES Paragraph,PBAC normal points"/>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unhideWhenUsed/>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rsid w:val="00065623"/>
    <w:rPr>
      <w:rFonts w:ascii="Tahoma" w:eastAsia="Times New Roman" w:hAnsi="Tahoma" w:cs="Tahoma"/>
      <w:sz w:val="16"/>
      <w:szCs w:val="16"/>
      <w:lang w:eastAsia="en-AU"/>
    </w:rPr>
  </w:style>
  <w:style w:type="paragraph" w:styleId="Header">
    <w:name w:val="header"/>
    <w:basedOn w:val="Normal"/>
    <w:link w:val="HeaderChar"/>
    <w:uiPriority w:val="99"/>
    <w:unhideWhenUsed/>
    <w:rsid w:val="008227C1"/>
    <w:pPr>
      <w:tabs>
        <w:tab w:val="center" w:pos="4513"/>
        <w:tab w:val="right" w:pos="9026"/>
      </w:tabs>
    </w:pPr>
  </w:style>
  <w:style w:type="character" w:customStyle="1" w:styleId="HeaderChar">
    <w:name w:val="Header Char"/>
    <w:basedOn w:val="DefaultParagraphFont"/>
    <w:link w:val="Header"/>
    <w:uiPriority w:val="99"/>
    <w:rsid w:val="008227C1"/>
    <w:rPr>
      <w:rFonts w:eastAsia="Times New Roman" w:cs="Times New Roman"/>
      <w:szCs w:val="20"/>
      <w:lang w:eastAsia="en-AU"/>
    </w:rPr>
  </w:style>
  <w:style w:type="paragraph" w:styleId="Footer">
    <w:name w:val="footer"/>
    <w:basedOn w:val="Normal"/>
    <w:link w:val="FooterChar"/>
    <w:uiPriority w:val="99"/>
    <w:unhideWhenUsed/>
    <w:rsid w:val="008227C1"/>
    <w:pPr>
      <w:tabs>
        <w:tab w:val="center" w:pos="4513"/>
        <w:tab w:val="right" w:pos="9026"/>
      </w:tabs>
    </w:pPr>
  </w:style>
  <w:style w:type="character" w:customStyle="1" w:styleId="FooterChar">
    <w:name w:val="Footer Char"/>
    <w:basedOn w:val="DefaultParagraphFont"/>
    <w:link w:val="Footer"/>
    <w:uiPriority w:val="99"/>
    <w:rsid w:val="008227C1"/>
    <w:rPr>
      <w:rFonts w:eastAsia="Times New Roman" w:cs="Times New Roman"/>
      <w:szCs w:val="20"/>
      <w:lang w:eastAsia="en-AU"/>
    </w:rPr>
  </w:style>
  <w:style w:type="paragraph" w:customStyle="1" w:styleId="Table">
    <w:name w:val="Table"/>
    <w:basedOn w:val="Normal"/>
    <w:link w:val="TableChar"/>
    <w:qFormat/>
    <w:rsid w:val="00C20B8A"/>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C20B8A"/>
    <w:rPr>
      <w:rFonts w:ascii="Candara" w:eastAsiaTheme="majorEastAsia" w:hAnsi="Candara" w:cstheme="majorBidi"/>
      <w:sz w:val="20"/>
      <w:lang w:bidi="en-US"/>
    </w:rPr>
  </w:style>
  <w:style w:type="paragraph" w:customStyle="1" w:styleId="TableCentre">
    <w:name w:val="Table Centre"/>
    <w:basedOn w:val="Table"/>
    <w:uiPriority w:val="99"/>
    <w:qFormat/>
    <w:rsid w:val="00C20B8A"/>
    <w:pPr>
      <w:jc w:val="center"/>
    </w:pPr>
  </w:style>
  <w:style w:type="table" w:styleId="TableGrid">
    <w:name w:val="Table Grid"/>
    <w:aliases w:val="Summary box,Table Gridbeth,RTI AMCP Table,new style,ASD Table,HealthConsult,HTAtableplain"/>
    <w:basedOn w:val="TableNormal"/>
    <w:uiPriority w:val="39"/>
    <w:rsid w:val="00C20B8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136969"/>
    <w:pPr>
      <w:spacing w:before="40" w:after="40"/>
    </w:pPr>
    <w:rPr>
      <w:rFonts w:ascii="Arial Narrow" w:hAnsi="Arial Narrow"/>
      <w:sz w:val="20"/>
      <w:szCs w:val="24"/>
      <w:lang w:eastAsia="en-US"/>
    </w:rPr>
  </w:style>
  <w:style w:type="paragraph" w:customStyle="1" w:styleId="Tabletextbold">
    <w:name w:val="Table text bold"/>
    <w:basedOn w:val="Normal"/>
    <w:link w:val="TabletextboldChar"/>
    <w:rsid w:val="00C20B8A"/>
    <w:pPr>
      <w:keepNext/>
      <w:jc w:val="center"/>
    </w:pPr>
    <w:rPr>
      <w:rFonts w:ascii="Arial Narrow" w:hAnsi="Arial Narrow" w:cs="Arial"/>
      <w:b/>
      <w:sz w:val="20"/>
      <w:lang w:eastAsia="en-US"/>
    </w:rPr>
  </w:style>
  <w:style w:type="character" w:customStyle="1" w:styleId="TabletextChar">
    <w:name w:val="Table text Char"/>
    <w:basedOn w:val="DefaultParagraphFont"/>
    <w:link w:val="Tabletext"/>
    <w:rsid w:val="00136969"/>
    <w:rPr>
      <w:rFonts w:ascii="Arial Narrow" w:eastAsia="Times New Roman" w:hAnsi="Arial Narrow" w:cs="Times New Roman"/>
      <w:sz w:val="20"/>
      <w:szCs w:val="24"/>
    </w:rPr>
  </w:style>
  <w:style w:type="character" w:customStyle="1" w:styleId="TabletextboldChar">
    <w:name w:val="Table text bold Char"/>
    <w:basedOn w:val="DefaultParagraphFont"/>
    <w:link w:val="Tabletextbold"/>
    <w:rsid w:val="00C20B8A"/>
    <w:rPr>
      <w:rFonts w:ascii="Arial Narrow" w:eastAsia="Times New Roman" w:hAnsi="Arial Narrow" w:cs="Arial"/>
      <w:b/>
      <w:sz w:val="20"/>
      <w:szCs w:val="20"/>
    </w:rPr>
  </w:style>
  <w:style w:type="paragraph" w:customStyle="1" w:styleId="ESHeading2">
    <w:name w:val="ES Heading 2"/>
    <w:basedOn w:val="Heading2"/>
    <w:link w:val="ESHeading2Char"/>
    <w:rsid w:val="00C20B8A"/>
    <w:pPr>
      <w:keepLines w:val="0"/>
      <w:ind w:left="576" w:hanging="576"/>
      <w:jc w:val="both"/>
    </w:pPr>
    <w:rPr>
      <w:rFonts w:ascii="Garamond" w:eastAsia="Times New Roman" w:hAnsi="Garamond"/>
      <w:iCs/>
      <w:szCs w:val="28"/>
    </w:rPr>
  </w:style>
  <w:style w:type="character" w:customStyle="1" w:styleId="ESHeading2Char">
    <w:name w:val="ES Heading 2 Char"/>
    <w:basedOn w:val="Heading2Char"/>
    <w:link w:val="ESHeading2"/>
    <w:rsid w:val="00C20B8A"/>
    <w:rPr>
      <w:rFonts w:ascii="Garamond" w:eastAsia="Times New Roman" w:hAnsi="Garamond" w:cs="Times New Roman"/>
      <w:b w:val="0"/>
      <w:bCs w:val="0"/>
      <w:i w:val="0"/>
      <w:iCs/>
      <w:color w:val="4F81BD" w:themeColor="accent1"/>
      <w:sz w:val="26"/>
      <w:szCs w:val="28"/>
      <w:lang w:eastAsia="en-AU"/>
    </w:rPr>
  </w:style>
  <w:style w:type="table" w:customStyle="1" w:styleId="Submissiontemplate2">
    <w:name w:val="Submission template2"/>
    <w:basedOn w:val="TableNormal"/>
    <w:uiPriority w:val="99"/>
    <w:rsid w:val="00C20B8A"/>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E72E00"/>
    <w:rPr>
      <w:rFonts w:ascii="Franklin Gothic Medium" w:eastAsia="SimSun" w:hAnsi="Franklin Gothic Medium" w:cs="Times New Roman"/>
      <w:szCs w:val="24"/>
    </w:rPr>
  </w:style>
  <w:style w:type="character" w:styleId="Emphasis">
    <w:name w:val="Emphasis"/>
    <w:uiPriority w:val="20"/>
    <w:qFormat/>
    <w:rsid w:val="00C84EFB"/>
    <w:rPr>
      <w:rFonts w:ascii="Garamond" w:eastAsia="Times New Roman" w:hAnsi="Garamond" w:cs="Times New Roman"/>
      <w:i/>
      <w:sz w:val="24"/>
      <w:szCs w:val="24"/>
    </w:rPr>
  </w:style>
  <w:style w:type="paragraph" w:customStyle="1" w:styleId="Tabletextboldleft">
    <w:name w:val="Table text bold left"/>
    <w:basedOn w:val="Tabletextbold"/>
    <w:link w:val="TabletextboldleftChar"/>
    <w:qFormat/>
    <w:rsid w:val="00C84EFB"/>
    <w:pPr>
      <w:jc w:val="left"/>
    </w:pPr>
  </w:style>
  <w:style w:type="character" w:customStyle="1" w:styleId="TabletextboldleftChar">
    <w:name w:val="Table text bold left Char"/>
    <w:basedOn w:val="TabletextboldChar"/>
    <w:link w:val="Tabletextboldleft"/>
    <w:rsid w:val="00C84EFB"/>
    <w:rPr>
      <w:rFonts w:ascii="Arial Narrow" w:eastAsia="Times New Roman" w:hAnsi="Arial Narrow" w:cs="Arial"/>
      <w:b/>
      <w:sz w:val="20"/>
      <w:szCs w:val="20"/>
    </w:rPr>
  </w:style>
  <w:style w:type="table" w:customStyle="1" w:styleId="Submissiontemplate7">
    <w:name w:val="Submission template7"/>
    <w:basedOn w:val="TableNormal"/>
    <w:uiPriority w:val="99"/>
    <w:rsid w:val="00C84EFB"/>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paragraph" w:customStyle="1" w:styleId="Tablecaption">
    <w:name w:val="Table caption"/>
    <w:basedOn w:val="Normal"/>
    <w:link w:val="TablecaptionChar"/>
    <w:qFormat/>
    <w:rsid w:val="000E396B"/>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0E396B"/>
    <w:rPr>
      <w:rFonts w:ascii="Arial Narrow" w:eastAsia="Times New Roman" w:hAnsi="Arial Narrow" w:cs="Arial"/>
      <w:sz w:val="20"/>
      <w:szCs w:val="20"/>
    </w:rPr>
  </w:style>
  <w:style w:type="paragraph" w:customStyle="1" w:styleId="Tabletextcentred">
    <w:name w:val="Table text centred"/>
    <w:basedOn w:val="Tabletext"/>
    <w:link w:val="TabletextcentredChar"/>
    <w:qFormat/>
    <w:rsid w:val="000E396B"/>
    <w:pPr>
      <w:jc w:val="center"/>
    </w:pPr>
  </w:style>
  <w:style w:type="character" w:customStyle="1" w:styleId="TabletextcentredChar">
    <w:name w:val="Table text centred Char"/>
    <w:basedOn w:val="TabletextChar"/>
    <w:link w:val="Tabletextcentred"/>
    <w:rsid w:val="000E396B"/>
    <w:rPr>
      <w:rFonts w:ascii="Arial Narrow" w:eastAsia="Times New Roman" w:hAnsi="Arial Narrow" w:cs="Times New Roman"/>
      <w:sz w:val="20"/>
      <w:szCs w:val="24"/>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rsid w:val="00C67123"/>
    <w:pPr>
      <w:keepNext/>
      <w:spacing w:after="40"/>
      <w:jc w:val="both"/>
      <w:outlineLvl w:val="4"/>
    </w:pPr>
    <w:rPr>
      <w:rFonts w:ascii="Arial Narrow" w:hAnsi="Arial Narrow" w:cs="Arial"/>
      <w:b/>
      <w:bCs/>
      <w:iCs/>
      <w:sz w:val="20"/>
      <w:lang w:eastAsia="en-US"/>
    </w:rPr>
  </w:style>
  <w:style w:type="character" w:customStyle="1" w:styleId="TableBold">
    <w:name w:val="Table Bold"/>
    <w:uiPriority w:val="4"/>
    <w:qFormat/>
    <w:rsid w:val="005856E5"/>
    <w:rPr>
      <w:rFonts w:ascii="Calibri" w:hAnsi="Calibri" w:hint="default"/>
      <w:b/>
      <w:bCs w:val="0"/>
      <w:sz w:val="20"/>
      <w:lang w:val="en-AU"/>
    </w:rPr>
  </w:style>
  <w:style w:type="table" w:customStyle="1" w:styleId="TableGrid12">
    <w:name w:val="Table Grid12"/>
    <w:basedOn w:val="TableNormal"/>
    <w:next w:val="TableGrid"/>
    <w:uiPriority w:val="59"/>
    <w:rsid w:val="005856E5"/>
    <w:pPr>
      <w:spacing w:after="0" w:line="240" w:lineRule="auto"/>
    </w:pPr>
    <w:rPr>
      <w:rFonts w:ascii="Candara" w:eastAsia="Times New Roman" w:hAnsi="Candara" w:cstheme="majorBidi"/>
      <w:sz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customStyle="1" w:styleId="Style2">
    <w:name w:val="Style2"/>
    <w:basedOn w:val="Normal"/>
    <w:link w:val="Style2Char"/>
    <w:qFormat/>
    <w:rsid w:val="00303414"/>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basedOn w:val="DefaultParagraphFont"/>
    <w:link w:val="Style2"/>
    <w:rsid w:val="00303414"/>
    <w:rPr>
      <w:rFonts w:ascii="Arial" w:eastAsia="Times New Roman" w:hAnsi="Arial" w:cs="Arial"/>
      <w:color w:val="3366FF"/>
      <w:szCs w:val="24"/>
      <w:lang w:eastAsia="en-AU"/>
    </w:rPr>
  </w:style>
  <w:style w:type="paragraph" w:styleId="NoSpacing">
    <w:name w:val="No Spacing"/>
    <w:uiPriority w:val="1"/>
    <w:qFormat/>
    <w:rsid w:val="00303414"/>
    <w:pPr>
      <w:spacing w:after="0" w:line="240" w:lineRule="auto"/>
    </w:pPr>
    <w:rPr>
      <w:rFonts w:asciiTheme="minorHAnsi" w:hAnsiTheme="minorHAnsi"/>
      <w:sz w:val="22"/>
    </w:rPr>
  </w:style>
  <w:style w:type="paragraph" w:customStyle="1" w:styleId="NormalBulletList">
    <w:name w:val="Normal Bullet List"/>
    <w:basedOn w:val="Normal"/>
    <w:uiPriority w:val="3"/>
    <w:qFormat/>
    <w:rsid w:val="00950C0C"/>
    <w:pPr>
      <w:numPr>
        <w:numId w:val="7"/>
      </w:numPr>
      <w:spacing w:after="240" w:line="276" w:lineRule="auto"/>
      <w:contextualSpacing/>
      <w:jc w:val="both"/>
    </w:pPr>
    <w:rPr>
      <w:rFonts w:ascii="Candara" w:eastAsiaTheme="majorEastAsia" w:hAnsi="Candara" w:cstheme="majorBidi"/>
      <w:szCs w:val="22"/>
      <w:lang w:eastAsia="en-US" w:bidi="en-US"/>
    </w:rPr>
  </w:style>
  <w:style w:type="paragraph" w:styleId="EndnoteText">
    <w:name w:val="endnote text"/>
    <w:basedOn w:val="Normal"/>
    <w:link w:val="EndnoteTextChar"/>
    <w:rsid w:val="00CD7AAF"/>
    <w:pPr>
      <w:widowControl w:val="0"/>
    </w:pPr>
    <w:rPr>
      <w:snapToGrid w:val="0"/>
      <w:sz w:val="20"/>
      <w:lang w:val="en-US" w:eastAsia="en-US"/>
    </w:rPr>
  </w:style>
  <w:style w:type="character" w:customStyle="1" w:styleId="EndnoteTextChar">
    <w:name w:val="Endnote Text Char"/>
    <w:basedOn w:val="DefaultParagraphFont"/>
    <w:link w:val="EndnoteText"/>
    <w:rsid w:val="00CD7AAF"/>
    <w:rPr>
      <w:rFonts w:eastAsia="Times New Roman" w:cs="Times New Roman"/>
      <w:snapToGrid w:val="0"/>
      <w:sz w:val="20"/>
      <w:szCs w:val="20"/>
      <w:lang w:val="en-US"/>
    </w:rPr>
  </w:style>
  <w:style w:type="character" w:styleId="EndnoteReference">
    <w:name w:val="endnote reference"/>
    <w:basedOn w:val="DefaultParagraphFont"/>
    <w:rsid w:val="00CD7AAF"/>
    <w:rPr>
      <w:vertAlign w:val="superscript"/>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C67123"/>
    <w:rPr>
      <w:rFonts w:ascii="Arial Narrow" w:eastAsia="Times New Roman" w:hAnsi="Arial Narrow" w:cs="Arial"/>
      <w:b/>
      <w:bCs/>
      <w:iCs/>
      <w:sz w:val="20"/>
      <w:szCs w:val="20"/>
    </w:rPr>
  </w:style>
  <w:style w:type="character" w:customStyle="1" w:styleId="SmallBold">
    <w:name w:val="Small Bold"/>
    <w:basedOn w:val="DefaultParagraphFont"/>
    <w:uiPriority w:val="4"/>
    <w:qFormat/>
    <w:rsid w:val="00FB7083"/>
    <w:rPr>
      <w:rFonts w:ascii="Candara" w:hAnsi="Candara"/>
      <w:b/>
      <w:sz w:val="20"/>
      <w:lang w:val="en-AU"/>
    </w:rPr>
  </w:style>
  <w:style w:type="table" w:customStyle="1" w:styleId="Submissiontemplate">
    <w:name w:val="Submission template"/>
    <w:basedOn w:val="TableNormal"/>
    <w:uiPriority w:val="99"/>
    <w:rsid w:val="00FB7083"/>
    <w:pPr>
      <w:spacing w:after="0" w:line="240" w:lineRule="auto"/>
    </w:pPr>
    <w:rPr>
      <w:rFonts w:ascii="Candara" w:eastAsiaTheme="majorEastAsia" w:hAnsi="Candara" w:cstheme="majorBidi"/>
      <w:sz w:val="20"/>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tblPr/>
      <w:tcPr>
        <w:shd w:val="clear" w:color="auto" w:fill="BFBFBF" w:themeFill="background1" w:themeFillShade="BF"/>
      </w:tcPr>
    </w:tblStylePr>
    <w:tblStylePr w:type="lastRow">
      <w:tblPr/>
      <w:tcPr>
        <w:shd w:val="clear" w:color="auto" w:fill="FFFFFF" w:themeFill="background1"/>
      </w:tcPr>
    </w:tblStylePr>
    <w:tblStylePr w:type="band1Horz">
      <w:tblPr/>
      <w:tcPr>
        <w:shd w:val="clear" w:color="auto" w:fill="FFFFFF" w:themeFill="background1"/>
      </w:tcPr>
    </w:tblStylePr>
  </w:style>
  <w:style w:type="character" w:styleId="CommentReference">
    <w:name w:val="annotation reference"/>
    <w:basedOn w:val="DefaultParagraphFont"/>
    <w:uiPriority w:val="99"/>
    <w:semiHidden/>
    <w:unhideWhenUsed/>
    <w:rsid w:val="00C90EB4"/>
    <w:rPr>
      <w:sz w:val="16"/>
      <w:szCs w:val="16"/>
    </w:rPr>
  </w:style>
  <w:style w:type="paragraph" w:styleId="CommentText">
    <w:name w:val="annotation text"/>
    <w:basedOn w:val="Normal"/>
    <w:link w:val="CommentTextChar"/>
    <w:uiPriority w:val="99"/>
    <w:unhideWhenUsed/>
    <w:rsid w:val="00C90EB4"/>
    <w:rPr>
      <w:sz w:val="20"/>
    </w:rPr>
  </w:style>
  <w:style w:type="character" w:customStyle="1" w:styleId="CommentTextChar">
    <w:name w:val="Comment Text Char"/>
    <w:basedOn w:val="DefaultParagraphFont"/>
    <w:link w:val="CommentText"/>
    <w:uiPriority w:val="99"/>
    <w:rsid w:val="00C90EB4"/>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90EB4"/>
    <w:rPr>
      <w:b/>
      <w:bCs/>
    </w:rPr>
  </w:style>
  <w:style w:type="character" w:customStyle="1" w:styleId="CommentSubjectChar">
    <w:name w:val="Comment Subject Char"/>
    <w:basedOn w:val="CommentTextChar"/>
    <w:link w:val="CommentSubject"/>
    <w:uiPriority w:val="99"/>
    <w:semiHidden/>
    <w:rsid w:val="00C90EB4"/>
    <w:rPr>
      <w:rFonts w:eastAsia="Times New Roman" w:cs="Times New Roman"/>
      <w:b/>
      <w:bCs/>
      <w:sz w:val="20"/>
      <w:szCs w:val="20"/>
      <w:lang w:eastAsia="en-AU"/>
    </w:rPr>
  </w:style>
  <w:style w:type="paragraph" w:customStyle="1" w:styleId="TableHeading">
    <w:name w:val="TableHeading"/>
    <w:basedOn w:val="Normal"/>
    <w:link w:val="TableHeadingChar"/>
    <w:qFormat/>
    <w:rsid w:val="00054151"/>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054151"/>
    <w:rPr>
      <w:rFonts w:ascii="Arial Narrow" w:eastAsia="Times New Roman" w:hAnsi="Arial Narrow" w:cs="Tahoma"/>
      <w:b/>
      <w:noProof/>
      <w:sz w:val="20"/>
      <w:szCs w:val="20"/>
      <w:lang w:eastAsia="en-AU"/>
    </w:rPr>
  </w:style>
  <w:style w:type="paragraph" w:customStyle="1" w:styleId="Tablenotes">
    <w:name w:val="Tablenotes"/>
    <w:basedOn w:val="Normal"/>
    <w:link w:val="TablenotesChar"/>
    <w:autoRedefine/>
    <w:qFormat/>
    <w:rsid w:val="009110E5"/>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9110E5"/>
    <w:rPr>
      <w:rFonts w:ascii="Arial Narrow" w:eastAsia="Times New Roman" w:hAnsi="Arial Narrow" w:cs="Arial"/>
      <w:snapToGrid w:val="0"/>
      <w:sz w:val="18"/>
      <w:szCs w:val="20"/>
    </w:rPr>
  </w:style>
  <w:style w:type="character" w:customStyle="1" w:styleId="Heading4Char">
    <w:name w:val="Heading 4 Char"/>
    <w:basedOn w:val="DefaultParagraphFont"/>
    <w:link w:val="Heading4"/>
    <w:uiPriority w:val="9"/>
    <w:semiHidden/>
    <w:rsid w:val="007C2D6A"/>
    <w:rPr>
      <w:rFonts w:asciiTheme="majorHAnsi" w:eastAsiaTheme="majorEastAsia" w:hAnsiTheme="majorHAnsi" w:cstheme="majorBidi"/>
      <w:b/>
      <w:bCs/>
      <w:i/>
      <w:iCs/>
      <w:color w:val="4F81BD" w:themeColor="accent1"/>
      <w:szCs w:val="20"/>
      <w:lang w:eastAsia="en-AU"/>
    </w:rPr>
  </w:style>
  <w:style w:type="table" w:customStyle="1" w:styleId="TableGrid2">
    <w:name w:val="Table Grid2"/>
    <w:basedOn w:val="TableNormal"/>
    <w:next w:val="TableGrid"/>
    <w:rsid w:val="000E6588"/>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Humanist 77 7 BT" w:hAnsi="Humanist 77 7 BT"/>
        <w:b w:val="0"/>
        <w:sz w:val="20"/>
      </w:rPr>
    </w:tblStylePr>
  </w:style>
  <w:style w:type="character" w:customStyle="1" w:styleId="Heading1Char">
    <w:name w:val="Heading 1 Char"/>
    <w:basedOn w:val="DefaultParagraphFont"/>
    <w:link w:val="Heading1"/>
    <w:uiPriority w:val="9"/>
    <w:rsid w:val="008D1C4A"/>
    <w:rPr>
      <w:rFonts w:ascii="Franklin Gothic Medium" w:eastAsia="SimSun" w:hAnsi="Franklin Gothic Medium" w:cs="Times New Roman"/>
      <w:color w:val="000000"/>
      <w:sz w:val="32"/>
      <w:szCs w:val="26"/>
    </w:rPr>
  </w:style>
  <w:style w:type="character" w:customStyle="1" w:styleId="Heading3Char">
    <w:name w:val="Heading 3 Char"/>
    <w:basedOn w:val="DefaultParagraphFont"/>
    <w:link w:val="Heading3"/>
    <w:uiPriority w:val="9"/>
    <w:rsid w:val="008D1C4A"/>
    <w:rPr>
      <w:rFonts w:ascii="Franklin Gothic Medium" w:eastAsia="SimSun" w:hAnsi="Franklin Gothic Medium" w:cs="Times New Roman"/>
      <w:i/>
      <w:szCs w:val="24"/>
    </w:rPr>
  </w:style>
  <w:style w:type="character" w:customStyle="1" w:styleId="ListParagraphChar">
    <w:name w:val="List Paragraph Char"/>
    <w:aliases w:val="Styl moj Char,Akapit z listą1 Char,Akapit z listą11 Char,Body Text Bullet Points Char,Numbered para Char,BulletPoints Char,List Paragraph1 Char,Bullet point Char,List Paragraph11 Char,Recommendation Char,Section heading Char"/>
    <w:link w:val="ListParagraph"/>
    <w:uiPriority w:val="34"/>
    <w:qFormat/>
    <w:rsid w:val="00F51E0F"/>
    <w:rPr>
      <w:rFonts w:eastAsia="Times New Roman" w:cs="Times New Roman"/>
      <w:szCs w:val="20"/>
      <w:lang w:eastAsia="en-AU"/>
    </w:rPr>
  </w:style>
  <w:style w:type="paragraph" w:customStyle="1" w:styleId="Tablenotes1">
    <w:name w:val="Tablenotes 1"/>
    <w:basedOn w:val="Normal"/>
    <w:link w:val="Tablenotes1Char"/>
    <w:qFormat/>
    <w:rsid w:val="00206760"/>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206760"/>
    <w:rPr>
      <w:rFonts w:ascii="Arial Narrow" w:eastAsia="Times New Roman" w:hAnsi="Arial Narrow" w:cs="Arial"/>
      <w:snapToGrid w:val="0"/>
      <w:sz w:val="18"/>
      <w:szCs w:val="20"/>
    </w:rPr>
  </w:style>
  <w:style w:type="numbering" w:customStyle="1" w:styleId="Heading1a">
    <w:name w:val="Heading 1a"/>
    <w:basedOn w:val="NoList"/>
    <w:uiPriority w:val="99"/>
    <w:rsid w:val="00B0472C"/>
    <w:pPr>
      <w:numPr>
        <w:numId w:val="11"/>
      </w:numPr>
    </w:pPr>
  </w:style>
  <w:style w:type="paragraph" w:customStyle="1" w:styleId="Tabletext-left">
    <w:name w:val="Table text - left"/>
    <w:basedOn w:val="Normal"/>
    <w:link w:val="Tabletext-leftChar"/>
    <w:rsid w:val="00CB1778"/>
    <w:pPr>
      <w:keepNext/>
      <w:tabs>
        <w:tab w:val="left" w:pos="2835"/>
      </w:tabs>
      <w:spacing w:before="120" w:after="120" w:line="312" w:lineRule="auto"/>
      <w:jc w:val="both"/>
    </w:pPr>
    <w:rPr>
      <w:rFonts w:asciiTheme="minorHAnsi" w:hAnsiTheme="minorHAnsi" w:cs="Arial"/>
      <w:sz w:val="20"/>
      <w:lang w:eastAsia="en-US"/>
    </w:rPr>
  </w:style>
  <w:style w:type="character" w:customStyle="1" w:styleId="Tabletext-leftChar">
    <w:name w:val="Table text - left Char"/>
    <w:basedOn w:val="DefaultParagraphFont"/>
    <w:link w:val="Tabletext-left"/>
    <w:rsid w:val="00CB1778"/>
    <w:rPr>
      <w:rFonts w:asciiTheme="minorHAnsi" w:eastAsia="Times New Roman" w:hAnsiTheme="minorHAnsi" w:cs="Arial"/>
      <w:sz w:val="20"/>
      <w:szCs w:val="20"/>
    </w:rPr>
  </w:style>
  <w:style w:type="table" w:customStyle="1" w:styleId="TableGrid9">
    <w:name w:val="Table Grid9"/>
    <w:basedOn w:val="TableNormal"/>
    <w:next w:val="TableGrid"/>
    <w:uiPriority w:val="39"/>
    <w:rsid w:val="00136969"/>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Normal"/>
    <w:rsid w:val="005D34B9"/>
    <w:pPr>
      <w:keepNext/>
      <w:spacing w:before="60" w:after="60"/>
    </w:pPr>
    <w:rPr>
      <w:color w:val="000000"/>
      <w:sz w:val="21"/>
      <w:szCs w:val="21"/>
    </w:rPr>
  </w:style>
  <w:style w:type="paragraph" w:customStyle="1" w:styleId="BulletBeforeDash">
    <w:name w:val="BulletBeforeDash"/>
    <w:basedOn w:val="Normal"/>
    <w:rsid w:val="005D34B9"/>
    <w:pPr>
      <w:numPr>
        <w:numId w:val="15"/>
      </w:numPr>
      <w:ind w:left="720"/>
    </w:pPr>
    <w:rPr>
      <w:color w:val="000000"/>
    </w:rPr>
  </w:style>
  <w:style w:type="paragraph" w:customStyle="1" w:styleId="Bullet">
    <w:name w:val="Bullet"/>
    <w:basedOn w:val="BulletBeforeDash"/>
    <w:qFormat/>
    <w:rsid w:val="005D34B9"/>
    <w:pPr>
      <w:spacing w:after="120"/>
    </w:pPr>
  </w:style>
  <w:style w:type="paragraph" w:customStyle="1" w:styleId="BulletLast">
    <w:name w:val="BulletLast"/>
    <w:basedOn w:val="Bullet"/>
    <w:qFormat/>
    <w:rsid w:val="005D34B9"/>
    <w:pPr>
      <w:spacing w:after="240"/>
    </w:pPr>
  </w:style>
  <w:style w:type="paragraph" w:customStyle="1" w:styleId="NormalBeforeBullet">
    <w:name w:val="NormalBeforeBullet"/>
    <w:basedOn w:val="Normal"/>
    <w:qFormat/>
    <w:rsid w:val="005D34B9"/>
    <w:pPr>
      <w:keepNext/>
      <w:spacing w:after="120"/>
    </w:pPr>
    <w:rPr>
      <w:color w:val="000000"/>
    </w:rPr>
  </w:style>
  <w:style w:type="paragraph" w:styleId="Subtitle">
    <w:name w:val="Subtitle"/>
    <w:basedOn w:val="Normal"/>
    <w:next w:val="Normal"/>
    <w:link w:val="SubtitleChar"/>
    <w:qFormat/>
    <w:rsid w:val="0052065A"/>
    <w:pPr>
      <w:spacing w:before="120"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52065A"/>
    <w:rPr>
      <w:rFonts w:ascii="Arial" w:eastAsia="Times New Roman" w:hAnsi="Arial" w:cs="Arial"/>
      <w:b/>
      <w:bCs/>
      <w:i/>
      <w:color w:val="000080"/>
      <w:sz w:val="28"/>
      <w:szCs w:val="28"/>
      <w:lang w:eastAsia="en-AU"/>
    </w:rPr>
  </w:style>
  <w:style w:type="paragraph" w:customStyle="1" w:styleId="TableText1">
    <w:name w:val="Table Text"/>
    <w:basedOn w:val="Normal"/>
    <w:link w:val="TableTextChar0"/>
    <w:qFormat/>
    <w:rsid w:val="0052065A"/>
    <w:pPr>
      <w:spacing w:before="40" w:after="40"/>
    </w:pPr>
    <w:rPr>
      <w:rFonts w:ascii="Arial Narrow" w:eastAsiaTheme="minorHAnsi" w:hAnsi="Arial Narrow" w:cstheme="minorBidi"/>
      <w:sz w:val="20"/>
      <w:szCs w:val="22"/>
      <w:lang w:eastAsia="en-US"/>
    </w:rPr>
  </w:style>
  <w:style w:type="character" w:customStyle="1" w:styleId="TableTextChar0">
    <w:name w:val="Table Text Char"/>
    <w:basedOn w:val="DefaultParagraphFont"/>
    <w:link w:val="TableText1"/>
    <w:rsid w:val="0052065A"/>
    <w:rPr>
      <w:rFonts w:ascii="Arial Narrow" w:hAnsi="Arial Narrow"/>
      <w:sz w:val="20"/>
    </w:rPr>
  </w:style>
  <w:style w:type="paragraph" w:customStyle="1" w:styleId="Instructionaltext">
    <w:name w:val="Instructional text"/>
    <w:basedOn w:val="Normal"/>
    <w:link w:val="InstructionaltextChar"/>
    <w:qFormat/>
    <w:rsid w:val="0052065A"/>
    <w:pPr>
      <w:spacing w:before="120" w:after="160" w:line="259" w:lineRule="auto"/>
    </w:pPr>
    <w:rPr>
      <w:rFonts w:ascii="Franklin Gothic Book" w:eastAsiaTheme="minorHAnsi" w:hAnsi="Franklin Gothic Book" w:cstheme="minorBidi"/>
      <w:color w:val="258221"/>
      <w:sz w:val="22"/>
      <w:szCs w:val="22"/>
      <w:lang w:eastAsia="en-US"/>
    </w:rPr>
  </w:style>
  <w:style w:type="character" w:customStyle="1" w:styleId="InstructionaltextChar">
    <w:name w:val="Instructional text Char"/>
    <w:basedOn w:val="DefaultParagraphFont"/>
    <w:link w:val="Instructionaltext"/>
    <w:rsid w:val="0052065A"/>
    <w:rPr>
      <w:rFonts w:ascii="Franklin Gothic Book" w:hAnsi="Franklin Gothic Book"/>
      <w:color w:val="258221"/>
      <w:sz w:val="22"/>
    </w:rPr>
  </w:style>
  <w:style w:type="paragraph" w:customStyle="1" w:styleId="TableHeading0">
    <w:name w:val="Table Heading"/>
    <w:basedOn w:val="Normal"/>
    <w:qFormat/>
    <w:rsid w:val="009F0065"/>
    <w:pPr>
      <w:spacing w:before="120" w:after="60"/>
    </w:pPr>
    <w:rPr>
      <w:rFonts w:ascii="Arial Narrow" w:eastAsiaTheme="minorHAnsi" w:hAnsi="Arial Narrow" w:cstheme="minorBidi"/>
      <w:b/>
      <w:sz w:val="20"/>
      <w:szCs w:val="22"/>
      <w:lang w:eastAsia="en-US"/>
    </w:rPr>
  </w:style>
  <w:style w:type="paragraph" w:customStyle="1" w:styleId="In-tableHeading">
    <w:name w:val="In-table Heading"/>
    <w:qFormat/>
    <w:rsid w:val="009F0065"/>
    <w:pPr>
      <w:keepNext/>
      <w:spacing w:after="0" w:line="240" w:lineRule="auto"/>
    </w:pPr>
    <w:rPr>
      <w:rFonts w:ascii="Arial Narrow" w:eastAsiaTheme="majorEastAsia" w:hAnsi="Arial Narrow" w:cs="Times New Roman"/>
      <w:b/>
      <w:sz w:val="20"/>
      <w:szCs w:val="24"/>
      <w:lang w:val="en-US" w:eastAsia="en-AU"/>
    </w:rPr>
  </w:style>
  <w:style w:type="paragraph" w:customStyle="1" w:styleId="Tablenotes0">
    <w:name w:val="Table notes"/>
    <w:basedOn w:val="Normal"/>
    <w:link w:val="TablenotesChar0"/>
    <w:qFormat/>
    <w:rsid w:val="009F0065"/>
    <w:pPr>
      <w:spacing w:before="120" w:after="240" w:line="259" w:lineRule="auto"/>
      <w:contextualSpacing/>
      <w:jc w:val="both"/>
    </w:pPr>
    <w:rPr>
      <w:rFonts w:ascii="Arial Narrow" w:eastAsiaTheme="minorHAnsi" w:hAnsi="Arial Narrow" w:cs="Arial"/>
      <w:sz w:val="18"/>
      <w:szCs w:val="22"/>
      <w:lang w:eastAsia="en-US"/>
    </w:rPr>
  </w:style>
  <w:style w:type="character" w:customStyle="1" w:styleId="TablenotesChar0">
    <w:name w:val="Table notes Char"/>
    <w:basedOn w:val="DefaultParagraphFont"/>
    <w:link w:val="Tablenotes0"/>
    <w:rsid w:val="009F0065"/>
    <w:rPr>
      <w:rFonts w:ascii="Arial Narrow" w:hAnsi="Arial Narrow" w:cs="Arial"/>
      <w:sz w:val="18"/>
    </w:rPr>
  </w:style>
  <w:style w:type="character" w:customStyle="1" w:styleId="TableFooterChar">
    <w:name w:val="Table Footer Char"/>
    <w:link w:val="TableFooter"/>
    <w:locked/>
    <w:rsid w:val="009F0065"/>
    <w:rPr>
      <w:rFonts w:ascii="Arial Narrow" w:eastAsia="Times New Roman" w:hAnsi="Arial Narrow" w:cs="Arial"/>
      <w:sz w:val="18"/>
      <w:szCs w:val="20"/>
    </w:rPr>
  </w:style>
  <w:style w:type="paragraph" w:customStyle="1" w:styleId="TableFooter">
    <w:name w:val="Table Footer"/>
    <w:basedOn w:val="Normal"/>
    <w:link w:val="TableFooterChar"/>
    <w:qFormat/>
    <w:rsid w:val="009F0065"/>
    <w:pPr>
      <w:widowControl w:val="0"/>
      <w:snapToGrid w:val="0"/>
      <w:spacing w:before="120" w:after="240"/>
      <w:contextualSpacing/>
      <w:jc w:val="both"/>
    </w:pPr>
    <w:rPr>
      <w:rFonts w:ascii="Arial Narrow" w:hAnsi="Arial Narrow" w:cs="Arial"/>
      <w:sz w:val="18"/>
      <w:lang w:eastAsia="en-US"/>
    </w:rPr>
  </w:style>
  <w:style w:type="table" w:customStyle="1" w:styleId="HealthConsult1">
    <w:name w:val="HealthConsult1"/>
    <w:basedOn w:val="TableNormal"/>
    <w:next w:val="TableGrid"/>
    <w:uiPriority w:val="59"/>
    <w:rsid w:val="009F006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Footer">
    <w:name w:val="Table/Figure Footer"/>
    <w:basedOn w:val="Normal"/>
    <w:link w:val="TableFigureFooterChar"/>
    <w:qFormat/>
    <w:rsid w:val="009F0065"/>
    <w:pPr>
      <w:tabs>
        <w:tab w:val="left" w:pos="284"/>
      </w:tabs>
      <w:spacing w:before="120" w:after="360"/>
    </w:pPr>
    <w:rPr>
      <w:rFonts w:ascii="Arial Narrow" w:hAnsi="Arial Narrow" w:cs="Arial"/>
      <w:snapToGrid w:val="0"/>
      <w:sz w:val="18"/>
      <w:szCs w:val="22"/>
    </w:rPr>
  </w:style>
  <w:style w:type="character" w:customStyle="1" w:styleId="TableFigureFooterChar">
    <w:name w:val="Table/Figure Footer Char"/>
    <w:link w:val="TableFigureFooter"/>
    <w:rsid w:val="009F0065"/>
    <w:rPr>
      <w:rFonts w:ascii="Arial Narrow" w:eastAsia="Times New Roman" w:hAnsi="Arial Narrow" w:cs="Arial"/>
      <w:snapToGrid w:val="0"/>
      <w:sz w:val="18"/>
      <w:lang w:eastAsia="en-AU"/>
    </w:rPr>
  </w:style>
  <w:style w:type="character" w:styleId="Strong">
    <w:name w:val="Strong"/>
    <w:basedOn w:val="DefaultParagraphFont"/>
    <w:uiPriority w:val="22"/>
    <w:qFormat/>
    <w:rsid w:val="00171ADC"/>
    <w:rPr>
      <w:b/>
      <w:bCs/>
    </w:rPr>
  </w:style>
  <w:style w:type="paragraph" w:customStyle="1" w:styleId="NormalBeforeBullet0">
    <w:name w:val="Normal Before Bullet"/>
    <w:basedOn w:val="Normal"/>
    <w:qFormat/>
    <w:rsid w:val="003869F4"/>
    <w:pPr>
      <w:keepNext/>
      <w:spacing w:before="120" w:after="120"/>
    </w:pPr>
    <w:rPr>
      <w:rFonts w:asciiTheme="minorHAnsi" w:eastAsiaTheme="minorHAnsi" w:hAnsiTheme="minorHAnsi" w:cstheme="minorBidi"/>
      <w:sz w:val="22"/>
      <w:szCs w:val="22"/>
      <w:lang w:eastAsia="en-US"/>
    </w:rPr>
  </w:style>
  <w:style w:type="paragraph" w:customStyle="1" w:styleId="TableTextCA">
    <w:name w:val="Table Text CA"/>
    <w:basedOn w:val="TableText1"/>
    <w:qFormat/>
    <w:rsid w:val="00D46392"/>
    <w:pPr>
      <w:jc w:val="center"/>
    </w:pPr>
  </w:style>
  <w:style w:type="character" w:styleId="FollowedHyperlink">
    <w:name w:val="FollowedHyperlink"/>
    <w:basedOn w:val="DefaultParagraphFont"/>
    <w:uiPriority w:val="99"/>
    <w:semiHidden/>
    <w:unhideWhenUsed/>
    <w:rsid w:val="00FB4992"/>
    <w:rPr>
      <w:color w:val="800080" w:themeColor="followedHyperlink"/>
      <w:u w:val="single"/>
    </w:rPr>
  </w:style>
  <w:style w:type="paragraph" w:customStyle="1" w:styleId="Default">
    <w:name w:val="Default"/>
    <w:rsid w:val="00493F7D"/>
    <w:pPr>
      <w:autoSpaceDE w:val="0"/>
      <w:autoSpaceDN w:val="0"/>
      <w:adjustRightInd w:val="0"/>
      <w:spacing w:after="0" w:line="240" w:lineRule="auto"/>
    </w:pPr>
    <w:rPr>
      <w:rFonts w:eastAsia="Calibri" w:cs="Times New Roman"/>
      <w:color w:val="000000"/>
      <w:szCs w:val="24"/>
    </w:rPr>
  </w:style>
  <w:style w:type="character" w:customStyle="1" w:styleId="EndNoteBibliographyChar">
    <w:name w:val="EndNote Bibliography Char"/>
    <w:basedOn w:val="DefaultParagraphFont"/>
    <w:link w:val="EndNoteBibliography"/>
    <w:locked/>
    <w:rsid w:val="00F33D59"/>
    <w:rPr>
      <w:rFonts w:ascii="Franklin Gothic Book" w:hAnsi="Franklin Gothic Book"/>
      <w:noProof/>
      <w:lang w:val="en-US"/>
    </w:rPr>
  </w:style>
  <w:style w:type="paragraph" w:customStyle="1" w:styleId="EndNoteBibliography">
    <w:name w:val="EndNote Bibliography"/>
    <w:basedOn w:val="Normal"/>
    <w:link w:val="EndNoteBibliographyChar"/>
    <w:rsid w:val="00F33D59"/>
    <w:pPr>
      <w:spacing w:before="120" w:after="160"/>
    </w:pPr>
    <w:rPr>
      <w:rFonts w:ascii="Franklin Gothic Book" w:eastAsiaTheme="minorHAnsi" w:hAnsi="Franklin Gothic Book" w:cstheme="minorBidi"/>
      <w:noProof/>
      <w:szCs w:val="22"/>
      <w:lang w:val="en-US" w:eastAsia="en-US"/>
    </w:rPr>
  </w:style>
  <w:style w:type="paragraph" w:styleId="Revision">
    <w:name w:val="Revision"/>
    <w:hidden/>
    <w:uiPriority w:val="99"/>
    <w:semiHidden/>
    <w:rsid w:val="003B1EF8"/>
    <w:pPr>
      <w:spacing w:after="0" w:line="240" w:lineRule="auto"/>
    </w:pPr>
    <w:rPr>
      <w:rFonts w:eastAsia="Times New Roman" w:cs="Times New Roman"/>
      <w:szCs w:val="20"/>
      <w:lang w:eastAsia="en-AU"/>
    </w:rPr>
  </w:style>
  <w:style w:type="character" w:styleId="UnresolvedMention">
    <w:name w:val="Unresolved Mention"/>
    <w:basedOn w:val="DefaultParagraphFont"/>
    <w:uiPriority w:val="99"/>
    <w:semiHidden/>
    <w:unhideWhenUsed/>
    <w:rsid w:val="00AD6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880183">
      <w:bodyDiv w:val="1"/>
      <w:marLeft w:val="0"/>
      <w:marRight w:val="0"/>
      <w:marTop w:val="0"/>
      <w:marBottom w:val="0"/>
      <w:divBdr>
        <w:top w:val="none" w:sz="0" w:space="0" w:color="auto"/>
        <w:left w:val="none" w:sz="0" w:space="0" w:color="auto"/>
        <w:bottom w:val="none" w:sz="0" w:space="0" w:color="auto"/>
        <w:right w:val="none" w:sz="0" w:space="0" w:color="auto"/>
      </w:divBdr>
      <w:divsChild>
        <w:div w:id="2018075833">
          <w:marLeft w:val="288"/>
          <w:marRight w:val="0"/>
          <w:marTop w:val="115"/>
          <w:marBottom w:val="0"/>
          <w:divBdr>
            <w:top w:val="none" w:sz="0" w:space="0" w:color="auto"/>
            <w:left w:val="none" w:sz="0" w:space="0" w:color="auto"/>
            <w:bottom w:val="none" w:sz="0" w:space="0" w:color="auto"/>
            <w:right w:val="none" w:sz="0" w:space="0" w:color="auto"/>
          </w:divBdr>
        </w:div>
        <w:div w:id="1025593109">
          <w:marLeft w:val="288"/>
          <w:marRight w:val="0"/>
          <w:marTop w:val="115"/>
          <w:marBottom w:val="0"/>
          <w:divBdr>
            <w:top w:val="none" w:sz="0" w:space="0" w:color="auto"/>
            <w:left w:val="none" w:sz="0" w:space="0" w:color="auto"/>
            <w:bottom w:val="none" w:sz="0" w:space="0" w:color="auto"/>
            <w:right w:val="none" w:sz="0" w:space="0" w:color="auto"/>
          </w:divBdr>
        </w:div>
        <w:div w:id="849488156">
          <w:marLeft w:val="720"/>
          <w:marRight w:val="0"/>
          <w:marTop w:val="96"/>
          <w:marBottom w:val="0"/>
          <w:divBdr>
            <w:top w:val="none" w:sz="0" w:space="0" w:color="auto"/>
            <w:left w:val="none" w:sz="0" w:space="0" w:color="auto"/>
            <w:bottom w:val="none" w:sz="0" w:space="0" w:color="auto"/>
            <w:right w:val="none" w:sz="0" w:space="0" w:color="auto"/>
          </w:divBdr>
        </w:div>
        <w:div w:id="602231550">
          <w:marLeft w:val="720"/>
          <w:marRight w:val="0"/>
          <w:marTop w:val="96"/>
          <w:marBottom w:val="0"/>
          <w:divBdr>
            <w:top w:val="none" w:sz="0" w:space="0" w:color="auto"/>
            <w:left w:val="none" w:sz="0" w:space="0" w:color="auto"/>
            <w:bottom w:val="none" w:sz="0" w:space="0" w:color="auto"/>
            <w:right w:val="none" w:sz="0" w:space="0" w:color="auto"/>
          </w:divBdr>
        </w:div>
        <w:div w:id="1425762532">
          <w:marLeft w:val="720"/>
          <w:marRight w:val="0"/>
          <w:marTop w:val="96"/>
          <w:marBottom w:val="0"/>
          <w:divBdr>
            <w:top w:val="none" w:sz="0" w:space="0" w:color="auto"/>
            <w:left w:val="none" w:sz="0" w:space="0" w:color="auto"/>
            <w:bottom w:val="none" w:sz="0" w:space="0" w:color="auto"/>
            <w:right w:val="none" w:sz="0" w:space="0" w:color="auto"/>
          </w:divBdr>
        </w:div>
        <w:div w:id="2022856094">
          <w:marLeft w:val="720"/>
          <w:marRight w:val="0"/>
          <w:marTop w:val="96"/>
          <w:marBottom w:val="0"/>
          <w:divBdr>
            <w:top w:val="none" w:sz="0" w:space="0" w:color="auto"/>
            <w:left w:val="none" w:sz="0" w:space="0" w:color="auto"/>
            <w:bottom w:val="none" w:sz="0" w:space="0" w:color="auto"/>
            <w:right w:val="none" w:sz="0" w:space="0" w:color="auto"/>
          </w:divBdr>
        </w:div>
        <w:div w:id="1212351607">
          <w:marLeft w:val="720"/>
          <w:marRight w:val="0"/>
          <w:marTop w:val="96"/>
          <w:marBottom w:val="0"/>
          <w:divBdr>
            <w:top w:val="none" w:sz="0" w:space="0" w:color="auto"/>
            <w:left w:val="none" w:sz="0" w:space="0" w:color="auto"/>
            <w:bottom w:val="none" w:sz="0" w:space="0" w:color="auto"/>
            <w:right w:val="none" w:sz="0" w:space="0" w:color="auto"/>
          </w:divBdr>
        </w:div>
        <w:div w:id="1886022654">
          <w:marLeft w:val="288"/>
          <w:marRight w:val="0"/>
          <w:marTop w:val="115"/>
          <w:marBottom w:val="0"/>
          <w:divBdr>
            <w:top w:val="none" w:sz="0" w:space="0" w:color="auto"/>
            <w:left w:val="none" w:sz="0" w:space="0" w:color="auto"/>
            <w:bottom w:val="none" w:sz="0" w:space="0" w:color="auto"/>
            <w:right w:val="none" w:sz="0" w:space="0" w:color="auto"/>
          </w:divBdr>
        </w:div>
        <w:div w:id="767233440">
          <w:marLeft w:val="720"/>
          <w:marRight w:val="0"/>
          <w:marTop w:val="96"/>
          <w:marBottom w:val="0"/>
          <w:divBdr>
            <w:top w:val="none" w:sz="0" w:space="0" w:color="auto"/>
            <w:left w:val="none" w:sz="0" w:space="0" w:color="auto"/>
            <w:bottom w:val="none" w:sz="0" w:space="0" w:color="auto"/>
            <w:right w:val="none" w:sz="0" w:space="0" w:color="auto"/>
          </w:divBdr>
        </w:div>
        <w:div w:id="1368337606">
          <w:marLeft w:val="288"/>
          <w:marRight w:val="0"/>
          <w:marTop w:val="115"/>
          <w:marBottom w:val="0"/>
          <w:divBdr>
            <w:top w:val="none" w:sz="0" w:space="0" w:color="auto"/>
            <w:left w:val="none" w:sz="0" w:space="0" w:color="auto"/>
            <w:bottom w:val="none" w:sz="0" w:space="0" w:color="auto"/>
            <w:right w:val="none" w:sz="0" w:space="0" w:color="auto"/>
          </w:divBdr>
        </w:div>
        <w:div w:id="1661419370">
          <w:marLeft w:val="720"/>
          <w:marRight w:val="0"/>
          <w:marTop w:val="96"/>
          <w:marBottom w:val="0"/>
          <w:divBdr>
            <w:top w:val="none" w:sz="0" w:space="0" w:color="auto"/>
            <w:left w:val="none" w:sz="0" w:space="0" w:color="auto"/>
            <w:bottom w:val="none" w:sz="0" w:space="0" w:color="auto"/>
            <w:right w:val="none" w:sz="0" w:space="0" w:color="auto"/>
          </w:divBdr>
        </w:div>
        <w:div w:id="874275967">
          <w:marLeft w:val="720"/>
          <w:marRight w:val="0"/>
          <w:marTop w:val="96"/>
          <w:marBottom w:val="0"/>
          <w:divBdr>
            <w:top w:val="none" w:sz="0" w:space="0" w:color="auto"/>
            <w:left w:val="none" w:sz="0" w:space="0" w:color="auto"/>
            <w:bottom w:val="none" w:sz="0" w:space="0" w:color="auto"/>
            <w:right w:val="none" w:sz="0" w:space="0" w:color="auto"/>
          </w:divBdr>
        </w:div>
        <w:div w:id="629744127">
          <w:marLeft w:val="288"/>
          <w:marRight w:val="0"/>
          <w:marTop w:val="115"/>
          <w:marBottom w:val="0"/>
          <w:divBdr>
            <w:top w:val="none" w:sz="0" w:space="0" w:color="auto"/>
            <w:left w:val="none" w:sz="0" w:space="0" w:color="auto"/>
            <w:bottom w:val="none" w:sz="0" w:space="0" w:color="auto"/>
            <w:right w:val="none" w:sz="0" w:space="0" w:color="auto"/>
          </w:divBdr>
        </w:div>
        <w:div w:id="747309560">
          <w:marLeft w:val="720"/>
          <w:marRight w:val="0"/>
          <w:marTop w:val="96"/>
          <w:marBottom w:val="0"/>
          <w:divBdr>
            <w:top w:val="none" w:sz="0" w:space="0" w:color="auto"/>
            <w:left w:val="none" w:sz="0" w:space="0" w:color="auto"/>
            <w:bottom w:val="none" w:sz="0" w:space="0" w:color="auto"/>
            <w:right w:val="none" w:sz="0" w:space="0" w:color="auto"/>
          </w:divBdr>
        </w:div>
        <w:div w:id="1658532416">
          <w:marLeft w:val="720"/>
          <w:marRight w:val="0"/>
          <w:marTop w:val="96"/>
          <w:marBottom w:val="0"/>
          <w:divBdr>
            <w:top w:val="none" w:sz="0" w:space="0" w:color="auto"/>
            <w:left w:val="none" w:sz="0" w:space="0" w:color="auto"/>
            <w:bottom w:val="none" w:sz="0" w:space="0" w:color="auto"/>
            <w:right w:val="none" w:sz="0" w:space="0" w:color="auto"/>
          </w:divBdr>
        </w:div>
      </w:divsChild>
    </w:div>
    <w:div w:id="1331831730">
      <w:bodyDiv w:val="1"/>
      <w:marLeft w:val="0"/>
      <w:marRight w:val="0"/>
      <w:marTop w:val="0"/>
      <w:marBottom w:val="0"/>
      <w:divBdr>
        <w:top w:val="none" w:sz="0" w:space="0" w:color="auto"/>
        <w:left w:val="none" w:sz="0" w:space="0" w:color="auto"/>
        <w:bottom w:val="none" w:sz="0" w:space="0" w:color="auto"/>
        <w:right w:val="none" w:sz="0" w:space="0" w:color="auto"/>
      </w:divBdr>
    </w:div>
    <w:div w:id="1555969089">
      <w:bodyDiv w:val="1"/>
      <w:marLeft w:val="0"/>
      <w:marRight w:val="0"/>
      <w:marTop w:val="0"/>
      <w:marBottom w:val="0"/>
      <w:divBdr>
        <w:top w:val="none" w:sz="0" w:space="0" w:color="auto"/>
        <w:left w:val="none" w:sz="0" w:space="0" w:color="auto"/>
        <w:bottom w:val="none" w:sz="0" w:space="0" w:color="auto"/>
        <w:right w:val="none" w:sz="0" w:space="0" w:color="auto"/>
      </w:divBdr>
    </w:div>
    <w:div w:id="1769423237">
      <w:bodyDiv w:val="1"/>
      <w:marLeft w:val="0"/>
      <w:marRight w:val="0"/>
      <w:marTop w:val="0"/>
      <w:marBottom w:val="0"/>
      <w:divBdr>
        <w:top w:val="none" w:sz="0" w:space="0" w:color="auto"/>
        <w:left w:val="none" w:sz="0" w:space="0" w:color="auto"/>
        <w:bottom w:val="none" w:sz="0" w:space="0" w:color="auto"/>
        <w:right w:val="none" w:sz="0" w:space="0" w:color="auto"/>
      </w:divBdr>
    </w:div>
    <w:div w:id="2006741684">
      <w:bodyDiv w:val="1"/>
      <w:marLeft w:val="0"/>
      <w:marRight w:val="0"/>
      <w:marTop w:val="0"/>
      <w:marBottom w:val="0"/>
      <w:divBdr>
        <w:top w:val="none" w:sz="0" w:space="0" w:color="auto"/>
        <w:left w:val="none" w:sz="0" w:space="0" w:color="auto"/>
        <w:bottom w:val="none" w:sz="0" w:space="0" w:color="auto"/>
        <w:right w:val="none" w:sz="0" w:space="0" w:color="auto"/>
      </w:divBdr>
    </w:div>
    <w:div w:id="2046784321">
      <w:bodyDiv w:val="1"/>
      <w:marLeft w:val="0"/>
      <w:marRight w:val="0"/>
      <w:marTop w:val="0"/>
      <w:marBottom w:val="0"/>
      <w:divBdr>
        <w:top w:val="none" w:sz="0" w:space="0" w:color="auto"/>
        <w:left w:val="none" w:sz="0" w:space="0" w:color="auto"/>
        <w:bottom w:val="none" w:sz="0" w:space="0" w:color="auto"/>
        <w:right w:val="none" w:sz="0" w:space="0" w:color="auto"/>
      </w:divBdr>
      <w:divsChild>
        <w:div w:id="934366583">
          <w:marLeft w:val="0"/>
          <w:marRight w:val="0"/>
          <w:marTop w:val="0"/>
          <w:marBottom w:val="0"/>
          <w:divBdr>
            <w:top w:val="none" w:sz="0" w:space="0" w:color="auto"/>
            <w:left w:val="none" w:sz="0" w:space="0" w:color="auto"/>
            <w:bottom w:val="none" w:sz="0" w:space="0" w:color="auto"/>
            <w:right w:val="none" w:sz="0" w:space="0" w:color="auto"/>
          </w:divBdr>
        </w:div>
        <w:div w:id="2137479852">
          <w:marLeft w:val="0"/>
          <w:marRight w:val="0"/>
          <w:marTop w:val="0"/>
          <w:marBottom w:val="0"/>
          <w:divBdr>
            <w:top w:val="none" w:sz="0" w:space="0" w:color="auto"/>
            <w:left w:val="none" w:sz="0" w:space="0" w:color="auto"/>
            <w:bottom w:val="none" w:sz="0" w:space="0" w:color="auto"/>
            <w:right w:val="none" w:sz="0" w:space="0" w:color="auto"/>
          </w:divBdr>
        </w:div>
        <w:div w:id="580411749">
          <w:marLeft w:val="0"/>
          <w:marRight w:val="0"/>
          <w:marTop w:val="0"/>
          <w:marBottom w:val="0"/>
          <w:divBdr>
            <w:top w:val="none" w:sz="0" w:space="0" w:color="auto"/>
            <w:left w:val="none" w:sz="0" w:space="0" w:color="auto"/>
            <w:bottom w:val="none" w:sz="0" w:space="0" w:color="auto"/>
            <w:right w:val="none" w:sz="0" w:space="0" w:color="auto"/>
          </w:divBdr>
        </w:div>
      </w:divsChild>
    </w:div>
    <w:div w:id="2082940088">
      <w:bodyDiv w:val="1"/>
      <w:marLeft w:val="0"/>
      <w:marRight w:val="0"/>
      <w:marTop w:val="0"/>
      <w:marBottom w:val="0"/>
      <w:divBdr>
        <w:top w:val="none" w:sz="0" w:space="0" w:color="auto"/>
        <w:left w:val="none" w:sz="0" w:space="0" w:color="auto"/>
        <w:bottom w:val="none" w:sz="0" w:space="0" w:color="auto"/>
        <w:right w:val="none" w:sz="0" w:space="0" w:color="auto"/>
      </w:divBdr>
    </w:div>
    <w:div w:id="2084178168">
      <w:bodyDiv w:val="1"/>
      <w:marLeft w:val="0"/>
      <w:marRight w:val="0"/>
      <w:marTop w:val="0"/>
      <w:marBottom w:val="0"/>
      <w:divBdr>
        <w:top w:val="none" w:sz="0" w:space="0" w:color="auto"/>
        <w:left w:val="none" w:sz="0" w:space="0" w:color="auto"/>
        <w:bottom w:val="none" w:sz="0" w:space="0" w:color="auto"/>
        <w:right w:val="none" w:sz="0" w:space="0" w:color="auto"/>
      </w:divBdr>
    </w:div>
    <w:div w:id="20862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sac.gov.au/internet/msac/publishing.nsf/Content/Home-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cbi.nlm.nih.gov/books/NBK1281/" TargetMode="External"/><Relationship Id="rId1" Type="http://schemas.openxmlformats.org/officeDocument/2006/relationships/hyperlink" Target="http://www.msac.gov.au/internet/msac/publishing.nsf/Content/E417A573525650C4CA25847F00235D97/$File/1585%20Final%20PSD%20-%20December%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825D8-F6E3-4256-B896-AD345266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5940</Words>
  <Characters>33859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2022-10-11T23:09:00Z</dcterms:created>
  <dcterms:modified xsi:type="dcterms:W3CDTF">2022-10-12T03:41:00Z</dcterms:modified>
</cp:coreProperties>
</file>