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D3AA9" w14:textId="0EDD7A6D" w:rsidR="00CF1B86" w:rsidRPr="000A0537" w:rsidRDefault="0044715D" w:rsidP="000A0537">
      <w:pPr>
        <w:spacing w:before="120" w:after="120" w:line="312" w:lineRule="auto"/>
        <w:jc w:val="center"/>
      </w:pPr>
      <w:bookmarkStart w:id="0" w:name="_Toc403747457"/>
      <w:bookmarkStart w:id="1" w:name="_Toc412039297"/>
      <w:r w:rsidRPr="008D5584">
        <w:rPr>
          <w:b/>
          <w:noProof/>
          <w:lang w:eastAsia="en-AU"/>
        </w:rPr>
        <w:drawing>
          <wp:inline distT="0" distB="0" distL="0" distR="0" wp14:anchorId="462FC1A1" wp14:editId="6E7BAD52">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46517847" w14:textId="4999A203" w:rsidR="00CF1B86" w:rsidRDefault="00E96ED0" w:rsidP="000A0537">
      <w:pPr>
        <w:pStyle w:val="Heading10"/>
        <w:spacing w:before="1440" w:after="960"/>
        <w:jc w:val="center"/>
        <w:rPr>
          <w:sz w:val="44"/>
          <w:szCs w:val="44"/>
        </w:rPr>
      </w:pPr>
      <w:r>
        <w:rPr>
          <w:sz w:val="72"/>
          <w:szCs w:val="72"/>
        </w:rPr>
        <w:t>RATIFIED PICO</w:t>
      </w:r>
      <w:bookmarkStart w:id="2" w:name="_GoBack"/>
      <w:bookmarkEnd w:id="2"/>
    </w:p>
    <w:p w14:paraId="681972E3" w14:textId="266D3330" w:rsidR="007A0AB4" w:rsidRPr="00D930FC" w:rsidRDefault="007A0AB4" w:rsidP="007A0AB4">
      <w:pPr>
        <w:pStyle w:val="Heading10"/>
        <w:jc w:val="center"/>
        <w:rPr>
          <w:sz w:val="44"/>
          <w:szCs w:val="44"/>
        </w:rPr>
      </w:pPr>
      <w:r w:rsidRPr="00D930FC">
        <w:rPr>
          <w:sz w:val="44"/>
          <w:szCs w:val="44"/>
        </w:rPr>
        <w:t>Application 1585:</w:t>
      </w:r>
    </w:p>
    <w:p w14:paraId="33596CB8" w14:textId="3236CE37" w:rsidR="007A0AB4" w:rsidRPr="00D930FC" w:rsidRDefault="007A0AB4" w:rsidP="007A0AB4">
      <w:pPr>
        <w:pStyle w:val="Heading10"/>
        <w:jc w:val="center"/>
        <w:rPr>
          <w:sz w:val="32"/>
          <w:szCs w:val="32"/>
        </w:rPr>
      </w:pPr>
      <w:r w:rsidRPr="00D930FC">
        <w:rPr>
          <w:color w:val="548DD4"/>
          <w:sz w:val="32"/>
          <w:szCs w:val="32"/>
        </w:rPr>
        <w:t>Genomic testing for the diagnosis of neuromuscular disorders</w:t>
      </w:r>
      <w:r w:rsidR="00185C83">
        <w:rPr>
          <w:color w:val="548DD4"/>
          <w:sz w:val="32"/>
          <w:szCs w:val="32"/>
        </w:rPr>
        <w:t xml:space="preserve"> (NMDs)</w:t>
      </w:r>
    </w:p>
    <w:p w14:paraId="51C490EC" w14:textId="77777777" w:rsidR="007A0AB4" w:rsidRPr="007A0AB4" w:rsidRDefault="007A0AB4" w:rsidP="007A0AB4">
      <w:pPr>
        <w:pStyle w:val="Heading10"/>
        <w:tabs>
          <w:tab w:val="left" w:pos="5613"/>
        </w:tabs>
        <w:spacing w:after="0"/>
        <w:jc w:val="center"/>
        <w:rPr>
          <w:sz w:val="28"/>
          <w:szCs w:val="28"/>
        </w:rPr>
      </w:pPr>
    </w:p>
    <w:p w14:paraId="2836CF83" w14:textId="5F7BDD86" w:rsidR="00D930FC" w:rsidRPr="00D930FC" w:rsidRDefault="00D930FC" w:rsidP="00D930FC">
      <w:pPr>
        <w:spacing w:before="180"/>
        <w:jc w:val="center"/>
        <w:rPr>
          <w:b/>
          <w:i/>
          <w:sz w:val="48"/>
          <w:szCs w:val="48"/>
        </w:rPr>
      </w:pPr>
      <w:r>
        <w:rPr>
          <w:b/>
          <w:sz w:val="64"/>
          <w:szCs w:val="64"/>
        </w:rPr>
        <w:br/>
      </w:r>
    </w:p>
    <w:p w14:paraId="0203B04C" w14:textId="47E0EF35" w:rsidR="007A0AB4" w:rsidRPr="00092593" w:rsidRDefault="007A0AB4" w:rsidP="00946B21">
      <w:pPr>
        <w:pStyle w:val="ListParagraph"/>
        <w:spacing w:before="180"/>
        <w:rPr>
          <w:rFonts w:ascii="Arial" w:hAnsi="Arial" w:cs="Arial"/>
          <w:b/>
          <w:sz w:val="24"/>
          <w:szCs w:val="24"/>
        </w:rPr>
      </w:pPr>
    </w:p>
    <w:p w14:paraId="57D0F5F9" w14:textId="77777777" w:rsidR="007E7E23" w:rsidRDefault="007E7E23">
      <w:pPr>
        <w:rPr>
          <w:sz w:val="20"/>
          <w:szCs w:val="20"/>
        </w:rPr>
      </w:pPr>
      <w:r>
        <w:rPr>
          <w:sz w:val="20"/>
          <w:szCs w:val="20"/>
        </w:rPr>
        <w:br w:type="page"/>
      </w:r>
    </w:p>
    <w:p w14:paraId="0D9496FE" w14:textId="77777777" w:rsidR="00892AC6" w:rsidRPr="00CA741A" w:rsidRDefault="00892AC6" w:rsidP="00892AC6">
      <w:pPr>
        <w:pStyle w:val="Heading2"/>
        <w:spacing w:line="240" w:lineRule="auto"/>
        <w:jc w:val="both"/>
        <w:rPr>
          <w:rFonts w:ascii="Cambria" w:hAnsi="Cambria"/>
          <w:i w:val="0"/>
          <w:color w:val="00B0F0"/>
          <w:sz w:val="32"/>
          <w:szCs w:val="32"/>
          <w:u w:val="none"/>
        </w:rPr>
      </w:pPr>
      <w:r w:rsidRPr="00CA741A">
        <w:rPr>
          <w:rFonts w:ascii="Cambria" w:hAnsi="Cambria"/>
          <w:i w:val="0"/>
          <w:color w:val="00B0F0"/>
          <w:sz w:val="32"/>
          <w:szCs w:val="32"/>
          <w:u w:val="none"/>
        </w:rPr>
        <w:lastRenderedPageBreak/>
        <w:t>Background</w:t>
      </w:r>
    </w:p>
    <w:p w14:paraId="40949EA1" w14:textId="594C2C35" w:rsidR="00892AC6" w:rsidRPr="00F40FCD" w:rsidRDefault="00892AC6" w:rsidP="00892AC6">
      <w:pPr>
        <w:rPr>
          <w:b/>
        </w:rPr>
      </w:pPr>
      <w:r w:rsidRPr="00F40FCD">
        <w:rPr>
          <w:b/>
          <w:sz w:val="24"/>
        </w:rPr>
        <w:t>PASC’s First Consideration (December 2019)</w:t>
      </w:r>
    </w:p>
    <w:p w14:paraId="20965FBB" w14:textId="7C4CDA2C" w:rsidR="00892AC6" w:rsidRPr="00892AC6" w:rsidRDefault="00892AC6" w:rsidP="00892AC6">
      <w:pPr>
        <w:contextualSpacing/>
        <w:rPr>
          <w:iCs/>
          <w:sz w:val="16"/>
          <w:szCs w:val="16"/>
        </w:rPr>
      </w:pPr>
      <w:r w:rsidRPr="00892AC6">
        <w:rPr>
          <w:iCs/>
        </w:rPr>
        <w:t>PASC request</w:t>
      </w:r>
      <w:r w:rsidR="00B52E45">
        <w:rPr>
          <w:iCs/>
        </w:rPr>
        <w:t>ed the revised Draft PICO return</w:t>
      </w:r>
      <w:r w:rsidRPr="00892AC6">
        <w:rPr>
          <w:iCs/>
        </w:rPr>
        <w:t xml:space="preserve"> to PASC before it can proceed to the Evaluation </w:t>
      </w:r>
      <w:r w:rsidRPr="00892AC6">
        <w:rPr>
          <w:iCs/>
        </w:rPr>
        <w:br/>
        <w:t>Sub-Committee (ESC) stage.</w:t>
      </w:r>
      <w:r w:rsidRPr="00892AC6">
        <w:rPr>
          <w:iCs/>
        </w:rPr>
        <w:br/>
      </w:r>
    </w:p>
    <w:p w14:paraId="43E34939" w14:textId="0BFEF6BB" w:rsidR="00892AC6" w:rsidRDefault="00892AC6" w:rsidP="00892AC6">
      <w:pPr>
        <w:contextualSpacing/>
      </w:pPr>
      <w:r w:rsidRPr="00892AC6">
        <w:rPr>
          <w:iCs/>
        </w:rPr>
        <w:t>PASC recommended that, once the PICO is revised and ratified (after its second consideration by PASC), it is appropriate for the assessment to follow the Clinical Utility Card (CUC) approach, with one or more ‘star performers’</w:t>
      </w:r>
      <w:r w:rsidRPr="00892AC6">
        <w:t>.</w:t>
      </w:r>
    </w:p>
    <w:p w14:paraId="1823A4AF" w14:textId="0B313556" w:rsidR="00F40FCD" w:rsidRDefault="00F40FCD" w:rsidP="00892AC6">
      <w:pPr>
        <w:contextualSpacing/>
      </w:pPr>
    </w:p>
    <w:p w14:paraId="035A2EF4" w14:textId="77777777" w:rsidR="00F40FCD" w:rsidRPr="00F40FCD" w:rsidRDefault="00F40FCD" w:rsidP="00F40FCD">
      <w:pPr>
        <w:rPr>
          <w:rFonts w:cs="Calibri"/>
        </w:rPr>
      </w:pPr>
      <w:r w:rsidRPr="00F40FCD">
        <w:rPr>
          <w:rFonts w:cs="Calibri"/>
          <w:b/>
          <w:sz w:val="24"/>
          <w:szCs w:val="24"/>
        </w:rPr>
        <w:t>PASC’s Second Consideration (April 2020)</w:t>
      </w:r>
    </w:p>
    <w:p w14:paraId="011F40BA" w14:textId="35C7EEBA" w:rsidR="00892AC6" w:rsidRPr="00F40FCD" w:rsidRDefault="00F40FCD" w:rsidP="00F40FCD">
      <w:pPr>
        <w:rPr>
          <w:color w:val="0066FF"/>
        </w:rPr>
      </w:pPr>
      <w:r w:rsidRPr="00F40FCD">
        <w:t xml:space="preserve">This application was reconsidered by PASC for a second time in April 2020. PASC’s April 2020 advice is included in </w:t>
      </w:r>
      <w:r w:rsidRPr="00B52E45">
        <w:rPr>
          <w:i/>
        </w:rPr>
        <w:t>italics</w:t>
      </w:r>
      <w:r w:rsidRPr="00F40FCD">
        <w:t>, distinguishing it from the advice provided during its first consideration in December 2019.</w:t>
      </w:r>
    </w:p>
    <w:p w14:paraId="61F3DB3A" w14:textId="77777777" w:rsidR="00892AC6" w:rsidRDefault="00892AC6" w:rsidP="00AB614A">
      <w:pPr>
        <w:pStyle w:val="Heading2"/>
        <w:spacing w:after="160" w:line="240" w:lineRule="auto"/>
        <w:jc w:val="both"/>
        <w:rPr>
          <w:color w:val="0066FF"/>
          <w:u w:val="none"/>
        </w:rPr>
      </w:pPr>
    </w:p>
    <w:p w14:paraId="49CEA7AC" w14:textId="230344BE" w:rsidR="00892AC6" w:rsidRDefault="00892AC6" w:rsidP="00AB614A">
      <w:pPr>
        <w:pStyle w:val="Heading2"/>
        <w:spacing w:after="160" w:line="240" w:lineRule="auto"/>
        <w:jc w:val="both"/>
        <w:rPr>
          <w:color w:val="0066FF"/>
          <w:u w:val="none"/>
        </w:rPr>
      </w:pPr>
    </w:p>
    <w:p w14:paraId="4F70E106" w14:textId="335BCF85" w:rsidR="00F40FCD" w:rsidRDefault="00F40FCD" w:rsidP="00F40FCD"/>
    <w:p w14:paraId="6434FAC7" w14:textId="72338B5B" w:rsidR="00F40FCD" w:rsidRDefault="00F40FCD" w:rsidP="00F40FCD"/>
    <w:p w14:paraId="3E7624CF" w14:textId="43D3E55A" w:rsidR="00F40FCD" w:rsidRDefault="00F40FCD" w:rsidP="00F40FCD"/>
    <w:p w14:paraId="33129014" w14:textId="33FECD37" w:rsidR="00F40FCD" w:rsidRDefault="00F40FCD" w:rsidP="00F40FCD"/>
    <w:p w14:paraId="51137AB7" w14:textId="527EE691" w:rsidR="00F40FCD" w:rsidRDefault="00F40FCD" w:rsidP="00F40FCD"/>
    <w:p w14:paraId="696035FE" w14:textId="08F96BA0" w:rsidR="00F40FCD" w:rsidRDefault="00F40FCD" w:rsidP="00F40FCD"/>
    <w:p w14:paraId="63A2846F" w14:textId="084AB89B" w:rsidR="00F40FCD" w:rsidRDefault="00F40FCD" w:rsidP="00F40FCD"/>
    <w:p w14:paraId="3598BB4C" w14:textId="5DBE7348" w:rsidR="00F40FCD" w:rsidRDefault="00F40FCD" w:rsidP="00F40FCD"/>
    <w:p w14:paraId="6E597781" w14:textId="4EB8DC8A" w:rsidR="00F40FCD" w:rsidRDefault="00F40FCD" w:rsidP="00F40FCD"/>
    <w:p w14:paraId="24F18821" w14:textId="61FF14AF" w:rsidR="00F40FCD" w:rsidRDefault="00F40FCD" w:rsidP="00F40FCD"/>
    <w:p w14:paraId="11C96FFE" w14:textId="5324753F" w:rsidR="00F40FCD" w:rsidRDefault="00F40FCD" w:rsidP="00F40FCD"/>
    <w:p w14:paraId="38B2DEAF" w14:textId="1F11BD6E" w:rsidR="00F40FCD" w:rsidRDefault="00F40FCD" w:rsidP="00F40FCD"/>
    <w:p w14:paraId="069CD5BE" w14:textId="6A3381ED" w:rsidR="00F40FCD" w:rsidRDefault="00F40FCD" w:rsidP="00F40FCD"/>
    <w:p w14:paraId="550C5E74" w14:textId="217466AA" w:rsidR="00F40FCD" w:rsidRDefault="00F40FCD" w:rsidP="00F40FCD"/>
    <w:p w14:paraId="0993468D" w14:textId="6D1C6A14" w:rsidR="00F40FCD" w:rsidRDefault="00F40FCD" w:rsidP="00F40FCD"/>
    <w:p w14:paraId="761E752D" w14:textId="528A8A8A" w:rsidR="00F40FCD" w:rsidRDefault="00F40FCD" w:rsidP="00F40FCD"/>
    <w:p w14:paraId="27F1AE2B" w14:textId="77777777" w:rsidR="00F40FCD" w:rsidRPr="00F40FCD" w:rsidRDefault="00F40FCD" w:rsidP="00F40FCD"/>
    <w:p w14:paraId="05DFD4A7" w14:textId="246174E8" w:rsidR="0044715D" w:rsidRDefault="0044715D" w:rsidP="00AB614A">
      <w:pPr>
        <w:pStyle w:val="Heading2"/>
        <w:spacing w:after="160" w:line="240" w:lineRule="auto"/>
        <w:jc w:val="both"/>
        <w:rPr>
          <w:color w:val="0066FF"/>
          <w:u w:val="none"/>
        </w:rPr>
      </w:pPr>
      <w:r w:rsidRPr="00946B21">
        <w:rPr>
          <w:color w:val="0066FF"/>
          <w:u w:val="none"/>
        </w:rPr>
        <w:lastRenderedPageBreak/>
        <w:t>Summary of PICO</w:t>
      </w:r>
      <w:r w:rsidR="00A84A56" w:rsidRPr="00946B21">
        <w:rPr>
          <w:color w:val="0066FF"/>
          <w:u w:val="none"/>
        </w:rPr>
        <w:t>/PPICO</w:t>
      </w:r>
      <w:r w:rsidRPr="00946B21">
        <w:rPr>
          <w:color w:val="0066FF"/>
          <w:u w:val="none"/>
        </w:rPr>
        <w:t xml:space="preserve"> criteria</w:t>
      </w:r>
      <w:bookmarkEnd w:id="0"/>
      <w:bookmarkEnd w:id="1"/>
      <w:r w:rsidR="00F12E59" w:rsidRPr="00946B21">
        <w:rPr>
          <w:color w:val="0066FF"/>
          <w:u w:val="none"/>
        </w:rPr>
        <w:t xml:space="preserve"> to define the question(s) to be addressed in an Assessment Report to the Medical Services Advisory Committee (MSAC)</w:t>
      </w:r>
    </w:p>
    <w:p w14:paraId="13AB28D2" w14:textId="6B39CCFC" w:rsidR="0039534F" w:rsidRPr="0039534F" w:rsidRDefault="0039534F" w:rsidP="0039534F">
      <w:pPr>
        <w:rPr>
          <w:color w:val="FF0000"/>
        </w:rPr>
      </w:pPr>
      <w:r w:rsidRPr="00D95527">
        <w:rPr>
          <w:b/>
          <w:color w:val="FF0000"/>
          <w:u w:val="single"/>
        </w:rPr>
        <w:t>Please note</w:t>
      </w:r>
      <w:r w:rsidRPr="00D95527">
        <w:rPr>
          <w:b/>
          <w:color w:val="FF0000"/>
        </w:rPr>
        <w:t>:</w:t>
      </w:r>
      <w:r>
        <w:rPr>
          <w:color w:val="FF0000"/>
        </w:rPr>
        <w:t xml:space="preserve"> </w:t>
      </w:r>
      <w:r w:rsidR="00D95527" w:rsidRPr="00D95527">
        <w:rPr>
          <w:iCs/>
          <w:color w:val="1F497D"/>
        </w:rPr>
        <w:t>In line with gender-neutral policie</w:t>
      </w:r>
      <w:r w:rsidR="00D95527">
        <w:rPr>
          <w:iCs/>
          <w:color w:val="1F497D"/>
        </w:rPr>
        <w:t>s and practices, references to ‘</w:t>
      </w:r>
      <w:r w:rsidR="00D95527" w:rsidRPr="00D95527">
        <w:rPr>
          <w:iCs/>
          <w:color w:val="1F497D"/>
        </w:rPr>
        <w:t xml:space="preserve">female and </w:t>
      </w:r>
      <w:r w:rsidR="00D95527">
        <w:rPr>
          <w:iCs/>
          <w:color w:val="1F497D"/>
        </w:rPr>
        <w:t>male’</w:t>
      </w:r>
      <w:r w:rsidR="00D95527" w:rsidRPr="00D95527">
        <w:rPr>
          <w:iCs/>
          <w:color w:val="1F497D"/>
        </w:rPr>
        <w:t xml:space="preserve"> are used for ease of interpretation. Gender-neutral language are usually used in any final item descriptors where appropriate.</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44715D" w:rsidRPr="00084393" w14:paraId="29151674" w14:textId="77777777" w:rsidTr="00A84A56">
        <w:trPr>
          <w:tblHeader/>
        </w:trPr>
        <w:tc>
          <w:tcPr>
            <w:tcW w:w="1005" w:type="pct"/>
            <w:tcBorders>
              <w:top w:val="single" w:sz="8" w:space="0" w:color="auto"/>
              <w:bottom w:val="single" w:sz="8" w:space="0" w:color="auto"/>
              <w:right w:val="single" w:sz="4" w:space="0" w:color="auto"/>
            </w:tcBorders>
            <w:shd w:val="clear" w:color="auto" w:fill="D9D9D9"/>
          </w:tcPr>
          <w:p w14:paraId="76EDBFF0" w14:textId="77777777" w:rsidR="0044715D" w:rsidRPr="00084393" w:rsidRDefault="00A84A56" w:rsidP="00F12E59">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19E96003" w14:textId="77777777" w:rsidR="0044715D" w:rsidRPr="00084393" w:rsidRDefault="0044715D" w:rsidP="0022326A">
            <w:pPr>
              <w:spacing w:before="20" w:after="20" w:line="240" w:lineRule="auto"/>
              <w:jc w:val="both"/>
              <w:rPr>
                <w:b/>
              </w:rPr>
            </w:pPr>
            <w:r>
              <w:rPr>
                <w:b/>
              </w:rPr>
              <w:t>Description</w:t>
            </w:r>
          </w:p>
        </w:tc>
      </w:tr>
      <w:tr w:rsidR="0044715D" w:rsidRPr="00084393" w14:paraId="6E3AD406" w14:textId="77777777" w:rsidTr="00A84A56">
        <w:tc>
          <w:tcPr>
            <w:tcW w:w="1005" w:type="pct"/>
            <w:tcBorders>
              <w:top w:val="single" w:sz="8" w:space="0" w:color="auto"/>
              <w:right w:val="single" w:sz="4" w:space="0" w:color="auto"/>
            </w:tcBorders>
          </w:tcPr>
          <w:p w14:paraId="290B1EEF" w14:textId="77777777" w:rsidR="0044715D" w:rsidRPr="00084393" w:rsidRDefault="0044715D" w:rsidP="00F12E59">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2AAE728B" w14:textId="77777777" w:rsidR="002B7287" w:rsidRPr="002B7287" w:rsidRDefault="002B7287" w:rsidP="00F42679">
            <w:pPr>
              <w:pStyle w:val="ListParagraph"/>
              <w:numPr>
                <w:ilvl w:val="0"/>
                <w:numId w:val="3"/>
              </w:numPr>
              <w:ind w:left="334" w:hanging="334"/>
            </w:pPr>
            <w:r>
              <w:t>Broad gene panel testing for:</w:t>
            </w:r>
          </w:p>
          <w:p w14:paraId="016D0F6C" w14:textId="733C939D" w:rsidR="00D70538" w:rsidRPr="00D70538" w:rsidRDefault="005807C3" w:rsidP="00F42679">
            <w:pPr>
              <w:pStyle w:val="ListParagraph"/>
              <w:numPr>
                <w:ilvl w:val="1"/>
                <w:numId w:val="2"/>
              </w:numPr>
              <w:ind w:left="774"/>
              <w:rPr>
                <w:u w:val="dotted"/>
              </w:rPr>
            </w:pPr>
            <w:r>
              <w:t xml:space="preserve">Individuals </w:t>
            </w:r>
            <w:r w:rsidR="00EB3CDD">
              <w:t xml:space="preserve">with </w:t>
            </w:r>
            <w:r w:rsidR="0058399D">
              <w:t>suspected NMD</w:t>
            </w:r>
          </w:p>
          <w:p w14:paraId="4FF55C4E" w14:textId="29E54ECB" w:rsidR="0023308D" w:rsidRPr="0023308D" w:rsidRDefault="00EC156B" w:rsidP="00F42679">
            <w:pPr>
              <w:pStyle w:val="ListParagraph"/>
              <w:numPr>
                <w:ilvl w:val="1"/>
                <w:numId w:val="2"/>
              </w:numPr>
              <w:ind w:left="774"/>
              <w:rPr>
                <w:u w:val="dotted"/>
              </w:rPr>
            </w:pPr>
            <w:r>
              <w:t xml:space="preserve">Pregnant females with </w:t>
            </w:r>
            <w:r w:rsidR="00D24B00">
              <w:t>a f</w:t>
            </w:r>
            <w:r w:rsidR="00024237">
              <w:t xml:space="preserve">etus with </w:t>
            </w:r>
            <w:r w:rsidR="007F4CE6">
              <w:t xml:space="preserve">suspected NMD and </w:t>
            </w:r>
            <w:r w:rsidR="0023308D">
              <w:t>with no family history</w:t>
            </w:r>
            <w:r w:rsidR="00EB3CDD">
              <w:t xml:space="preserve"> of NMD</w:t>
            </w:r>
            <w:r w:rsidR="0023308D">
              <w:t xml:space="preserve"> (including the family history of the reproductive male partner)</w:t>
            </w:r>
          </w:p>
          <w:p w14:paraId="12E2ED6A" w14:textId="0525F684" w:rsidR="0023308D" w:rsidRPr="0023308D" w:rsidRDefault="0047361B" w:rsidP="00F42679">
            <w:pPr>
              <w:pStyle w:val="ListParagraph"/>
              <w:numPr>
                <w:ilvl w:val="0"/>
                <w:numId w:val="2"/>
              </w:numPr>
              <w:ind w:left="348" w:hanging="348"/>
            </w:pPr>
            <w:r>
              <w:t>Variant</w:t>
            </w:r>
            <w:r w:rsidR="00A918F1">
              <w:t>-</w:t>
            </w:r>
            <w:r w:rsidR="0023308D">
              <w:t>specific detection for:</w:t>
            </w:r>
          </w:p>
          <w:p w14:paraId="26BAA89E" w14:textId="24ABFE93" w:rsidR="00480F65" w:rsidRPr="00480F65" w:rsidRDefault="006F1461" w:rsidP="00F42679">
            <w:pPr>
              <w:pStyle w:val="ListParagraph"/>
              <w:numPr>
                <w:ilvl w:val="1"/>
                <w:numId w:val="2"/>
              </w:numPr>
              <w:ind w:left="774"/>
              <w:rPr>
                <w:u w:val="dotted"/>
              </w:rPr>
            </w:pPr>
            <w:r>
              <w:t xml:space="preserve">Biologic relatives of an individual with </w:t>
            </w:r>
            <w:r w:rsidR="00F10925">
              <w:t>a</w:t>
            </w:r>
            <w:r w:rsidR="00C64ABF">
              <w:t>n a</w:t>
            </w:r>
            <w:r>
              <w:t>ctionable pathogenic variant</w:t>
            </w:r>
            <w:r w:rsidR="00CD77ED" w:rsidRPr="00CD77ED">
              <w:t xml:space="preserve"> </w:t>
            </w:r>
            <w:r>
              <w:t>of NMD</w:t>
            </w:r>
          </w:p>
          <w:p w14:paraId="2AECF695" w14:textId="2D484C72" w:rsidR="004046BB" w:rsidRDefault="004046BB" w:rsidP="00F42679">
            <w:pPr>
              <w:pStyle w:val="ListParagraph"/>
              <w:numPr>
                <w:ilvl w:val="1"/>
                <w:numId w:val="2"/>
              </w:numPr>
              <w:spacing w:after="0"/>
              <w:ind w:left="774"/>
            </w:pPr>
            <w:r>
              <w:t>Reproductive partner of an individual with an identified recessive gene variant of NMD, for the purpose of pre-pregnancy planning</w:t>
            </w:r>
          </w:p>
          <w:p w14:paraId="61E37636" w14:textId="31ED7ACA" w:rsidR="00DC2268" w:rsidRPr="00480F65" w:rsidRDefault="00480F65" w:rsidP="00F42679">
            <w:pPr>
              <w:pStyle w:val="ListParagraph"/>
              <w:numPr>
                <w:ilvl w:val="1"/>
                <w:numId w:val="2"/>
              </w:numPr>
              <w:spacing w:after="0"/>
              <w:ind w:left="774"/>
            </w:pPr>
            <w:r>
              <w:t>P</w:t>
            </w:r>
            <w:r w:rsidR="00A35ADE">
              <w:t xml:space="preserve">regnant females </w:t>
            </w:r>
            <w:r w:rsidR="00003956">
              <w:t>with a family history</w:t>
            </w:r>
            <w:r w:rsidR="00EB3CDD">
              <w:t xml:space="preserve"> of an actionable pathogenic variant of NMD</w:t>
            </w:r>
            <w:r w:rsidR="00125E9D">
              <w:t xml:space="preserve"> (including the family history of the reproductive male partner)</w:t>
            </w:r>
          </w:p>
        </w:tc>
      </w:tr>
      <w:tr w:rsidR="00A84A56" w:rsidRPr="00084393" w14:paraId="3207AD20" w14:textId="77777777" w:rsidTr="00A84A56">
        <w:tc>
          <w:tcPr>
            <w:tcW w:w="1005" w:type="pct"/>
            <w:tcBorders>
              <w:top w:val="single" w:sz="8" w:space="0" w:color="auto"/>
              <w:right w:val="single" w:sz="4" w:space="0" w:color="auto"/>
            </w:tcBorders>
          </w:tcPr>
          <w:p w14:paraId="61E4E549" w14:textId="77777777" w:rsidR="00A84A56" w:rsidRPr="00084393" w:rsidRDefault="00F12E59" w:rsidP="00871D13">
            <w:pPr>
              <w:spacing w:after="0" w:line="240" w:lineRule="auto"/>
              <w:rPr>
                <w:rFonts w:cs="Arial"/>
              </w:rPr>
            </w:pPr>
            <w:r>
              <w:rPr>
                <w:rFonts w:cs="Arial"/>
              </w:rPr>
              <w:t>Prior tests</w:t>
            </w:r>
          </w:p>
        </w:tc>
        <w:tc>
          <w:tcPr>
            <w:tcW w:w="3995" w:type="pct"/>
            <w:tcBorders>
              <w:top w:val="single" w:sz="4" w:space="0" w:color="auto"/>
              <w:left w:val="single" w:sz="4" w:space="0" w:color="auto"/>
              <w:bottom w:val="single" w:sz="4" w:space="0" w:color="auto"/>
              <w:right w:val="single" w:sz="4" w:space="0" w:color="auto"/>
            </w:tcBorders>
          </w:tcPr>
          <w:p w14:paraId="253D0C25" w14:textId="77777777" w:rsidR="00242F43" w:rsidRPr="00DD456A" w:rsidRDefault="00C8176E" w:rsidP="00871D13">
            <w:pPr>
              <w:spacing w:after="0"/>
            </w:pPr>
            <w:r>
              <w:t>None</w:t>
            </w:r>
          </w:p>
        </w:tc>
      </w:tr>
      <w:tr w:rsidR="00A84A56" w:rsidRPr="00084393" w14:paraId="2D6AC438" w14:textId="77777777" w:rsidTr="00A84A56">
        <w:tc>
          <w:tcPr>
            <w:tcW w:w="1005" w:type="pct"/>
            <w:tcBorders>
              <w:right w:val="single" w:sz="4" w:space="0" w:color="auto"/>
            </w:tcBorders>
          </w:tcPr>
          <w:p w14:paraId="6B897B9D" w14:textId="77777777" w:rsidR="00A84A56" w:rsidRPr="00084393" w:rsidRDefault="00A84A56" w:rsidP="00F12E59">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145831D2" w14:textId="1984EDEA" w:rsidR="005B601B" w:rsidRDefault="00FD3904" w:rsidP="00871D13">
            <w:pPr>
              <w:spacing w:after="0"/>
            </w:pPr>
            <w:r>
              <w:t>A</w:t>
            </w:r>
            <w:r w:rsidR="005B601B" w:rsidRPr="005B601B">
              <w:t xml:space="preserve"> gene panel test</w:t>
            </w:r>
            <w:r w:rsidR="00FA56C0">
              <w:t xml:space="preserve"> (</w:t>
            </w:r>
            <w:r>
              <w:t xml:space="preserve">either </w:t>
            </w:r>
            <w:r w:rsidR="00FA56C0">
              <w:t xml:space="preserve">myopathy panel </w:t>
            </w:r>
            <w:r w:rsidR="005807C3">
              <w:t>and/</w:t>
            </w:r>
            <w:r w:rsidR="002E1B33">
              <w:t>or</w:t>
            </w:r>
            <w:r w:rsidR="00FA56C0">
              <w:t xml:space="preserve"> neuropathy pane</w:t>
            </w:r>
            <w:r w:rsidR="001C4CC9">
              <w:t>l</w:t>
            </w:r>
            <w:r w:rsidR="00FA56C0">
              <w:t>)</w:t>
            </w:r>
            <w:r w:rsidR="002C17FF">
              <w:t xml:space="preserve"> or </w:t>
            </w:r>
            <w:r w:rsidR="0047361B">
              <w:t>variant</w:t>
            </w:r>
            <w:r w:rsidR="002C17FF">
              <w:t>-specific testing</w:t>
            </w:r>
            <w:r w:rsidR="005B601B" w:rsidRPr="005B601B">
              <w:t xml:space="preserve">, </w:t>
            </w:r>
            <w:r w:rsidR="00A50177">
              <w:t>that</w:t>
            </w:r>
            <w:r w:rsidR="005B601B" w:rsidRPr="005B601B">
              <w:t xml:space="preserve"> </w:t>
            </w:r>
            <w:r w:rsidR="006C605B">
              <w:t>are</w:t>
            </w:r>
            <w:r w:rsidR="005B601B" w:rsidRPr="005B601B">
              <w:t xml:space="preserve"> in-vitro diagnostic (IVD) test</w:t>
            </w:r>
            <w:r w:rsidR="006C605B">
              <w:t>s</w:t>
            </w:r>
            <w:r w:rsidR="00EC68DB">
              <w:t>, which</w:t>
            </w:r>
            <w:r w:rsidR="00A50177">
              <w:t xml:space="preserve"> are</w:t>
            </w:r>
            <w:r w:rsidR="005B601B" w:rsidRPr="005B601B">
              <w:t xml:space="preserve"> used to detect </w:t>
            </w:r>
            <w:r w:rsidR="00D6497D">
              <w:t xml:space="preserve">genetic </w:t>
            </w:r>
            <w:r w:rsidR="005671AC">
              <w:t>variant</w:t>
            </w:r>
            <w:r w:rsidR="00EF7127">
              <w:t xml:space="preserve">s </w:t>
            </w:r>
            <w:r w:rsidR="005671AC">
              <w:t>from</w:t>
            </w:r>
            <w:r w:rsidR="005B601B" w:rsidRPr="005B601B">
              <w:t xml:space="preserve"> a peripheral blood sample, saliva sample</w:t>
            </w:r>
            <w:r w:rsidR="006C605B">
              <w:t xml:space="preserve">, </w:t>
            </w:r>
            <w:r w:rsidR="005B601B" w:rsidRPr="005B601B">
              <w:t xml:space="preserve">buccal swab, </w:t>
            </w:r>
            <w:r w:rsidR="006C605B">
              <w:t xml:space="preserve">amniotic fluid or chorionic villi sample </w:t>
            </w:r>
            <w:r w:rsidR="00B862D8">
              <w:t xml:space="preserve">(CVS) </w:t>
            </w:r>
            <w:r w:rsidR="005B601B" w:rsidRPr="005B601B">
              <w:t xml:space="preserve">to assess whether </w:t>
            </w:r>
            <w:r w:rsidR="00A50177">
              <w:t>there is</w:t>
            </w:r>
            <w:r>
              <w:t xml:space="preserve"> </w:t>
            </w:r>
            <w:r w:rsidR="005B601B" w:rsidRPr="005B601B">
              <w:t>a</w:t>
            </w:r>
            <w:r w:rsidR="00166A0D">
              <w:t xml:space="preserve">n </w:t>
            </w:r>
            <w:r>
              <w:t>actionable pathogenic variant of NMD</w:t>
            </w:r>
            <w:r w:rsidR="005B601B" w:rsidRPr="005B601B">
              <w:t xml:space="preserve">.  </w:t>
            </w:r>
          </w:p>
          <w:p w14:paraId="167BFB77" w14:textId="3128A73B" w:rsidR="00140770" w:rsidRPr="00DD456A" w:rsidRDefault="005807C3" w:rsidP="00C52FB3">
            <w:pPr>
              <w:spacing w:before="120" w:after="0"/>
            </w:pPr>
            <w:r>
              <w:t>Requested o</w:t>
            </w:r>
            <w:r w:rsidR="00516EF7">
              <w:t xml:space="preserve">nly </w:t>
            </w:r>
            <w:r>
              <w:t xml:space="preserve">by </w:t>
            </w:r>
            <w:r w:rsidR="00516EF7">
              <w:t xml:space="preserve">specialist paediatricians, neurologists, </w:t>
            </w:r>
            <w:r w:rsidR="00C34606">
              <w:t xml:space="preserve">clinical geneticists </w:t>
            </w:r>
            <w:r w:rsidR="00516EF7">
              <w:t xml:space="preserve">or </w:t>
            </w:r>
            <w:r w:rsidR="00E07E29">
              <w:rPr>
                <w:szCs w:val="20"/>
              </w:rPr>
              <w:t>obstetricians</w:t>
            </w:r>
            <w:r w:rsidR="001541C1">
              <w:t>.</w:t>
            </w:r>
          </w:p>
        </w:tc>
      </w:tr>
      <w:tr w:rsidR="00A84A56" w:rsidRPr="00084393" w14:paraId="25BF8C00" w14:textId="77777777" w:rsidTr="00A84A56">
        <w:tc>
          <w:tcPr>
            <w:tcW w:w="1005" w:type="pct"/>
            <w:tcBorders>
              <w:right w:val="single" w:sz="4" w:space="0" w:color="auto"/>
            </w:tcBorders>
          </w:tcPr>
          <w:p w14:paraId="73F676D3" w14:textId="77777777" w:rsidR="00A84A56" w:rsidRPr="00084393" w:rsidRDefault="00A84A56" w:rsidP="00F12E59">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51397EBA" w14:textId="77777777" w:rsidR="00DC2262" w:rsidRPr="00DD456A" w:rsidRDefault="00DC2262" w:rsidP="00871D13">
            <w:pPr>
              <w:spacing w:after="0"/>
            </w:pPr>
            <w:r>
              <w:t>No genetic test</w:t>
            </w:r>
          </w:p>
        </w:tc>
      </w:tr>
      <w:tr w:rsidR="00C621ED" w:rsidRPr="00084393" w14:paraId="265BD17F" w14:textId="77777777" w:rsidTr="00A84A56">
        <w:tc>
          <w:tcPr>
            <w:tcW w:w="1005" w:type="pct"/>
            <w:tcBorders>
              <w:right w:val="single" w:sz="4" w:space="0" w:color="auto"/>
            </w:tcBorders>
          </w:tcPr>
          <w:p w14:paraId="406A9B17" w14:textId="77777777" w:rsidR="00A84A56" w:rsidRPr="00084393" w:rsidRDefault="00A84A56" w:rsidP="00F12E59">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54CC98F2" w14:textId="77777777" w:rsidR="005B7FF8" w:rsidRDefault="005B7FF8" w:rsidP="00516EF7">
            <w:pPr>
              <w:spacing w:after="0"/>
              <w:rPr>
                <w:u w:val="single"/>
              </w:rPr>
            </w:pPr>
            <w:r>
              <w:rPr>
                <w:u w:val="single"/>
              </w:rPr>
              <w:t>Safety</w:t>
            </w:r>
          </w:p>
          <w:p w14:paraId="481462B7" w14:textId="77777777" w:rsidR="005B7FF8" w:rsidRPr="00B57719" w:rsidRDefault="005B7FF8" w:rsidP="00F42679">
            <w:pPr>
              <w:pStyle w:val="ListParagraph"/>
              <w:numPr>
                <w:ilvl w:val="0"/>
                <w:numId w:val="4"/>
              </w:numPr>
              <w:spacing w:after="0"/>
              <w:ind w:left="336" w:hanging="336"/>
              <w:rPr>
                <w:u w:val="single"/>
              </w:rPr>
            </w:pPr>
            <w:r>
              <w:t>Adverse events from obtaining a sample for testing</w:t>
            </w:r>
          </w:p>
          <w:p w14:paraId="511BE869" w14:textId="77777777" w:rsidR="00B57719" w:rsidRPr="00B57719" w:rsidRDefault="00B57719" w:rsidP="00F42679">
            <w:pPr>
              <w:pStyle w:val="ListParagraph"/>
              <w:numPr>
                <w:ilvl w:val="0"/>
                <w:numId w:val="4"/>
              </w:numPr>
              <w:spacing w:after="0"/>
              <w:ind w:left="334" w:hanging="334"/>
              <w:rPr>
                <w:u w:val="single"/>
              </w:rPr>
            </w:pPr>
            <w:r>
              <w:t>Psychological adverse events from genetic testing or no genetic testing</w:t>
            </w:r>
          </w:p>
          <w:p w14:paraId="36AFED7F" w14:textId="77777777" w:rsidR="00B57719" w:rsidRPr="005B7FF8" w:rsidRDefault="00B57719" w:rsidP="00F42679">
            <w:pPr>
              <w:pStyle w:val="ListParagraph"/>
              <w:numPr>
                <w:ilvl w:val="0"/>
                <w:numId w:val="4"/>
              </w:numPr>
              <w:spacing w:after="120"/>
              <w:ind w:left="334" w:hanging="334"/>
              <w:rPr>
                <w:u w:val="single"/>
              </w:rPr>
            </w:pPr>
            <w:r>
              <w:t>Psychological effects of false positives or false negatives</w:t>
            </w:r>
          </w:p>
          <w:p w14:paraId="1636E373" w14:textId="77777777" w:rsidR="007B6EF9" w:rsidRDefault="007B6EF9" w:rsidP="00516EF7">
            <w:pPr>
              <w:spacing w:after="0"/>
              <w:rPr>
                <w:u w:val="single"/>
              </w:rPr>
            </w:pPr>
            <w:r>
              <w:rPr>
                <w:u w:val="single"/>
              </w:rPr>
              <w:t>Effectiveness</w:t>
            </w:r>
          </w:p>
          <w:p w14:paraId="3E724B7F" w14:textId="28065208" w:rsidR="007B6EF9" w:rsidRPr="0015558D" w:rsidRDefault="00CB4504" w:rsidP="00F42679">
            <w:pPr>
              <w:pStyle w:val="ListParagraph"/>
              <w:numPr>
                <w:ilvl w:val="0"/>
                <w:numId w:val="1"/>
              </w:numPr>
              <w:spacing w:after="0"/>
              <w:rPr>
                <w:u w:val="single"/>
              </w:rPr>
            </w:pPr>
            <w:r>
              <w:t>Impact on clinical management</w:t>
            </w:r>
          </w:p>
          <w:p w14:paraId="1585C644" w14:textId="2F80AD37" w:rsidR="0015558D" w:rsidRPr="00AF513D" w:rsidRDefault="0015558D" w:rsidP="00F42679">
            <w:pPr>
              <w:pStyle w:val="ListParagraph"/>
              <w:numPr>
                <w:ilvl w:val="0"/>
                <w:numId w:val="1"/>
              </w:numPr>
              <w:spacing w:after="0"/>
              <w:rPr>
                <w:u w:val="single"/>
              </w:rPr>
            </w:pPr>
            <w:r>
              <w:t>Health-related quality of life</w:t>
            </w:r>
          </w:p>
          <w:p w14:paraId="41C712D1" w14:textId="77777777" w:rsidR="00AF513D" w:rsidRPr="00AF513D" w:rsidRDefault="00AF513D" w:rsidP="00F42679">
            <w:pPr>
              <w:pStyle w:val="ListParagraph"/>
              <w:numPr>
                <w:ilvl w:val="0"/>
                <w:numId w:val="1"/>
              </w:numPr>
              <w:spacing w:after="0"/>
              <w:rPr>
                <w:u w:val="single"/>
              </w:rPr>
            </w:pPr>
            <w:r>
              <w:t>Impact on decisions for future reproduction</w:t>
            </w:r>
          </w:p>
          <w:p w14:paraId="0D29A0F0" w14:textId="02702483" w:rsidR="00AF513D" w:rsidRPr="00AF513D" w:rsidRDefault="00AF513D" w:rsidP="00F42679">
            <w:pPr>
              <w:pStyle w:val="ListParagraph"/>
              <w:numPr>
                <w:ilvl w:val="0"/>
                <w:numId w:val="1"/>
              </w:numPr>
              <w:spacing w:after="0"/>
              <w:rPr>
                <w:u w:val="single"/>
              </w:rPr>
            </w:pPr>
            <w:r>
              <w:t xml:space="preserve">Termination rate due to presence of specific </w:t>
            </w:r>
            <w:r w:rsidR="005671AC">
              <w:t>genetic variant</w:t>
            </w:r>
            <w:r w:rsidR="00EF7127">
              <w:t>s</w:t>
            </w:r>
          </w:p>
          <w:p w14:paraId="110FD5D5" w14:textId="60EC3FD0" w:rsidR="00AF513D" w:rsidRPr="00A42EFD" w:rsidRDefault="00185C83" w:rsidP="00F42679">
            <w:pPr>
              <w:pStyle w:val="ListParagraph"/>
              <w:numPr>
                <w:ilvl w:val="0"/>
                <w:numId w:val="1"/>
              </w:numPr>
              <w:spacing w:after="120"/>
              <w:rPr>
                <w:u w:val="single"/>
              </w:rPr>
            </w:pPr>
            <w:r>
              <w:t xml:space="preserve">Reduction </w:t>
            </w:r>
            <w:r w:rsidR="005B7FF8">
              <w:t xml:space="preserve">in proportion of children born </w:t>
            </w:r>
            <w:r>
              <w:t xml:space="preserve">with </w:t>
            </w:r>
            <w:r w:rsidR="005B7FF8">
              <w:t>NMD</w:t>
            </w:r>
          </w:p>
          <w:p w14:paraId="278AFA29" w14:textId="30A42C3B" w:rsidR="00C621ED" w:rsidRDefault="00A42EFD" w:rsidP="00A42EFD">
            <w:pPr>
              <w:spacing w:after="0"/>
              <w:rPr>
                <w:u w:val="single"/>
              </w:rPr>
            </w:pPr>
            <w:r>
              <w:rPr>
                <w:u w:val="single"/>
              </w:rPr>
              <w:t>Analytical validity</w:t>
            </w:r>
            <w:r w:rsidR="00C621ED">
              <w:rPr>
                <w:rStyle w:val="EndnoteReference"/>
                <w:u w:val="single"/>
              </w:rPr>
              <w:endnoteReference w:id="1"/>
            </w:r>
          </w:p>
          <w:p w14:paraId="19ABD010" w14:textId="77777777" w:rsidR="00C621ED" w:rsidRPr="00891FA2" w:rsidRDefault="00C621ED" w:rsidP="00F42679">
            <w:pPr>
              <w:pStyle w:val="ListParagraph"/>
              <w:numPr>
                <w:ilvl w:val="0"/>
                <w:numId w:val="5"/>
              </w:numPr>
              <w:spacing w:after="0"/>
              <w:ind w:left="334" w:hanging="334"/>
              <w:rPr>
                <w:u w:val="single"/>
              </w:rPr>
            </w:pPr>
            <w:r>
              <w:t>Analytical sensitivity and specificity</w:t>
            </w:r>
          </w:p>
          <w:p w14:paraId="6F59AF21" w14:textId="77777777" w:rsidR="00C621ED" w:rsidRPr="00891FA2" w:rsidRDefault="00C621ED" w:rsidP="00F42679">
            <w:pPr>
              <w:pStyle w:val="ListParagraph"/>
              <w:numPr>
                <w:ilvl w:val="0"/>
                <w:numId w:val="5"/>
              </w:numPr>
              <w:spacing w:after="0"/>
              <w:ind w:left="334" w:hanging="334"/>
              <w:rPr>
                <w:u w:val="single"/>
              </w:rPr>
            </w:pPr>
            <w:r>
              <w:t>Likelihood ratios</w:t>
            </w:r>
          </w:p>
          <w:p w14:paraId="5EA08377" w14:textId="77777777" w:rsidR="00C621ED" w:rsidRPr="00891FA2" w:rsidRDefault="00C621ED" w:rsidP="00F42679">
            <w:pPr>
              <w:pStyle w:val="ListParagraph"/>
              <w:numPr>
                <w:ilvl w:val="0"/>
                <w:numId w:val="5"/>
              </w:numPr>
              <w:spacing w:after="0"/>
              <w:ind w:left="334" w:hanging="334"/>
              <w:rPr>
                <w:u w:val="single"/>
              </w:rPr>
            </w:pPr>
            <w:r>
              <w:t>Rate of repeat testing</w:t>
            </w:r>
          </w:p>
          <w:p w14:paraId="4EE05D72" w14:textId="77777777" w:rsidR="00C621ED" w:rsidRPr="00891FA2" w:rsidRDefault="00C621ED" w:rsidP="00F42679">
            <w:pPr>
              <w:pStyle w:val="ListParagraph"/>
              <w:numPr>
                <w:ilvl w:val="0"/>
                <w:numId w:val="5"/>
              </w:numPr>
              <w:ind w:left="334" w:hanging="334"/>
              <w:rPr>
                <w:u w:val="single"/>
              </w:rPr>
            </w:pPr>
            <w:r>
              <w:t>Rate of repeat data analysis</w:t>
            </w:r>
          </w:p>
          <w:p w14:paraId="106DC9DD" w14:textId="18C79B38" w:rsidR="00C621ED" w:rsidRDefault="00C621ED" w:rsidP="00891FA2">
            <w:pPr>
              <w:spacing w:after="0"/>
              <w:rPr>
                <w:u w:val="single"/>
              </w:rPr>
            </w:pPr>
            <w:r>
              <w:rPr>
                <w:u w:val="single"/>
              </w:rPr>
              <w:t>Clinical validity</w:t>
            </w:r>
            <w:r>
              <w:rPr>
                <w:rStyle w:val="EndnoteReference"/>
                <w:u w:val="single"/>
              </w:rPr>
              <w:endnoteReference w:id="2"/>
            </w:r>
          </w:p>
          <w:p w14:paraId="5EE5E8E4" w14:textId="77777777" w:rsidR="00C621ED" w:rsidRPr="00F85F91" w:rsidRDefault="00C621ED" w:rsidP="00F42679">
            <w:pPr>
              <w:pStyle w:val="ListParagraph"/>
              <w:numPr>
                <w:ilvl w:val="0"/>
                <w:numId w:val="6"/>
              </w:numPr>
              <w:spacing w:after="0"/>
              <w:ind w:left="334" w:hanging="334"/>
              <w:rPr>
                <w:u w:val="single"/>
              </w:rPr>
            </w:pPr>
            <w:r>
              <w:lastRenderedPageBreak/>
              <w:t>Clinical specificity and sensitivity</w:t>
            </w:r>
          </w:p>
          <w:p w14:paraId="35246937" w14:textId="77777777" w:rsidR="00C621ED" w:rsidRPr="00891FA2" w:rsidRDefault="00C621ED" w:rsidP="00F42679">
            <w:pPr>
              <w:pStyle w:val="ListParagraph"/>
              <w:numPr>
                <w:ilvl w:val="0"/>
                <w:numId w:val="6"/>
              </w:numPr>
              <w:spacing w:after="0"/>
              <w:ind w:left="334" w:hanging="334"/>
              <w:rPr>
                <w:u w:val="single"/>
              </w:rPr>
            </w:pPr>
            <w:r>
              <w:t>Positive and negative predictor values</w:t>
            </w:r>
          </w:p>
          <w:p w14:paraId="50E53C85" w14:textId="77777777" w:rsidR="00C621ED" w:rsidRPr="00516EF7" w:rsidRDefault="00C621ED" w:rsidP="00AB614A">
            <w:pPr>
              <w:spacing w:before="120" w:after="0"/>
              <w:rPr>
                <w:u w:val="single"/>
              </w:rPr>
            </w:pPr>
            <w:r w:rsidRPr="00516EF7">
              <w:rPr>
                <w:u w:val="single"/>
              </w:rPr>
              <w:t>Healthcare resources</w:t>
            </w:r>
          </w:p>
          <w:p w14:paraId="054F967B" w14:textId="54D0A884" w:rsidR="00C621ED" w:rsidRDefault="00C621ED" w:rsidP="00F42679">
            <w:pPr>
              <w:pStyle w:val="ListParagraph"/>
              <w:numPr>
                <w:ilvl w:val="0"/>
                <w:numId w:val="1"/>
              </w:numPr>
            </w:pPr>
            <w:r>
              <w:t>Cost of gene panel test or variant specific test</w:t>
            </w:r>
          </w:p>
          <w:p w14:paraId="594CB031" w14:textId="77777777" w:rsidR="00C621ED" w:rsidRDefault="00C621ED" w:rsidP="00F42679">
            <w:pPr>
              <w:pStyle w:val="ListParagraph"/>
              <w:numPr>
                <w:ilvl w:val="0"/>
                <w:numId w:val="1"/>
              </w:numPr>
            </w:pPr>
            <w:r>
              <w:t>Number of, and cost associated with obtaining an appropriate sample</w:t>
            </w:r>
          </w:p>
          <w:p w14:paraId="6E103AE3" w14:textId="77777777" w:rsidR="00C621ED" w:rsidRDefault="00C621ED" w:rsidP="00F42679">
            <w:pPr>
              <w:pStyle w:val="ListParagraph"/>
              <w:numPr>
                <w:ilvl w:val="0"/>
                <w:numId w:val="1"/>
              </w:numPr>
            </w:pPr>
            <w:r>
              <w:t>Additional medical practitioner consultations</w:t>
            </w:r>
          </w:p>
          <w:p w14:paraId="7FB016AA" w14:textId="4581D364" w:rsidR="00C621ED" w:rsidRDefault="00C621ED" w:rsidP="00F42679">
            <w:pPr>
              <w:pStyle w:val="ListParagraph"/>
              <w:numPr>
                <w:ilvl w:val="0"/>
                <w:numId w:val="1"/>
              </w:numPr>
            </w:pPr>
            <w:r>
              <w:t>Cost of re-testing and/or data reanalysis</w:t>
            </w:r>
          </w:p>
          <w:p w14:paraId="21626FDF" w14:textId="77777777" w:rsidR="00C621ED" w:rsidRDefault="00C621ED" w:rsidP="00F42679">
            <w:pPr>
              <w:pStyle w:val="ListParagraph"/>
              <w:numPr>
                <w:ilvl w:val="0"/>
                <w:numId w:val="1"/>
              </w:numPr>
            </w:pPr>
            <w:r>
              <w:t>Cost of genetic counselling</w:t>
            </w:r>
          </w:p>
          <w:p w14:paraId="586A7814" w14:textId="287429BB" w:rsidR="00C621ED" w:rsidRDefault="00C621ED" w:rsidP="00F42679">
            <w:pPr>
              <w:pStyle w:val="ListParagraph"/>
              <w:numPr>
                <w:ilvl w:val="0"/>
                <w:numId w:val="1"/>
              </w:numPr>
            </w:pPr>
            <w:r>
              <w:t>Cost offset by reducing number of diagnostic tests</w:t>
            </w:r>
          </w:p>
          <w:p w14:paraId="0B71AA1A" w14:textId="3057B02B" w:rsidR="00C621ED" w:rsidRDefault="00C621ED" w:rsidP="00F42679">
            <w:pPr>
              <w:pStyle w:val="ListParagraph"/>
              <w:numPr>
                <w:ilvl w:val="0"/>
                <w:numId w:val="1"/>
              </w:numPr>
            </w:pPr>
            <w:r>
              <w:t>Cost of targeted therapies</w:t>
            </w:r>
          </w:p>
          <w:p w14:paraId="078D8EB5" w14:textId="77777777" w:rsidR="00C621ED" w:rsidRDefault="00C621ED" w:rsidP="00F42679">
            <w:pPr>
              <w:pStyle w:val="ListParagraph"/>
              <w:numPr>
                <w:ilvl w:val="0"/>
                <w:numId w:val="1"/>
              </w:numPr>
            </w:pPr>
            <w:r>
              <w:t>Cost of pregnancy termination</w:t>
            </w:r>
          </w:p>
          <w:p w14:paraId="5CA85765" w14:textId="2F74A00E" w:rsidR="00C621ED" w:rsidRDefault="00C621ED" w:rsidP="00F42679">
            <w:pPr>
              <w:pStyle w:val="ListParagraph"/>
              <w:numPr>
                <w:ilvl w:val="0"/>
                <w:numId w:val="1"/>
              </w:numPr>
            </w:pPr>
            <w:r>
              <w:t xml:space="preserve">Cost offset by </w:t>
            </w:r>
            <w:r w:rsidR="00185C83">
              <w:t xml:space="preserve">the effect of </w:t>
            </w:r>
            <w:r>
              <w:t>reducing number of births with NMD</w:t>
            </w:r>
            <w:r w:rsidR="00185C83">
              <w:t>s</w:t>
            </w:r>
          </w:p>
          <w:p w14:paraId="412DACE3" w14:textId="77777777" w:rsidR="00C621ED" w:rsidRDefault="00C621ED" w:rsidP="00F42679">
            <w:pPr>
              <w:pStyle w:val="ListParagraph"/>
              <w:numPr>
                <w:ilvl w:val="0"/>
                <w:numId w:val="1"/>
              </w:numPr>
            </w:pPr>
            <w:r>
              <w:t>Cost per quality-adjusted life year</w:t>
            </w:r>
          </w:p>
          <w:p w14:paraId="104E4939" w14:textId="77777777" w:rsidR="00C621ED" w:rsidRPr="00EE2CE0" w:rsidRDefault="00C621ED" w:rsidP="00F42679">
            <w:pPr>
              <w:pStyle w:val="ListParagraph"/>
              <w:numPr>
                <w:ilvl w:val="0"/>
                <w:numId w:val="1"/>
              </w:numPr>
              <w:spacing w:after="0"/>
            </w:pPr>
            <w:r>
              <w:t>Total Australian Government healthcare costs</w:t>
            </w:r>
          </w:p>
        </w:tc>
      </w:tr>
    </w:tbl>
    <w:p w14:paraId="5F74AE39" w14:textId="6F83B351" w:rsidR="00C621ED" w:rsidRPr="00984E5C" w:rsidRDefault="00C621ED" w:rsidP="00EC36F3">
      <w:pPr>
        <w:pStyle w:val="Heading2"/>
        <w:spacing w:before="240" w:after="80"/>
        <w:rPr>
          <w:rFonts w:ascii="Cambria" w:hAnsi="Cambria"/>
          <w:i w:val="0"/>
          <w:color w:val="00B0F0"/>
          <w:sz w:val="32"/>
          <w:szCs w:val="32"/>
          <w:u w:val="none"/>
        </w:rPr>
      </w:pPr>
      <w:r w:rsidRPr="00984E5C">
        <w:rPr>
          <w:rFonts w:ascii="Cambria" w:hAnsi="Cambria"/>
          <w:i w:val="0"/>
          <w:color w:val="00B0F0"/>
          <w:sz w:val="32"/>
          <w:szCs w:val="32"/>
          <w:u w:val="none"/>
        </w:rPr>
        <w:lastRenderedPageBreak/>
        <w:t>POPULATION</w:t>
      </w:r>
    </w:p>
    <w:p w14:paraId="67FA6628" w14:textId="2A41C8EB" w:rsidR="00C621ED" w:rsidRPr="00EC36F3" w:rsidRDefault="00C621ED" w:rsidP="00547EA1">
      <w:pPr>
        <w:spacing w:after="0"/>
        <w:rPr>
          <w:b/>
          <w:bCs/>
          <w:iCs/>
          <w:color w:val="00B0F0"/>
        </w:rPr>
      </w:pPr>
      <w:r w:rsidRPr="0039534F">
        <w:rPr>
          <w:b/>
          <w:bCs/>
          <w:iCs/>
          <w:color w:val="00B0F0"/>
          <w:u w:val="single"/>
        </w:rPr>
        <w:t>Please note</w:t>
      </w:r>
      <w:r w:rsidRPr="00EC36F3">
        <w:rPr>
          <w:b/>
          <w:bCs/>
          <w:iCs/>
          <w:color w:val="00B0F0"/>
        </w:rPr>
        <w:t xml:space="preserve">: As per the Human Genome Variation Society (HGVS) recommendations </w:t>
      </w:r>
      <w:r w:rsidRPr="00EC36F3">
        <w:rPr>
          <w:b/>
          <w:bCs/>
          <w:iCs/>
          <w:color w:val="00B0F0"/>
        </w:rPr>
        <w:fldChar w:fldCharType="begin">
          <w:fldData xml:space="preserve">PEVuZE5vdGU+PENpdGU+PEF1dGhvcj5kZW4gRHVubmVuPC9BdXRob3I+PFllYXI+MjAxNjwvWWVh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</w:fldData>
        </w:fldChar>
      </w:r>
      <w:r w:rsidRPr="00EC36F3">
        <w:rPr>
          <w:b/>
          <w:bCs/>
          <w:iCs/>
          <w:color w:val="00B0F0"/>
        </w:rPr>
        <w:instrText xml:space="preserve"> ADDIN EN.CITE </w:instrText>
      </w:r>
      <w:r w:rsidRPr="00EC36F3">
        <w:rPr>
          <w:b/>
          <w:bCs/>
          <w:iCs/>
          <w:color w:val="00B0F0"/>
        </w:rPr>
        <w:fldChar w:fldCharType="begin">
          <w:fldData xml:space="preserve">PEVuZE5vdGU+PENpdGU+PEF1dGhvcj5kZW4gRHVubmVuPC9BdXRob3I+PFllYXI+MjAxNjwvWWVh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</w:fldData>
        </w:fldChar>
      </w:r>
      <w:r w:rsidRPr="00EC36F3">
        <w:rPr>
          <w:b/>
          <w:bCs/>
          <w:iCs/>
          <w:color w:val="00B0F0"/>
        </w:rPr>
        <w:instrText xml:space="preserve"> ADDIN EN.CITE.DATA </w:instrText>
      </w:r>
      <w:r w:rsidRPr="00EC36F3">
        <w:rPr>
          <w:b/>
          <w:bCs/>
          <w:iCs/>
          <w:color w:val="00B0F0"/>
        </w:rPr>
      </w:r>
      <w:r w:rsidRPr="00EC36F3">
        <w:rPr>
          <w:b/>
          <w:bCs/>
          <w:iCs/>
          <w:color w:val="00B0F0"/>
        </w:rPr>
        <w:fldChar w:fldCharType="end"/>
      </w:r>
      <w:r w:rsidRPr="00EC36F3">
        <w:rPr>
          <w:b/>
          <w:bCs/>
          <w:iCs/>
          <w:color w:val="00B0F0"/>
        </w:rPr>
      </w:r>
      <w:r w:rsidRPr="00EC36F3">
        <w:rPr>
          <w:b/>
          <w:bCs/>
          <w:iCs/>
          <w:color w:val="00B0F0"/>
        </w:rPr>
        <w:fldChar w:fldCharType="separate"/>
      </w:r>
      <w:r w:rsidRPr="00EC36F3">
        <w:rPr>
          <w:b/>
          <w:bCs/>
          <w:iCs/>
          <w:color w:val="00B0F0"/>
        </w:rPr>
        <w:t>(den Dunnen et al. 2016)</w:t>
      </w:r>
      <w:r w:rsidRPr="00EC36F3">
        <w:rPr>
          <w:b/>
          <w:bCs/>
          <w:iCs/>
          <w:color w:val="00B0F0"/>
        </w:rPr>
        <w:fldChar w:fldCharType="end"/>
      </w:r>
      <w:r>
        <w:rPr>
          <w:b/>
          <w:bCs/>
          <w:iCs/>
          <w:color w:val="00B0F0"/>
        </w:rPr>
        <w:t>, the t</w:t>
      </w:r>
      <w:r w:rsidRPr="00EC36F3">
        <w:rPr>
          <w:b/>
          <w:bCs/>
          <w:iCs/>
          <w:color w:val="00B0F0"/>
        </w:rPr>
        <w:t>erm ‘variant’ should be (and has been) used to replace the outdated term ‘mutation’</w:t>
      </w:r>
    </w:p>
    <w:p w14:paraId="5BB0C933" w14:textId="77777777" w:rsidR="00547EA1" w:rsidRPr="00547EA1" w:rsidRDefault="00547EA1" w:rsidP="006D5AAF">
      <w:pPr>
        <w:spacing w:after="80"/>
        <w:rPr>
          <w:b/>
          <w:bCs/>
          <w:i/>
          <w:iCs/>
          <w:sz w:val="6"/>
          <w:szCs w:val="6"/>
        </w:rPr>
      </w:pPr>
    </w:p>
    <w:p w14:paraId="75FFF17E" w14:textId="77777777" w:rsidR="00547EA1" w:rsidRPr="00892AC6" w:rsidRDefault="00547EA1" w:rsidP="00547EA1">
      <w:pPr>
        <w:spacing w:after="0"/>
        <w:rPr>
          <w:b/>
          <w:bCs/>
          <w:i/>
          <w:iCs/>
          <w:sz w:val="18"/>
          <w:szCs w:val="16"/>
        </w:rPr>
      </w:pPr>
    </w:p>
    <w:p w14:paraId="6136116A" w14:textId="7CEA1B74" w:rsidR="00C621ED" w:rsidRPr="00892AC6" w:rsidRDefault="00C621ED" w:rsidP="006D5AAF">
      <w:pPr>
        <w:spacing w:after="80"/>
        <w:rPr>
          <w:b/>
          <w:bCs/>
          <w:iCs/>
          <w:sz w:val="24"/>
        </w:rPr>
      </w:pPr>
      <w:r w:rsidRPr="00892AC6">
        <w:rPr>
          <w:b/>
          <w:bCs/>
          <w:iCs/>
          <w:sz w:val="24"/>
        </w:rPr>
        <w:t>PASC’s First Consideration (December 2019)</w:t>
      </w:r>
    </w:p>
    <w:p w14:paraId="1543C3BD" w14:textId="1F6B17D8" w:rsidR="00C621ED" w:rsidRPr="00892AC6" w:rsidRDefault="00C621ED" w:rsidP="00186439">
      <w:pPr>
        <w:spacing w:after="120"/>
        <w:rPr>
          <w:iCs/>
          <w:sz w:val="16"/>
          <w:szCs w:val="16"/>
        </w:rPr>
      </w:pPr>
      <w:r w:rsidRPr="00892AC6">
        <w:rPr>
          <w:iCs/>
        </w:rPr>
        <w:t>PASC noted the difficulty of accurately estimating prevalence and incidence of the included conditions. Although most of the individual conditions are relatively rare, they are (as a group) common.</w:t>
      </w:r>
    </w:p>
    <w:p w14:paraId="05DD96D8" w14:textId="26842F41" w:rsidR="00C621ED" w:rsidRPr="00892AC6" w:rsidRDefault="00C621ED" w:rsidP="00461F6B">
      <w:pPr>
        <w:spacing w:after="160"/>
        <w:rPr>
          <w:rFonts w:eastAsia="Times New Roman"/>
          <w:iCs/>
          <w:color w:val="000000"/>
          <w:szCs w:val="20"/>
          <w:lang w:eastAsia="en-AU"/>
        </w:rPr>
      </w:pPr>
      <w:r w:rsidRPr="00892AC6">
        <w:rPr>
          <w:rFonts w:eastAsia="Times New Roman"/>
          <w:iCs/>
          <w:color w:val="000000"/>
          <w:szCs w:val="20"/>
          <w:lang w:eastAsia="en-AU"/>
        </w:rPr>
        <w:t xml:space="preserve">PASC confirmed it is unlikely to be appropriate to restrict the population to a certain age group – while the majority of patients will present early (early age of onset is </w:t>
      </w:r>
      <w:r w:rsidR="00185C83" w:rsidRPr="00892AC6">
        <w:rPr>
          <w:rFonts w:eastAsia="Times New Roman"/>
          <w:iCs/>
          <w:color w:val="000000"/>
          <w:szCs w:val="20"/>
          <w:lang w:eastAsia="en-AU"/>
        </w:rPr>
        <w:t xml:space="preserve">often </w:t>
      </w:r>
      <w:r w:rsidRPr="00892AC6">
        <w:rPr>
          <w:rFonts w:eastAsia="Times New Roman"/>
          <w:iCs/>
          <w:color w:val="000000"/>
          <w:szCs w:val="20"/>
          <w:lang w:eastAsia="en-AU"/>
        </w:rPr>
        <w:t xml:space="preserve">a predictor of more severe disease), some might present later in life. </w:t>
      </w:r>
    </w:p>
    <w:p w14:paraId="221C413F" w14:textId="29BBC751" w:rsidR="00C621ED" w:rsidRPr="00892AC6" w:rsidRDefault="00C621ED" w:rsidP="00461F6B">
      <w:pPr>
        <w:spacing w:after="160"/>
        <w:rPr>
          <w:rFonts w:eastAsia="Times New Roman"/>
          <w:iCs/>
          <w:color w:val="000000"/>
          <w:szCs w:val="20"/>
          <w:lang w:eastAsia="en-AU"/>
        </w:rPr>
      </w:pPr>
      <w:r w:rsidRPr="00892AC6">
        <w:rPr>
          <w:rFonts w:eastAsia="Times New Roman"/>
          <w:iCs/>
          <w:color w:val="000000"/>
          <w:szCs w:val="20"/>
          <w:lang w:eastAsia="en-AU"/>
        </w:rPr>
        <w:t xml:space="preserve">PASC identified numerous neuromuscular disorders (NMDs) that should be excluded from the proposed medical service, because some NMDs are not detectable using next-generation sequencing (NGS) - e.g. Charcot-Marie-Tooth type 1 and Huntington disease, which require copy-number testing. PASC therefore advised that the target population needs to be defined more carefully, either by using more focussed terminology, or listing all exclusions. </w:t>
      </w:r>
    </w:p>
    <w:p w14:paraId="72FEAD6F" w14:textId="3FF277BB" w:rsidR="00C621ED" w:rsidRPr="00892AC6" w:rsidRDefault="00C621ED" w:rsidP="00461F6B">
      <w:pPr>
        <w:spacing w:after="160"/>
        <w:rPr>
          <w:rFonts w:eastAsia="Times New Roman"/>
          <w:iCs/>
          <w:color w:val="000000"/>
          <w:szCs w:val="20"/>
          <w:lang w:eastAsia="en-AU"/>
        </w:rPr>
      </w:pPr>
      <w:r w:rsidRPr="00892AC6">
        <w:rPr>
          <w:rFonts w:eastAsia="Times New Roman"/>
          <w:iCs/>
          <w:color w:val="000000"/>
          <w:szCs w:val="20"/>
          <w:lang w:eastAsia="en-AU"/>
        </w:rPr>
        <w:t>The applicant stated that, while this is correct, it is a complex issue, specifically regarding inclusion of MBS item 73294. The Department is of the view that, given the small number of specifically-funded tests, this use could be described in the Practice Note.</w:t>
      </w:r>
    </w:p>
    <w:p w14:paraId="559FE4FC" w14:textId="633A52AB" w:rsidR="00C621ED" w:rsidRPr="00892AC6" w:rsidRDefault="0093693A" w:rsidP="000D0D5D">
      <w:pPr>
        <w:spacing w:after="160"/>
      </w:pPr>
      <w:r>
        <w:rPr>
          <w:rFonts w:eastAsia="Times New Roman"/>
          <w:iCs/>
          <w:color w:val="000000"/>
          <w:szCs w:val="20"/>
          <w:lang w:eastAsia="en-AU"/>
        </w:rPr>
        <w:t>The applicant responded that i</w:t>
      </w:r>
      <w:r w:rsidR="00C621ED" w:rsidRPr="00892AC6">
        <w:rPr>
          <w:rFonts w:eastAsia="Times New Roman"/>
          <w:iCs/>
          <w:color w:val="000000"/>
          <w:szCs w:val="20"/>
          <w:lang w:eastAsia="en-AU"/>
        </w:rPr>
        <w:t xml:space="preserve">nclusion of an appropriate Practice Note for the proposed MBS item may negate concerns around testing for late-onset </w:t>
      </w:r>
      <w:r w:rsidR="00C621ED" w:rsidRPr="00892AC6">
        <w:t xml:space="preserve">Charcot-Marie-Tooth disease type 1A (CMT1A) and the use of MBS item 73294 (genetic testing for PMP22 for the diagnosis of CMT1A). The applicant added that testing for CMT1A may be a first-line test in some patients (prior to testing with the proposed NMD panel). The applicant </w:t>
      </w:r>
      <w:r w:rsidR="00185C83" w:rsidRPr="00892AC6">
        <w:t xml:space="preserve">reiterated that </w:t>
      </w:r>
      <w:r w:rsidR="00C621ED" w:rsidRPr="00892AC6">
        <w:t xml:space="preserve">this is a complex issue that needs resolving. </w:t>
      </w:r>
      <w:r w:rsidR="00B52E45">
        <w:t>The Department confirmed</w:t>
      </w:r>
      <w:r w:rsidR="00C621ED" w:rsidRPr="00892AC6">
        <w:t xml:space="preserve"> that, as it </w:t>
      </w:r>
      <w:r w:rsidR="00B52E45">
        <w:t>stood, the proposed algorithm did</w:t>
      </w:r>
      <w:r w:rsidR="00C621ED" w:rsidRPr="00892AC6">
        <w:t xml:space="preserve"> not include single gene testing prior to the proposed panel. </w:t>
      </w:r>
    </w:p>
    <w:p w14:paraId="49645C2B" w14:textId="0AA6ACD2" w:rsidR="00C621ED" w:rsidRPr="00892AC6" w:rsidRDefault="00C621ED" w:rsidP="000D0D5D">
      <w:pPr>
        <w:spacing w:after="160"/>
      </w:pPr>
      <w:r w:rsidRPr="00892AC6">
        <w:lastRenderedPageBreak/>
        <w:t>The Department agreed there may be exceptional specific instances where a single gene test may be preferentially performed ahead of an NM panel (with PMP22 testing), noting Royal College of Pathologists of Australasia (RCPA) advice that this would only relate to a very few clinical instances.</w:t>
      </w:r>
    </w:p>
    <w:p w14:paraId="2A30B224" w14:textId="24D72AE6" w:rsidR="00C621ED" w:rsidRPr="00892AC6" w:rsidRDefault="00C621ED" w:rsidP="000D0D5D">
      <w:pPr>
        <w:spacing w:after="160"/>
      </w:pPr>
      <w:r w:rsidRPr="00892AC6">
        <w:t xml:space="preserve">Hence, it has not been included as a standard step in the algorithm (i.e. the algorithms remain unaltered on this point). </w:t>
      </w:r>
    </w:p>
    <w:p w14:paraId="16407026" w14:textId="0CAD353B" w:rsidR="00C621ED" w:rsidRPr="00F40FCD" w:rsidRDefault="00C621ED" w:rsidP="000F1DF6">
      <w:pPr>
        <w:rPr>
          <w:iCs/>
        </w:rPr>
      </w:pPr>
      <w:r w:rsidRPr="00892AC6">
        <w:rPr>
          <w:iCs/>
        </w:rPr>
        <w:t>PASC noted that, if certain conditions are excluded (because NGS is not a suitable technology for all NMDs, or they are already covered by other MBS items), they will fall outside the scope of the evaluation. This will have a large impact on the economic evaluation and financial estimates.</w:t>
      </w:r>
      <w:r w:rsidRPr="002B68D0">
        <w:rPr>
          <w:color w:val="000000" w:themeColor="text1"/>
        </w:rPr>
        <w:t xml:space="preserve"> </w:t>
      </w:r>
      <w:r w:rsidRPr="00F40FCD">
        <w:rPr>
          <w:iCs/>
        </w:rPr>
        <w:t>The proposed intervention is test agnostic, in order to capture NMDs that cannot be diagnosed via NGS. This is documented in the PICO under the heading ‘Intervention’ (included under variant-specific testing, 2</w:t>
      </w:r>
      <w:r w:rsidRPr="00F40FCD">
        <w:rPr>
          <w:iCs/>
          <w:vertAlign w:val="superscript"/>
        </w:rPr>
        <w:t>nd</w:t>
      </w:r>
      <w:r w:rsidRPr="00F40FCD">
        <w:rPr>
          <w:iCs/>
        </w:rPr>
        <w:t xml:space="preserve"> para). Mitochondrial myopathies are out of scope for this application.</w:t>
      </w:r>
    </w:p>
    <w:p w14:paraId="7D27315A" w14:textId="12A413DE" w:rsidR="00C621ED" w:rsidRPr="00F40FCD" w:rsidRDefault="00C621ED" w:rsidP="000F1DF6">
      <w:pPr>
        <w:spacing w:after="0"/>
        <w:rPr>
          <w:rFonts w:asciiTheme="minorHAnsi" w:hAnsiTheme="minorHAnsi" w:cstheme="minorHAnsi"/>
          <w:iCs/>
          <w:sz w:val="16"/>
          <w:szCs w:val="16"/>
        </w:rPr>
      </w:pPr>
      <w:r w:rsidRPr="00F40FCD">
        <w:rPr>
          <w:iCs/>
        </w:rPr>
        <w:t>PASC also noted h</w:t>
      </w:r>
      <w:r w:rsidRPr="00F40FCD">
        <w:rPr>
          <w:rFonts w:asciiTheme="minorHAnsi" w:hAnsiTheme="minorHAnsi" w:cstheme="minorHAnsi"/>
          <w:iCs/>
        </w:rPr>
        <w:t xml:space="preserve">ereditary neuropathy can be a component of several autosomal recessive neurometabolic disorders (such as Refsum disease, metachromatic leukodystrophy and Krabbe disease), so appropriate testing should be performed if indicated. Other conditions associated with neuropathy include mitochondrial diseases, Friedreich ataxia, X-linked adrenomyeloneuropathy, and Pelizaeus-Merzbacher disease </w:t>
      </w:r>
      <w:r w:rsidR="00185C83" w:rsidRPr="00F40FCD">
        <w:rPr>
          <w:rFonts w:asciiTheme="minorHAnsi" w:hAnsiTheme="minorHAnsi" w:cstheme="minorHAnsi"/>
          <w:iCs/>
        </w:rPr>
        <w:t xml:space="preserve">(PMD) </w:t>
      </w:r>
      <w:r w:rsidRPr="00F40FCD">
        <w:rPr>
          <w:rFonts w:asciiTheme="minorHAnsi" w:hAnsiTheme="minorHAnsi" w:cstheme="minorHAnsi"/>
          <w:iCs/>
        </w:rPr>
        <w:t>(X-linked). Such disorders do not appear to have been considered in this application.</w:t>
      </w:r>
    </w:p>
    <w:p w14:paraId="614CDA85" w14:textId="0AE3D63A" w:rsidR="00C621ED" w:rsidRPr="00F40FCD" w:rsidRDefault="00C621ED" w:rsidP="00B91C67">
      <w:pPr>
        <w:spacing w:before="160" w:after="0"/>
        <w:rPr>
          <w:rFonts w:eastAsia="Times New Roman"/>
          <w:iCs/>
          <w:color w:val="000000"/>
          <w:szCs w:val="20"/>
          <w:lang w:eastAsia="en-AU"/>
        </w:rPr>
      </w:pPr>
      <w:r w:rsidRPr="00F40FCD">
        <w:rPr>
          <w:rFonts w:eastAsia="Times New Roman"/>
          <w:iCs/>
          <w:color w:val="000000"/>
          <w:szCs w:val="20"/>
          <w:lang w:eastAsia="en-AU"/>
        </w:rPr>
        <w:t>The applicant advised that Friedreich ataxia is mostly due to a trinucleotide repeat expansion, and PMD frequently assoc</w:t>
      </w:r>
      <w:r w:rsidR="003D7263" w:rsidRPr="00F40FCD">
        <w:rPr>
          <w:rFonts w:eastAsia="Times New Roman"/>
          <w:iCs/>
          <w:color w:val="000000"/>
          <w:szCs w:val="20"/>
          <w:lang w:eastAsia="en-AU"/>
        </w:rPr>
        <w:t>iated with copy number variant</w:t>
      </w:r>
      <w:r w:rsidR="00185C83" w:rsidRPr="00F40FCD">
        <w:rPr>
          <w:rFonts w:eastAsia="Times New Roman"/>
          <w:iCs/>
          <w:color w:val="000000"/>
          <w:szCs w:val="20"/>
          <w:lang w:eastAsia="en-AU"/>
        </w:rPr>
        <w:t xml:space="preserve"> (CNV)</w:t>
      </w:r>
      <w:r w:rsidRPr="00F40FCD">
        <w:rPr>
          <w:rFonts w:eastAsia="Times New Roman"/>
          <w:iCs/>
          <w:color w:val="000000"/>
          <w:szCs w:val="20"/>
          <w:lang w:eastAsia="en-AU"/>
        </w:rPr>
        <w:t>. While CNV detection is possible with the use of a gene panel, currently repeat expansions represent a challenge. The applicant added that proposed MBS item AAAA clearly states “a genetic neuromuscular disorder other than those associated with variants that are not detected by massively parallel sequencing”. The applicant is of the view that it will be cumbersome to list all exclusions, rather than having the generic statement. In addition, technologies/analyses change, and sensitivity is likely to improve in the future.</w:t>
      </w:r>
    </w:p>
    <w:p w14:paraId="23D2C9A9" w14:textId="312C37D2" w:rsidR="00C621ED" w:rsidRPr="00F40FCD" w:rsidRDefault="00C621ED" w:rsidP="00B91C67">
      <w:pPr>
        <w:spacing w:before="160" w:after="0"/>
        <w:rPr>
          <w:rFonts w:eastAsia="Times New Roman"/>
          <w:iCs/>
          <w:color w:val="000000"/>
          <w:szCs w:val="20"/>
          <w:lang w:eastAsia="en-AU"/>
        </w:rPr>
      </w:pPr>
      <w:r w:rsidRPr="00F40FCD">
        <w:rPr>
          <w:rFonts w:eastAsia="Times New Roman"/>
          <w:iCs/>
          <w:color w:val="000000"/>
          <w:szCs w:val="20"/>
          <w:lang w:eastAsia="en-AU"/>
        </w:rPr>
        <w:t>There is broad agreement (between the applicant, assessment group and Department) that the proposed MBS item should be silent on genes that are not detectable by massively parallel sequencing.</w:t>
      </w:r>
    </w:p>
    <w:p w14:paraId="5C681DF8" w14:textId="58A3F1CF" w:rsidR="00C621ED" w:rsidRPr="00F40FCD" w:rsidRDefault="00C621ED" w:rsidP="00B91C67">
      <w:pPr>
        <w:spacing w:before="160" w:after="0"/>
        <w:rPr>
          <w:rFonts w:eastAsia="Times New Roman"/>
          <w:iCs/>
          <w:color w:val="000000"/>
          <w:szCs w:val="20"/>
          <w:lang w:eastAsia="en-AU"/>
        </w:rPr>
      </w:pPr>
      <w:r w:rsidRPr="00F40FCD">
        <w:rPr>
          <w:rFonts w:eastAsia="Times New Roman"/>
          <w:iCs/>
          <w:color w:val="000000"/>
          <w:szCs w:val="20"/>
          <w:lang w:eastAsia="en-AU"/>
        </w:rPr>
        <w:t>The applicant advised that genes for</w:t>
      </w:r>
      <w:r w:rsidRPr="00F40FCD">
        <w:rPr>
          <w:rFonts w:eastAsia="Times New Roman"/>
          <w:b/>
          <w:bCs/>
          <w:iCs/>
          <w:color w:val="000000"/>
          <w:szCs w:val="20"/>
          <w:lang w:eastAsia="en-AU"/>
        </w:rPr>
        <w:t xml:space="preserve"> </w:t>
      </w:r>
      <w:r w:rsidRPr="00F40FCD">
        <w:rPr>
          <w:rFonts w:eastAsia="Times New Roman"/>
          <w:iCs/>
          <w:color w:val="000000"/>
          <w:szCs w:val="20"/>
          <w:lang w:eastAsia="en-AU"/>
        </w:rPr>
        <w:t>X-linked adrenomyeloneuropathy, and Pelizaeus-Merzbacher disease (X-linked), are on the panel. However, mitochondrial disorders are not detected by the panel. It is noted later in this PICO that mitochondrial DNA is not tested.</w:t>
      </w:r>
    </w:p>
    <w:p w14:paraId="57A836D6" w14:textId="77777777" w:rsidR="00C621ED" w:rsidRPr="00F40FCD" w:rsidRDefault="00C621ED" w:rsidP="00E9240A">
      <w:pPr>
        <w:spacing w:before="160" w:after="0"/>
        <w:rPr>
          <w:rFonts w:eastAsia="Times New Roman"/>
          <w:iCs/>
          <w:color w:val="000000"/>
          <w:szCs w:val="20"/>
          <w:lang w:eastAsia="en-AU"/>
        </w:rPr>
      </w:pPr>
      <w:r w:rsidRPr="00F40FCD">
        <w:rPr>
          <w:rFonts w:eastAsia="Times New Roman"/>
          <w:iCs/>
          <w:color w:val="000000"/>
          <w:szCs w:val="20"/>
          <w:lang w:eastAsia="en-AU"/>
        </w:rPr>
        <w:t xml:space="preserve">PASC advised that redrafting the application to address these issues would require different algorithms to cover the different approaches. </w:t>
      </w:r>
    </w:p>
    <w:p w14:paraId="700D3DF5" w14:textId="125F4F29" w:rsidR="00C621ED" w:rsidRPr="00F40FCD" w:rsidRDefault="00C621ED" w:rsidP="00437107">
      <w:pPr>
        <w:spacing w:before="160" w:after="0"/>
        <w:rPr>
          <w:rFonts w:eastAsia="Times New Roman"/>
          <w:iCs/>
          <w:color w:val="000000"/>
          <w:szCs w:val="20"/>
          <w:lang w:eastAsia="en-AU"/>
        </w:rPr>
      </w:pPr>
      <w:bookmarkStart w:id="3" w:name="_Hlk35846249"/>
      <w:r w:rsidRPr="00F40FCD">
        <w:rPr>
          <w:rFonts w:eastAsia="Times New Roman"/>
          <w:iCs/>
          <w:color w:val="000000"/>
          <w:szCs w:val="20"/>
          <w:lang w:eastAsia="en-AU"/>
        </w:rPr>
        <w:t xml:space="preserve">PASC advised that, for conditions that are autosomal recessive, an MBS item for reproductive partner testing will be required. An estimate of </w:t>
      </w:r>
      <w:r w:rsidR="00185C83" w:rsidRPr="00F40FCD">
        <w:rPr>
          <w:rFonts w:eastAsia="Times New Roman"/>
          <w:iCs/>
          <w:color w:val="000000"/>
          <w:szCs w:val="20"/>
          <w:lang w:eastAsia="en-AU"/>
        </w:rPr>
        <w:t xml:space="preserve">the </w:t>
      </w:r>
      <w:r w:rsidRPr="00F40FCD">
        <w:rPr>
          <w:rFonts w:eastAsia="Times New Roman"/>
          <w:iCs/>
          <w:color w:val="000000"/>
          <w:szCs w:val="20"/>
          <w:lang w:eastAsia="en-AU"/>
        </w:rPr>
        <w:t>size of this population is required, and will need to be included in financial estimates. A statement on genetic testing of reproductive partner</w:t>
      </w:r>
      <w:r w:rsidR="00185C83" w:rsidRPr="00F40FCD">
        <w:rPr>
          <w:rFonts w:eastAsia="Times New Roman"/>
          <w:iCs/>
          <w:color w:val="000000"/>
          <w:szCs w:val="20"/>
          <w:lang w:eastAsia="en-AU"/>
        </w:rPr>
        <w:t>s</w:t>
      </w:r>
      <w:r w:rsidRPr="00F40FCD">
        <w:rPr>
          <w:rFonts w:eastAsia="Times New Roman"/>
          <w:iCs/>
          <w:color w:val="000000"/>
          <w:szCs w:val="20"/>
          <w:lang w:eastAsia="en-AU"/>
        </w:rPr>
        <w:t xml:space="preserve"> for autosomal recessive conditions has been added to the intervention. </w:t>
      </w:r>
    </w:p>
    <w:p w14:paraId="2A00462F" w14:textId="0B9E54E1" w:rsidR="00C621ED" w:rsidRPr="00F40FCD" w:rsidRDefault="00C621ED" w:rsidP="00437107">
      <w:pPr>
        <w:spacing w:before="160" w:after="0"/>
        <w:rPr>
          <w:rFonts w:eastAsia="Times New Roman"/>
          <w:iCs/>
          <w:color w:val="000000"/>
          <w:szCs w:val="20"/>
          <w:lang w:eastAsia="en-AU"/>
        </w:rPr>
      </w:pPr>
      <w:r w:rsidRPr="00F40FCD">
        <w:rPr>
          <w:rFonts w:eastAsia="Times New Roman"/>
          <w:iCs/>
          <w:color w:val="000000"/>
          <w:szCs w:val="20"/>
          <w:lang w:eastAsia="en-AU"/>
        </w:rPr>
        <w:t>The applicant agreed that item BBBB should be amended to reflect partner testing for recessive conditions. The assessment group has added a separate MBS item to cover this group.</w:t>
      </w:r>
    </w:p>
    <w:p w14:paraId="6071B597" w14:textId="6B79E001" w:rsidR="00C621ED" w:rsidRPr="00F40FCD" w:rsidRDefault="00C621ED" w:rsidP="00E9240A">
      <w:pPr>
        <w:spacing w:before="160" w:after="0"/>
        <w:rPr>
          <w:iCs/>
        </w:rPr>
      </w:pPr>
      <w:r w:rsidRPr="00F40FCD">
        <w:rPr>
          <w:rFonts w:eastAsia="Times New Roman"/>
          <w:iCs/>
          <w:color w:val="000000"/>
          <w:szCs w:val="20"/>
          <w:lang w:eastAsia="en-AU"/>
        </w:rPr>
        <w:t>An estimate of size of the population needing reproductive partner testing for autosomal recessive conditions has not been completed. The applicant will need to advise whether a new MBS item is required for reproductive partner testing of autosomal recessive conditions or if proposed MBS item ‘CCCC’ will capture this population subgroup.</w:t>
      </w:r>
    </w:p>
    <w:bookmarkEnd w:id="3"/>
    <w:p w14:paraId="1506B7FC" w14:textId="574A9311" w:rsidR="00C621ED" w:rsidRPr="00BF5A3D" w:rsidRDefault="00C621ED" w:rsidP="000F1DF6">
      <w:pPr>
        <w:spacing w:before="240"/>
      </w:pPr>
      <w:r w:rsidRPr="002B68D0">
        <w:lastRenderedPageBreak/>
        <w:t>Neuromuscular disorders (NMDs) are a broad range of generally progressive disorders affecting the peripheral nervous system and muscle and neuromuscular junctions. Although grouped under a single name, individuals present with a high level of clinical and genetic heterogeneity along with</w:t>
      </w:r>
      <w:r w:rsidRPr="00BF5A3D">
        <w:t xml:space="preserve"> overlapping phenotypes</w:t>
      </w:r>
      <w:r w:rsidRPr="002B68D0">
        <w:rPr>
          <w:rStyle w:val="EndnoteReference"/>
        </w:rPr>
        <w:endnoteReference w:id="3"/>
      </w:r>
      <w:r w:rsidRPr="002B68D0">
        <w:t>. A common aspect of all NMDs is abnormal muscle function with associated clinical burden.</w:t>
      </w:r>
      <w:r w:rsidRPr="00BF5A3D">
        <w:t xml:space="preserve"> The clinical and genetic heterogeneities of NMDs make disease diagnosis complicated and expensive, often invo</w:t>
      </w:r>
      <w:r w:rsidRPr="00892AC6">
        <w:t>lving multiple tests</w:t>
      </w:r>
      <w:r w:rsidRPr="002B68D0">
        <w:rPr>
          <w:rStyle w:val="EndnoteReference"/>
        </w:rPr>
        <w:endnoteReference w:id="4"/>
      </w:r>
      <w:r w:rsidRPr="002B68D0">
        <w:t xml:space="preserve">. While treatment options for NMD were </w:t>
      </w:r>
      <w:r w:rsidR="00185C83" w:rsidRPr="00BF5A3D">
        <w:t xml:space="preserve">historically </w:t>
      </w:r>
      <w:r w:rsidRPr="00892AC6">
        <w:t>poor, new developments offer curative interventions or improvements decreasing morbidity and mortality</w:t>
      </w:r>
      <w:r w:rsidRPr="002B68D0">
        <w:rPr>
          <w:rStyle w:val="EndnoteReference"/>
        </w:rPr>
        <w:endnoteReference w:id="5"/>
      </w:r>
      <w:r w:rsidRPr="002B68D0">
        <w:t>. However, novel treatments for NMD are guided by the underlying molecular pathology and establishment of a specific genetic diagnosis.</w:t>
      </w:r>
    </w:p>
    <w:p w14:paraId="50BBE85F" w14:textId="10BBF54F" w:rsidR="00C621ED" w:rsidRPr="00F40FCD" w:rsidRDefault="00C621ED" w:rsidP="00071969">
      <w:pPr>
        <w:spacing w:after="120"/>
      </w:pPr>
      <w:r w:rsidRPr="00F40FCD">
        <w:t xml:space="preserve">Neuromuscular disorders can be allocated into four broad categories: </w:t>
      </w:r>
    </w:p>
    <w:p w14:paraId="7ADA7F0D" w14:textId="62E6DC1E" w:rsidR="00C621ED" w:rsidRPr="00F40FCD" w:rsidRDefault="00C621ED" w:rsidP="00F42679">
      <w:pPr>
        <w:pStyle w:val="ListParagraph"/>
        <w:numPr>
          <w:ilvl w:val="0"/>
          <w:numId w:val="18"/>
        </w:numPr>
        <w:spacing w:after="240"/>
      </w:pPr>
      <w:r w:rsidRPr="00F40FCD">
        <w:t>Muscle disorders, comprising myopathies, myotonias and muscular dystrophies</w:t>
      </w:r>
    </w:p>
    <w:p w14:paraId="2C82065D" w14:textId="27DC5314" w:rsidR="00C621ED" w:rsidRPr="00F40FCD" w:rsidRDefault="00C621ED" w:rsidP="00F42679">
      <w:pPr>
        <w:pStyle w:val="ListParagraph"/>
        <w:numPr>
          <w:ilvl w:val="0"/>
          <w:numId w:val="18"/>
        </w:numPr>
        <w:spacing w:after="240"/>
      </w:pPr>
      <w:r w:rsidRPr="00F40FCD">
        <w:t xml:space="preserve">Motor neuron disorders </w:t>
      </w:r>
    </w:p>
    <w:p w14:paraId="4CBC52D2" w14:textId="0D8EF949" w:rsidR="00C621ED" w:rsidRPr="00F40FCD" w:rsidRDefault="00C621ED" w:rsidP="00F42679">
      <w:pPr>
        <w:pStyle w:val="ListParagraph"/>
        <w:numPr>
          <w:ilvl w:val="0"/>
          <w:numId w:val="18"/>
        </w:numPr>
        <w:spacing w:after="240"/>
      </w:pPr>
      <w:r w:rsidRPr="00F40FCD">
        <w:t>Peripheral neuropathies</w:t>
      </w:r>
    </w:p>
    <w:p w14:paraId="46E6C803" w14:textId="1F5636B5" w:rsidR="00C621ED" w:rsidRPr="002B68D0" w:rsidRDefault="00C621ED" w:rsidP="00F42679">
      <w:pPr>
        <w:pStyle w:val="ListParagraph"/>
        <w:numPr>
          <w:ilvl w:val="0"/>
          <w:numId w:val="18"/>
        </w:numPr>
        <w:spacing w:after="240"/>
      </w:pPr>
      <w:r w:rsidRPr="00F40FCD">
        <w:t xml:space="preserve">Neuromuscular junction disorders </w:t>
      </w:r>
      <w:r w:rsidRPr="002B68D0">
        <w:fldChar w:fldCharType="begin"/>
      </w:r>
      <w:r w:rsidRPr="00F40FCD">
        <w:instrText xml:space="preserve"> ADDIN EN.CITE &lt;EndNote&gt;&lt;Cite&gt;&lt;Author&gt;Arnold&lt;/Author&gt;&lt;Year&gt;2012&lt;/Year&gt;&lt;RecNum&gt;70&lt;/RecNum&gt;&lt;IDText&gt;22938877&lt;/IDText&gt;&lt;DisplayText&gt;(Arnold &amp;amp; Flanigan 2012)&lt;/DisplayText&gt;&lt;record&gt;&lt;rec-number&gt;70&lt;/rec-number&gt;&lt;foreign-keys&gt;&lt;key app="EN" db-id="waxaxvrdgtwrrmepz2r5pa9mezettsdr0z0a" timestamp="1532399268"&gt;70&lt;/key&gt;&lt;/foreign-keys&gt;&lt;ref-type name="Journal Article"&gt;17&lt;/ref-type&gt;&lt;contributors&gt;&lt;authors&gt;&lt;author&gt;Arnold, W. D.&lt;/author&gt;&lt;author&gt;Flanigan, K. M.&lt;/author&gt;&lt;/authors&gt;&lt;/contributors&gt;&lt;auth-address&gt;Division of Neuromuscular Disorders, Department of Neurology, Wexner Medical Center at the Ohio State University, The Ohio State University, 395 W. 12th Avenue, 7th Floor, Columbus, OH 43210, USA. William.Arnold@osumc.edu&lt;/auth-address&gt;&lt;titles&gt;&lt;title&gt;A practical approach to molecular diagnostic testing in neuromuscular diseases&lt;/title&gt;&lt;secondary-title&gt;Phys Med Rehabil Clin N Am&lt;/secondary-title&gt;&lt;/titles&gt;&lt;periodical&gt;&lt;full-title&gt;Phys Med Rehabil Clin N Am&lt;/full-title&gt;&lt;/periodical&gt;&lt;pages&gt;589-608&lt;/pages&gt;&lt;volume&gt;23&lt;/volume&gt;&lt;number&gt;3&lt;/number&gt;&lt;keywords&gt;&lt;keyword&gt;Charcot-Marie-Tooth Disease/diagnosis/genetics&lt;/keyword&gt;&lt;keyword&gt;*Genetic Testing&lt;/keyword&gt;&lt;keyword&gt;Humans&lt;/keyword&gt;&lt;keyword&gt;*Molecular Diagnostic Techniques&lt;/keyword&gt;&lt;keyword&gt;Motor Neuron Disease/diagnosis/genetics&lt;/keyword&gt;&lt;keyword&gt;Muscular Dystrophies/diagnosis/genetics&lt;/keyword&gt;&lt;keyword&gt;Neuromuscular Diseases/*diagnosis/*genetics&lt;/keyword&gt;&lt;keyword&gt;Pedigree&lt;/keyword&gt;&lt;/keywords&gt;&lt;dates&gt;&lt;year&gt;2012&lt;/year&gt;&lt;pub-dates&gt;&lt;date&gt;Aug&lt;/date&gt;&lt;/pub-dates&gt;&lt;/dates&gt;&lt;isbn&gt;1558-1381 (Electronic)&amp;#xD;1047-9651 (Linking)&lt;/isbn&gt;&lt;accession-num&gt;22938877&lt;/accession-num&gt;&lt;urls&gt;&lt;related-urls&gt;&lt;url&gt;http://www.ncbi.nlm.nih.gov/pubmed/22938877&lt;/url&gt;&lt;/related-urls&gt;&lt;/urls&gt;&lt;electronic-resource-num&gt;10.1016/j.pmr.2012.06.002&lt;/electronic-resource-num&gt;&lt;/record&gt;&lt;/Cite&gt;&lt;/EndNote&gt;</w:instrText>
      </w:r>
      <w:r w:rsidRPr="002B68D0">
        <w:fldChar w:fldCharType="separate"/>
      </w:r>
      <w:r w:rsidRPr="002B68D0">
        <w:rPr>
          <w:noProof/>
        </w:rPr>
        <w:t>(Arnold &amp; Flanigan 2012)</w:t>
      </w:r>
      <w:r w:rsidRPr="002B68D0">
        <w:fldChar w:fldCharType="end"/>
      </w:r>
      <w:r w:rsidRPr="002B68D0">
        <w:t xml:space="preserve">  </w:t>
      </w:r>
    </w:p>
    <w:p w14:paraId="3DCD014F" w14:textId="4FABA8D3" w:rsidR="00C621ED" w:rsidRPr="00892AC6" w:rsidRDefault="00C621ED" w:rsidP="00CC2B59">
      <w:pPr>
        <w:spacing w:after="240"/>
      </w:pPr>
      <w:r w:rsidRPr="00BF5A3D">
        <w:t xml:space="preserve">It should be noted that genetic heterogeneity exists not only for NMDs as a group, but also within subgroups. Genetic variants are seen within subgroups, </w:t>
      </w:r>
      <w:r w:rsidR="00185C83" w:rsidRPr="00892AC6">
        <w:t xml:space="preserve">and </w:t>
      </w:r>
      <w:r w:rsidRPr="00892AC6">
        <w:t xml:space="preserve">they </w:t>
      </w:r>
      <w:r w:rsidR="00185C83" w:rsidRPr="00892AC6">
        <w:t xml:space="preserve">may </w:t>
      </w:r>
      <w:r w:rsidRPr="00892AC6">
        <w:t>have varying phenotype</w:t>
      </w:r>
      <w:r w:rsidR="00185C83" w:rsidRPr="00892AC6">
        <w:t>s</w:t>
      </w:r>
      <w:r w:rsidRPr="00892AC6">
        <w:t xml:space="preserve">. </w:t>
      </w:r>
    </w:p>
    <w:p w14:paraId="11F86CBA" w14:textId="6F51355A" w:rsidR="00C621ED" w:rsidRPr="002B68D0" w:rsidRDefault="00C621ED" w:rsidP="000A0CAD">
      <w:pPr>
        <w:spacing w:after="160"/>
      </w:pPr>
      <w:r w:rsidRPr="00F40FCD">
        <w:t>The applicant confirmed that, given demyelinating peripheral neuropathies are not usually considered motor neuron diseases (and hereditary sensory neuropathies usually come under the heading of neuromuscular disorders [</w:t>
      </w:r>
      <w:r w:rsidR="00185C83" w:rsidRPr="00F40FCD">
        <w:t xml:space="preserve">and </w:t>
      </w:r>
      <w:r w:rsidRPr="00F40FCD">
        <w:t xml:space="preserve">are </w:t>
      </w:r>
      <w:r w:rsidR="00185C83" w:rsidRPr="00F40FCD">
        <w:t xml:space="preserve">also </w:t>
      </w:r>
      <w:r w:rsidRPr="00F40FCD">
        <w:t>not motor neuron diseases], neuropathies should be included as a category. This also applies to ataxias.</w:t>
      </w:r>
      <w:r w:rsidRPr="002B68D0">
        <w:t xml:space="preserve"> </w:t>
      </w:r>
    </w:p>
    <w:p w14:paraId="7CB80777" w14:textId="211FECD9" w:rsidR="00C621ED" w:rsidRPr="002B68D0" w:rsidRDefault="00C621ED" w:rsidP="00035626">
      <w:pPr>
        <w:spacing w:after="240"/>
      </w:pPr>
      <w:r w:rsidRPr="00BF5A3D">
        <w:t xml:space="preserve">NMDs tend to be genetic in origin and can be inherited as autosomal dominant, autosomal recessive, X-linked or mitochondrial traits, however, </w:t>
      </w:r>
      <w:r w:rsidRPr="00F40FCD">
        <w:t>de novo</w:t>
      </w:r>
      <w:r w:rsidRPr="002B68D0">
        <w:t xml:space="preserve"> pathogenic variants are also common (up to 30% for Duchenne muscular dystrophy [DMD])</w:t>
      </w:r>
      <w:r w:rsidRPr="002B68D0">
        <w:rPr>
          <w:rStyle w:val="EndnoteReference"/>
        </w:rPr>
        <w:endnoteReference w:id="6"/>
      </w:r>
      <w:r w:rsidRPr="002B68D0">
        <w:rPr>
          <w:rStyle w:val="EndnoteReference"/>
        </w:rPr>
        <w:endnoteReference w:id="7"/>
      </w:r>
      <w:r w:rsidRPr="002B68D0">
        <w:t>.  At least 761 different NMD disorders exist associated with &gt;500 known genes</w:t>
      </w:r>
      <w:r w:rsidRPr="002B68D0">
        <w:rPr>
          <w:rStyle w:val="EndnoteReference"/>
        </w:rPr>
        <w:endnoteReference w:id="8"/>
      </w:r>
      <w:r w:rsidRPr="002B68D0">
        <w:t xml:space="preserve"> (refer to Neuromuscular Disorders Gene Table website </w:t>
      </w:r>
      <w:hyperlink r:id="rId9" w:history="1">
        <w:r w:rsidRPr="002B68D0">
          <w:rPr>
            <w:rStyle w:val="Hyperlink"/>
          </w:rPr>
          <w:t>www.musclegenetable.fr</w:t>
        </w:r>
      </w:hyperlink>
      <w:r w:rsidRPr="002B68D0">
        <w:rPr>
          <w:rStyle w:val="Hyperlink"/>
        </w:rPr>
        <w:t>)</w:t>
      </w:r>
      <w:r w:rsidRPr="002B68D0">
        <w:t>.</w:t>
      </w:r>
    </w:p>
    <w:p w14:paraId="3B036348" w14:textId="04379D49" w:rsidR="00C621ED" w:rsidRDefault="00C621ED" w:rsidP="00035626">
      <w:r>
        <w:t>According to the Muscular Dystrophy Foundation Australia, more than 20,000 people are affected nationally with some form of NMD and many more are undiagnosed</w:t>
      </w:r>
      <w:r>
        <w:rPr>
          <w:rStyle w:val="EndnoteReference"/>
        </w:rPr>
        <w:endnoteReference w:id="9"/>
      </w:r>
      <w:r>
        <w:t xml:space="preserve">.  Individually, these diseases </w:t>
      </w:r>
      <w:r w:rsidRPr="004C5A86">
        <w:t>are rare, but as a group, NMD prevalence is greater than 33 per 100,000.  For myopathy related NMD, the incidence of</w:t>
      </w:r>
      <w:r w:rsidRPr="00C52FB3">
        <w:t xml:space="preserve"> common</w:t>
      </w:r>
      <w:r w:rsidRPr="004C5A86">
        <w:t xml:space="preserve"> muscular dystrophies is </w:t>
      </w:r>
      <w:r w:rsidRPr="00C52FB3">
        <w:t>estimated to be between</w:t>
      </w:r>
      <w:r w:rsidRPr="004C5A86">
        <w:t xml:space="preserve"> </w:t>
      </w:r>
      <w:r w:rsidRPr="00C52FB3">
        <w:t>13</w:t>
      </w:r>
      <w:r w:rsidRPr="004C5A86">
        <w:t>.</w:t>
      </w:r>
      <w:r w:rsidRPr="00C52FB3">
        <w:t>0 and 17.9</w:t>
      </w:r>
      <w:r w:rsidRPr="004C5A86">
        <w:t xml:space="preserve"> per 100,000 and the prevalence of all other myopathies in the United States is estimated to be </w:t>
      </w:r>
      <w:r w:rsidRPr="00C52FB3">
        <w:t>2</w:t>
      </w:r>
      <w:r w:rsidRPr="004C5A86">
        <w:t>.</w:t>
      </w:r>
      <w:r w:rsidRPr="00C52FB3">
        <w:t>0</w:t>
      </w:r>
      <w:r w:rsidRPr="004C5A86">
        <w:t xml:space="preserve"> per 100,000, although both are seen to be underestimates of the</w:t>
      </w:r>
      <w:r w:rsidRPr="00C52FB3">
        <w:t>ir</w:t>
      </w:r>
      <w:r w:rsidRPr="004C5A86">
        <w:t xml:space="preserve"> </w:t>
      </w:r>
      <w:r w:rsidRPr="00C52FB3">
        <w:t>respective</w:t>
      </w:r>
      <w:r w:rsidRPr="004C5A86">
        <w:t xml:space="preserve"> rate</w:t>
      </w:r>
      <w:r w:rsidRPr="00C52FB3">
        <w:t>s</w:t>
      </w:r>
      <w:r w:rsidRPr="00C52FB3">
        <w:rPr>
          <w:rStyle w:val="EndnoteReference"/>
        </w:rPr>
        <w:endnoteReference w:id="10"/>
      </w:r>
      <w:r w:rsidRPr="00C52FB3">
        <w:rPr>
          <w:vertAlign w:val="superscript"/>
        </w:rPr>
        <w:t>,</w:t>
      </w:r>
      <w:r w:rsidRPr="00C52FB3">
        <w:rPr>
          <w:rStyle w:val="EndnoteReference"/>
        </w:rPr>
        <w:endnoteReference w:id="11"/>
      </w:r>
      <w:r w:rsidRPr="004C5A86">
        <w:t>.</w:t>
      </w:r>
      <w:r>
        <w:t xml:space="preserve"> </w:t>
      </w:r>
      <w:r w:rsidRPr="001425AB">
        <w:t xml:space="preserve"> </w:t>
      </w:r>
      <w:r>
        <w:t>Table 1 provides the published incidence rates for thirteen of the most common disorders.</w:t>
      </w:r>
    </w:p>
    <w:p w14:paraId="1D217C83" w14:textId="3449A769" w:rsidR="00C621ED" w:rsidRDefault="00C621ED" w:rsidP="00EB3CDD">
      <w:pPr>
        <w:spacing w:before="240" w:after="120"/>
      </w:pPr>
      <w:r>
        <w:t>The populations included in the proposed intervention are:</w:t>
      </w:r>
    </w:p>
    <w:p w14:paraId="28B2761F" w14:textId="657DAF4E" w:rsidR="00C621ED" w:rsidRPr="00B6711E" w:rsidRDefault="00C621ED" w:rsidP="00F42679">
      <w:pPr>
        <w:pStyle w:val="ListParagraph"/>
        <w:numPr>
          <w:ilvl w:val="0"/>
          <w:numId w:val="20"/>
        </w:numPr>
        <w:rPr>
          <w:u w:val="dotted"/>
        </w:rPr>
      </w:pPr>
      <w:r>
        <w:t xml:space="preserve">People with suspected NMD. </w:t>
      </w:r>
    </w:p>
    <w:p w14:paraId="616A5681" w14:textId="2847845F" w:rsidR="00C621ED" w:rsidRPr="0058399D" w:rsidRDefault="00C621ED" w:rsidP="00F42679">
      <w:pPr>
        <w:pStyle w:val="ListParagraph"/>
        <w:numPr>
          <w:ilvl w:val="0"/>
          <w:numId w:val="20"/>
        </w:numPr>
        <w:rPr>
          <w:u w:val="dotted"/>
        </w:rPr>
      </w:pPr>
      <w:r>
        <w:t>Biological relatives of an individual with an actionable pathogenic variant</w:t>
      </w:r>
      <w:r w:rsidRPr="00CD77ED">
        <w:t xml:space="preserve"> </w:t>
      </w:r>
      <w:r>
        <w:t>of NMD.</w:t>
      </w:r>
    </w:p>
    <w:p w14:paraId="47858B7F" w14:textId="56C6C384" w:rsidR="00C621ED" w:rsidRPr="0058399D" w:rsidRDefault="00C621ED" w:rsidP="00F42679">
      <w:pPr>
        <w:pStyle w:val="ListParagraph"/>
        <w:numPr>
          <w:ilvl w:val="0"/>
          <w:numId w:val="20"/>
        </w:numPr>
        <w:rPr>
          <w:u w:val="dotted"/>
        </w:rPr>
      </w:pPr>
      <w:r>
        <w:t>Pregnant females with a family history (including the family history of the reproductive male partner) of an actionable pathogenic variant of NMD.</w:t>
      </w:r>
    </w:p>
    <w:p w14:paraId="694571E8" w14:textId="0C294797" w:rsidR="00C621ED" w:rsidRDefault="00C621ED" w:rsidP="00F42679">
      <w:pPr>
        <w:pStyle w:val="ListParagraph"/>
        <w:numPr>
          <w:ilvl w:val="0"/>
          <w:numId w:val="20"/>
        </w:numPr>
      </w:pPr>
      <w:r>
        <w:t>Pregnant females where their fetus has suspected NMD and with no family history of NMD (including the family history of the reproductive male partner).</w:t>
      </w:r>
    </w:p>
    <w:p w14:paraId="6EA47B19" w14:textId="77777777" w:rsidR="00EE027D" w:rsidRDefault="00EE027D">
      <w:r>
        <w:br w:type="page"/>
      </w:r>
    </w:p>
    <w:p w14:paraId="2E1350F3" w14:textId="4C2E20EB" w:rsidR="00C621ED" w:rsidRPr="00F40FCD" w:rsidRDefault="00C621ED" w:rsidP="00E7527D">
      <w:r w:rsidRPr="00F40FCD">
        <w:lastRenderedPageBreak/>
        <w:t xml:space="preserve">The applicant agreed that this wording should be amended to reflect the need for reproductive partner testing for recessive conditions, as this is not covered by current wording (“biological relative”). The applicant agreed this could be incorporated into proposed MBS item BBBB (or it could equally sit within a separate item). The applicant suggested consideration be given to a generic MBS item for testing partners of those found to be carrying a recessive disease. </w:t>
      </w:r>
    </w:p>
    <w:p w14:paraId="282FCB44" w14:textId="6F0A2070" w:rsidR="00C621ED" w:rsidRDefault="00C621ED" w:rsidP="00BE391C">
      <w:pPr>
        <w:spacing w:before="240"/>
      </w:pPr>
      <w:r>
        <w:t xml:space="preserve">Table 2 </w:t>
      </w:r>
      <w:r w:rsidRPr="00C532F3">
        <w:t xml:space="preserve">describes the estimated </w:t>
      </w:r>
      <w:r>
        <w:t xml:space="preserve">demand </w:t>
      </w:r>
      <w:r w:rsidRPr="00C532F3">
        <w:t xml:space="preserve">for the proposed genetic test </w:t>
      </w:r>
      <w:r>
        <w:t>based on national data from the NMD testing laboratory in Western Australia (WA) over the past two years and further extrapolated to 2021.  The values provided are based on the number of tests for NMD for patients from Queensland, New South Wales, South Australia, Victoria, and WA.  While they represent the majority of the current national genetic testing demand, they do not represent the volume of services potentially required should genetic testing become more generally available.</w:t>
      </w:r>
    </w:p>
    <w:p w14:paraId="1C21FEE8" w14:textId="54456DCF" w:rsidR="00C621ED" w:rsidRPr="00F40FCD" w:rsidRDefault="00C621ED" w:rsidP="009815BE">
      <w:pPr>
        <w:rPr>
          <w:color w:val="00B0F0"/>
        </w:rPr>
      </w:pPr>
      <w:r w:rsidRPr="00F40FCD">
        <w:t>The applicant advised that many conditions in Table 1 (below) do not have a genetic basis (e.g. Guillain-Barr</w:t>
      </w:r>
      <w:r w:rsidR="00185C83" w:rsidRPr="00F40FCD">
        <w:t>é</w:t>
      </w:r>
      <w:r w:rsidRPr="00F40FCD">
        <w:t xml:space="preserve"> syndrome and dermatomyositis). The applicant added that most NMDs listed in Table 1 are not monogenic (and although conditions such as Friedreich ataxia have a genetic cause, </w:t>
      </w:r>
      <w:r w:rsidR="00185C83" w:rsidRPr="00F40FCD">
        <w:t>they may</w:t>
      </w:r>
      <w:r w:rsidRPr="00F40FCD">
        <w:t xml:space="preserve"> not</w:t>
      </w:r>
      <w:r w:rsidR="00185C83" w:rsidRPr="00F40FCD">
        <w:t xml:space="preserve"> be</w:t>
      </w:r>
      <w:r w:rsidRPr="00F40FCD">
        <w:t xml:space="preserve"> detected by NGS panel, as described in this application). The title of Table 1 has been amended to reflect these are heritable and acquired conditions.</w:t>
      </w:r>
    </w:p>
    <w:p w14:paraId="4A00CCF9" w14:textId="26612060" w:rsidR="00C621ED" w:rsidRDefault="00C621ED" w:rsidP="00C31C31">
      <w:r w:rsidRPr="00F40FCD">
        <w:t xml:space="preserve">It is therefore important to note that the applicant believes the incidence rates described in Table 1 are </w:t>
      </w:r>
      <w:r w:rsidR="00185C83" w:rsidRPr="00F40FCD">
        <w:t>probably</w:t>
      </w:r>
      <w:r w:rsidRPr="00F40FCD">
        <w:t xml:space="preserve"> misleading, inflating the number of cases likely to be tested. The applicant advises that the best estimate is the number of samples currently tested at PathWest, being the Australian ‘centre of excellence’ for NMD testing.</w:t>
      </w:r>
    </w:p>
    <w:p w14:paraId="27EFCF5A" w14:textId="77777777" w:rsidR="00EE027D" w:rsidRDefault="00EE027D">
      <w:pPr>
        <w:rPr>
          <w:rFonts w:eastAsia="Times New Roman" w:cs="Tahoma"/>
          <w:b/>
          <w:sz w:val="20"/>
          <w:szCs w:val="20"/>
          <w:lang w:val="en-GB" w:eastAsia="ja-JP"/>
        </w:rPr>
      </w:pPr>
      <w:r>
        <w:br w:type="page"/>
      </w:r>
    </w:p>
    <w:p w14:paraId="48A76BDC" w14:textId="2362FF7B" w:rsidR="00C621ED" w:rsidRPr="00417B87" w:rsidRDefault="00C621ED" w:rsidP="001C2DF7">
      <w:pPr>
        <w:pStyle w:val="Caption"/>
        <w:ind w:left="0" w:firstLine="0"/>
        <w:rPr>
          <w:rFonts w:ascii="Calibri" w:hAnsi="Calibri"/>
        </w:rPr>
      </w:pPr>
      <w:r w:rsidRPr="00417B87">
        <w:rPr>
          <w:rFonts w:ascii="Calibri" w:hAnsi="Calibri"/>
        </w:rPr>
        <w:lastRenderedPageBreak/>
        <w:t xml:space="preserve">Table 1: Global incidence rates for 13 </w:t>
      </w:r>
      <w:r>
        <w:rPr>
          <w:rFonts w:ascii="Calibri" w:hAnsi="Calibri"/>
        </w:rPr>
        <w:t xml:space="preserve">heritable and acquired </w:t>
      </w:r>
      <w:r w:rsidRPr="00417B87">
        <w:rPr>
          <w:rFonts w:ascii="Calibri" w:hAnsi="Calibri"/>
        </w:rPr>
        <w:t xml:space="preserve">neuromuscular disorders </w:t>
      </w:r>
      <w:r w:rsidRPr="00417B87">
        <w:rPr>
          <w:rFonts w:ascii="Calibri" w:hAnsi="Calibri"/>
        </w:rPr>
        <w:fldChar w:fldCharType="begin">
          <w:fldData xml:space="preserve">PEVuZE5vdGU+PENpdGU+PEF1dGhvcj5CaGF0dDwvQXV0aG9yPjxZZWFyPjIwMTY8L1llYXI+PFJl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</w:fldData>
        </w:fldChar>
      </w:r>
      <w:r w:rsidRPr="00417B87">
        <w:rPr>
          <w:rFonts w:ascii="Calibri" w:hAnsi="Calibri"/>
        </w:rPr>
        <w:instrText xml:space="preserve"> ADDIN EN.CITE </w:instrText>
      </w:r>
      <w:r w:rsidRPr="00417B87">
        <w:rPr>
          <w:rFonts w:ascii="Calibri" w:hAnsi="Calibri"/>
        </w:rPr>
        <w:fldChar w:fldCharType="begin">
          <w:fldData xml:space="preserve">PEVuZE5vdGU+PENpdGU+PEF1dGhvcj5CaGF0dDwvQXV0aG9yPjxZZWFyPjIwMTY8L1llYXI+PFJl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</w:fldData>
        </w:fldChar>
      </w:r>
      <w:r w:rsidRPr="00417B87">
        <w:rPr>
          <w:rFonts w:ascii="Calibri" w:hAnsi="Calibri"/>
        </w:rPr>
        <w:instrText xml:space="preserve"> ADDIN EN.CITE.DATA </w:instrText>
      </w:r>
      <w:r w:rsidRPr="00417B87">
        <w:rPr>
          <w:rFonts w:ascii="Calibri" w:hAnsi="Calibri"/>
        </w:rPr>
      </w:r>
      <w:r w:rsidRPr="00417B87">
        <w:rPr>
          <w:rFonts w:ascii="Calibri" w:hAnsi="Calibri"/>
        </w:rPr>
        <w:fldChar w:fldCharType="end"/>
      </w:r>
      <w:r w:rsidRPr="00417B87">
        <w:rPr>
          <w:rFonts w:ascii="Calibri" w:hAnsi="Calibri"/>
        </w:rPr>
      </w:r>
      <w:r w:rsidRPr="00417B87">
        <w:rPr>
          <w:rFonts w:ascii="Calibri" w:hAnsi="Calibri"/>
        </w:rPr>
        <w:fldChar w:fldCharType="separate"/>
      </w:r>
      <w:r w:rsidRPr="00417B87">
        <w:rPr>
          <w:rFonts w:ascii="Calibri" w:hAnsi="Calibri"/>
          <w:noProof/>
        </w:rPr>
        <w:t>(Bhatt 2016; Deenen et al 2015)</w:t>
      </w:r>
      <w:r w:rsidRPr="00417B87">
        <w:rPr>
          <w:rFonts w:ascii="Calibri" w:hAnsi="Calibri"/>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8"/>
        <w:gridCol w:w="4358"/>
      </w:tblGrid>
      <w:tr w:rsidR="00C621ED" w:rsidRPr="00C52FB3" w14:paraId="1A0892BE" w14:textId="77777777" w:rsidTr="00C52FB3">
        <w:trPr>
          <w:cantSplit/>
          <w:trHeight w:val="20"/>
        </w:trPr>
        <w:tc>
          <w:tcPr>
            <w:tcW w:w="2583" w:type="pct"/>
            <w:shd w:val="clear" w:color="auto" w:fill="808080" w:themeFill="background1" w:themeFillShade="80"/>
            <w:tcMar>
              <w:top w:w="57" w:type="dxa"/>
            </w:tcMar>
            <w:vAlign w:val="center"/>
          </w:tcPr>
          <w:p w14:paraId="59E1C2BE" w14:textId="77777777" w:rsidR="00C621ED" w:rsidRPr="00C52FB3" w:rsidRDefault="00C621ED" w:rsidP="00417B87">
            <w:pPr>
              <w:spacing w:after="0"/>
              <w:rPr>
                <w:rStyle w:val="Strong"/>
                <w:color w:val="FFFFFF" w:themeColor="background1"/>
                <w:sz w:val="20"/>
                <w:szCs w:val="20"/>
              </w:rPr>
            </w:pPr>
            <w:r w:rsidRPr="00C52FB3">
              <w:rPr>
                <w:rStyle w:val="Strong"/>
                <w:color w:val="FFFFFF" w:themeColor="background1"/>
                <w:sz w:val="20"/>
                <w:szCs w:val="20"/>
              </w:rPr>
              <w:t>Disorder</w:t>
            </w:r>
          </w:p>
        </w:tc>
        <w:tc>
          <w:tcPr>
            <w:tcW w:w="2417" w:type="pct"/>
            <w:shd w:val="clear" w:color="auto" w:fill="808080" w:themeFill="background1" w:themeFillShade="80"/>
            <w:vAlign w:val="center"/>
          </w:tcPr>
          <w:p w14:paraId="44F8DB79" w14:textId="68B35316" w:rsidR="00C621ED" w:rsidRPr="00C52FB3" w:rsidRDefault="00C621ED" w:rsidP="00417B87">
            <w:pPr>
              <w:spacing w:after="0"/>
              <w:rPr>
                <w:rStyle w:val="Strong"/>
                <w:color w:val="FFFFFF" w:themeColor="background1"/>
                <w:sz w:val="20"/>
                <w:szCs w:val="20"/>
              </w:rPr>
            </w:pPr>
            <w:r w:rsidRPr="00C52FB3">
              <w:rPr>
                <w:rStyle w:val="Strong"/>
                <w:color w:val="FFFFFF" w:themeColor="background1"/>
                <w:sz w:val="20"/>
                <w:szCs w:val="20"/>
              </w:rPr>
              <w:t>Incidence range per 100,000</w:t>
            </w:r>
            <w:r w:rsidR="00185C83">
              <w:rPr>
                <w:rStyle w:val="Strong"/>
                <w:color w:val="FFFFFF" w:themeColor="background1"/>
                <w:sz w:val="20"/>
                <w:szCs w:val="20"/>
              </w:rPr>
              <w:t xml:space="preserve"> per year</w:t>
            </w:r>
            <w:r w:rsidRPr="00C52FB3">
              <w:rPr>
                <w:rStyle w:val="Strong"/>
                <w:color w:val="FFFFFF" w:themeColor="background1"/>
                <w:sz w:val="20"/>
                <w:szCs w:val="20"/>
              </w:rPr>
              <w:t>*</w:t>
            </w:r>
          </w:p>
        </w:tc>
      </w:tr>
      <w:tr w:rsidR="00EE027D" w:rsidRPr="00417B87" w14:paraId="5A27949A" w14:textId="77777777" w:rsidTr="00ED7BFD">
        <w:trPr>
          <w:cantSplit/>
          <w:trHeight w:val="20"/>
        </w:trPr>
        <w:tc>
          <w:tcPr>
            <w:tcW w:w="5000" w:type="pct"/>
            <w:gridSpan w:val="2"/>
            <w:shd w:val="clear" w:color="auto" w:fill="D9D9D9" w:themeFill="background1" w:themeFillShade="D9"/>
            <w:tcMar>
              <w:top w:w="113" w:type="dxa"/>
            </w:tcMar>
          </w:tcPr>
          <w:p w14:paraId="18178A76" w14:textId="77777777" w:rsidR="00EE027D" w:rsidRPr="00417B87" w:rsidRDefault="00EE027D" w:rsidP="00ED7BFD">
            <w:pPr>
              <w:pStyle w:val="TableText0"/>
              <w:spacing w:before="0" w:after="0"/>
              <w:rPr>
                <w:rStyle w:val="Strong"/>
              </w:rPr>
            </w:pPr>
            <w:r w:rsidRPr="00417B87">
              <w:rPr>
                <w:rStyle w:val="Strong"/>
              </w:rPr>
              <w:t>Anterior horn cells</w:t>
            </w:r>
          </w:p>
        </w:tc>
      </w:tr>
      <w:tr w:rsidR="00EE027D" w:rsidRPr="00417B87" w14:paraId="788F8D51" w14:textId="77777777" w:rsidTr="00ED7BFD">
        <w:trPr>
          <w:cantSplit/>
          <w:trHeight w:val="20"/>
        </w:trPr>
        <w:tc>
          <w:tcPr>
            <w:tcW w:w="2583" w:type="pct"/>
            <w:shd w:val="clear" w:color="auto" w:fill="FFFFFF"/>
            <w:tcMar>
              <w:top w:w="113" w:type="dxa"/>
            </w:tcMar>
          </w:tcPr>
          <w:p w14:paraId="3B7CB994"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Type I spinal muscular atrophy</w:t>
            </w:r>
          </w:p>
        </w:tc>
        <w:tc>
          <w:tcPr>
            <w:tcW w:w="2417" w:type="pct"/>
            <w:shd w:val="clear" w:color="auto" w:fill="FFFFFF"/>
            <w:tcMar>
              <w:top w:w="113" w:type="dxa"/>
            </w:tcMar>
          </w:tcPr>
          <w:p w14:paraId="3AE8303E"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3.53 to 9.8</w:t>
            </w:r>
          </w:p>
        </w:tc>
      </w:tr>
      <w:tr w:rsidR="00EE027D" w:rsidRPr="00417B87" w14:paraId="4B85565B" w14:textId="77777777" w:rsidTr="00ED7BFD">
        <w:trPr>
          <w:cantSplit/>
          <w:trHeight w:val="20"/>
        </w:trPr>
        <w:tc>
          <w:tcPr>
            <w:tcW w:w="2583" w:type="pct"/>
            <w:shd w:val="clear" w:color="auto" w:fill="FFFFFF"/>
            <w:tcMar>
              <w:top w:w="113" w:type="dxa"/>
            </w:tcMar>
          </w:tcPr>
          <w:p w14:paraId="362D519D"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All spinal muscular atrophy</w:t>
            </w:r>
          </w:p>
        </w:tc>
        <w:tc>
          <w:tcPr>
            <w:tcW w:w="2417" w:type="pct"/>
            <w:shd w:val="clear" w:color="auto" w:fill="FFFFFF"/>
            <w:tcMar>
              <w:top w:w="113" w:type="dxa"/>
            </w:tcMar>
          </w:tcPr>
          <w:p w14:paraId="03A0D12D"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3.53 to 14.9</w:t>
            </w:r>
          </w:p>
        </w:tc>
      </w:tr>
      <w:tr w:rsidR="00EE027D" w:rsidRPr="00417B87" w14:paraId="191686D0" w14:textId="77777777" w:rsidTr="00ED7BFD">
        <w:trPr>
          <w:cantSplit/>
          <w:trHeight w:val="20"/>
        </w:trPr>
        <w:tc>
          <w:tcPr>
            <w:tcW w:w="2583" w:type="pct"/>
            <w:shd w:val="clear" w:color="auto" w:fill="FFFFFF"/>
            <w:tcMar>
              <w:top w:w="113" w:type="dxa"/>
            </w:tcMar>
          </w:tcPr>
          <w:p w14:paraId="554EC4F0"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Amyotrophic lateral sclerosis</w:t>
            </w:r>
          </w:p>
        </w:tc>
        <w:tc>
          <w:tcPr>
            <w:tcW w:w="2417" w:type="pct"/>
            <w:shd w:val="clear" w:color="auto" w:fill="FFFFFF"/>
            <w:tcMar>
              <w:top w:w="113" w:type="dxa"/>
            </w:tcMar>
          </w:tcPr>
          <w:p w14:paraId="49E609E6"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0.42 to 5.3</w:t>
            </w:r>
          </w:p>
        </w:tc>
      </w:tr>
      <w:tr w:rsidR="00EE027D" w:rsidRPr="00417B87" w14:paraId="4ABE29EB" w14:textId="77777777" w:rsidTr="00ED7BFD">
        <w:trPr>
          <w:cantSplit/>
          <w:trHeight w:val="20"/>
        </w:trPr>
        <w:tc>
          <w:tcPr>
            <w:tcW w:w="5000" w:type="pct"/>
            <w:gridSpan w:val="2"/>
            <w:shd w:val="clear" w:color="auto" w:fill="D9D9D9" w:themeFill="background1" w:themeFillShade="D9"/>
            <w:tcMar>
              <w:top w:w="113" w:type="dxa"/>
            </w:tcMar>
          </w:tcPr>
          <w:p w14:paraId="103E8D44" w14:textId="77777777" w:rsidR="00EE027D" w:rsidRPr="00417B87" w:rsidRDefault="00EE027D" w:rsidP="00ED7BFD">
            <w:pPr>
              <w:pStyle w:val="TableText0"/>
              <w:spacing w:before="0" w:after="0"/>
              <w:rPr>
                <w:rStyle w:val="Strong"/>
                <w:sz w:val="20"/>
              </w:rPr>
            </w:pPr>
            <w:r w:rsidRPr="00417B87">
              <w:rPr>
                <w:rStyle w:val="Strong"/>
                <w:sz w:val="20"/>
              </w:rPr>
              <w:t>Peripheral nerve</w:t>
            </w:r>
          </w:p>
        </w:tc>
      </w:tr>
      <w:tr w:rsidR="00EE027D" w:rsidRPr="00417B87" w14:paraId="3847000B" w14:textId="77777777" w:rsidTr="00ED7BFD">
        <w:trPr>
          <w:cantSplit/>
          <w:trHeight w:val="20"/>
        </w:trPr>
        <w:tc>
          <w:tcPr>
            <w:tcW w:w="2583" w:type="pct"/>
            <w:shd w:val="clear" w:color="auto" w:fill="FFFFFF"/>
            <w:tcMar>
              <w:top w:w="113" w:type="dxa"/>
            </w:tcMar>
          </w:tcPr>
          <w:p w14:paraId="7C5AE965"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Chronic inflammatory demyelinating polyneuropathy</w:t>
            </w:r>
          </w:p>
        </w:tc>
        <w:tc>
          <w:tcPr>
            <w:tcW w:w="2417" w:type="pct"/>
            <w:shd w:val="clear" w:color="auto" w:fill="FFFFFF"/>
            <w:tcMar>
              <w:top w:w="113" w:type="dxa"/>
            </w:tcMar>
          </w:tcPr>
          <w:p w14:paraId="46B8BD67"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0.35 to 1.6</w:t>
            </w:r>
          </w:p>
        </w:tc>
      </w:tr>
      <w:tr w:rsidR="00EE027D" w:rsidRPr="00417B87" w14:paraId="00132C34" w14:textId="77777777" w:rsidTr="00ED7BFD">
        <w:trPr>
          <w:cantSplit/>
          <w:trHeight w:val="20"/>
        </w:trPr>
        <w:tc>
          <w:tcPr>
            <w:tcW w:w="2583" w:type="pct"/>
            <w:shd w:val="clear" w:color="auto" w:fill="FFFFFF"/>
            <w:tcMar>
              <w:top w:w="113" w:type="dxa"/>
            </w:tcMar>
          </w:tcPr>
          <w:p w14:paraId="16D987DB"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Guillain-Bar</w:t>
            </w:r>
            <w:r>
              <w:rPr>
                <w:rFonts w:ascii="Calibri" w:hAnsi="Calibri"/>
                <w:sz w:val="20"/>
              </w:rPr>
              <w:t>ré</w:t>
            </w:r>
            <w:r w:rsidRPr="00417B87">
              <w:rPr>
                <w:rFonts w:ascii="Calibri" w:hAnsi="Calibri"/>
                <w:sz w:val="20"/>
              </w:rPr>
              <w:t xml:space="preserve"> syndrome</w:t>
            </w:r>
          </w:p>
        </w:tc>
        <w:tc>
          <w:tcPr>
            <w:tcW w:w="2417" w:type="pct"/>
            <w:shd w:val="clear" w:color="auto" w:fill="FFFFFF"/>
            <w:tcMar>
              <w:top w:w="113" w:type="dxa"/>
            </w:tcMar>
          </w:tcPr>
          <w:p w14:paraId="323D9894"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0.4 to 3.0</w:t>
            </w:r>
          </w:p>
        </w:tc>
      </w:tr>
      <w:tr w:rsidR="00EE027D" w:rsidRPr="00417B87" w14:paraId="3ACA7AE6" w14:textId="77777777" w:rsidTr="00ED7BFD">
        <w:trPr>
          <w:cantSplit/>
          <w:trHeight w:val="20"/>
        </w:trPr>
        <w:tc>
          <w:tcPr>
            <w:tcW w:w="2583" w:type="pct"/>
            <w:shd w:val="clear" w:color="auto" w:fill="FFFFFF"/>
            <w:tcMar>
              <w:top w:w="113" w:type="dxa"/>
            </w:tcMar>
          </w:tcPr>
          <w:p w14:paraId="7A937079"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Friedreich Ataxia</w:t>
            </w:r>
          </w:p>
        </w:tc>
        <w:tc>
          <w:tcPr>
            <w:tcW w:w="2417" w:type="pct"/>
            <w:shd w:val="clear" w:color="auto" w:fill="FFFFFF"/>
            <w:tcMar>
              <w:top w:w="113" w:type="dxa"/>
            </w:tcMar>
          </w:tcPr>
          <w:p w14:paraId="054ECAE6"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2.7 to 6.19</w:t>
            </w:r>
          </w:p>
        </w:tc>
      </w:tr>
      <w:tr w:rsidR="00EE027D" w:rsidRPr="00417B87" w14:paraId="2B64169E" w14:textId="77777777" w:rsidTr="00ED7BFD">
        <w:trPr>
          <w:cantSplit/>
          <w:trHeight w:val="20"/>
        </w:trPr>
        <w:tc>
          <w:tcPr>
            <w:tcW w:w="5000" w:type="pct"/>
            <w:gridSpan w:val="2"/>
            <w:shd w:val="clear" w:color="auto" w:fill="D9D9D9" w:themeFill="background1" w:themeFillShade="D9"/>
            <w:tcMar>
              <w:top w:w="113" w:type="dxa"/>
            </w:tcMar>
          </w:tcPr>
          <w:p w14:paraId="04D99CE1" w14:textId="77777777" w:rsidR="00EE027D" w:rsidRPr="00417B87" w:rsidRDefault="00EE027D" w:rsidP="00ED7BFD">
            <w:pPr>
              <w:pStyle w:val="TableText0"/>
              <w:spacing w:before="0" w:after="0"/>
              <w:rPr>
                <w:rStyle w:val="Strong"/>
                <w:sz w:val="20"/>
              </w:rPr>
            </w:pPr>
            <w:r w:rsidRPr="00417B87">
              <w:rPr>
                <w:rStyle w:val="Strong"/>
                <w:sz w:val="20"/>
              </w:rPr>
              <w:t>Neuromuscular junction</w:t>
            </w:r>
          </w:p>
        </w:tc>
      </w:tr>
      <w:tr w:rsidR="00EE027D" w:rsidRPr="00417B87" w14:paraId="7D37260C" w14:textId="77777777" w:rsidTr="00ED7BFD">
        <w:trPr>
          <w:cantSplit/>
          <w:trHeight w:val="20"/>
        </w:trPr>
        <w:tc>
          <w:tcPr>
            <w:tcW w:w="2583" w:type="pct"/>
            <w:shd w:val="clear" w:color="auto" w:fill="FFFFFF"/>
            <w:tcMar>
              <w:top w:w="113" w:type="dxa"/>
            </w:tcMar>
          </w:tcPr>
          <w:p w14:paraId="39C46BB0"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Myasthenia Gravis</w:t>
            </w:r>
          </w:p>
        </w:tc>
        <w:tc>
          <w:tcPr>
            <w:tcW w:w="2417" w:type="pct"/>
            <w:shd w:val="clear" w:color="auto" w:fill="FFFFFF"/>
            <w:tcMar>
              <w:top w:w="113" w:type="dxa"/>
            </w:tcMar>
          </w:tcPr>
          <w:p w14:paraId="3F6412EF"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0.3 to 2.8 (11.8 reported by one study in Japan)</w:t>
            </w:r>
          </w:p>
        </w:tc>
      </w:tr>
      <w:tr w:rsidR="00EE027D" w:rsidRPr="00417B87" w14:paraId="4665DB40" w14:textId="77777777" w:rsidTr="00ED7BFD">
        <w:trPr>
          <w:cantSplit/>
          <w:trHeight w:val="20"/>
        </w:trPr>
        <w:tc>
          <w:tcPr>
            <w:tcW w:w="2583" w:type="pct"/>
            <w:shd w:val="clear" w:color="auto" w:fill="FFFFFF"/>
            <w:tcMar>
              <w:top w:w="113" w:type="dxa"/>
            </w:tcMar>
          </w:tcPr>
          <w:p w14:paraId="47BBA8A6"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Lambert-Eaton myasthenic syndrome</w:t>
            </w:r>
          </w:p>
        </w:tc>
        <w:tc>
          <w:tcPr>
            <w:tcW w:w="2417" w:type="pct"/>
            <w:shd w:val="clear" w:color="auto" w:fill="FFFFFF"/>
            <w:tcMar>
              <w:top w:w="113" w:type="dxa"/>
            </w:tcMar>
          </w:tcPr>
          <w:p w14:paraId="0541BFC0"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0.05</w:t>
            </w:r>
          </w:p>
        </w:tc>
      </w:tr>
      <w:tr w:rsidR="00EE027D" w:rsidRPr="00417B87" w14:paraId="2717E7D6" w14:textId="77777777" w:rsidTr="00ED7BFD">
        <w:trPr>
          <w:cantSplit/>
          <w:trHeight w:val="20"/>
        </w:trPr>
        <w:tc>
          <w:tcPr>
            <w:tcW w:w="5000" w:type="pct"/>
            <w:gridSpan w:val="2"/>
            <w:shd w:val="clear" w:color="auto" w:fill="D9D9D9" w:themeFill="background1" w:themeFillShade="D9"/>
            <w:tcMar>
              <w:top w:w="113" w:type="dxa"/>
            </w:tcMar>
          </w:tcPr>
          <w:p w14:paraId="4C99106C" w14:textId="77777777" w:rsidR="00EE027D" w:rsidRPr="00417B87" w:rsidRDefault="00EE027D" w:rsidP="00ED7BFD">
            <w:pPr>
              <w:pStyle w:val="TableText0"/>
              <w:spacing w:before="0" w:after="0"/>
              <w:rPr>
                <w:rStyle w:val="Strong"/>
                <w:sz w:val="20"/>
              </w:rPr>
            </w:pPr>
            <w:r w:rsidRPr="00417B87">
              <w:rPr>
                <w:rStyle w:val="Strong"/>
                <w:sz w:val="20"/>
              </w:rPr>
              <w:t>Muscular</w:t>
            </w:r>
          </w:p>
        </w:tc>
      </w:tr>
      <w:tr w:rsidR="00EE027D" w:rsidRPr="00417B87" w14:paraId="139E08EB" w14:textId="77777777" w:rsidTr="00ED7BFD">
        <w:trPr>
          <w:cantSplit/>
          <w:trHeight w:val="20"/>
        </w:trPr>
        <w:tc>
          <w:tcPr>
            <w:tcW w:w="2583" w:type="pct"/>
            <w:shd w:val="clear" w:color="auto" w:fill="FFFFFF"/>
            <w:tcMar>
              <w:top w:w="113" w:type="dxa"/>
            </w:tcMar>
          </w:tcPr>
          <w:p w14:paraId="5B25C618"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Duche</w:t>
            </w:r>
            <w:r>
              <w:rPr>
                <w:rFonts w:ascii="Calibri" w:hAnsi="Calibri"/>
                <w:sz w:val="20"/>
              </w:rPr>
              <w:t>n</w:t>
            </w:r>
            <w:r w:rsidRPr="00417B87">
              <w:rPr>
                <w:rFonts w:ascii="Calibri" w:hAnsi="Calibri"/>
                <w:sz w:val="20"/>
              </w:rPr>
              <w:t xml:space="preserve">ne muscular dystrophy </w:t>
            </w:r>
          </w:p>
        </w:tc>
        <w:tc>
          <w:tcPr>
            <w:tcW w:w="2417" w:type="pct"/>
            <w:shd w:val="clear" w:color="auto" w:fill="FFFFFF"/>
            <w:tcMar>
              <w:top w:w="113" w:type="dxa"/>
            </w:tcMar>
          </w:tcPr>
          <w:p w14:paraId="532D8040"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2.0 to 34.7 per 100,000 males</w:t>
            </w:r>
          </w:p>
        </w:tc>
      </w:tr>
      <w:tr w:rsidR="00EE027D" w:rsidRPr="00417B87" w14:paraId="7F5D8987" w14:textId="77777777" w:rsidTr="00ED7BFD">
        <w:trPr>
          <w:cantSplit/>
          <w:trHeight w:val="20"/>
        </w:trPr>
        <w:tc>
          <w:tcPr>
            <w:tcW w:w="2583" w:type="pct"/>
            <w:shd w:val="clear" w:color="auto" w:fill="FFFFFF"/>
            <w:tcMar>
              <w:top w:w="113" w:type="dxa"/>
            </w:tcMar>
          </w:tcPr>
          <w:p w14:paraId="30C8E7E7"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Becker muscular dystrophy</w:t>
            </w:r>
          </w:p>
        </w:tc>
        <w:tc>
          <w:tcPr>
            <w:tcW w:w="2417" w:type="pct"/>
            <w:shd w:val="clear" w:color="auto" w:fill="FFFFFF"/>
            <w:tcMar>
              <w:top w:w="113" w:type="dxa"/>
            </w:tcMar>
          </w:tcPr>
          <w:p w14:paraId="26755C2A"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1.06 to 7.2 per 100,000 males</w:t>
            </w:r>
          </w:p>
        </w:tc>
      </w:tr>
      <w:tr w:rsidR="00EE027D" w:rsidRPr="00417B87" w14:paraId="62DED47A" w14:textId="77777777" w:rsidTr="00ED7BFD">
        <w:trPr>
          <w:cantSplit/>
          <w:trHeight w:val="20"/>
        </w:trPr>
        <w:tc>
          <w:tcPr>
            <w:tcW w:w="2583" w:type="pct"/>
            <w:shd w:val="clear" w:color="auto" w:fill="FFFFFF"/>
            <w:tcMar>
              <w:top w:w="113" w:type="dxa"/>
            </w:tcMar>
          </w:tcPr>
          <w:p w14:paraId="4271EAD1"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Limb-girdle muscular dystrophy</w:t>
            </w:r>
          </w:p>
        </w:tc>
        <w:tc>
          <w:tcPr>
            <w:tcW w:w="2417" w:type="pct"/>
            <w:shd w:val="clear" w:color="auto" w:fill="FFFFFF"/>
            <w:tcMar>
              <w:top w:w="113" w:type="dxa"/>
            </w:tcMar>
          </w:tcPr>
          <w:p w14:paraId="274A279F"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0.7</w:t>
            </w:r>
          </w:p>
        </w:tc>
      </w:tr>
      <w:tr w:rsidR="00EE027D" w:rsidRPr="00417B87" w14:paraId="67488B74" w14:textId="77777777" w:rsidTr="00ED7BFD">
        <w:trPr>
          <w:cantSplit/>
          <w:trHeight w:val="20"/>
        </w:trPr>
        <w:tc>
          <w:tcPr>
            <w:tcW w:w="2583" w:type="pct"/>
            <w:shd w:val="clear" w:color="auto" w:fill="FFFFFF"/>
            <w:tcMar>
              <w:top w:w="113" w:type="dxa"/>
            </w:tcMar>
          </w:tcPr>
          <w:p w14:paraId="198A44BC"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Polymyositis</w:t>
            </w:r>
          </w:p>
        </w:tc>
        <w:tc>
          <w:tcPr>
            <w:tcW w:w="2417" w:type="pct"/>
            <w:shd w:val="clear" w:color="auto" w:fill="FFFFFF"/>
            <w:tcMar>
              <w:top w:w="113" w:type="dxa"/>
            </w:tcMar>
          </w:tcPr>
          <w:p w14:paraId="687B8FCD"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0.27 to 3.80</w:t>
            </w:r>
          </w:p>
        </w:tc>
      </w:tr>
      <w:tr w:rsidR="00EE027D" w:rsidRPr="00417B87" w14:paraId="322006CA" w14:textId="77777777" w:rsidTr="00ED7BFD">
        <w:trPr>
          <w:cantSplit/>
          <w:trHeight w:val="20"/>
        </w:trPr>
        <w:tc>
          <w:tcPr>
            <w:tcW w:w="2583" w:type="pct"/>
            <w:shd w:val="clear" w:color="auto" w:fill="FFFFFF"/>
            <w:tcMar>
              <w:top w:w="113" w:type="dxa"/>
            </w:tcMar>
          </w:tcPr>
          <w:p w14:paraId="651AD521"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Dermatomyositis</w:t>
            </w:r>
          </w:p>
        </w:tc>
        <w:tc>
          <w:tcPr>
            <w:tcW w:w="2417" w:type="pct"/>
            <w:shd w:val="clear" w:color="auto" w:fill="FFFFFF"/>
            <w:tcMar>
              <w:top w:w="113" w:type="dxa"/>
            </w:tcMar>
          </w:tcPr>
          <w:p w14:paraId="516F33B8"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0.08 to 1.78</w:t>
            </w:r>
          </w:p>
        </w:tc>
      </w:tr>
      <w:tr w:rsidR="00EE027D" w:rsidRPr="00417B87" w14:paraId="1D6E99BA" w14:textId="77777777" w:rsidTr="00ED7BFD">
        <w:trPr>
          <w:cantSplit/>
          <w:trHeight w:val="20"/>
        </w:trPr>
        <w:tc>
          <w:tcPr>
            <w:tcW w:w="2583" w:type="pct"/>
            <w:shd w:val="clear" w:color="auto" w:fill="FFFFFF"/>
            <w:tcMar>
              <w:top w:w="113" w:type="dxa"/>
            </w:tcMar>
          </w:tcPr>
          <w:p w14:paraId="11B15145"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Inclusion body myositis</w:t>
            </w:r>
          </w:p>
        </w:tc>
        <w:tc>
          <w:tcPr>
            <w:tcW w:w="2417" w:type="pct"/>
            <w:shd w:val="clear" w:color="auto" w:fill="FFFFFF"/>
            <w:tcMar>
              <w:top w:w="113" w:type="dxa"/>
            </w:tcMar>
          </w:tcPr>
          <w:p w14:paraId="5A878E65" w14:textId="77777777" w:rsidR="00EE027D" w:rsidRPr="00417B87" w:rsidRDefault="00EE027D" w:rsidP="00ED7BFD">
            <w:pPr>
              <w:pStyle w:val="TableText0"/>
              <w:spacing w:before="0" w:after="0"/>
              <w:rPr>
                <w:rFonts w:ascii="Calibri" w:hAnsi="Calibri"/>
                <w:sz w:val="20"/>
              </w:rPr>
            </w:pPr>
            <w:r w:rsidRPr="00417B87">
              <w:rPr>
                <w:rFonts w:ascii="Calibri" w:hAnsi="Calibri"/>
                <w:sz w:val="20"/>
              </w:rPr>
              <w:t>0.09 to 0.79</w:t>
            </w:r>
          </w:p>
        </w:tc>
      </w:tr>
      <w:tr w:rsidR="00EE027D" w:rsidRPr="00417B87" w14:paraId="2E866BB9" w14:textId="77777777" w:rsidTr="00ED7BFD">
        <w:trPr>
          <w:cantSplit/>
          <w:trHeight w:val="20"/>
        </w:trPr>
        <w:tc>
          <w:tcPr>
            <w:tcW w:w="2583" w:type="pct"/>
            <w:shd w:val="clear" w:color="auto" w:fill="FFFFFF"/>
            <w:tcMar>
              <w:top w:w="113" w:type="dxa"/>
            </w:tcMar>
          </w:tcPr>
          <w:p w14:paraId="370C30AA" w14:textId="77777777" w:rsidR="00EE027D" w:rsidRPr="00417B87" w:rsidRDefault="00EE027D" w:rsidP="00ED7BFD">
            <w:pPr>
              <w:pStyle w:val="TableText0"/>
              <w:spacing w:before="0" w:after="0"/>
              <w:rPr>
                <w:rStyle w:val="Strong"/>
                <w:sz w:val="20"/>
              </w:rPr>
            </w:pPr>
            <w:r w:rsidRPr="00417B87">
              <w:rPr>
                <w:rStyle w:val="Strong"/>
                <w:sz w:val="20"/>
              </w:rPr>
              <w:t>TOTAL</w:t>
            </w:r>
          </w:p>
        </w:tc>
        <w:tc>
          <w:tcPr>
            <w:tcW w:w="2417" w:type="pct"/>
            <w:shd w:val="clear" w:color="auto" w:fill="FFFFFF"/>
            <w:tcMar>
              <w:top w:w="113" w:type="dxa"/>
            </w:tcMar>
          </w:tcPr>
          <w:p w14:paraId="69B3B728" w14:textId="77777777" w:rsidR="00EE027D" w:rsidRPr="00417B87" w:rsidRDefault="00EE027D" w:rsidP="00ED7BFD">
            <w:pPr>
              <w:pStyle w:val="TableText0"/>
              <w:spacing w:before="0" w:after="0"/>
              <w:rPr>
                <w:rStyle w:val="Strong"/>
                <w:sz w:val="20"/>
              </w:rPr>
            </w:pPr>
            <w:r w:rsidRPr="00417B87">
              <w:rPr>
                <w:rStyle w:val="Strong"/>
                <w:sz w:val="20"/>
              </w:rPr>
              <w:t>11.95 to 82.8</w:t>
            </w:r>
          </w:p>
        </w:tc>
      </w:tr>
      <w:tr w:rsidR="00EE027D" w:rsidRPr="00C52FB3" w14:paraId="1352D37B" w14:textId="77777777" w:rsidTr="00C52FB3">
        <w:trPr>
          <w:cantSplit/>
          <w:trHeight w:val="20"/>
        </w:trPr>
        <w:tc>
          <w:tcPr>
            <w:tcW w:w="2583" w:type="pct"/>
            <w:shd w:val="clear" w:color="auto" w:fill="808080" w:themeFill="background1" w:themeFillShade="80"/>
            <w:tcMar>
              <w:top w:w="57" w:type="dxa"/>
            </w:tcMar>
            <w:vAlign w:val="center"/>
          </w:tcPr>
          <w:p w14:paraId="09F61B1B" w14:textId="77777777" w:rsidR="00EE027D" w:rsidRPr="00C52FB3" w:rsidRDefault="00EE027D" w:rsidP="00417B87">
            <w:pPr>
              <w:spacing w:after="0"/>
              <w:rPr>
                <w:rStyle w:val="Strong"/>
                <w:color w:val="FFFFFF" w:themeColor="background1"/>
                <w:sz w:val="20"/>
                <w:szCs w:val="20"/>
              </w:rPr>
            </w:pPr>
          </w:p>
        </w:tc>
        <w:tc>
          <w:tcPr>
            <w:tcW w:w="2417" w:type="pct"/>
            <w:shd w:val="clear" w:color="auto" w:fill="808080" w:themeFill="background1" w:themeFillShade="80"/>
            <w:vAlign w:val="center"/>
          </w:tcPr>
          <w:p w14:paraId="417A7E7A" w14:textId="77777777" w:rsidR="00EE027D" w:rsidRPr="00C52FB3" w:rsidRDefault="00EE027D" w:rsidP="00417B87">
            <w:pPr>
              <w:spacing w:after="0"/>
              <w:rPr>
                <w:rStyle w:val="Strong"/>
                <w:color w:val="FFFFFF" w:themeColor="background1"/>
                <w:sz w:val="20"/>
                <w:szCs w:val="20"/>
              </w:rPr>
            </w:pPr>
          </w:p>
        </w:tc>
      </w:tr>
    </w:tbl>
    <w:p w14:paraId="308E2C6F" w14:textId="6499B589" w:rsidR="00C621ED" w:rsidRPr="00EE77BF" w:rsidRDefault="00C621ED" w:rsidP="00186439">
      <w:pPr>
        <w:spacing w:before="240" w:after="120"/>
      </w:pPr>
      <w:r w:rsidRPr="00EE77BF">
        <w:t>Assumptions f</w:t>
      </w:r>
      <w:r>
        <w:t>rom</w:t>
      </w:r>
      <w:r w:rsidRPr="00EE77BF">
        <w:t xml:space="preserve"> Table 2</w:t>
      </w:r>
      <w:r>
        <w:t>:</w:t>
      </w:r>
    </w:p>
    <w:p w14:paraId="594B7730" w14:textId="1B758B1F" w:rsidR="00C621ED" w:rsidRPr="008C3942" w:rsidRDefault="00C621ED" w:rsidP="00F42679">
      <w:pPr>
        <w:pStyle w:val="ListParagraph"/>
        <w:numPr>
          <w:ilvl w:val="0"/>
          <w:numId w:val="7"/>
        </w:numPr>
        <w:rPr>
          <w:sz w:val="16"/>
          <w:szCs w:val="16"/>
        </w:rPr>
      </w:pPr>
      <w:r>
        <w:t xml:space="preserve">Based on data provided, </w:t>
      </w:r>
      <w:r w:rsidRPr="000B131E">
        <w:t>29% and 2</w:t>
      </w:r>
      <w:r>
        <w:t>4</w:t>
      </w:r>
      <w:r w:rsidRPr="000B131E">
        <w:t xml:space="preserve">% of </w:t>
      </w:r>
      <w:r>
        <w:t>patients with NMD tested positive for a genetic cause of their NMD in years 2017 and 2018, respectively. The overall proportion of individuals testing positive for a genetic variant</w:t>
      </w:r>
      <w:r w:rsidRPr="00175CC4">
        <w:t xml:space="preserve"> </w:t>
      </w:r>
      <w:r>
        <w:t>was 26% across the two years. This static value has been applied to the modelled estimates (years 2019 to 2021).</w:t>
      </w:r>
      <w:r>
        <w:br/>
      </w:r>
    </w:p>
    <w:p w14:paraId="3F28569C" w14:textId="294A59F7" w:rsidR="00C621ED" w:rsidRPr="008C3942" w:rsidRDefault="00C621ED" w:rsidP="00F42679">
      <w:pPr>
        <w:pStyle w:val="ListParagraph"/>
        <w:numPr>
          <w:ilvl w:val="0"/>
          <w:numId w:val="7"/>
        </w:numPr>
        <w:rPr>
          <w:sz w:val="16"/>
          <w:szCs w:val="16"/>
        </w:rPr>
      </w:pPr>
      <w:r>
        <w:t>The number of family members tested per index case was 1.12 in 2017, and 1.3 in 2018. To estimate the</w:t>
      </w:r>
      <w:r w:rsidRPr="000B131E">
        <w:t xml:space="preserve"> number of </w:t>
      </w:r>
      <w:r>
        <w:t xml:space="preserve">family members’ </w:t>
      </w:r>
      <w:r w:rsidRPr="000B131E">
        <w:t xml:space="preserve">cascade tests </w:t>
      </w:r>
      <w:r>
        <w:t xml:space="preserve">for future years (2019 to 2021), the </w:t>
      </w:r>
      <w:r w:rsidRPr="000B131E">
        <w:t xml:space="preserve">number of </w:t>
      </w:r>
      <w:r>
        <w:t xml:space="preserve">NMD </w:t>
      </w:r>
      <w:r w:rsidRPr="000B131E">
        <w:t>cases</w:t>
      </w:r>
      <w:r>
        <w:t xml:space="preserve"> with an identified genetic cause is multiplied by the ratio of the number of family cascade tests and the number positive test results (1.21) observed in the 2017 and 2018 data.</w:t>
      </w:r>
      <w:r>
        <w:br/>
      </w:r>
    </w:p>
    <w:p w14:paraId="098F8747" w14:textId="1932F0FD" w:rsidR="00C621ED" w:rsidRDefault="00C621ED" w:rsidP="00F42679">
      <w:pPr>
        <w:pStyle w:val="ListParagraph"/>
        <w:numPr>
          <w:ilvl w:val="0"/>
          <w:numId w:val="7"/>
        </w:numPr>
      </w:pPr>
      <w:r>
        <w:t>The 8.4% increase in total volume of NMD genetic tests observed between 2017 and 2018 has been applied annually for the modelled values (years 2019 to 2021).</w:t>
      </w:r>
    </w:p>
    <w:p w14:paraId="624551C8" w14:textId="49BAA437" w:rsidR="00C621ED" w:rsidRPr="00417B87" w:rsidRDefault="00C621ED" w:rsidP="00EB3CDD">
      <w:pPr>
        <w:pStyle w:val="Caption"/>
        <w:ind w:left="0" w:firstLine="0"/>
        <w:rPr>
          <w:rFonts w:ascii="Calibri" w:hAnsi="Calibri"/>
        </w:rPr>
      </w:pPr>
      <w:bookmarkStart w:id="4" w:name="_Ref19863556"/>
      <w:r w:rsidRPr="00417B87">
        <w:rPr>
          <w:rFonts w:ascii="Calibri" w:hAnsi="Calibri"/>
        </w:rPr>
        <w:lastRenderedPageBreak/>
        <w:t xml:space="preserve">Table </w:t>
      </w:r>
      <w:bookmarkEnd w:id="4"/>
      <w:r w:rsidRPr="00417B87">
        <w:rPr>
          <w:rFonts w:ascii="Calibri" w:hAnsi="Calibri"/>
        </w:rPr>
        <w:t xml:space="preserve">2: </w:t>
      </w:r>
      <w:bookmarkStart w:id="5" w:name="_Ref19863536"/>
      <w:r w:rsidRPr="00417B87">
        <w:rPr>
          <w:rFonts w:ascii="Calibri" w:hAnsi="Calibri"/>
        </w:rPr>
        <w:t xml:space="preserve">Estimated number of NMD genetic tests </w:t>
      </w:r>
      <w:r>
        <w:rPr>
          <w:rFonts w:ascii="Calibri" w:hAnsi="Calibri"/>
        </w:rPr>
        <w:t>from 2017 to 2021</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4 Number of tests conducted in Western Australia in previous 2 years, and expected number of tests for the next 3 years"/>
        <w:tblDescription w:val="Table 4 consists of 6 columns&#10;First column describes the population to be tested&#10;Second column is data on number tested in 2017 in Australia&#10;Third column is data on number tested in 2018 in Australia&#10;Fourth column is the expected number to be tested in 2019&#10;Fifth column is the expected number to be tested in 2020&#10;Sixth column is the expected number to be tested in 2021&#10;The first row is Index cases&#10;Second row is Cascade testing&#10;Third row is prenatal disagnosis"/>
      </w:tblPr>
      <w:tblGrid>
        <w:gridCol w:w="2232"/>
        <w:gridCol w:w="1356"/>
        <w:gridCol w:w="1358"/>
        <w:gridCol w:w="1356"/>
        <w:gridCol w:w="1358"/>
        <w:gridCol w:w="1356"/>
      </w:tblGrid>
      <w:tr w:rsidR="00C621ED" w:rsidRPr="002A6C09" w14:paraId="0101ACBB" w14:textId="77777777" w:rsidTr="0039786A">
        <w:trPr>
          <w:trHeight w:val="510"/>
        </w:trPr>
        <w:tc>
          <w:tcPr>
            <w:tcW w:w="1238" w:type="pct"/>
            <w:shd w:val="clear" w:color="auto" w:fill="808080" w:themeFill="background1" w:themeFillShade="80"/>
            <w:vAlign w:val="center"/>
          </w:tcPr>
          <w:p w14:paraId="185F5F31" w14:textId="37EED638" w:rsidR="00C621ED" w:rsidRPr="002A6C09" w:rsidRDefault="00C621ED" w:rsidP="003A594D">
            <w:pPr>
              <w:pStyle w:val="TableText"/>
              <w:spacing w:after="0"/>
              <w:rPr>
                <w:rStyle w:val="Strong"/>
                <w:color w:val="FFFFFF" w:themeColor="background1"/>
              </w:rPr>
            </w:pPr>
            <w:r w:rsidRPr="002A6C09">
              <w:rPr>
                <w:rStyle w:val="Strong"/>
                <w:color w:val="FFFFFF" w:themeColor="background1"/>
              </w:rPr>
              <w:t>Parameter</w:t>
            </w:r>
          </w:p>
        </w:tc>
        <w:tc>
          <w:tcPr>
            <w:tcW w:w="752" w:type="pct"/>
            <w:shd w:val="clear" w:color="auto" w:fill="808080" w:themeFill="background1" w:themeFillShade="80"/>
            <w:vAlign w:val="center"/>
          </w:tcPr>
          <w:p w14:paraId="1DD3A61B" w14:textId="77777777" w:rsidR="00C621ED" w:rsidRPr="002A6C09" w:rsidRDefault="00C621ED" w:rsidP="00CB2BCC">
            <w:pPr>
              <w:pStyle w:val="TableText"/>
              <w:spacing w:after="0"/>
              <w:jc w:val="center"/>
              <w:rPr>
                <w:rStyle w:val="Strong"/>
                <w:color w:val="FFFFFF" w:themeColor="background1"/>
              </w:rPr>
            </w:pPr>
            <w:r w:rsidRPr="002A6C09">
              <w:rPr>
                <w:rStyle w:val="Strong"/>
                <w:color w:val="FFFFFF" w:themeColor="background1"/>
              </w:rPr>
              <w:t>2017</w:t>
            </w:r>
          </w:p>
        </w:tc>
        <w:tc>
          <w:tcPr>
            <w:tcW w:w="753" w:type="pct"/>
            <w:shd w:val="clear" w:color="auto" w:fill="808080" w:themeFill="background1" w:themeFillShade="80"/>
            <w:vAlign w:val="center"/>
          </w:tcPr>
          <w:p w14:paraId="5B982256" w14:textId="77777777" w:rsidR="00C621ED" w:rsidRPr="002A6C09" w:rsidRDefault="00C621ED" w:rsidP="00CB2BCC">
            <w:pPr>
              <w:pStyle w:val="TableText"/>
              <w:spacing w:after="0"/>
              <w:jc w:val="center"/>
              <w:rPr>
                <w:rStyle w:val="Strong"/>
                <w:color w:val="FFFFFF" w:themeColor="background1"/>
              </w:rPr>
            </w:pPr>
            <w:r w:rsidRPr="002A6C09">
              <w:rPr>
                <w:rStyle w:val="Strong"/>
                <w:color w:val="FFFFFF" w:themeColor="background1"/>
              </w:rPr>
              <w:t>2018</w:t>
            </w:r>
          </w:p>
        </w:tc>
        <w:tc>
          <w:tcPr>
            <w:tcW w:w="752" w:type="pct"/>
            <w:shd w:val="clear" w:color="auto" w:fill="808080" w:themeFill="background1" w:themeFillShade="80"/>
            <w:vAlign w:val="center"/>
          </w:tcPr>
          <w:p w14:paraId="766A36D9" w14:textId="77777777" w:rsidR="00C621ED" w:rsidRPr="002A6C09" w:rsidRDefault="00C621ED" w:rsidP="00CB2BCC">
            <w:pPr>
              <w:pStyle w:val="TableText"/>
              <w:spacing w:after="0"/>
              <w:jc w:val="center"/>
              <w:rPr>
                <w:rStyle w:val="Strong"/>
                <w:color w:val="FFFFFF" w:themeColor="background1"/>
              </w:rPr>
            </w:pPr>
            <w:r w:rsidRPr="002A6C09">
              <w:rPr>
                <w:rStyle w:val="Strong"/>
                <w:color w:val="FFFFFF" w:themeColor="background1"/>
              </w:rPr>
              <w:t>2019*</w:t>
            </w:r>
          </w:p>
        </w:tc>
        <w:tc>
          <w:tcPr>
            <w:tcW w:w="753" w:type="pct"/>
            <w:shd w:val="clear" w:color="auto" w:fill="808080" w:themeFill="background1" w:themeFillShade="80"/>
            <w:vAlign w:val="center"/>
          </w:tcPr>
          <w:p w14:paraId="63C71B77" w14:textId="77777777" w:rsidR="00C621ED" w:rsidRPr="002A6C09" w:rsidRDefault="00C621ED" w:rsidP="00CB2BCC">
            <w:pPr>
              <w:pStyle w:val="TableText"/>
              <w:spacing w:after="0"/>
              <w:jc w:val="center"/>
              <w:rPr>
                <w:rStyle w:val="Strong"/>
                <w:color w:val="FFFFFF" w:themeColor="background1"/>
              </w:rPr>
            </w:pPr>
            <w:r w:rsidRPr="002A6C09">
              <w:rPr>
                <w:rStyle w:val="Strong"/>
                <w:color w:val="FFFFFF" w:themeColor="background1"/>
              </w:rPr>
              <w:t>2020*</w:t>
            </w:r>
          </w:p>
        </w:tc>
        <w:tc>
          <w:tcPr>
            <w:tcW w:w="752" w:type="pct"/>
            <w:shd w:val="clear" w:color="auto" w:fill="808080" w:themeFill="background1" w:themeFillShade="80"/>
            <w:vAlign w:val="center"/>
          </w:tcPr>
          <w:p w14:paraId="68758F27" w14:textId="77777777" w:rsidR="00C621ED" w:rsidRPr="002A6C09" w:rsidRDefault="00C621ED" w:rsidP="00CB2BCC">
            <w:pPr>
              <w:pStyle w:val="TableText"/>
              <w:spacing w:after="0"/>
              <w:jc w:val="center"/>
              <w:rPr>
                <w:rStyle w:val="Strong"/>
                <w:color w:val="FFFFFF" w:themeColor="background1"/>
              </w:rPr>
            </w:pPr>
            <w:r w:rsidRPr="002A6C09">
              <w:rPr>
                <w:rStyle w:val="Strong"/>
                <w:color w:val="FFFFFF" w:themeColor="background1"/>
              </w:rPr>
              <w:t>2021*</w:t>
            </w:r>
          </w:p>
        </w:tc>
      </w:tr>
      <w:tr w:rsidR="00C621ED" w14:paraId="6D6D9F1A" w14:textId="77777777" w:rsidTr="0039786A">
        <w:trPr>
          <w:trHeight w:val="394"/>
        </w:trPr>
        <w:tc>
          <w:tcPr>
            <w:tcW w:w="1238" w:type="pct"/>
            <w:vAlign w:val="center"/>
          </w:tcPr>
          <w:p w14:paraId="384C2214" w14:textId="77777777" w:rsidR="00C621ED" w:rsidRPr="006C39C3" w:rsidRDefault="00C621ED" w:rsidP="00417B87">
            <w:pPr>
              <w:pStyle w:val="TableText"/>
              <w:spacing w:after="0"/>
            </w:pPr>
            <w:r>
              <w:t>Number of suspected NMD i</w:t>
            </w:r>
            <w:r w:rsidRPr="006C39C3">
              <w:t>ndex cases</w:t>
            </w:r>
          </w:p>
        </w:tc>
        <w:tc>
          <w:tcPr>
            <w:tcW w:w="752" w:type="pct"/>
            <w:vAlign w:val="center"/>
          </w:tcPr>
          <w:p w14:paraId="5BC4302F" w14:textId="77777777" w:rsidR="00C621ED" w:rsidRDefault="00C621ED" w:rsidP="00417B87">
            <w:pPr>
              <w:pStyle w:val="TableText"/>
              <w:spacing w:after="0"/>
              <w:jc w:val="center"/>
            </w:pPr>
            <w:r>
              <w:t>944</w:t>
            </w:r>
          </w:p>
        </w:tc>
        <w:tc>
          <w:tcPr>
            <w:tcW w:w="753" w:type="pct"/>
            <w:vAlign w:val="center"/>
          </w:tcPr>
          <w:p w14:paraId="107954FE" w14:textId="36C9D2A5" w:rsidR="00C621ED" w:rsidRDefault="00C621ED" w:rsidP="00417B87">
            <w:pPr>
              <w:pStyle w:val="TableText"/>
              <w:spacing w:after="0"/>
              <w:jc w:val="center"/>
            </w:pPr>
            <w:r>
              <w:t>1,023</w:t>
            </w:r>
          </w:p>
        </w:tc>
        <w:tc>
          <w:tcPr>
            <w:tcW w:w="752" w:type="pct"/>
            <w:vAlign w:val="center"/>
          </w:tcPr>
          <w:p w14:paraId="19BE468E" w14:textId="77A2C3B4" w:rsidR="00C621ED" w:rsidRDefault="00C621ED" w:rsidP="00417B87">
            <w:pPr>
              <w:pStyle w:val="TableText"/>
              <w:spacing w:after="0"/>
              <w:jc w:val="center"/>
            </w:pPr>
            <w:r>
              <w:t>1,108</w:t>
            </w:r>
          </w:p>
        </w:tc>
        <w:tc>
          <w:tcPr>
            <w:tcW w:w="753" w:type="pct"/>
            <w:vAlign w:val="center"/>
          </w:tcPr>
          <w:p w14:paraId="33A5647E" w14:textId="3A3AC056" w:rsidR="00C621ED" w:rsidRDefault="00C621ED" w:rsidP="00417B87">
            <w:pPr>
              <w:pStyle w:val="TableText"/>
              <w:spacing w:after="0"/>
              <w:jc w:val="center"/>
            </w:pPr>
            <w:r>
              <w:t>1,200</w:t>
            </w:r>
          </w:p>
        </w:tc>
        <w:tc>
          <w:tcPr>
            <w:tcW w:w="752" w:type="pct"/>
            <w:vAlign w:val="center"/>
          </w:tcPr>
          <w:p w14:paraId="6B0D045F" w14:textId="7AF1651A" w:rsidR="00C621ED" w:rsidRDefault="00C621ED" w:rsidP="00417B87">
            <w:pPr>
              <w:pStyle w:val="TableText"/>
              <w:spacing w:after="0"/>
              <w:jc w:val="center"/>
            </w:pPr>
            <w:r>
              <w:t>1,300</w:t>
            </w:r>
          </w:p>
        </w:tc>
      </w:tr>
      <w:tr w:rsidR="00C621ED" w14:paraId="3F934BCD" w14:textId="77777777" w:rsidTr="0039786A">
        <w:trPr>
          <w:trHeight w:val="393"/>
        </w:trPr>
        <w:tc>
          <w:tcPr>
            <w:tcW w:w="1238" w:type="pct"/>
            <w:vAlign w:val="center"/>
          </w:tcPr>
          <w:p w14:paraId="217DAC8C" w14:textId="77777777" w:rsidR="00C621ED" w:rsidRDefault="00C621ED" w:rsidP="00417B87">
            <w:pPr>
              <w:pStyle w:val="TableText"/>
              <w:spacing w:after="0"/>
            </w:pPr>
            <w:r>
              <w:t>Number of positive NMD cases</w:t>
            </w:r>
          </w:p>
        </w:tc>
        <w:tc>
          <w:tcPr>
            <w:tcW w:w="752" w:type="pct"/>
            <w:vAlign w:val="center"/>
          </w:tcPr>
          <w:p w14:paraId="6D513353" w14:textId="77777777" w:rsidR="00C621ED" w:rsidRDefault="00C621ED" w:rsidP="00417B87">
            <w:pPr>
              <w:pStyle w:val="TableText"/>
              <w:spacing w:after="0"/>
              <w:jc w:val="center"/>
            </w:pPr>
            <w:r>
              <w:t>276</w:t>
            </w:r>
          </w:p>
        </w:tc>
        <w:tc>
          <w:tcPr>
            <w:tcW w:w="753" w:type="pct"/>
            <w:vAlign w:val="center"/>
          </w:tcPr>
          <w:p w14:paraId="5F2AE765" w14:textId="77777777" w:rsidR="00C621ED" w:rsidRDefault="00C621ED" w:rsidP="00417B87">
            <w:pPr>
              <w:pStyle w:val="TableText"/>
              <w:spacing w:after="0"/>
              <w:jc w:val="center"/>
            </w:pPr>
            <w:r>
              <w:t>242</w:t>
            </w:r>
          </w:p>
        </w:tc>
        <w:tc>
          <w:tcPr>
            <w:tcW w:w="752" w:type="pct"/>
            <w:vAlign w:val="center"/>
          </w:tcPr>
          <w:p w14:paraId="0BFBEB6E" w14:textId="77777777" w:rsidR="00C621ED" w:rsidRDefault="00C621ED" w:rsidP="00417B87">
            <w:pPr>
              <w:pStyle w:val="TableText"/>
              <w:spacing w:after="0"/>
              <w:jc w:val="center"/>
            </w:pPr>
            <w:r>
              <w:t>293</w:t>
            </w:r>
          </w:p>
        </w:tc>
        <w:tc>
          <w:tcPr>
            <w:tcW w:w="753" w:type="pct"/>
            <w:vAlign w:val="center"/>
          </w:tcPr>
          <w:p w14:paraId="5A83975A" w14:textId="77777777" w:rsidR="00C621ED" w:rsidRDefault="00C621ED" w:rsidP="00417B87">
            <w:pPr>
              <w:pStyle w:val="TableText"/>
              <w:spacing w:after="0"/>
              <w:jc w:val="center"/>
            </w:pPr>
            <w:r>
              <w:t>316</w:t>
            </w:r>
          </w:p>
        </w:tc>
        <w:tc>
          <w:tcPr>
            <w:tcW w:w="752" w:type="pct"/>
            <w:vAlign w:val="center"/>
          </w:tcPr>
          <w:p w14:paraId="055240F9" w14:textId="77777777" w:rsidR="00C621ED" w:rsidRDefault="00C621ED" w:rsidP="00417B87">
            <w:pPr>
              <w:pStyle w:val="TableText"/>
              <w:spacing w:after="0"/>
              <w:jc w:val="center"/>
            </w:pPr>
            <w:r>
              <w:t>342</w:t>
            </w:r>
          </w:p>
        </w:tc>
      </w:tr>
      <w:tr w:rsidR="00C621ED" w14:paraId="0AE96E17" w14:textId="77777777" w:rsidTr="0039786A">
        <w:trPr>
          <w:trHeight w:val="393"/>
        </w:trPr>
        <w:tc>
          <w:tcPr>
            <w:tcW w:w="1238" w:type="pct"/>
            <w:vAlign w:val="center"/>
          </w:tcPr>
          <w:p w14:paraId="10CFCBEC" w14:textId="77777777" w:rsidR="00C621ED" w:rsidRDefault="00C621ED" w:rsidP="00417B87">
            <w:pPr>
              <w:pStyle w:val="TableText"/>
              <w:spacing w:after="0"/>
            </w:pPr>
            <w:r>
              <w:t>Number of cascade tests per positive case</w:t>
            </w:r>
          </w:p>
        </w:tc>
        <w:tc>
          <w:tcPr>
            <w:tcW w:w="752" w:type="pct"/>
            <w:vAlign w:val="center"/>
          </w:tcPr>
          <w:p w14:paraId="0ECEC50D" w14:textId="77777777" w:rsidR="00C621ED" w:rsidRDefault="00C621ED" w:rsidP="00417B87">
            <w:pPr>
              <w:pStyle w:val="TableText"/>
              <w:spacing w:after="0"/>
              <w:jc w:val="center"/>
            </w:pPr>
            <w:r>
              <w:t>1.12</w:t>
            </w:r>
          </w:p>
        </w:tc>
        <w:tc>
          <w:tcPr>
            <w:tcW w:w="753" w:type="pct"/>
            <w:vAlign w:val="center"/>
          </w:tcPr>
          <w:p w14:paraId="2D6A2C8F" w14:textId="77777777" w:rsidR="00C621ED" w:rsidRDefault="00C621ED" w:rsidP="00417B87">
            <w:pPr>
              <w:pStyle w:val="TableText"/>
              <w:spacing w:after="0"/>
              <w:jc w:val="center"/>
            </w:pPr>
            <w:r>
              <w:t>1.30</w:t>
            </w:r>
          </w:p>
        </w:tc>
        <w:tc>
          <w:tcPr>
            <w:tcW w:w="752" w:type="pct"/>
            <w:vAlign w:val="center"/>
          </w:tcPr>
          <w:p w14:paraId="5D3C4390" w14:textId="77777777" w:rsidR="00C621ED" w:rsidRDefault="00C621ED" w:rsidP="00417B87">
            <w:pPr>
              <w:pStyle w:val="TableText"/>
              <w:spacing w:after="0"/>
              <w:jc w:val="center"/>
            </w:pPr>
            <w:r>
              <w:t>1.21</w:t>
            </w:r>
          </w:p>
        </w:tc>
        <w:tc>
          <w:tcPr>
            <w:tcW w:w="753" w:type="pct"/>
            <w:vAlign w:val="center"/>
          </w:tcPr>
          <w:p w14:paraId="6BF8CE71" w14:textId="77777777" w:rsidR="00C621ED" w:rsidRDefault="00C621ED" w:rsidP="00417B87">
            <w:pPr>
              <w:pStyle w:val="TableText"/>
              <w:spacing w:after="0"/>
              <w:jc w:val="center"/>
            </w:pPr>
            <w:r>
              <w:t>1.21</w:t>
            </w:r>
          </w:p>
        </w:tc>
        <w:tc>
          <w:tcPr>
            <w:tcW w:w="752" w:type="pct"/>
            <w:vAlign w:val="center"/>
          </w:tcPr>
          <w:p w14:paraId="4314AACE" w14:textId="77777777" w:rsidR="00C621ED" w:rsidRDefault="00C621ED" w:rsidP="00417B87">
            <w:pPr>
              <w:pStyle w:val="TableText"/>
              <w:spacing w:after="0"/>
              <w:jc w:val="center"/>
            </w:pPr>
            <w:r>
              <w:t>1.21</w:t>
            </w:r>
          </w:p>
        </w:tc>
      </w:tr>
      <w:tr w:rsidR="00C621ED" w14:paraId="189B41CE" w14:textId="77777777" w:rsidTr="0039786A">
        <w:trPr>
          <w:trHeight w:val="510"/>
        </w:trPr>
        <w:tc>
          <w:tcPr>
            <w:tcW w:w="1238" w:type="pct"/>
            <w:vAlign w:val="center"/>
          </w:tcPr>
          <w:p w14:paraId="3831263F" w14:textId="77777777" w:rsidR="00C621ED" w:rsidRDefault="00C621ED" w:rsidP="00417B87">
            <w:pPr>
              <w:pStyle w:val="TableText"/>
              <w:spacing w:after="0"/>
            </w:pPr>
            <w:r>
              <w:t>Total number of family c</w:t>
            </w:r>
            <w:r w:rsidRPr="009F45E9">
              <w:t>ascade tes</w:t>
            </w:r>
            <w:r>
              <w:t>ts</w:t>
            </w:r>
          </w:p>
        </w:tc>
        <w:tc>
          <w:tcPr>
            <w:tcW w:w="752" w:type="pct"/>
            <w:vAlign w:val="center"/>
          </w:tcPr>
          <w:p w14:paraId="50951A13" w14:textId="77777777" w:rsidR="00C621ED" w:rsidRDefault="00C621ED" w:rsidP="00417B87">
            <w:pPr>
              <w:pStyle w:val="TableText"/>
              <w:spacing w:after="0"/>
              <w:jc w:val="center"/>
            </w:pPr>
            <w:r>
              <w:t>310</w:t>
            </w:r>
          </w:p>
        </w:tc>
        <w:tc>
          <w:tcPr>
            <w:tcW w:w="753" w:type="pct"/>
            <w:vAlign w:val="center"/>
          </w:tcPr>
          <w:p w14:paraId="031626EB" w14:textId="77777777" w:rsidR="00C621ED" w:rsidRDefault="00C621ED" w:rsidP="00417B87">
            <w:pPr>
              <w:pStyle w:val="TableText"/>
              <w:spacing w:after="0"/>
              <w:jc w:val="center"/>
            </w:pPr>
            <w:r>
              <w:t>330</w:t>
            </w:r>
          </w:p>
        </w:tc>
        <w:tc>
          <w:tcPr>
            <w:tcW w:w="752" w:type="pct"/>
            <w:vAlign w:val="center"/>
          </w:tcPr>
          <w:p w14:paraId="03DFBAF3" w14:textId="77777777" w:rsidR="00C621ED" w:rsidRDefault="00C621ED" w:rsidP="00417B87">
            <w:pPr>
              <w:pStyle w:val="TableText"/>
              <w:spacing w:after="0"/>
              <w:jc w:val="center"/>
            </w:pPr>
            <w:r>
              <w:t>354</w:t>
            </w:r>
          </w:p>
        </w:tc>
        <w:tc>
          <w:tcPr>
            <w:tcW w:w="753" w:type="pct"/>
            <w:vAlign w:val="center"/>
          </w:tcPr>
          <w:p w14:paraId="3913AAE3" w14:textId="77777777" w:rsidR="00C621ED" w:rsidRDefault="00C621ED" w:rsidP="00417B87">
            <w:pPr>
              <w:pStyle w:val="TableText"/>
              <w:spacing w:after="0"/>
              <w:jc w:val="center"/>
            </w:pPr>
            <w:r>
              <w:t>382</w:t>
            </w:r>
          </w:p>
        </w:tc>
        <w:tc>
          <w:tcPr>
            <w:tcW w:w="752" w:type="pct"/>
            <w:vAlign w:val="center"/>
          </w:tcPr>
          <w:p w14:paraId="428F902F" w14:textId="77777777" w:rsidR="00C621ED" w:rsidRDefault="00C621ED" w:rsidP="00417B87">
            <w:pPr>
              <w:pStyle w:val="TableText"/>
              <w:spacing w:after="0"/>
              <w:jc w:val="center"/>
            </w:pPr>
            <w:r>
              <w:t>413</w:t>
            </w:r>
          </w:p>
        </w:tc>
      </w:tr>
      <w:tr w:rsidR="00C621ED" w14:paraId="2187E961" w14:textId="77777777" w:rsidTr="0039786A">
        <w:trPr>
          <w:trHeight w:val="510"/>
        </w:trPr>
        <w:tc>
          <w:tcPr>
            <w:tcW w:w="1238" w:type="pct"/>
            <w:vAlign w:val="center"/>
          </w:tcPr>
          <w:p w14:paraId="17383070" w14:textId="77777777" w:rsidR="00C621ED" w:rsidRPr="009F45E9" w:rsidRDefault="00C621ED" w:rsidP="00417B87">
            <w:pPr>
              <w:pStyle w:val="TableText"/>
              <w:spacing w:after="0"/>
            </w:pPr>
            <w:r>
              <w:t>Number of p</w:t>
            </w:r>
            <w:r w:rsidRPr="009F45E9">
              <w:t xml:space="preserve">renatal </w:t>
            </w:r>
            <w:r>
              <w:t>diagnosis</w:t>
            </w:r>
          </w:p>
        </w:tc>
        <w:tc>
          <w:tcPr>
            <w:tcW w:w="752" w:type="pct"/>
            <w:vAlign w:val="center"/>
          </w:tcPr>
          <w:p w14:paraId="61A6FFCB" w14:textId="77777777" w:rsidR="00C621ED" w:rsidRDefault="00C621ED" w:rsidP="00417B87">
            <w:pPr>
              <w:pStyle w:val="TableText"/>
              <w:spacing w:after="0"/>
              <w:jc w:val="center"/>
            </w:pPr>
            <w:r>
              <w:t>13</w:t>
            </w:r>
          </w:p>
        </w:tc>
        <w:tc>
          <w:tcPr>
            <w:tcW w:w="753" w:type="pct"/>
            <w:vAlign w:val="center"/>
          </w:tcPr>
          <w:p w14:paraId="5EAFF70B" w14:textId="77777777" w:rsidR="00C621ED" w:rsidRDefault="00C621ED" w:rsidP="00417B87">
            <w:pPr>
              <w:pStyle w:val="TableText"/>
              <w:spacing w:after="0"/>
              <w:jc w:val="center"/>
            </w:pPr>
            <w:r>
              <w:t>19</w:t>
            </w:r>
          </w:p>
        </w:tc>
        <w:tc>
          <w:tcPr>
            <w:tcW w:w="752" w:type="pct"/>
            <w:vAlign w:val="center"/>
          </w:tcPr>
          <w:p w14:paraId="1FA55B35" w14:textId="77777777" w:rsidR="00C621ED" w:rsidRDefault="00C621ED" w:rsidP="00417B87">
            <w:pPr>
              <w:pStyle w:val="TableText"/>
              <w:spacing w:after="0"/>
              <w:jc w:val="center"/>
            </w:pPr>
            <w:r>
              <w:t>-</w:t>
            </w:r>
          </w:p>
        </w:tc>
        <w:tc>
          <w:tcPr>
            <w:tcW w:w="753" w:type="pct"/>
            <w:vAlign w:val="center"/>
          </w:tcPr>
          <w:p w14:paraId="25A8BD8C" w14:textId="77777777" w:rsidR="00C621ED" w:rsidRDefault="00C621ED" w:rsidP="00417B87">
            <w:pPr>
              <w:pStyle w:val="TableText"/>
              <w:spacing w:after="0"/>
              <w:jc w:val="center"/>
            </w:pPr>
            <w:r>
              <w:t>-</w:t>
            </w:r>
          </w:p>
        </w:tc>
        <w:tc>
          <w:tcPr>
            <w:tcW w:w="752" w:type="pct"/>
            <w:vAlign w:val="center"/>
          </w:tcPr>
          <w:p w14:paraId="557C6DAA" w14:textId="77777777" w:rsidR="00C621ED" w:rsidRDefault="00C621ED" w:rsidP="00417B87">
            <w:pPr>
              <w:pStyle w:val="TableText"/>
              <w:spacing w:after="0"/>
              <w:jc w:val="center"/>
            </w:pPr>
            <w:r>
              <w:t>-</w:t>
            </w:r>
          </w:p>
        </w:tc>
      </w:tr>
    </w:tbl>
    <w:p w14:paraId="7610E0D0" w14:textId="47E46D11" w:rsidR="00C621ED" w:rsidRPr="005554A0" w:rsidRDefault="00C621ED" w:rsidP="005554A0">
      <w:pPr>
        <w:spacing w:after="0" w:line="240" w:lineRule="auto"/>
        <w:rPr>
          <w:sz w:val="18"/>
          <w:szCs w:val="18"/>
        </w:rPr>
      </w:pPr>
      <w:r>
        <w:rPr>
          <w:sz w:val="18"/>
          <w:szCs w:val="18"/>
        </w:rPr>
        <w:t>Source: A</w:t>
      </w:r>
      <w:r w:rsidRPr="005554A0">
        <w:rPr>
          <w:sz w:val="18"/>
          <w:szCs w:val="18"/>
        </w:rPr>
        <w:t xml:space="preserve">pplication </w:t>
      </w:r>
      <w:r>
        <w:rPr>
          <w:sz w:val="18"/>
          <w:szCs w:val="18"/>
        </w:rPr>
        <w:t>Form 1585</w:t>
      </w:r>
    </w:p>
    <w:p w14:paraId="315F36A5" w14:textId="634910CD" w:rsidR="00C621ED" w:rsidRPr="005554A0" w:rsidRDefault="00C621ED" w:rsidP="00417B87">
      <w:pPr>
        <w:spacing w:after="0" w:line="240" w:lineRule="auto"/>
        <w:rPr>
          <w:sz w:val="18"/>
          <w:szCs w:val="18"/>
        </w:rPr>
      </w:pPr>
      <w:r w:rsidRPr="005554A0">
        <w:rPr>
          <w:sz w:val="18"/>
          <w:szCs w:val="18"/>
        </w:rPr>
        <w:t xml:space="preserve">Notes: </w:t>
      </w:r>
      <w:r w:rsidRPr="00417B87">
        <w:rPr>
          <w:sz w:val="18"/>
          <w:szCs w:val="18"/>
        </w:rPr>
        <w:t>based on 2017-2018 data from the national NMD testing laboratory in WA</w:t>
      </w:r>
      <w:r w:rsidRPr="005554A0">
        <w:rPr>
          <w:sz w:val="18"/>
          <w:szCs w:val="18"/>
        </w:rPr>
        <w:t xml:space="preserve"> </w:t>
      </w:r>
    </w:p>
    <w:p w14:paraId="008D7CB5" w14:textId="415A9302" w:rsidR="00C621ED" w:rsidRPr="005554A0" w:rsidRDefault="00C621ED" w:rsidP="00417B87">
      <w:pPr>
        <w:spacing w:after="0" w:line="240" w:lineRule="auto"/>
        <w:rPr>
          <w:sz w:val="18"/>
          <w:szCs w:val="18"/>
        </w:rPr>
      </w:pPr>
      <w:r w:rsidRPr="005554A0">
        <w:rPr>
          <w:sz w:val="18"/>
          <w:szCs w:val="18"/>
        </w:rPr>
        <w:t>*Estimated population</w:t>
      </w:r>
      <w:r>
        <w:rPr>
          <w:sz w:val="18"/>
          <w:szCs w:val="18"/>
        </w:rPr>
        <w:t xml:space="preserve"> based on linear</w:t>
      </w:r>
      <w:r w:rsidR="008817F7" w:rsidRPr="008817F7">
        <w:t xml:space="preserve"> </w:t>
      </w:r>
      <w:r w:rsidR="008817F7" w:rsidRPr="008817F7">
        <w:rPr>
          <w:sz w:val="18"/>
          <w:szCs w:val="18"/>
        </w:rPr>
        <w:t>projection of 8.4% (change from 2017-2018)</w:t>
      </w:r>
      <w:r>
        <w:rPr>
          <w:sz w:val="18"/>
          <w:szCs w:val="18"/>
        </w:rPr>
        <w:t xml:space="preserve"> </w:t>
      </w:r>
    </w:p>
    <w:p w14:paraId="3A2144A8" w14:textId="2C084861" w:rsidR="00C621ED" w:rsidRDefault="00C621ED" w:rsidP="00417B87">
      <w:pPr>
        <w:spacing w:before="240"/>
      </w:pPr>
      <w:r>
        <w:t>Table 3 applies each of the assumptions set out Table 2, but does so starting from an estimated population incidence rate for the most commonly occurring NMDs.</w:t>
      </w:r>
    </w:p>
    <w:p w14:paraId="164FFCEC" w14:textId="26A70CBF" w:rsidR="00C621ED" w:rsidRPr="008C3942" w:rsidRDefault="00C621ED" w:rsidP="00F42679">
      <w:pPr>
        <w:pStyle w:val="ListParagraph"/>
        <w:numPr>
          <w:ilvl w:val="0"/>
          <w:numId w:val="13"/>
        </w:numPr>
        <w:rPr>
          <w:sz w:val="16"/>
          <w:szCs w:val="16"/>
        </w:rPr>
      </w:pPr>
      <w:r w:rsidRPr="004C5A86">
        <w:t xml:space="preserve">The current application provides a minimum and maximum incidence for thirteen NMDs </w:t>
      </w:r>
      <w:r>
        <w:t>reported in peer-</w:t>
      </w:r>
      <w:r w:rsidRPr="004C5A86">
        <w:t>reviewed studies (see</w:t>
      </w:r>
      <w:r>
        <w:t xml:space="preserve"> Table 1). </w:t>
      </w:r>
      <w:r w:rsidRPr="004C5A86">
        <w:t>The wide range is attributable to differences in NMD diagnostic definitions</w:t>
      </w:r>
      <w:r>
        <w:t xml:space="preserve"> and heritability,</w:t>
      </w:r>
      <w:r w:rsidRPr="004C5A86">
        <w:t xml:space="preserve"> as well as a general paucity of data to inform estimates. The cumulative prevalence estimates provided in Table 1 were used as the basis for assessing likely population demand for testing</w:t>
      </w:r>
      <w:r>
        <w:t xml:space="preserve"> (see </w:t>
      </w:r>
      <w:r w:rsidRPr="004C5A86">
        <w:t>section labelled ‘scenario A’ in Table 3)</w:t>
      </w:r>
      <w:r>
        <w:t xml:space="preserve">. </w:t>
      </w:r>
      <w:r w:rsidRPr="004C5A86">
        <w:t>The low</w:t>
      </w:r>
      <w:r>
        <w:t>er incidence estimate was set at</w:t>
      </w:r>
      <w:r w:rsidRPr="004C5A86">
        <w:t xml:space="preserve"> 12.0/100,000</w:t>
      </w:r>
      <w:r>
        <w:t>,</w:t>
      </w:r>
      <w:r w:rsidRPr="004C5A86">
        <w:t xml:space="preserve"> whi</w:t>
      </w:r>
      <w:r>
        <w:t>le the upper estimate was set at</w:t>
      </w:r>
      <w:r w:rsidRPr="004C5A86">
        <w:t xml:space="preserve"> 82.8/100,000, both being</w:t>
      </w:r>
      <w:r>
        <w:t xml:space="preserve"> the simple additive sum of </w:t>
      </w:r>
      <w:r w:rsidRPr="004C5A86">
        <w:t>rates of each individual NMD</w:t>
      </w:r>
      <w:r w:rsidRPr="002A6C09">
        <w:t xml:space="preserve"> </w:t>
      </w:r>
      <w:r>
        <w:t xml:space="preserve">included </w:t>
      </w:r>
      <w:r w:rsidRPr="002A6C09">
        <w:t>in Table 1</w:t>
      </w:r>
      <w:r w:rsidRPr="004C5A86">
        <w:t>. It is acknowledged that the list of disorders is not complete</w:t>
      </w:r>
      <w:r>
        <w:t>,</w:t>
      </w:r>
      <w:r w:rsidRPr="004C5A86">
        <w:t xml:space="preserve"> and the incidence rates provided </w:t>
      </w:r>
      <w:r>
        <w:t xml:space="preserve">are </w:t>
      </w:r>
      <w:r w:rsidRPr="004C5A86">
        <w:t xml:space="preserve">likely </w:t>
      </w:r>
      <w:r>
        <w:t xml:space="preserve">to </w:t>
      </w:r>
      <w:r w:rsidRPr="004C5A86">
        <w:t xml:space="preserve">underestimate the true incidence </w:t>
      </w:r>
      <w:r>
        <w:t>(</w:t>
      </w:r>
      <w:r w:rsidRPr="004C5A86">
        <w:t>due to incomplete case ascertainment</w:t>
      </w:r>
      <w:r>
        <w:t>)</w:t>
      </w:r>
      <w:r w:rsidRPr="004C5A86">
        <w:t>.</w:t>
      </w:r>
      <w:r>
        <w:br/>
      </w:r>
    </w:p>
    <w:p w14:paraId="15A6992B" w14:textId="3E151A50" w:rsidR="00C621ED" w:rsidRPr="008C3942" w:rsidRDefault="00C621ED" w:rsidP="00F42679">
      <w:pPr>
        <w:pStyle w:val="ListParagraph"/>
        <w:numPr>
          <w:ilvl w:val="0"/>
          <w:numId w:val="13"/>
        </w:numPr>
        <w:rPr>
          <w:sz w:val="16"/>
          <w:szCs w:val="16"/>
        </w:rPr>
      </w:pPr>
      <w:r w:rsidRPr="004C5A86">
        <w:t xml:space="preserve">In addition to the two incidence rates provided in the </w:t>
      </w:r>
      <w:r>
        <w:t>application</w:t>
      </w:r>
      <w:r w:rsidRPr="004C5A86">
        <w:t xml:space="preserve">, another set of models </w:t>
      </w:r>
      <w:r>
        <w:t xml:space="preserve">has been developed, </w:t>
      </w:r>
      <w:r w:rsidRPr="004C5A86">
        <w:t>assuming an incidence rate of 100/100,000</w:t>
      </w:r>
      <w:r>
        <w:t xml:space="preserve">. This was indicated to be </w:t>
      </w:r>
      <w:r w:rsidRPr="004C5A86">
        <w:t>the likely NMD incidence rate on the Muscular Dystrophy Foundation Australia website</w:t>
      </w:r>
      <w:r w:rsidRPr="004C5A86">
        <w:rPr>
          <w:rStyle w:val="EndnoteReference"/>
        </w:rPr>
        <w:endnoteReference w:id="12"/>
      </w:r>
      <w:r w:rsidRPr="004C5A86">
        <w:t xml:space="preserve">. It is assumed this estimate </w:t>
      </w:r>
      <w:r>
        <w:t xml:space="preserve">attempts to correct/address </w:t>
      </w:r>
      <w:r w:rsidRPr="004C5A86">
        <w:t>the two factors discussed above (incomplete list of NMD disorders and incomplete case ascertainment), although no peer reviewed document is cited in connection with the estimate.</w:t>
      </w:r>
      <w:r>
        <w:br/>
      </w:r>
    </w:p>
    <w:p w14:paraId="46486FA8" w14:textId="710ECDC6" w:rsidR="00C621ED" w:rsidRDefault="00C621ED" w:rsidP="00F42679">
      <w:pPr>
        <w:pStyle w:val="ListParagraph"/>
        <w:numPr>
          <w:ilvl w:val="0"/>
          <w:numId w:val="13"/>
        </w:numPr>
      </w:pPr>
      <w:r w:rsidRPr="004C5A86">
        <w:t>With the range of incidence rates established, assumptions based on data from Table 2 were used to estimate the likely number of tests conducted on suspected NMD index cases in Table 3. Data from Table 2 indicated that for every single confirmed case, approximately 2.8 suspected index cases would be tested. Scenario B in Table 3 provides the estimated number of tests required</w:t>
      </w:r>
      <w:r>
        <w:t>,</w:t>
      </w:r>
      <w:r w:rsidRPr="004C5A86">
        <w:t xml:space="preserve"> assuming the same ratio of suspected test cases to true cases </w:t>
      </w:r>
      <w:r>
        <w:t>(</w:t>
      </w:r>
      <w:r w:rsidRPr="004C5A86">
        <w:t>based on the three incidence estimates</w:t>
      </w:r>
      <w:r w:rsidRPr="004C5A86">
        <w:rPr>
          <w:rStyle w:val="EndnoteReference"/>
        </w:rPr>
        <w:endnoteReference w:id="13"/>
      </w:r>
      <w:r>
        <w:t>)</w:t>
      </w:r>
      <w:r w:rsidRPr="004C5A86">
        <w:t>.</w:t>
      </w:r>
    </w:p>
    <w:p w14:paraId="72F8A7C5" w14:textId="77777777" w:rsidR="00CF1758" w:rsidRPr="008C3942" w:rsidRDefault="00CF1758" w:rsidP="002B68D0">
      <w:pPr>
        <w:pStyle w:val="ListParagraph"/>
        <w:rPr>
          <w:sz w:val="16"/>
          <w:szCs w:val="16"/>
        </w:rPr>
      </w:pPr>
    </w:p>
    <w:p w14:paraId="6BE8996E" w14:textId="77777777" w:rsidR="00CA3C67" w:rsidRDefault="00CA3C67">
      <w:r>
        <w:br w:type="page"/>
      </w:r>
    </w:p>
    <w:p w14:paraId="6E26842D" w14:textId="6AE4F06E" w:rsidR="00C621ED" w:rsidRPr="008C3942" w:rsidRDefault="00C621ED" w:rsidP="00F42679">
      <w:pPr>
        <w:pStyle w:val="ListParagraph"/>
        <w:numPr>
          <w:ilvl w:val="0"/>
          <w:numId w:val="13"/>
        </w:numPr>
        <w:rPr>
          <w:sz w:val="16"/>
          <w:szCs w:val="16"/>
        </w:rPr>
      </w:pPr>
      <w:r>
        <w:lastRenderedPageBreak/>
        <w:t xml:space="preserve">Using data in Table </w:t>
      </w:r>
      <w:r w:rsidRPr="004C5A86">
        <w:t>2, the observed increase in the rate of testing (8.4%) annually was applied to the modelled estimates (section ‘Scenario C’ in Table 3), building on previous scenarios.</w:t>
      </w:r>
      <w:r w:rsidRPr="004C5A86">
        <w:rPr>
          <w:rStyle w:val="EndnoteReference"/>
        </w:rPr>
        <w:endnoteReference w:id="14"/>
      </w:r>
      <w:r>
        <w:t xml:space="preserve"> </w:t>
      </w:r>
      <w:r w:rsidRPr="004C5A86">
        <w:t>It should be noted that</w:t>
      </w:r>
      <w:r>
        <w:t>,</w:t>
      </w:r>
      <w:r w:rsidRPr="004C5A86">
        <w:t xml:space="preserve"> for the upper incidence estimate and the alternative incidence estimates in Scenario C, the </w:t>
      </w:r>
      <w:r>
        <w:t xml:space="preserve">estimate of </w:t>
      </w:r>
      <w:r w:rsidRPr="004C5A86">
        <w:t>number of tests required are similar to the observed and modelled volume of tests currently recorded for the national NMD testing laboratory in WA.</w:t>
      </w:r>
      <w:r>
        <w:br/>
      </w:r>
    </w:p>
    <w:p w14:paraId="56A992B4" w14:textId="0C38965D" w:rsidR="00C621ED" w:rsidRPr="008C3942" w:rsidRDefault="00C621ED" w:rsidP="00F42679">
      <w:pPr>
        <w:pStyle w:val="ListParagraph"/>
        <w:numPr>
          <w:ilvl w:val="0"/>
          <w:numId w:val="13"/>
        </w:numPr>
        <w:rPr>
          <w:sz w:val="16"/>
          <w:szCs w:val="16"/>
        </w:rPr>
      </w:pPr>
      <w:r w:rsidRPr="004C5A86">
        <w:t xml:space="preserve">In order to assess the number of pregnant females with a family history </w:t>
      </w:r>
      <w:r>
        <w:t>(</w:t>
      </w:r>
      <w:r w:rsidRPr="004C5A86">
        <w:t>who may require genetic testing</w:t>
      </w:r>
      <w:r>
        <w:t>)</w:t>
      </w:r>
      <w:r w:rsidRPr="004C5A86">
        <w:t xml:space="preserve">, the carrier frequency was calculated </w:t>
      </w:r>
      <w:r>
        <w:t xml:space="preserve">based on </w:t>
      </w:r>
      <w:r w:rsidRPr="004C5A86">
        <w:t>NMD incidence rates provided, assuming an autosomal recessive pattern of inheritance</w:t>
      </w:r>
      <w:r w:rsidRPr="004C5A86">
        <w:rPr>
          <w:rStyle w:val="EndnoteReference"/>
        </w:rPr>
        <w:endnoteReference w:id="15"/>
      </w:r>
      <w:r>
        <w:t xml:space="preserve">. </w:t>
      </w:r>
      <w:r w:rsidRPr="004C5A86">
        <w:t>An uptake percentage of 5% was then applied</w:t>
      </w:r>
      <w:r>
        <w:t>,</w:t>
      </w:r>
      <w:r w:rsidRPr="004C5A86">
        <w:t xml:space="preserve"> based on a large-</w:t>
      </w:r>
      <w:r>
        <w:t xml:space="preserve">scale study which found </w:t>
      </w:r>
      <w:r w:rsidRPr="004C5A86">
        <w:t>only 5% of individuals were referred to SMA testing based on their family history</w:t>
      </w:r>
      <w:r w:rsidRPr="004C5A86">
        <w:rPr>
          <w:rStyle w:val="EndnoteReference"/>
        </w:rPr>
        <w:t xml:space="preserve"> </w:t>
      </w:r>
      <w:r w:rsidRPr="004C5A86">
        <w:rPr>
          <w:rStyle w:val="EndnoteReference"/>
        </w:rPr>
        <w:endnoteReference w:id="16"/>
      </w:r>
      <w:r w:rsidRPr="004C5A86">
        <w:t>.</w:t>
      </w:r>
      <w:r>
        <w:t xml:space="preserve"> </w:t>
      </w:r>
      <w:r w:rsidRPr="004C5A86">
        <w:t>Calculating the carrier frequencies for the lower bound, upper bound, and alternative incidence estimates</w:t>
      </w:r>
      <w:r>
        <w:t>,</w:t>
      </w:r>
      <w:r w:rsidRPr="004C5A86">
        <w:t xml:space="preserve"> yielded a carrier to population ratio of 1:38, 1:18, 1:13, respectively. The total number of pregnancies were multiplied by these ratios</w:t>
      </w:r>
      <w:r>
        <w:t>,</w:t>
      </w:r>
      <w:r w:rsidRPr="004C5A86">
        <w:t xml:space="preserve"> and 5% of the product was </w:t>
      </w:r>
      <w:r w:rsidRPr="002A6C09">
        <w:t>reported</w:t>
      </w:r>
      <w:r w:rsidRPr="004C5A86">
        <w:t xml:space="preserve"> (</w:t>
      </w:r>
      <w:r>
        <w:t>see r</w:t>
      </w:r>
      <w:r w:rsidRPr="004C5A86">
        <w:t xml:space="preserve">esults under Scenario D). </w:t>
      </w:r>
      <w:r>
        <w:t>I</w:t>
      </w:r>
      <w:r w:rsidRPr="004C5A86">
        <w:t xml:space="preserve">t </w:t>
      </w:r>
      <w:r>
        <w:t xml:space="preserve">should be </w:t>
      </w:r>
      <w:r w:rsidRPr="004C5A86">
        <w:t>noted that this would</w:t>
      </w:r>
      <w:r>
        <w:t xml:space="preserve"> markedly</w:t>
      </w:r>
      <w:r w:rsidRPr="004C5A86">
        <w:t xml:space="preserve"> increase the number of individuals who would require testing, more than doubling the number of tests to be conducted for each incidence estimate.</w:t>
      </w:r>
      <w:r>
        <w:br/>
      </w:r>
    </w:p>
    <w:p w14:paraId="3687344E" w14:textId="7178B3D1" w:rsidR="00C621ED" w:rsidRPr="00F40FCD" w:rsidRDefault="00C621ED" w:rsidP="00F42679">
      <w:pPr>
        <w:pStyle w:val="ListParagraph"/>
        <w:numPr>
          <w:ilvl w:val="0"/>
          <w:numId w:val="13"/>
        </w:numPr>
        <w:rPr>
          <w:sz w:val="16"/>
          <w:szCs w:val="16"/>
        </w:rPr>
      </w:pPr>
      <w:r w:rsidRPr="00F40FCD">
        <w:t>The applicant importantly stated that, if Table 1 was used to calculate the carrier rate, this figure will also be erroneous and inflated. The applicant advised that only a small number of NMD conditions have an autosomal recessive pattern of inheritance.</w:t>
      </w:r>
      <w:r w:rsidRPr="00F40FCD">
        <w:br/>
      </w:r>
    </w:p>
    <w:p w14:paraId="07B67F74" w14:textId="532B65F3" w:rsidR="00C621ED" w:rsidRPr="008C3942" w:rsidRDefault="00C621ED" w:rsidP="00F42679">
      <w:pPr>
        <w:pStyle w:val="ListParagraph"/>
        <w:numPr>
          <w:ilvl w:val="0"/>
          <w:numId w:val="13"/>
        </w:numPr>
        <w:rPr>
          <w:sz w:val="16"/>
          <w:szCs w:val="16"/>
        </w:rPr>
      </w:pPr>
      <w:r>
        <w:t>Scenario E builds on scenario D by adding the number of cascade tests required, relative to the number of likely cases testing positive. The estimate of 1.21 cascade tests is applied for every incident case (Scenario A), as provided in the observed testing volume.</w:t>
      </w:r>
      <w:r>
        <w:br/>
      </w:r>
    </w:p>
    <w:p w14:paraId="37D2BF9C" w14:textId="295B644D" w:rsidR="00C621ED" w:rsidRPr="008C3942" w:rsidRDefault="00C621ED" w:rsidP="00F42679">
      <w:pPr>
        <w:pStyle w:val="ListParagraph"/>
        <w:numPr>
          <w:ilvl w:val="0"/>
          <w:numId w:val="13"/>
        </w:numPr>
        <w:rPr>
          <w:sz w:val="16"/>
          <w:szCs w:val="16"/>
        </w:rPr>
      </w:pPr>
      <w:r>
        <w:t xml:space="preserve">Scenario F addresses the number of individuals who require </w:t>
      </w:r>
      <w:r w:rsidRPr="008B438C">
        <w:rPr>
          <w:i/>
          <w:iCs/>
        </w:rPr>
        <w:t>de novo</w:t>
      </w:r>
      <w:r>
        <w:t xml:space="preserve"> testing. It should be noted that this has already been partially integrated into existing modelling by the inclusion of tests conducted on suspected cases (Scenario B). In an attempt to mitigate double counting of testing requirements, the number of suspected cases added </w:t>
      </w:r>
      <w:r w:rsidR="00185C83">
        <w:t xml:space="preserve">was </w:t>
      </w:r>
      <w:r>
        <w:t xml:space="preserve">30% of incidence estimates outlined in Scenario A. The integration of these assumptions add very few tests to the testing requirements, and the addition is tentative, based on uncertainty surrounding other assumptions preceding scenario F. </w:t>
      </w:r>
      <w:r>
        <w:br/>
      </w:r>
    </w:p>
    <w:p w14:paraId="24DD851B" w14:textId="1750E219" w:rsidR="00C621ED" w:rsidRPr="004C5A86" w:rsidRDefault="00C621ED" w:rsidP="00F42679">
      <w:pPr>
        <w:pStyle w:val="ListParagraph"/>
        <w:numPr>
          <w:ilvl w:val="0"/>
          <w:numId w:val="13"/>
        </w:numPr>
      </w:pPr>
      <w:r w:rsidRPr="004C5A86">
        <w:t xml:space="preserve">Three aspects </w:t>
      </w:r>
      <w:r w:rsidRPr="00172703">
        <w:rPr>
          <w:u w:val="single"/>
        </w:rPr>
        <w:t>not</w:t>
      </w:r>
      <w:r w:rsidRPr="004C5A86">
        <w:t xml:space="preserve"> considered in the modelling above were: </w:t>
      </w:r>
    </w:p>
    <w:p w14:paraId="67AE16EF" w14:textId="68BA708D" w:rsidR="00C621ED" w:rsidRPr="0078655D" w:rsidRDefault="00C621ED" w:rsidP="00F42679">
      <w:pPr>
        <w:pStyle w:val="ListParagraph"/>
        <w:numPr>
          <w:ilvl w:val="1"/>
          <w:numId w:val="21"/>
        </w:numPr>
        <w:rPr>
          <w:sz w:val="6"/>
          <w:szCs w:val="6"/>
        </w:rPr>
      </w:pPr>
      <w:r w:rsidRPr="004C5A86">
        <w:t xml:space="preserve">the initial need to test existing prevalent cases who may gain access to testing </w:t>
      </w:r>
      <w:r>
        <w:t>as a result of listing the services on the MBS;</w:t>
      </w:r>
      <w:r>
        <w:br/>
      </w:r>
    </w:p>
    <w:p w14:paraId="250B4A78" w14:textId="6BAB43EF" w:rsidR="00C621ED" w:rsidRPr="0078655D" w:rsidRDefault="00C621ED" w:rsidP="00F42679">
      <w:pPr>
        <w:pStyle w:val="ListParagraph"/>
        <w:numPr>
          <w:ilvl w:val="1"/>
          <w:numId w:val="21"/>
        </w:numPr>
        <w:rPr>
          <w:sz w:val="6"/>
          <w:szCs w:val="6"/>
        </w:rPr>
      </w:pPr>
      <w:r>
        <w:t>i</w:t>
      </w:r>
      <w:r w:rsidRPr="004C5A86">
        <w:t>ndividuals who may require re-testing due to inaccurate/inconclusive results</w:t>
      </w:r>
      <w:r>
        <w:t>,</w:t>
      </w:r>
      <w:r w:rsidRPr="004C5A86">
        <w:t xml:space="preserve"> or individuals who require re</w:t>
      </w:r>
      <w:r>
        <w:t>-</w:t>
      </w:r>
      <w:r w:rsidRPr="004C5A86">
        <w:t xml:space="preserve">testing due to a previous negative result </w:t>
      </w:r>
      <w:r>
        <w:t>(</w:t>
      </w:r>
      <w:r w:rsidRPr="004C5A86">
        <w:t>who may benefit from testing with an expanded testing battery of genetic variants</w:t>
      </w:r>
      <w:r>
        <w:t>); and</w:t>
      </w:r>
      <w:r>
        <w:br/>
      </w:r>
    </w:p>
    <w:p w14:paraId="60797286" w14:textId="6BDFC5B0" w:rsidR="00C621ED" w:rsidRPr="008C3942" w:rsidRDefault="00C621ED" w:rsidP="00F42679">
      <w:pPr>
        <w:pStyle w:val="ListParagraph"/>
        <w:numPr>
          <w:ilvl w:val="1"/>
          <w:numId w:val="21"/>
        </w:numPr>
        <w:rPr>
          <w:sz w:val="16"/>
          <w:szCs w:val="16"/>
        </w:rPr>
      </w:pPr>
      <w:r>
        <w:t>pregnant females where the fetus has suspected NMD, with no family history (including the family history of the reproductive male partner). These are likely to be included in current estimates, based on the number of initial suspected cases, but the number of individuals tested may increase, based on increased availability of the proposed testing.</w:t>
      </w:r>
      <w:r>
        <w:br/>
      </w:r>
    </w:p>
    <w:p w14:paraId="1207F95E" w14:textId="260DAC6B" w:rsidR="00C621ED" w:rsidRPr="009815BE" w:rsidRDefault="00C621ED" w:rsidP="00F42679">
      <w:pPr>
        <w:pStyle w:val="ListParagraph"/>
        <w:numPr>
          <w:ilvl w:val="0"/>
          <w:numId w:val="22"/>
        </w:numPr>
        <w:ind w:left="709" w:hanging="283"/>
        <w:rPr>
          <w:i/>
          <w:sz w:val="16"/>
          <w:szCs w:val="16"/>
        </w:rPr>
      </w:pPr>
      <w:r w:rsidRPr="00F40FCD">
        <w:lastRenderedPageBreak/>
        <w:t>The applicant confirmed that the modelling should include pregnancies.</w:t>
      </w:r>
      <w:r w:rsidRPr="002B68D0">
        <w:t xml:space="preserve"> </w:t>
      </w:r>
      <w:r w:rsidRPr="00F40FCD">
        <w:t>In relation to de novo variants, proposed MBS item DDDD would cover de novo, if presented in utero; however, conditions such as DMD do not present in utero, but may be detected by</w:t>
      </w:r>
      <w:r w:rsidRPr="00F925DB">
        <w:rPr>
          <w:i/>
        </w:rPr>
        <w:t xml:space="preserve"> </w:t>
      </w:r>
      <w:r w:rsidRPr="002B68D0">
        <w:t>ultrasound</w:t>
      </w:r>
      <w:r w:rsidRPr="00F925DB">
        <w:rPr>
          <w:i/>
        </w:rPr>
        <w:t>.</w:t>
      </w:r>
      <w:r w:rsidRPr="009815BE">
        <w:br/>
      </w:r>
    </w:p>
    <w:p w14:paraId="6DDA3152" w14:textId="75BE4D48" w:rsidR="00C621ED" w:rsidRPr="00F40FCD" w:rsidRDefault="00C621ED" w:rsidP="00F925DB">
      <w:r>
        <w:t xml:space="preserve">Modelling in the application is likely to underestimate </w:t>
      </w:r>
      <w:r w:rsidRPr="002A6C09">
        <w:t>potential uptake of genetic testing</w:t>
      </w:r>
      <w:r>
        <w:t>,</w:t>
      </w:r>
      <w:r w:rsidRPr="002A6C09">
        <w:t xml:space="preserve"> as it only accounts for current volume and observed increases </w:t>
      </w:r>
      <w:r>
        <w:t>(</w:t>
      </w:r>
      <w:r w:rsidRPr="002A6C09">
        <w:t>prior to wide-scale accessibility of testing</w:t>
      </w:r>
      <w:r>
        <w:t>)</w:t>
      </w:r>
      <w:r w:rsidRPr="002A6C09">
        <w:t xml:space="preserve">. </w:t>
      </w:r>
      <w:r>
        <w:t>It is likely that the true uptake of genetic testing will be between the lowest and highest estimates in Table 4, aligned with the middle estimate provided</w:t>
      </w:r>
      <w:r w:rsidRPr="002A6C09">
        <w:t>.</w:t>
      </w:r>
    </w:p>
    <w:p w14:paraId="7B61B1CF" w14:textId="156E27D6" w:rsidR="00F925DB" w:rsidRPr="00F40FCD" w:rsidRDefault="00F925DB" w:rsidP="00F925DB">
      <w:pPr>
        <w:spacing w:after="80"/>
        <w:rPr>
          <w:b/>
          <w:bCs/>
          <w:iCs/>
          <w:sz w:val="24"/>
        </w:rPr>
      </w:pPr>
      <w:r w:rsidRPr="00F40FCD">
        <w:rPr>
          <w:b/>
          <w:bCs/>
          <w:iCs/>
          <w:sz w:val="24"/>
        </w:rPr>
        <w:t>PASC’s Second Consideration (April 2020)</w:t>
      </w:r>
    </w:p>
    <w:p w14:paraId="0E0322AC" w14:textId="337723AA" w:rsidR="00F925DB" w:rsidRPr="002B68D0" w:rsidRDefault="00F925DB" w:rsidP="00F925DB">
      <w:pPr>
        <w:rPr>
          <w:i/>
          <w:iCs/>
        </w:rPr>
      </w:pPr>
      <w:r w:rsidRPr="002B68D0">
        <w:rPr>
          <w:i/>
          <w:iCs/>
        </w:rPr>
        <w:t>PASC confirmed the proposed populations.</w:t>
      </w:r>
    </w:p>
    <w:p w14:paraId="53B214C9" w14:textId="77777777" w:rsidR="006566E4" w:rsidRDefault="00F925DB" w:rsidP="002B68D0">
      <w:pPr>
        <w:spacing w:after="120"/>
        <w:rPr>
          <w:i/>
          <w:iCs/>
          <w:szCs w:val="12"/>
        </w:rPr>
      </w:pPr>
      <w:r w:rsidRPr="002B68D0">
        <w:rPr>
          <w:i/>
          <w:iCs/>
          <w:szCs w:val="12"/>
        </w:rPr>
        <w:t xml:space="preserve">PASC agreed that the estimated numbers for testing (2,000 </w:t>
      </w:r>
      <w:r w:rsidRPr="002B68D0">
        <w:rPr>
          <w:rFonts w:ascii="Symbol" w:hAnsi="Symbol"/>
          <w:i/>
          <w:iCs/>
          <w:szCs w:val="12"/>
        </w:rPr>
        <w:t></w:t>
      </w:r>
      <w:r w:rsidRPr="002B68D0">
        <w:rPr>
          <w:i/>
          <w:iCs/>
          <w:szCs w:val="12"/>
        </w:rPr>
        <w:t xml:space="preserve"> 500) were uncertain and if possible should be better defined</w:t>
      </w:r>
      <w:r w:rsidR="00C82A06">
        <w:rPr>
          <w:i/>
          <w:iCs/>
          <w:szCs w:val="12"/>
        </w:rPr>
        <w:t xml:space="preserve">.  </w:t>
      </w:r>
      <w:r w:rsidRPr="002B68D0">
        <w:rPr>
          <w:i/>
          <w:iCs/>
          <w:szCs w:val="12"/>
        </w:rPr>
        <w:t>PASC noted that current MBS items are not specific for NMDs, which makes it difficult to use MBS claiming data to estimate the population numbers.</w:t>
      </w:r>
    </w:p>
    <w:p w14:paraId="4C607462" w14:textId="77777777" w:rsidR="006566E4" w:rsidRDefault="006566E4" w:rsidP="002B68D0">
      <w:pPr>
        <w:spacing w:after="120"/>
      </w:pPr>
      <w:r w:rsidRPr="006566E4">
        <w:rPr>
          <w:i/>
        </w:rPr>
        <w:t>The applicant noted, that i</w:t>
      </w:r>
      <w:r w:rsidR="002B68D0" w:rsidRPr="006566E4">
        <w:rPr>
          <w:i/>
        </w:rPr>
        <w:t>n the absence of refined population data on incidence and prevalence of genetically determined NMD, the estimated numbers for testing are approximate; the data from multi-ethnic populations such as those in New Zealand, Canada, and UK</w:t>
      </w:r>
      <w:r>
        <w:rPr>
          <w:i/>
        </w:rPr>
        <w:t xml:space="preserve"> could be used as proxies</w:t>
      </w:r>
      <w:r w:rsidR="002B68D0" w:rsidRPr="006566E4">
        <w:rPr>
          <w:i/>
        </w:rPr>
        <w:t>.</w:t>
      </w:r>
      <w:r w:rsidR="002B68D0" w:rsidRPr="00BD7018">
        <w:t xml:space="preserve"> </w:t>
      </w:r>
    </w:p>
    <w:p w14:paraId="6F24E63D" w14:textId="74D58919" w:rsidR="002B68D0" w:rsidRPr="006566E4" w:rsidRDefault="00B52E45" w:rsidP="002B68D0">
      <w:pPr>
        <w:spacing w:after="120"/>
        <w:rPr>
          <w:i/>
        </w:rPr>
      </w:pPr>
      <w:r>
        <w:rPr>
          <w:i/>
        </w:rPr>
        <w:t>The a</w:t>
      </w:r>
      <w:r w:rsidR="006566E4" w:rsidRPr="006566E4">
        <w:rPr>
          <w:i/>
        </w:rPr>
        <w:t xml:space="preserve">pplicant provided </w:t>
      </w:r>
      <w:r w:rsidR="002B68D0" w:rsidRPr="006566E4">
        <w:rPr>
          <w:i/>
        </w:rPr>
        <w:t>three recent articles related to incidence and/or prevalence of NMD in these countries.</w:t>
      </w:r>
      <w:r w:rsidR="002B68D0" w:rsidRPr="00BD7018">
        <w:t xml:space="preserve"> </w:t>
      </w:r>
      <w:r w:rsidR="002B68D0" w:rsidRPr="006566E4">
        <w:rPr>
          <w:i/>
        </w:rPr>
        <w:t>The incidence in Canada</w:t>
      </w:r>
      <w:r w:rsidR="006566E4">
        <w:rPr>
          <w:rStyle w:val="FootnoteReference"/>
          <w:i/>
        </w:rPr>
        <w:footnoteReference w:id="1"/>
      </w:r>
      <w:r w:rsidR="002B68D0" w:rsidRPr="006566E4">
        <w:rPr>
          <w:i/>
        </w:rPr>
        <w:t xml:space="preserve"> was quoted as 10.6/100,000 adults when relying on data from ED or hospital admissions. Considering clinician billing, the incidence in Canada was estimated at 182/100,000 adults (including ~50% non-monogenic causes). </w:t>
      </w:r>
      <w:r>
        <w:rPr>
          <w:i/>
        </w:rPr>
        <w:t>The a</w:t>
      </w:r>
      <w:r w:rsidR="006566E4" w:rsidRPr="006566E4">
        <w:rPr>
          <w:i/>
        </w:rPr>
        <w:t>pplicant noted these</w:t>
      </w:r>
      <w:r w:rsidR="002B68D0" w:rsidRPr="006566E4">
        <w:rPr>
          <w:i/>
        </w:rPr>
        <w:t xml:space="preserve"> numbers do</w:t>
      </w:r>
      <w:r w:rsidR="006566E4" w:rsidRPr="006566E4">
        <w:rPr>
          <w:i/>
        </w:rPr>
        <w:t xml:space="preserve"> not</w:t>
      </w:r>
      <w:r w:rsidR="002B68D0" w:rsidRPr="006566E4">
        <w:rPr>
          <w:i/>
        </w:rPr>
        <w:t xml:space="preserve"> seem to be far from the assumption of an incidence of ~100/100,000 in the MSAC application. </w:t>
      </w:r>
      <w:r>
        <w:rPr>
          <w:i/>
        </w:rPr>
        <w:t>Further, the a</w:t>
      </w:r>
      <w:r w:rsidR="006566E4" w:rsidRPr="006566E4">
        <w:rPr>
          <w:i/>
        </w:rPr>
        <w:t>pplicant stated, t</w:t>
      </w:r>
      <w:r w:rsidR="002B68D0" w:rsidRPr="006566E4">
        <w:rPr>
          <w:i/>
        </w:rPr>
        <w:t>he collective prevalence of genetically determined NMD in UK</w:t>
      </w:r>
      <w:r w:rsidR="009502F8">
        <w:rPr>
          <w:rStyle w:val="FootnoteReference"/>
          <w:i/>
        </w:rPr>
        <w:footnoteReference w:id="2"/>
      </w:r>
      <w:r w:rsidR="002B68D0" w:rsidRPr="006566E4">
        <w:rPr>
          <w:i/>
        </w:rPr>
        <w:t xml:space="preserve"> would not also exceed 100/100,000, and the numbers from New Zealand</w:t>
      </w:r>
      <w:r w:rsidR="009502F8">
        <w:rPr>
          <w:rStyle w:val="FootnoteReference"/>
          <w:i/>
        </w:rPr>
        <w:footnoteReference w:id="3"/>
      </w:r>
      <w:r w:rsidR="002B68D0" w:rsidRPr="006566E4">
        <w:rPr>
          <w:i/>
        </w:rPr>
        <w:t xml:space="preserve"> are consistent with this trend (but only for genetic muscle disorders).</w:t>
      </w:r>
    </w:p>
    <w:p w14:paraId="75A1942A" w14:textId="72F7619A" w:rsidR="002B68D0" w:rsidRPr="006566E4" w:rsidRDefault="002B68D0" w:rsidP="002B68D0">
      <w:pPr>
        <w:spacing w:after="120"/>
        <w:rPr>
          <w:i/>
        </w:rPr>
      </w:pPr>
      <w:r w:rsidRPr="006566E4">
        <w:rPr>
          <w:i/>
        </w:rPr>
        <w:t xml:space="preserve">In summary, the </w:t>
      </w:r>
      <w:r w:rsidR="00B52E45">
        <w:rPr>
          <w:i/>
        </w:rPr>
        <w:t>a</w:t>
      </w:r>
      <w:r w:rsidR="006566E4" w:rsidRPr="006566E4">
        <w:rPr>
          <w:i/>
        </w:rPr>
        <w:t xml:space="preserve">pplicant concluded the </w:t>
      </w:r>
      <w:r w:rsidRPr="006566E4">
        <w:rPr>
          <w:i/>
        </w:rPr>
        <w:t>numbers from these articles support</w:t>
      </w:r>
      <w:r w:rsidR="006566E4" w:rsidRPr="006566E4">
        <w:rPr>
          <w:i/>
        </w:rPr>
        <w:t>ed</w:t>
      </w:r>
      <w:r w:rsidRPr="006566E4">
        <w:rPr>
          <w:i/>
        </w:rPr>
        <w:t xml:space="preserve"> the existing estimates in the application. The </w:t>
      </w:r>
      <w:r w:rsidR="00B52E45">
        <w:rPr>
          <w:i/>
        </w:rPr>
        <w:t>a</w:t>
      </w:r>
      <w:r w:rsidR="006566E4" w:rsidRPr="006566E4">
        <w:rPr>
          <w:i/>
        </w:rPr>
        <w:t xml:space="preserve">pplicant considered the PASC’s advice regarding the estimated population numbers </w:t>
      </w:r>
      <w:r w:rsidRPr="006566E4">
        <w:rPr>
          <w:i/>
        </w:rPr>
        <w:t xml:space="preserve"> may relate to the fact that the number 2000+/- 500 reflects the potential total of all items (AAAA-EEEE), rather than breaking down numbers into their specific categories (index patients, relatives etc</w:t>
      </w:r>
      <w:r w:rsidR="006566E4">
        <w:rPr>
          <w:i/>
        </w:rPr>
        <w:t>.</w:t>
      </w:r>
      <w:r w:rsidRPr="006566E4">
        <w:rPr>
          <w:i/>
        </w:rPr>
        <w:t>).</w:t>
      </w:r>
    </w:p>
    <w:p w14:paraId="52BDFF93" w14:textId="2E155826" w:rsidR="002B68D0" w:rsidRPr="00BD7018" w:rsidRDefault="002B68D0" w:rsidP="002B68D0">
      <w:r>
        <w:t xml:space="preserve">      </w:t>
      </w:r>
    </w:p>
    <w:p w14:paraId="3DFB08CB" w14:textId="77777777" w:rsidR="00F925DB" w:rsidRPr="00567B95" w:rsidRDefault="00F925DB" w:rsidP="00F925DB">
      <w:pPr>
        <w:spacing w:after="80"/>
        <w:rPr>
          <w:b/>
          <w:bCs/>
          <w:i/>
          <w:iCs/>
        </w:rPr>
      </w:pPr>
    </w:p>
    <w:p w14:paraId="772CADF6" w14:textId="77777777" w:rsidR="00F925DB" w:rsidRDefault="00F925DB" w:rsidP="00F925DB"/>
    <w:p w14:paraId="50B3CE2E" w14:textId="3C7BDF27" w:rsidR="00F925DB" w:rsidRDefault="00F925DB" w:rsidP="00F925DB">
      <w:pPr>
        <w:sectPr w:rsidR="00F925DB" w:rsidSect="00AB614A">
          <w:headerReference w:type="even" r:id="rId10"/>
          <w:footerReference w:type="default" r:id="rId11"/>
          <w:footnotePr>
            <w:numRestart w:val="eachPage"/>
          </w:footnotePr>
          <w:endnotePr>
            <w:numFmt w:val="decimal"/>
          </w:endnotePr>
          <w:pgSz w:w="11906" w:h="16838"/>
          <w:pgMar w:top="851" w:right="1440" w:bottom="1276" w:left="1440" w:header="708" w:footer="567" w:gutter="0"/>
          <w:cols w:space="708"/>
          <w:docGrid w:linePitch="360"/>
        </w:sectPr>
      </w:pPr>
    </w:p>
    <w:tbl>
      <w:tblPr>
        <w:tblpPr w:leftFromText="180" w:rightFromText="180" w:horzAnchor="margin" w:tblpY="270"/>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4 Number of tests conducted in Western Australia in previous 2 years, and expected number of tests for the next 3 years"/>
        <w:tblDescription w:val="Table 4 consists of 6 columns&#10;First column describes the population to be tested&#10;Second column is data on number tested in 2017 in Australia&#10;Third column is data on number tested in 2018 in Australia&#10;Fourth column is the expected number to be tested in 2019&#10;Fifth column is the expected number to be tested in 2020&#10;Sixth column is the expected number to be tested in 2021&#10;The first row is Index cases&#10;Second row is Cascade testing&#10;Third row is prenatal disagnosis"/>
      </w:tblPr>
      <w:tblGrid>
        <w:gridCol w:w="5347"/>
        <w:gridCol w:w="3439"/>
        <w:gridCol w:w="1263"/>
        <w:gridCol w:w="1262"/>
        <w:gridCol w:w="1113"/>
        <w:gridCol w:w="1263"/>
        <w:gridCol w:w="1168"/>
      </w:tblGrid>
      <w:tr w:rsidR="00C621ED" w:rsidRPr="00CB2BCC" w14:paraId="02146239" w14:textId="77777777" w:rsidTr="00417B87">
        <w:trPr>
          <w:trHeight w:val="510"/>
        </w:trPr>
        <w:tc>
          <w:tcPr>
            <w:tcW w:w="8786" w:type="dxa"/>
            <w:gridSpan w:val="2"/>
            <w:shd w:val="clear" w:color="auto" w:fill="808080" w:themeFill="background1" w:themeFillShade="80"/>
            <w:vAlign w:val="center"/>
          </w:tcPr>
          <w:p w14:paraId="3406241D" w14:textId="77777777" w:rsidR="00C621ED" w:rsidRPr="003A594D" w:rsidRDefault="00C621ED" w:rsidP="007304C5">
            <w:pPr>
              <w:pStyle w:val="TableText"/>
              <w:spacing w:after="0"/>
              <w:rPr>
                <w:rStyle w:val="Strong"/>
              </w:rPr>
            </w:pPr>
          </w:p>
        </w:tc>
        <w:tc>
          <w:tcPr>
            <w:tcW w:w="1263" w:type="dxa"/>
            <w:shd w:val="clear" w:color="auto" w:fill="808080" w:themeFill="background1" w:themeFillShade="80"/>
            <w:vAlign w:val="center"/>
          </w:tcPr>
          <w:p w14:paraId="6AA437B0" w14:textId="77777777" w:rsidR="00C621ED" w:rsidRPr="002A6C09" w:rsidRDefault="00C621ED" w:rsidP="007304C5">
            <w:pPr>
              <w:pStyle w:val="TableText"/>
              <w:spacing w:after="0"/>
              <w:jc w:val="center"/>
              <w:rPr>
                <w:rStyle w:val="Strong"/>
                <w:color w:val="FFFFFF" w:themeColor="background1"/>
              </w:rPr>
            </w:pPr>
            <w:r w:rsidRPr="002A6C09">
              <w:rPr>
                <w:rStyle w:val="Strong"/>
                <w:color w:val="FFFFFF" w:themeColor="background1"/>
              </w:rPr>
              <w:t>2017</w:t>
            </w:r>
          </w:p>
        </w:tc>
        <w:tc>
          <w:tcPr>
            <w:tcW w:w="1262" w:type="dxa"/>
            <w:shd w:val="clear" w:color="auto" w:fill="808080" w:themeFill="background1" w:themeFillShade="80"/>
            <w:vAlign w:val="center"/>
          </w:tcPr>
          <w:p w14:paraId="38F93BE5" w14:textId="77777777" w:rsidR="00C621ED" w:rsidRPr="002A6C09" w:rsidRDefault="00C621ED" w:rsidP="007304C5">
            <w:pPr>
              <w:pStyle w:val="TableText"/>
              <w:spacing w:after="0"/>
              <w:jc w:val="center"/>
              <w:rPr>
                <w:rStyle w:val="Strong"/>
                <w:color w:val="FFFFFF" w:themeColor="background1"/>
              </w:rPr>
            </w:pPr>
            <w:r w:rsidRPr="002A6C09">
              <w:rPr>
                <w:rStyle w:val="Strong"/>
                <w:color w:val="FFFFFF" w:themeColor="background1"/>
              </w:rPr>
              <w:t>2018</w:t>
            </w:r>
          </w:p>
        </w:tc>
        <w:tc>
          <w:tcPr>
            <w:tcW w:w="1113" w:type="dxa"/>
            <w:shd w:val="clear" w:color="auto" w:fill="808080" w:themeFill="background1" w:themeFillShade="80"/>
            <w:vAlign w:val="center"/>
          </w:tcPr>
          <w:p w14:paraId="4C7B9BAE" w14:textId="77777777" w:rsidR="00C621ED" w:rsidRPr="002A6C09" w:rsidRDefault="00C621ED" w:rsidP="007304C5">
            <w:pPr>
              <w:pStyle w:val="TableText"/>
              <w:spacing w:after="0"/>
              <w:jc w:val="center"/>
              <w:rPr>
                <w:rStyle w:val="Strong"/>
                <w:color w:val="FFFFFF" w:themeColor="background1"/>
              </w:rPr>
            </w:pPr>
            <w:r w:rsidRPr="002A6C09">
              <w:rPr>
                <w:rStyle w:val="Strong"/>
                <w:color w:val="FFFFFF" w:themeColor="background1"/>
              </w:rPr>
              <w:t>2019*</w:t>
            </w:r>
          </w:p>
        </w:tc>
        <w:tc>
          <w:tcPr>
            <w:tcW w:w="1263" w:type="dxa"/>
            <w:shd w:val="clear" w:color="auto" w:fill="808080" w:themeFill="background1" w:themeFillShade="80"/>
            <w:vAlign w:val="center"/>
          </w:tcPr>
          <w:p w14:paraId="3D1033BC" w14:textId="77777777" w:rsidR="00C621ED" w:rsidRPr="002A6C09" w:rsidRDefault="00C621ED" w:rsidP="007304C5">
            <w:pPr>
              <w:pStyle w:val="TableText"/>
              <w:spacing w:after="0"/>
              <w:jc w:val="center"/>
              <w:rPr>
                <w:rStyle w:val="Strong"/>
                <w:color w:val="FFFFFF" w:themeColor="background1"/>
              </w:rPr>
            </w:pPr>
            <w:r w:rsidRPr="002A6C09">
              <w:rPr>
                <w:rStyle w:val="Strong"/>
                <w:color w:val="FFFFFF" w:themeColor="background1"/>
              </w:rPr>
              <w:t>2020*</w:t>
            </w:r>
          </w:p>
        </w:tc>
        <w:tc>
          <w:tcPr>
            <w:tcW w:w="1168" w:type="dxa"/>
            <w:shd w:val="clear" w:color="auto" w:fill="808080" w:themeFill="background1" w:themeFillShade="80"/>
            <w:vAlign w:val="center"/>
          </w:tcPr>
          <w:p w14:paraId="319D7EC0" w14:textId="77777777" w:rsidR="00C621ED" w:rsidRPr="002A6C09" w:rsidRDefault="00C621ED" w:rsidP="007304C5">
            <w:pPr>
              <w:pStyle w:val="TableText"/>
              <w:spacing w:after="0"/>
              <w:jc w:val="center"/>
              <w:rPr>
                <w:rStyle w:val="Strong"/>
                <w:color w:val="FFFFFF" w:themeColor="background1"/>
              </w:rPr>
            </w:pPr>
            <w:r w:rsidRPr="002A6C09">
              <w:rPr>
                <w:rStyle w:val="Strong"/>
                <w:color w:val="FFFFFF" w:themeColor="background1"/>
              </w:rPr>
              <w:t>2021*</w:t>
            </w:r>
          </w:p>
        </w:tc>
      </w:tr>
      <w:tr w:rsidR="00C621ED" w:rsidRPr="00CB2BCC" w14:paraId="0C96FC8A" w14:textId="77777777" w:rsidTr="007304C5">
        <w:trPr>
          <w:trHeight w:val="182"/>
        </w:trPr>
        <w:tc>
          <w:tcPr>
            <w:tcW w:w="8786" w:type="dxa"/>
            <w:gridSpan w:val="2"/>
            <w:vAlign w:val="center"/>
          </w:tcPr>
          <w:p w14:paraId="6308C958" w14:textId="1664AE1C" w:rsidR="00C621ED" w:rsidRPr="00417B87" w:rsidRDefault="00C621ED" w:rsidP="007304C5">
            <w:pPr>
              <w:pStyle w:val="TableText"/>
              <w:rPr>
                <w:rFonts w:cstheme="minorHAnsi"/>
                <w:sz w:val="16"/>
                <w:szCs w:val="16"/>
              </w:rPr>
            </w:pPr>
            <w:r w:rsidRPr="00417B87">
              <w:rPr>
                <w:rFonts w:cstheme="minorHAnsi"/>
                <w:sz w:val="16"/>
                <w:szCs w:val="16"/>
              </w:rPr>
              <w:t xml:space="preserve">Number of </w:t>
            </w:r>
            <w:r w:rsidR="00CF1758">
              <w:rPr>
                <w:rFonts w:cstheme="minorHAnsi"/>
                <w:sz w:val="16"/>
                <w:szCs w:val="16"/>
              </w:rPr>
              <w:t>b</w:t>
            </w:r>
            <w:r w:rsidRPr="00417B87">
              <w:rPr>
                <w:rFonts w:cstheme="minorHAnsi"/>
                <w:sz w:val="16"/>
                <w:szCs w:val="16"/>
              </w:rPr>
              <w:t>irths</w:t>
            </w:r>
          </w:p>
        </w:tc>
        <w:tc>
          <w:tcPr>
            <w:tcW w:w="1263" w:type="dxa"/>
            <w:vAlign w:val="bottom"/>
          </w:tcPr>
          <w:p w14:paraId="63212E5A" w14:textId="0AC4A578" w:rsidR="00C621ED" w:rsidRPr="00417B87" w:rsidRDefault="00C621ED" w:rsidP="007304C5">
            <w:pPr>
              <w:pStyle w:val="TableText"/>
              <w:jc w:val="center"/>
              <w:rPr>
                <w:rFonts w:cstheme="minorHAnsi"/>
                <w:sz w:val="16"/>
                <w:szCs w:val="16"/>
              </w:rPr>
            </w:pPr>
            <w:r w:rsidRPr="00417B87">
              <w:rPr>
                <w:rFonts w:cstheme="minorHAnsi"/>
                <w:color w:val="000000"/>
                <w:sz w:val="16"/>
                <w:szCs w:val="16"/>
              </w:rPr>
              <w:t>309,142</w:t>
            </w:r>
          </w:p>
        </w:tc>
        <w:tc>
          <w:tcPr>
            <w:tcW w:w="1262" w:type="dxa"/>
            <w:vAlign w:val="bottom"/>
          </w:tcPr>
          <w:p w14:paraId="0AFC2D6E" w14:textId="3ED61630" w:rsidR="00C621ED" w:rsidRPr="00417B87" w:rsidRDefault="00C621ED" w:rsidP="007304C5">
            <w:pPr>
              <w:pStyle w:val="TableText"/>
              <w:jc w:val="center"/>
              <w:rPr>
                <w:rFonts w:cstheme="minorHAnsi"/>
                <w:sz w:val="16"/>
                <w:szCs w:val="16"/>
              </w:rPr>
            </w:pPr>
            <w:r w:rsidRPr="00417B87">
              <w:rPr>
                <w:rFonts w:cstheme="minorHAnsi"/>
                <w:color w:val="000000"/>
                <w:sz w:val="16"/>
                <w:szCs w:val="16"/>
              </w:rPr>
              <w:t>323,481</w:t>
            </w:r>
          </w:p>
        </w:tc>
        <w:tc>
          <w:tcPr>
            <w:tcW w:w="1113" w:type="dxa"/>
            <w:vAlign w:val="bottom"/>
          </w:tcPr>
          <w:p w14:paraId="07679CAC" w14:textId="38E0DFC5" w:rsidR="00C621ED" w:rsidRPr="00417B87" w:rsidRDefault="00C621ED" w:rsidP="007304C5">
            <w:pPr>
              <w:pStyle w:val="TableText"/>
              <w:jc w:val="center"/>
              <w:rPr>
                <w:rFonts w:cstheme="minorHAnsi"/>
                <w:sz w:val="16"/>
                <w:szCs w:val="16"/>
              </w:rPr>
            </w:pPr>
            <w:r w:rsidRPr="00417B87">
              <w:rPr>
                <w:rFonts w:cstheme="minorHAnsi"/>
                <w:color w:val="000000"/>
                <w:sz w:val="16"/>
                <w:szCs w:val="16"/>
              </w:rPr>
              <w:t>330,239</w:t>
            </w:r>
          </w:p>
        </w:tc>
        <w:tc>
          <w:tcPr>
            <w:tcW w:w="1263" w:type="dxa"/>
            <w:vAlign w:val="bottom"/>
          </w:tcPr>
          <w:p w14:paraId="2CF21F71" w14:textId="4E4F09AC" w:rsidR="00C621ED" w:rsidRPr="00417B87" w:rsidRDefault="00C621ED" w:rsidP="007304C5">
            <w:pPr>
              <w:pStyle w:val="TableText"/>
              <w:jc w:val="center"/>
              <w:rPr>
                <w:rFonts w:cstheme="minorHAnsi"/>
                <w:sz w:val="16"/>
                <w:szCs w:val="16"/>
              </w:rPr>
            </w:pPr>
            <w:r w:rsidRPr="00417B87">
              <w:rPr>
                <w:rFonts w:cstheme="minorHAnsi"/>
                <w:color w:val="000000"/>
                <w:sz w:val="16"/>
                <w:szCs w:val="16"/>
              </w:rPr>
              <w:t>336,833</w:t>
            </w:r>
          </w:p>
        </w:tc>
        <w:tc>
          <w:tcPr>
            <w:tcW w:w="1168" w:type="dxa"/>
            <w:vAlign w:val="bottom"/>
          </w:tcPr>
          <w:p w14:paraId="5FAD0B4A" w14:textId="42DBF892" w:rsidR="00C621ED" w:rsidRPr="00417B87" w:rsidRDefault="00C621ED" w:rsidP="007304C5">
            <w:pPr>
              <w:pStyle w:val="TableText"/>
              <w:jc w:val="center"/>
              <w:rPr>
                <w:rFonts w:cstheme="minorHAnsi"/>
                <w:sz w:val="16"/>
                <w:szCs w:val="16"/>
              </w:rPr>
            </w:pPr>
            <w:r w:rsidRPr="00417B87">
              <w:rPr>
                <w:rFonts w:cstheme="minorHAnsi"/>
                <w:color w:val="000000"/>
                <w:sz w:val="16"/>
                <w:szCs w:val="16"/>
              </w:rPr>
              <w:t>343,033</w:t>
            </w:r>
          </w:p>
        </w:tc>
      </w:tr>
      <w:tr w:rsidR="00C621ED" w:rsidRPr="00CB2BCC" w14:paraId="4CA2DE06" w14:textId="77777777" w:rsidTr="007304C5">
        <w:trPr>
          <w:trHeight w:val="241"/>
        </w:trPr>
        <w:tc>
          <w:tcPr>
            <w:tcW w:w="8786" w:type="dxa"/>
            <w:gridSpan w:val="2"/>
            <w:vAlign w:val="center"/>
          </w:tcPr>
          <w:p w14:paraId="6105992B" w14:textId="799572FA" w:rsidR="00C621ED" w:rsidRPr="00417B87" w:rsidRDefault="00C621ED" w:rsidP="007304C5">
            <w:pPr>
              <w:pStyle w:val="TableText"/>
              <w:rPr>
                <w:rFonts w:cstheme="minorHAnsi"/>
                <w:sz w:val="16"/>
                <w:szCs w:val="16"/>
              </w:rPr>
            </w:pPr>
            <w:r w:rsidRPr="00417B87">
              <w:rPr>
                <w:rFonts w:cstheme="minorHAnsi"/>
                <w:sz w:val="16"/>
                <w:szCs w:val="16"/>
              </w:rPr>
              <w:t>Number of pregnancies</w:t>
            </w:r>
          </w:p>
        </w:tc>
        <w:tc>
          <w:tcPr>
            <w:tcW w:w="1263" w:type="dxa"/>
            <w:vAlign w:val="center"/>
          </w:tcPr>
          <w:p w14:paraId="2ED1E974" w14:textId="35202A5A" w:rsidR="00C621ED" w:rsidRPr="00417B87" w:rsidRDefault="00C621ED" w:rsidP="007304C5">
            <w:pPr>
              <w:pStyle w:val="TableText"/>
              <w:jc w:val="center"/>
              <w:rPr>
                <w:rFonts w:cstheme="minorHAnsi"/>
                <w:sz w:val="16"/>
                <w:szCs w:val="16"/>
              </w:rPr>
            </w:pPr>
            <w:r w:rsidRPr="00417B87">
              <w:rPr>
                <w:rFonts w:cstheme="minorHAnsi"/>
                <w:color w:val="000000"/>
                <w:sz w:val="16"/>
                <w:szCs w:val="16"/>
              </w:rPr>
              <w:t>366,224</w:t>
            </w:r>
          </w:p>
        </w:tc>
        <w:tc>
          <w:tcPr>
            <w:tcW w:w="1262" w:type="dxa"/>
            <w:vAlign w:val="center"/>
          </w:tcPr>
          <w:p w14:paraId="45F5D105" w14:textId="2380C212" w:rsidR="00C621ED" w:rsidRPr="00417B87" w:rsidRDefault="00C621ED" w:rsidP="007304C5">
            <w:pPr>
              <w:pStyle w:val="TableText"/>
              <w:jc w:val="center"/>
              <w:rPr>
                <w:rFonts w:cstheme="minorHAnsi"/>
                <w:sz w:val="16"/>
                <w:szCs w:val="16"/>
              </w:rPr>
            </w:pPr>
            <w:r w:rsidRPr="00417B87">
              <w:rPr>
                <w:rFonts w:cstheme="minorHAnsi"/>
                <w:color w:val="000000"/>
                <w:sz w:val="16"/>
                <w:szCs w:val="16"/>
              </w:rPr>
              <w:t>368,976</w:t>
            </w:r>
          </w:p>
        </w:tc>
        <w:tc>
          <w:tcPr>
            <w:tcW w:w="1113" w:type="dxa"/>
            <w:vAlign w:val="center"/>
          </w:tcPr>
          <w:p w14:paraId="02608A68" w14:textId="68497209" w:rsidR="00C621ED" w:rsidRPr="00417B87" w:rsidRDefault="00C621ED" w:rsidP="007304C5">
            <w:pPr>
              <w:pStyle w:val="TableText"/>
              <w:jc w:val="center"/>
              <w:rPr>
                <w:rFonts w:cstheme="minorHAnsi"/>
                <w:sz w:val="16"/>
                <w:szCs w:val="16"/>
              </w:rPr>
            </w:pPr>
            <w:r w:rsidRPr="00417B87">
              <w:rPr>
                <w:rFonts w:cstheme="minorHAnsi"/>
                <w:color w:val="000000"/>
                <w:sz w:val="16"/>
                <w:szCs w:val="16"/>
              </w:rPr>
              <w:t>371,728</w:t>
            </w:r>
          </w:p>
        </w:tc>
        <w:tc>
          <w:tcPr>
            <w:tcW w:w="1263" w:type="dxa"/>
            <w:vAlign w:val="center"/>
          </w:tcPr>
          <w:p w14:paraId="4CAA663D" w14:textId="347A8304" w:rsidR="00C621ED" w:rsidRPr="00417B87" w:rsidRDefault="00C621ED" w:rsidP="007304C5">
            <w:pPr>
              <w:pStyle w:val="TableText"/>
              <w:jc w:val="center"/>
              <w:rPr>
                <w:rFonts w:cstheme="minorHAnsi"/>
                <w:sz w:val="16"/>
                <w:szCs w:val="16"/>
              </w:rPr>
            </w:pPr>
            <w:r w:rsidRPr="00417B87">
              <w:rPr>
                <w:rFonts w:cstheme="minorHAnsi"/>
                <w:color w:val="000000"/>
                <w:sz w:val="16"/>
                <w:szCs w:val="16"/>
              </w:rPr>
              <w:t>374,480</w:t>
            </w:r>
          </w:p>
        </w:tc>
        <w:tc>
          <w:tcPr>
            <w:tcW w:w="1168" w:type="dxa"/>
            <w:vAlign w:val="center"/>
          </w:tcPr>
          <w:p w14:paraId="4020FD51" w14:textId="50F1FC8E" w:rsidR="00C621ED" w:rsidRPr="00417B87" w:rsidRDefault="00C621ED" w:rsidP="007304C5">
            <w:pPr>
              <w:pStyle w:val="TableText"/>
              <w:jc w:val="center"/>
              <w:rPr>
                <w:rFonts w:cstheme="minorHAnsi"/>
                <w:sz w:val="16"/>
                <w:szCs w:val="16"/>
              </w:rPr>
            </w:pPr>
            <w:r w:rsidRPr="00417B87">
              <w:rPr>
                <w:rFonts w:cstheme="minorHAnsi"/>
                <w:color w:val="000000"/>
                <w:sz w:val="16"/>
                <w:szCs w:val="16"/>
              </w:rPr>
              <w:t>377,232</w:t>
            </w:r>
          </w:p>
        </w:tc>
      </w:tr>
      <w:tr w:rsidR="00C621ED" w:rsidRPr="00CB2BCC" w14:paraId="2D9FBF72" w14:textId="77777777" w:rsidTr="00417B87">
        <w:trPr>
          <w:trHeight w:val="291"/>
        </w:trPr>
        <w:tc>
          <w:tcPr>
            <w:tcW w:w="14855" w:type="dxa"/>
            <w:gridSpan w:val="7"/>
            <w:shd w:val="clear" w:color="auto" w:fill="BFBFBF" w:themeFill="background1" w:themeFillShade="BF"/>
            <w:vAlign w:val="center"/>
          </w:tcPr>
          <w:p w14:paraId="713C33E5" w14:textId="700824BF" w:rsidR="00C621ED" w:rsidRPr="00417B87" w:rsidRDefault="00C621ED" w:rsidP="00417B87">
            <w:pPr>
              <w:pStyle w:val="TableText"/>
              <w:rPr>
                <w:rFonts w:cstheme="minorHAnsi"/>
                <w:b/>
                <w:sz w:val="16"/>
                <w:szCs w:val="16"/>
              </w:rPr>
            </w:pPr>
            <w:r w:rsidRPr="00417B87">
              <w:rPr>
                <w:rFonts w:cstheme="minorHAnsi"/>
                <w:b/>
                <w:sz w:val="16"/>
                <w:szCs w:val="16"/>
              </w:rPr>
              <w:t>Incidence Estimates</w:t>
            </w:r>
          </w:p>
        </w:tc>
      </w:tr>
      <w:tr w:rsidR="00C621ED" w:rsidRPr="00CB2BCC" w14:paraId="28308FA7" w14:textId="77777777" w:rsidTr="007304C5">
        <w:trPr>
          <w:trHeight w:val="199"/>
        </w:trPr>
        <w:tc>
          <w:tcPr>
            <w:tcW w:w="5347" w:type="dxa"/>
            <w:vMerge w:val="restart"/>
            <w:vAlign w:val="center"/>
          </w:tcPr>
          <w:p w14:paraId="70F0395A" w14:textId="77777777" w:rsidR="00C621ED" w:rsidRPr="00417B87" w:rsidRDefault="00C621ED" w:rsidP="007304C5">
            <w:pPr>
              <w:pStyle w:val="TableText"/>
              <w:spacing w:before="0" w:after="0" w:line="240" w:lineRule="auto"/>
              <w:rPr>
                <w:rFonts w:cstheme="minorHAnsi"/>
                <w:sz w:val="16"/>
                <w:szCs w:val="16"/>
              </w:rPr>
            </w:pPr>
            <w:r w:rsidRPr="00417B87">
              <w:rPr>
                <w:rFonts w:cstheme="minorHAnsi"/>
                <w:b/>
                <w:bCs/>
                <w:sz w:val="16"/>
                <w:szCs w:val="16"/>
              </w:rPr>
              <w:t>Scenario A:</w:t>
            </w:r>
            <w:r w:rsidRPr="00417B87">
              <w:rPr>
                <w:rFonts w:cstheme="minorHAnsi"/>
                <w:sz w:val="16"/>
                <w:szCs w:val="16"/>
              </w:rPr>
              <w:t xml:space="preserve"> </w:t>
            </w:r>
          </w:p>
          <w:p w14:paraId="6114C2A2" w14:textId="182F7D8D" w:rsidR="00C621ED" w:rsidRPr="00417B87" w:rsidRDefault="00C621ED" w:rsidP="00F42679">
            <w:pPr>
              <w:pStyle w:val="TableText"/>
              <w:numPr>
                <w:ilvl w:val="0"/>
                <w:numId w:val="15"/>
              </w:numPr>
              <w:spacing w:before="0" w:after="0" w:line="240" w:lineRule="auto"/>
              <w:rPr>
                <w:rFonts w:cstheme="minorHAnsi"/>
                <w:sz w:val="16"/>
                <w:szCs w:val="16"/>
              </w:rPr>
            </w:pPr>
            <w:r w:rsidRPr="00417B87">
              <w:rPr>
                <w:rFonts w:cstheme="minorHAnsi"/>
                <w:sz w:val="16"/>
                <w:szCs w:val="16"/>
              </w:rPr>
              <w:t>Base Incidence Rate</w:t>
            </w:r>
          </w:p>
        </w:tc>
        <w:tc>
          <w:tcPr>
            <w:tcW w:w="3439" w:type="dxa"/>
            <w:vAlign w:val="center"/>
          </w:tcPr>
          <w:p w14:paraId="3DD347FF" w14:textId="0AA68088" w:rsidR="00C621ED" w:rsidRPr="00417B87" w:rsidRDefault="00C621ED" w:rsidP="007304C5">
            <w:pPr>
              <w:pStyle w:val="TableText"/>
              <w:rPr>
                <w:rFonts w:cstheme="minorHAnsi"/>
                <w:sz w:val="16"/>
                <w:szCs w:val="16"/>
              </w:rPr>
            </w:pPr>
            <w:r w:rsidRPr="00417B87">
              <w:rPr>
                <w:rFonts w:cstheme="minorHAnsi"/>
                <w:sz w:val="16"/>
                <w:szCs w:val="16"/>
              </w:rPr>
              <w:t>Lower Incidence Estimate (12.0/100,000)</w:t>
            </w:r>
          </w:p>
        </w:tc>
        <w:tc>
          <w:tcPr>
            <w:tcW w:w="1263" w:type="dxa"/>
            <w:vAlign w:val="center"/>
          </w:tcPr>
          <w:p w14:paraId="6D7DE716" w14:textId="0ECBDFF9"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37</w:t>
            </w:r>
          </w:p>
        </w:tc>
        <w:tc>
          <w:tcPr>
            <w:tcW w:w="1262" w:type="dxa"/>
            <w:vAlign w:val="center"/>
          </w:tcPr>
          <w:p w14:paraId="121734F3" w14:textId="6A1B80A9"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39</w:t>
            </w:r>
          </w:p>
        </w:tc>
        <w:tc>
          <w:tcPr>
            <w:tcW w:w="1113" w:type="dxa"/>
            <w:vAlign w:val="center"/>
          </w:tcPr>
          <w:p w14:paraId="1F570ECB" w14:textId="421DECEC"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39</w:t>
            </w:r>
          </w:p>
        </w:tc>
        <w:tc>
          <w:tcPr>
            <w:tcW w:w="1263" w:type="dxa"/>
            <w:vAlign w:val="center"/>
          </w:tcPr>
          <w:p w14:paraId="69DF4448" w14:textId="392938F6"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40</w:t>
            </w:r>
          </w:p>
        </w:tc>
        <w:tc>
          <w:tcPr>
            <w:tcW w:w="1168" w:type="dxa"/>
            <w:vAlign w:val="center"/>
          </w:tcPr>
          <w:p w14:paraId="354B6363" w14:textId="7579109F"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41</w:t>
            </w:r>
          </w:p>
        </w:tc>
      </w:tr>
      <w:tr w:rsidR="00C621ED" w:rsidRPr="00CB2BCC" w14:paraId="52BDA5F7" w14:textId="77777777" w:rsidTr="007304C5">
        <w:trPr>
          <w:trHeight w:val="106"/>
        </w:trPr>
        <w:tc>
          <w:tcPr>
            <w:tcW w:w="5347" w:type="dxa"/>
            <w:vMerge/>
            <w:vAlign w:val="center"/>
          </w:tcPr>
          <w:p w14:paraId="5E89A48A" w14:textId="77777777" w:rsidR="00C621ED" w:rsidRPr="00417B87" w:rsidRDefault="00C621ED" w:rsidP="007304C5">
            <w:pPr>
              <w:pStyle w:val="TableText"/>
              <w:rPr>
                <w:rFonts w:cstheme="minorHAnsi"/>
                <w:sz w:val="16"/>
                <w:szCs w:val="16"/>
              </w:rPr>
            </w:pPr>
          </w:p>
        </w:tc>
        <w:tc>
          <w:tcPr>
            <w:tcW w:w="3439" w:type="dxa"/>
            <w:vAlign w:val="center"/>
          </w:tcPr>
          <w:p w14:paraId="60A91A51" w14:textId="35AA2146" w:rsidR="00C621ED" w:rsidRPr="00417B87" w:rsidRDefault="00C621ED" w:rsidP="007304C5">
            <w:pPr>
              <w:pStyle w:val="TableText"/>
              <w:rPr>
                <w:rFonts w:cstheme="minorHAnsi"/>
                <w:sz w:val="16"/>
                <w:szCs w:val="16"/>
              </w:rPr>
            </w:pPr>
            <w:r w:rsidRPr="00417B87">
              <w:rPr>
                <w:rFonts w:cstheme="minorHAnsi"/>
                <w:sz w:val="16"/>
                <w:szCs w:val="16"/>
              </w:rPr>
              <w:t>Upper Incidence Estimate (82.8/100,000)</w:t>
            </w:r>
          </w:p>
        </w:tc>
        <w:tc>
          <w:tcPr>
            <w:tcW w:w="1263" w:type="dxa"/>
            <w:vAlign w:val="center"/>
          </w:tcPr>
          <w:p w14:paraId="52638B4A" w14:textId="7960A7E4"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256</w:t>
            </w:r>
          </w:p>
        </w:tc>
        <w:tc>
          <w:tcPr>
            <w:tcW w:w="1262" w:type="dxa"/>
            <w:vAlign w:val="center"/>
          </w:tcPr>
          <w:p w14:paraId="4FE36502" w14:textId="3C6D667B"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268</w:t>
            </w:r>
          </w:p>
        </w:tc>
        <w:tc>
          <w:tcPr>
            <w:tcW w:w="1113" w:type="dxa"/>
            <w:vAlign w:val="center"/>
          </w:tcPr>
          <w:p w14:paraId="61A6D05F" w14:textId="675067A8"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273</w:t>
            </w:r>
          </w:p>
        </w:tc>
        <w:tc>
          <w:tcPr>
            <w:tcW w:w="1263" w:type="dxa"/>
            <w:vAlign w:val="center"/>
          </w:tcPr>
          <w:p w14:paraId="5794B3C3" w14:textId="71DD14DC"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279</w:t>
            </w:r>
          </w:p>
        </w:tc>
        <w:tc>
          <w:tcPr>
            <w:tcW w:w="1168" w:type="dxa"/>
            <w:vAlign w:val="center"/>
          </w:tcPr>
          <w:p w14:paraId="7EC12537" w14:textId="562A1DC0"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284</w:t>
            </w:r>
          </w:p>
        </w:tc>
      </w:tr>
      <w:tr w:rsidR="00C621ED" w:rsidRPr="00CB2BCC" w14:paraId="7A87D776" w14:textId="77777777" w:rsidTr="007304C5">
        <w:trPr>
          <w:trHeight w:val="101"/>
        </w:trPr>
        <w:tc>
          <w:tcPr>
            <w:tcW w:w="5347" w:type="dxa"/>
            <w:vMerge/>
            <w:vAlign w:val="center"/>
          </w:tcPr>
          <w:p w14:paraId="7ED02CED" w14:textId="77777777" w:rsidR="00C621ED" w:rsidRPr="00417B87" w:rsidRDefault="00C621ED" w:rsidP="007304C5">
            <w:pPr>
              <w:pStyle w:val="TableText"/>
              <w:rPr>
                <w:rFonts w:cstheme="minorHAnsi"/>
                <w:sz w:val="16"/>
                <w:szCs w:val="16"/>
              </w:rPr>
            </w:pPr>
          </w:p>
        </w:tc>
        <w:tc>
          <w:tcPr>
            <w:tcW w:w="3439" w:type="dxa"/>
            <w:vAlign w:val="center"/>
          </w:tcPr>
          <w:p w14:paraId="5877997E" w14:textId="0967B3C3" w:rsidR="00C621ED" w:rsidRPr="00417B87" w:rsidRDefault="00C621ED" w:rsidP="007304C5">
            <w:pPr>
              <w:pStyle w:val="TableText"/>
              <w:rPr>
                <w:rFonts w:cstheme="minorHAnsi"/>
                <w:sz w:val="16"/>
                <w:szCs w:val="16"/>
              </w:rPr>
            </w:pPr>
            <w:r w:rsidRPr="00417B87">
              <w:rPr>
                <w:rFonts w:cstheme="minorHAnsi"/>
                <w:sz w:val="16"/>
                <w:szCs w:val="16"/>
              </w:rPr>
              <w:t>Alternative Incidence Estimate (100/100,000)</w:t>
            </w:r>
          </w:p>
        </w:tc>
        <w:tc>
          <w:tcPr>
            <w:tcW w:w="1263" w:type="dxa"/>
            <w:vAlign w:val="center"/>
          </w:tcPr>
          <w:p w14:paraId="7F486A4F" w14:textId="09950C2D"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309</w:t>
            </w:r>
          </w:p>
        </w:tc>
        <w:tc>
          <w:tcPr>
            <w:tcW w:w="1262" w:type="dxa"/>
            <w:vAlign w:val="center"/>
          </w:tcPr>
          <w:p w14:paraId="18235C5A" w14:textId="5843C50E"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323</w:t>
            </w:r>
          </w:p>
        </w:tc>
        <w:tc>
          <w:tcPr>
            <w:tcW w:w="1113" w:type="dxa"/>
            <w:vAlign w:val="center"/>
          </w:tcPr>
          <w:p w14:paraId="1F9AA1B8" w14:textId="7ABD6F69"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330</w:t>
            </w:r>
          </w:p>
        </w:tc>
        <w:tc>
          <w:tcPr>
            <w:tcW w:w="1263" w:type="dxa"/>
            <w:vAlign w:val="center"/>
          </w:tcPr>
          <w:p w14:paraId="0A3ACC17" w14:textId="40DA1542"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337</w:t>
            </w:r>
          </w:p>
        </w:tc>
        <w:tc>
          <w:tcPr>
            <w:tcW w:w="1168" w:type="dxa"/>
            <w:vAlign w:val="center"/>
          </w:tcPr>
          <w:p w14:paraId="0CB44355" w14:textId="690A772D"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343</w:t>
            </w:r>
          </w:p>
        </w:tc>
      </w:tr>
      <w:tr w:rsidR="00C621ED" w:rsidRPr="00CB2BCC" w14:paraId="69D44830" w14:textId="77777777" w:rsidTr="007304C5">
        <w:trPr>
          <w:trHeight w:val="205"/>
        </w:trPr>
        <w:tc>
          <w:tcPr>
            <w:tcW w:w="5347" w:type="dxa"/>
            <w:vMerge w:val="restart"/>
            <w:vAlign w:val="center"/>
          </w:tcPr>
          <w:p w14:paraId="17DDF60C" w14:textId="77777777" w:rsidR="00C621ED" w:rsidRPr="00417B87" w:rsidRDefault="00C621ED" w:rsidP="007304C5">
            <w:pPr>
              <w:pStyle w:val="TableText"/>
              <w:spacing w:before="0" w:after="0" w:line="240" w:lineRule="auto"/>
              <w:rPr>
                <w:rFonts w:cstheme="minorHAnsi"/>
                <w:sz w:val="16"/>
                <w:szCs w:val="16"/>
              </w:rPr>
            </w:pPr>
            <w:r w:rsidRPr="00417B87">
              <w:rPr>
                <w:rFonts w:cstheme="minorHAnsi"/>
                <w:b/>
                <w:bCs/>
                <w:sz w:val="16"/>
                <w:szCs w:val="16"/>
              </w:rPr>
              <w:t>Scenario B:</w:t>
            </w:r>
            <w:r w:rsidRPr="00417B87">
              <w:rPr>
                <w:rFonts w:cstheme="minorHAnsi"/>
                <w:sz w:val="16"/>
                <w:szCs w:val="16"/>
              </w:rPr>
              <w:t xml:space="preserve"> </w:t>
            </w:r>
          </w:p>
          <w:p w14:paraId="3F56E813" w14:textId="5D070CC2" w:rsidR="00C621ED" w:rsidRPr="00417B87" w:rsidRDefault="00C621ED" w:rsidP="00F42679">
            <w:pPr>
              <w:pStyle w:val="TableText"/>
              <w:numPr>
                <w:ilvl w:val="0"/>
                <w:numId w:val="14"/>
              </w:numPr>
              <w:spacing w:before="0" w:after="0" w:line="240" w:lineRule="auto"/>
              <w:ind w:left="357" w:hanging="357"/>
              <w:rPr>
                <w:rFonts w:cstheme="minorHAnsi"/>
                <w:sz w:val="16"/>
                <w:szCs w:val="16"/>
              </w:rPr>
            </w:pPr>
            <w:r w:rsidRPr="00417B87">
              <w:rPr>
                <w:rFonts w:cstheme="minorHAnsi"/>
                <w:sz w:val="16"/>
                <w:szCs w:val="16"/>
              </w:rPr>
              <w:t>Incidence</w:t>
            </w:r>
          </w:p>
          <w:p w14:paraId="6BA193EC" w14:textId="3934F2E4" w:rsidR="00C621ED" w:rsidRPr="00417B87" w:rsidRDefault="00C621ED" w:rsidP="00F42679">
            <w:pPr>
              <w:pStyle w:val="TableText"/>
              <w:numPr>
                <w:ilvl w:val="0"/>
                <w:numId w:val="14"/>
              </w:numPr>
              <w:spacing w:before="0" w:after="0" w:line="240" w:lineRule="auto"/>
              <w:ind w:left="357" w:hanging="357"/>
              <w:rPr>
                <w:rFonts w:cstheme="minorHAnsi"/>
                <w:sz w:val="16"/>
                <w:szCs w:val="16"/>
              </w:rPr>
            </w:pPr>
            <w:r w:rsidRPr="00417B87">
              <w:rPr>
                <w:rFonts w:cstheme="minorHAnsi"/>
                <w:sz w:val="16"/>
                <w:szCs w:val="16"/>
              </w:rPr>
              <w:t>Number of tests conducted on suspected cases</w:t>
            </w:r>
          </w:p>
        </w:tc>
        <w:tc>
          <w:tcPr>
            <w:tcW w:w="3439" w:type="dxa"/>
            <w:vAlign w:val="center"/>
          </w:tcPr>
          <w:p w14:paraId="30B4A6AB" w14:textId="202AD36E" w:rsidR="00C621ED" w:rsidRPr="00417B87" w:rsidRDefault="00C621ED" w:rsidP="007304C5">
            <w:pPr>
              <w:pStyle w:val="TableText"/>
              <w:rPr>
                <w:rFonts w:cstheme="minorHAnsi"/>
                <w:sz w:val="16"/>
                <w:szCs w:val="16"/>
              </w:rPr>
            </w:pPr>
            <w:r w:rsidRPr="00417B87">
              <w:rPr>
                <w:rFonts w:cstheme="minorHAnsi"/>
                <w:sz w:val="16"/>
                <w:szCs w:val="16"/>
              </w:rPr>
              <w:t>Lower Incidence Estimate (12.0/100,000)</w:t>
            </w:r>
          </w:p>
        </w:tc>
        <w:tc>
          <w:tcPr>
            <w:tcW w:w="1263" w:type="dxa"/>
            <w:vAlign w:val="center"/>
          </w:tcPr>
          <w:p w14:paraId="1D6AB12F" w14:textId="575E7864"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140</w:t>
            </w:r>
          </w:p>
        </w:tc>
        <w:tc>
          <w:tcPr>
            <w:tcW w:w="1262" w:type="dxa"/>
            <w:vAlign w:val="center"/>
          </w:tcPr>
          <w:p w14:paraId="211C215B" w14:textId="7747C750"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147</w:t>
            </w:r>
          </w:p>
        </w:tc>
        <w:tc>
          <w:tcPr>
            <w:tcW w:w="1113" w:type="dxa"/>
            <w:vAlign w:val="center"/>
          </w:tcPr>
          <w:p w14:paraId="4F386C43" w14:textId="475286A0"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150</w:t>
            </w:r>
          </w:p>
        </w:tc>
        <w:tc>
          <w:tcPr>
            <w:tcW w:w="1263" w:type="dxa"/>
            <w:vAlign w:val="center"/>
          </w:tcPr>
          <w:p w14:paraId="429E15C4" w14:textId="54E2DACF"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153</w:t>
            </w:r>
          </w:p>
        </w:tc>
        <w:tc>
          <w:tcPr>
            <w:tcW w:w="1168" w:type="dxa"/>
            <w:vAlign w:val="center"/>
          </w:tcPr>
          <w:p w14:paraId="45B5C85C" w14:textId="43FC603F"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156</w:t>
            </w:r>
          </w:p>
        </w:tc>
      </w:tr>
      <w:tr w:rsidR="00C621ED" w:rsidRPr="00CB2BCC" w14:paraId="13CAFFA9" w14:textId="77777777" w:rsidTr="007304C5">
        <w:trPr>
          <w:trHeight w:val="153"/>
        </w:trPr>
        <w:tc>
          <w:tcPr>
            <w:tcW w:w="5347" w:type="dxa"/>
            <w:vMerge/>
            <w:vAlign w:val="center"/>
          </w:tcPr>
          <w:p w14:paraId="5F6825BA" w14:textId="77777777" w:rsidR="00C621ED" w:rsidRPr="00417B87" w:rsidRDefault="00C621ED" w:rsidP="007304C5">
            <w:pPr>
              <w:pStyle w:val="TableText"/>
              <w:rPr>
                <w:rFonts w:cstheme="minorHAnsi"/>
                <w:sz w:val="16"/>
                <w:szCs w:val="16"/>
              </w:rPr>
            </w:pPr>
          </w:p>
        </w:tc>
        <w:tc>
          <w:tcPr>
            <w:tcW w:w="3439" w:type="dxa"/>
            <w:vAlign w:val="center"/>
          </w:tcPr>
          <w:p w14:paraId="397C3B45" w14:textId="25FDDB9C" w:rsidR="00C621ED" w:rsidRPr="00417B87" w:rsidRDefault="00C621ED" w:rsidP="007304C5">
            <w:pPr>
              <w:pStyle w:val="TableText"/>
              <w:rPr>
                <w:rFonts w:cstheme="minorHAnsi"/>
                <w:sz w:val="16"/>
                <w:szCs w:val="16"/>
              </w:rPr>
            </w:pPr>
            <w:r w:rsidRPr="00417B87">
              <w:rPr>
                <w:rFonts w:cstheme="minorHAnsi"/>
                <w:sz w:val="16"/>
                <w:szCs w:val="16"/>
              </w:rPr>
              <w:t>Upper Incidence Estimate (82.8/100,000)</w:t>
            </w:r>
          </w:p>
        </w:tc>
        <w:tc>
          <w:tcPr>
            <w:tcW w:w="1263" w:type="dxa"/>
            <w:vAlign w:val="center"/>
          </w:tcPr>
          <w:p w14:paraId="6DFA92B7" w14:textId="12F7ADC2"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973</w:t>
            </w:r>
          </w:p>
        </w:tc>
        <w:tc>
          <w:tcPr>
            <w:tcW w:w="1262" w:type="dxa"/>
            <w:vAlign w:val="center"/>
          </w:tcPr>
          <w:p w14:paraId="40DB6FB7" w14:textId="7EDA27AA"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1,018</w:t>
            </w:r>
          </w:p>
        </w:tc>
        <w:tc>
          <w:tcPr>
            <w:tcW w:w="1113" w:type="dxa"/>
            <w:vAlign w:val="center"/>
          </w:tcPr>
          <w:p w14:paraId="3D59956C" w14:textId="6C0D8787"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1,039</w:t>
            </w:r>
          </w:p>
        </w:tc>
        <w:tc>
          <w:tcPr>
            <w:tcW w:w="1263" w:type="dxa"/>
            <w:vAlign w:val="center"/>
          </w:tcPr>
          <w:p w14:paraId="30C63730" w14:textId="6E8B6F5B"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1,060</w:t>
            </w:r>
          </w:p>
        </w:tc>
        <w:tc>
          <w:tcPr>
            <w:tcW w:w="1168" w:type="dxa"/>
            <w:vAlign w:val="center"/>
          </w:tcPr>
          <w:p w14:paraId="3F3FF5F1" w14:textId="744C66B4"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1,079</w:t>
            </w:r>
          </w:p>
        </w:tc>
      </w:tr>
      <w:tr w:rsidR="00C621ED" w:rsidRPr="00CB2BCC" w14:paraId="7817D79E" w14:textId="77777777" w:rsidTr="007304C5">
        <w:trPr>
          <w:trHeight w:val="50"/>
        </w:trPr>
        <w:tc>
          <w:tcPr>
            <w:tcW w:w="5347" w:type="dxa"/>
            <w:vMerge/>
            <w:vAlign w:val="center"/>
          </w:tcPr>
          <w:p w14:paraId="2E91D021" w14:textId="77777777" w:rsidR="00C621ED" w:rsidRPr="00417B87" w:rsidRDefault="00C621ED" w:rsidP="007304C5">
            <w:pPr>
              <w:pStyle w:val="TableText"/>
              <w:rPr>
                <w:rFonts w:cstheme="minorHAnsi"/>
                <w:sz w:val="16"/>
                <w:szCs w:val="16"/>
              </w:rPr>
            </w:pPr>
          </w:p>
        </w:tc>
        <w:tc>
          <w:tcPr>
            <w:tcW w:w="3439" w:type="dxa"/>
            <w:vAlign w:val="center"/>
          </w:tcPr>
          <w:p w14:paraId="2AEA4068" w14:textId="16DEAF70" w:rsidR="00C621ED" w:rsidRPr="00417B87" w:rsidRDefault="00C621ED" w:rsidP="007304C5">
            <w:pPr>
              <w:pStyle w:val="TableText"/>
              <w:rPr>
                <w:rFonts w:cstheme="minorHAnsi"/>
                <w:sz w:val="16"/>
                <w:szCs w:val="16"/>
              </w:rPr>
            </w:pPr>
            <w:r w:rsidRPr="00417B87">
              <w:rPr>
                <w:rFonts w:cstheme="minorHAnsi"/>
                <w:sz w:val="16"/>
                <w:szCs w:val="16"/>
              </w:rPr>
              <w:t>Alternative Incidence Estimate (100/100,000)</w:t>
            </w:r>
          </w:p>
        </w:tc>
        <w:tc>
          <w:tcPr>
            <w:tcW w:w="1263" w:type="dxa"/>
            <w:vAlign w:val="center"/>
          </w:tcPr>
          <w:p w14:paraId="77B59505" w14:textId="379BB2F8"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1,175</w:t>
            </w:r>
          </w:p>
        </w:tc>
        <w:tc>
          <w:tcPr>
            <w:tcW w:w="1262" w:type="dxa"/>
            <w:vAlign w:val="center"/>
          </w:tcPr>
          <w:p w14:paraId="0C22C659" w14:textId="505733F0"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1,229</w:t>
            </w:r>
          </w:p>
        </w:tc>
        <w:tc>
          <w:tcPr>
            <w:tcW w:w="1113" w:type="dxa"/>
            <w:vAlign w:val="center"/>
          </w:tcPr>
          <w:p w14:paraId="2D1FFC9B" w14:textId="3E9D02D1"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1,255</w:t>
            </w:r>
          </w:p>
        </w:tc>
        <w:tc>
          <w:tcPr>
            <w:tcW w:w="1263" w:type="dxa"/>
            <w:vAlign w:val="center"/>
          </w:tcPr>
          <w:p w14:paraId="3F2A8998" w14:textId="19A06A28"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1,280</w:t>
            </w:r>
          </w:p>
        </w:tc>
        <w:tc>
          <w:tcPr>
            <w:tcW w:w="1168" w:type="dxa"/>
            <w:vAlign w:val="center"/>
          </w:tcPr>
          <w:p w14:paraId="5DED6A67" w14:textId="59AFCB73"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1,304</w:t>
            </w:r>
          </w:p>
        </w:tc>
      </w:tr>
      <w:tr w:rsidR="00C621ED" w:rsidRPr="00CB2BCC" w14:paraId="4D91CDE1" w14:textId="77777777" w:rsidTr="007304C5">
        <w:trPr>
          <w:trHeight w:val="203"/>
        </w:trPr>
        <w:tc>
          <w:tcPr>
            <w:tcW w:w="5347" w:type="dxa"/>
            <w:vMerge w:val="restart"/>
            <w:vAlign w:val="center"/>
          </w:tcPr>
          <w:p w14:paraId="3D3FD8D5" w14:textId="77777777" w:rsidR="00C621ED" w:rsidRPr="00417B87" w:rsidRDefault="00C621ED" w:rsidP="007304C5">
            <w:pPr>
              <w:pStyle w:val="TableText"/>
              <w:spacing w:before="0" w:after="0" w:line="240" w:lineRule="auto"/>
              <w:rPr>
                <w:rFonts w:cstheme="minorHAnsi"/>
                <w:b/>
                <w:bCs/>
                <w:sz w:val="16"/>
                <w:szCs w:val="16"/>
              </w:rPr>
            </w:pPr>
            <w:r w:rsidRPr="00417B87">
              <w:rPr>
                <w:rFonts w:cstheme="minorHAnsi"/>
                <w:b/>
                <w:bCs/>
                <w:sz w:val="16"/>
                <w:szCs w:val="16"/>
              </w:rPr>
              <w:t>Scenario C:</w:t>
            </w:r>
          </w:p>
          <w:p w14:paraId="111B10C2" w14:textId="77777777" w:rsidR="00C621ED" w:rsidRPr="00417B87" w:rsidRDefault="00C621ED" w:rsidP="00F42679">
            <w:pPr>
              <w:pStyle w:val="TableText"/>
              <w:numPr>
                <w:ilvl w:val="0"/>
                <w:numId w:val="16"/>
              </w:numPr>
              <w:spacing w:before="0" w:after="0" w:line="240" w:lineRule="auto"/>
              <w:ind w:left="357" w:hanging="357"/>
              <w:rPr>
                <w:rFonts w:cstheme="minorHAnsi"/>
                <w:sz w:val="16"/>
                <w:szCs w:val="16"/>
              </w:rPr>
            </w:pPr>
            <w:r w:rsidRPr="00417B87">
              <w:rPr>
                <w:rFonts w:cstheme="minorHAnsi"/>
                <w:sz w:val="16"/>
                <w:szCs w:val="16"/>
              </w:rPr>
              <w:t>Incidence</w:t>
            </w:r>
          </w:p>
          <w:p w14:paraId="03C39747" w14:textId="77777777" w:rsidR="00C621ED" w:rsidRPr="00417B87" w:rsidRDefault="00C621ED" w:rsidP="00F42679">
            <w:pPr>
              <w:pStyle w:val="TableText"/>
              <w:numPr>
                <w:ilvl w:val="0"/>
                <w:numId w:val="16"/>
              </w:numPr>
              <w:spacing w:before="0" w:after="0" w:line="240" w:lineRule="auto"/>
              <w:ind w:left="357" w:hanging="357"/>
              <w:rPr>
                <w:rFonts w:cstheme="minorHAnsi"/>
                <w:sz w:val="16"/>
                <w:szCs w:val="16"/>
              </w:rPr>
            </w:pPr>
            <w:r w:rsidRPr="00417B87">
              <w:rPr>
                <w:rFonts w:cstheme="minorHAnsi"/>
                <w:sz w:val="16"/>
                <w:szCs w:val="16"/>
              </w:rPr>
              <w:t>Number of tests conducted on suspected cases</w:t>
            </w:r>
          </w:p>
          <w:p w14:paraId="1A7F3A28" w14:textId="08C4DF9F" w:rsidR="00C621ED" w:rsidRPr="00417B87" w:rsidRDefault="00C621ED" w:rsidP="00F42679">
            <w:pPr>
              <w:pStyle w:val="TableText"/>
              <w:numPr>
                <w:ilvl w:val="0"/>
                <w:numId w:val="16"/>
              </w:numPr>
              <w:spacing w:before="0" w:after="0" w:line="240" w:lineRule="auto"/>
              <w:ind w:left="357" w:hanging="357"/>
              <w:rPr>
                <w:rFonts w:cstheme="minorHAnsi"/>
                <w:sz w:val="16"/>
                <w:szCs w:val="16"/>
              </w:rPr>
            </w:pPr>
            <w:r w:rsidRPr="00417B87">
              <w:rPr>
                <w:rFonts w:cstheme="minorHAnsi"/>
                <w:sz w:val="16"/>
                <w:szCs w:val="16"/>
              </w:rPr>
              <w:t>proposed annual increase (8.4%)</w:t>
            </w:r>
          </w:p>
        </w:tc>
        <w:tc>
          <w:tcPr>
            <w:tcW w:w="3439" w:type="dxa"/>
            <w:vAlign w:val="center"/>
          </w:tcPr>
          <w:p w14:paraId="1DE6C4D5" w14:textId="70CFF5DE" w:rsidR="00C621ED" w:rsidRPr="00417B87" w:rsidRDefault="00C621ED" w:rsidP="007304C5">
            <w:pPr>
              <w:pStyle w:val="TableText"/>
              <w:rPr>
                <w:rFonts w:cstheme="minorHAnsi"/>
                <w:sz w:val="16"/>
                <w:szCs w:val="16"/>
              </w:rPr>
            </w:pPr>
            <w:r w:rsidRPr="00417B87">
              <w:rPr>
                <w:rFonts w:cstheme="minorHAnsi"/>
                <w:sz w:val="16"/>
                <w:szCs w:val="16"/>
              </w:rPr>
              <w:t>Lower Incidence Estimate (12.0/100,000)</w:t>
            </w:r>
          </w:p>
        </w:tc>
        <w:tc>
          <w:tcPr>
            <w:tcW w:w="1263" w:type="dxa"/>
            <w:vAlign w:val="center"/>
          </w:tcPr>
          <w:p w14:paraId="3919F0FA" w14:textId="1800E173"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152</w:t>
            </w:r>
          </w:p>
        </w:tc>
        <w:tc>
          <w:tcPr>
            <w:tcW w:w="1262" w:type="dxa"/>
            <w:vAlign w:val="center"/>
          </w:tcPr>
          <w:p w14:paraId="333E793E" w14:textId="44944768"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159</w:t>
            </w:r>
          </w:p>
        </w:tc>
        <w:tc>
          <w:tcPr>
            <w:tcW w:w="1113" w:type="dxa"/>
            <w:vAlign w:val="center"/>
          </w:tcPr>
          <w:p w14:paraId="7EBE11DE" w14:textId="7570C6F3"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163</w:t>
            </w:r>
          </w:p>
        </w:tc>
        <w:tc>
          <w:tcPr>
            <w:tcW w:w="1263" w:type="dxa"/>
            <w:vAlign w:val="center"/>
          </w:tcPr>
          <w:p w14:paraId="5CC06363" w14:textId="02D60074"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166</w:t>
            </w:r>
          </w:p>
        </w:tc>
        <w:tc>
          <w:tcPr>
            <w:tcW w:w="1168" w:type="dxa"/>
            <w:vAlign w:val="center"/>
          </w:tcPr>
          <w:p w14:paraId="5BB1C2FA" w14:textId="233C2252"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169</w:t>
            </w:r>
          </w:p>
        </w:tc>
      </w:tr>
      <w:tr w:rsidR="00C621ED" w:rsidRPr="00CB2BCC" w14:paraId="169CCC55" w14:textId="77777777" w:rsidTr="007304C5">
        <w:trPr>
          <w:trHeight w:val="253"/>
        </w:trPr>
        <w:tc>
          <w:tcPr>
            <w:tcW w:w="5347" w:type="dxa"/>
            <w:vMerge/>
            <w:vAlign w:val="center"/>
          </w:tcPr>
          <w:p w14:paraId="7785BEED" w14:textId="77777777" w:rsidR="00C621ED" w:rsidRPr="00417B87" w:rsidRDefault="00C621ED" w:rsidP="007304C5">
            <w:pPr>
              <w:pStyle w:val="TableText"/>
              <w:rPr>
                <w:rFonts w:cstheme="minorHAnsi"/>
                <w:sz w:val="16"/>
                <w:szCs w:val="16"/>
              </w:rPr>
            </w:pPr>
          </w:p>
        </w:tc>
        <w:tc>
          <w:tcPr>
            <w:tcW w:w="3439" w:type="dxa"/>
            <w:vAlign w:val="center"/>
          </w:tcPr>
          <w:p w14:paraId="60FA83C8" w14:textId="751841F4" w:rsidR="00C621ED" w:rsidRPr="00417B87" w:rsidRDefault="00C621ED" w:rsidP="007304C5">
            <w:pPr>
              <w:pStyle w:val="TableText"/>
              <w:rPr>
                <w:rFonts w:cstheme="minorHAnsi"/>
                <w:sz w:val="16"/>
                <w:szCs w:val="16"/>
              </w:rPr>
            </w:pPr>
            <w:r w:rsidRPr="00417B87">
              <w:rPr>
                <w:rFonts w:cstheme="minorHAnsi"/>
                <w:sz w:val="16"/>
                <w:szCs w:val="16"/>
              </w:rPr>
              <w:t>Upper Incidence Estimate (82.8/100,000)</w:t>
            </w:r>
          </w:p>
        </w:tc>
        <w:tc>
          <w:tcPr>
            <w:tcW w:w="1263" w:type="dxa"/>
            <w:vAlign w:val="center"/>
          </w:tcPr>
          <w:p w14:paraId="059E68E6" w14:textId="1B33E1E3"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1,054</w:t>
            </w:r>
          </w:p>
        </w:tc>
        <w:tc>
          <w:tcPr>
            <w:tcW w:w="1262" w:type="dxa"/>
            <w:vAlign w:val="center"/>
          </w:tcPr>
          <w:p w14:paraId="292AFFD8" w14:textId="75792D33"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1,103</w:t>
            </w:r>
          </w:p>
        </w:tc>
        <w:tc>
          <w:tcPr>
            <w:tcW w:w="1113" w:type="dxa"/>
            <w:vAlign w:val="center"/>
          </w:tcPr>
          <w:p w14:paraId="71A5D576" w14:textId="43F3E7FF"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1,126</w:t>
            </w:r>
          </w:p>
        </w:tc>
        <w:tc>
          <w:tcPr>
            <w:tcW w:w="1263" w:type="dxa"/>
            <w:vAlign w:val="center"/>
          </w:tcPr>
          <w:p w14:paraId="01FB0176" w14:textId="55177480"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1,149</w:t>
            </w:r>
          </w:p>
        </w:tc>
        <w:tc>
          <w:tcPr>
            <w:tcW w:w="1168" w:type="dxa"/>
            <w:vAlign w:val="center"/>
          </w:tcPr>
          <w:p w14:paraId="1573CD6F" w14:textId="662572CE"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1,170</w:t>
            </w:r>
          </w:p>
        </w:tc>
      </w:tr>
      <w:tr w:rsidR="00C621ED" w:rsidRPr="00CB2BCC" w14:paraId="7081E252" w14:textId="77777777" w:rsidTr="007304C5">
        <w:trPr>
          <w:trHeight w:val="50"/>
        </w:trPr>
        <w:tc>
          <w:tcPr>
            <w:tcW w:w="5347" w:type="dxa"/>
            <w:vMerge/>
            <w:vAlign w:val="center"/>
          </w:tcPr>
          <w:p w14:paraId="5FD6E912" w14:textId="77777777" w:rsidR="00C621ED" w:rsidRPr="00417B87" w:rsidRDefault="00C621ED" w:rsidP="007304C5">
            <w:pPr>
              <w:pStyle w:val="TableText"/>
              <w:rPr>
                <w:rFonts w:cstheme="minorHAnsi"/>
                <w:sz w:val="16"/>
                <w:szCs w:val="16"/>
              </w:rPr>
            </w:pPr>
          </w:p>
        </w:tc>
        <w:tc>
          <w:tcPr>
            <w:tcW w:w="3439" w:type="dxa"/>
            <w:vAlign w:val="center"/>
          </w:tcPr>
          <w:p w14:paraId="52B84C5A" w14:textId="3EA714AB" w:rsidR="00C621ED" w:rsidRPr="00417B87" w:rsidRDefault="00C621ED" w:rsidP="007304C5">
            <w:pPr>
              <w:pStyle w:val="TableText"/>
              <w:rPr>
                <w:rFonts w:cstheme="minorHAnsi"/>
                <w:sz w:val="16"/>
                <w:szCs w:val="16"/>
              </w:rPr>
            </w:pPr>
            <w:r w:rsidRPr="00417B87">
              <w:rPr>
                <w:rFonts w:cstheme="minorHAnsi"/>
                <w:sz w:val="16"/>
                <w:szCs w:val="16"/>
              </w:rPr>
              <w:t>Alternative Incidence Estimate (100/100,000)</w:t>
            </w:r>
          </w:p>
        </w:tc>
        <w:tc>
          <w:tcPr>
            <w:tcW w:w="1263" w:type="dxa"/>
            <w:vAlign w:val="center"/>
          </w:tcPr>
          <w:p w14:paraId="0355F95B" w14:textId="61E86A7A"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1,273</w:t>
            </w:r>
          </w:p>
        </w:tc>
        <w:tc>
          <w:tcPr>
            <w:tcW w:w="1262" w:type="dxa"/>
            <w:vAlign w:val="center"/>
          </w:tcPr>
          <w:p w14:paraId="144BD7AD" w14:textId="2475992A"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1,332</w:t>
            </w:r>
          </w:p>
        </w:tc>
        <w:tc>
          <w:tcPr>
            <w:tcW w:w="1113" w:type="dxa"/>
            <w:vAlign w:val="center"/>
          </w:tcPr>
          <w:p w14:paraId="3C9DC37E" w14:textId="618825DB"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1,360</w:t>
            </w:r>
          </w:p>
        </w:tc>
        <w:tc>
          <w:tcPr>
            <w:tcW w:w="1263" w:type="dxa"/>
            <w:vAlign w:val="center"/>
          </w:tcPr>
          <w:p w14:paraId="0B6182BB" w14:textId="778CE138"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1,387</w:t>
            </w:r>
          </w:p>
        </w:tc>
        <w:tc>
          <w:tcPr>
            <w:tcW w:w="1168" w:type="dxa"/>
            <w:vAlign w:val="center"/>
          </w:tcPr>
          <w:p w14:paraId="36E0FE20" w14:textId="5C875478"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1,413</w:t>
            </w:r>
          </w:p>
        </w:tc>
      </w:tr>
      <w:tr w:rsidR="00C621ED" w:rsidRPr="00CB2BCC" w14:paraId="1DC5E6C2" w14:textId="77777777" w:rsidTr="007304C5">
        <w:trPr>
          <w:trHeight w:val="157"/>
        </w:trPr>
        <w:tc>
          <w:tcPr>
            <w:tcW w:w="5347" w:type="dxa"/>
            <w:vMerge w:val="restart"/>
            <w:vAlign w:val="center"/>
          </w:tcPr>
          <w:p w14:paraId="4C3B8C60" w14:textId="1807C64A" w:rsidR="00C621ED" w:rsidRPr="00417B87" w:rsidRDefault="00C621ED" w:rsidP="007304C5">
            <w:pPr>
              <w:pStyle w:val="TableText"/>
              <w:spacing w:before="0" w:after="0" w:line="240" w:lineRule="auto"/>
              <w:rPr>
                <w:rFonts w:cstheme="minorHAnsi"/>
                <w:b/>
                <w:bCs/>
                <w:sz w:val="16"/>
                <w:szCs w:val="16"/>
              </w:rPr>
            </w:pPr>
            <w:r w:rsidRPr="00417B87">
              <w:rPr>
                <w:rFonts w:cstheme="minorHAnsi"/>
                <w:b/>
                <w:bCs/>
                <w:sz w:val="16"/>
                <w:szCs w:val="16"/>
              </w:rPr>
              <w:t>Scenario D:</w:t>
            </w:r>
          </w:p>
          <w:p w14:paraId="113D0ECB" w14:textId="77777777" w:rsidR="00C621ED" w:rsidRPr="00417B87" w:rsidRDefault="00C621ED" w:rsidP="00F42679">
            <w:pPr>
              <w:pStyle w:val="TableText"/>
              <w:numPr>
                <w:ilvl w:val="0"/>
                <w:numId w:val="17"/>
              </w:numPr>
              <w:spacing w:before="0" w:after="0" w:line="240" w:lineRule="auto"/>
              <w:rPr>
                <w:rFonts w:cstheme="minorHAnsi"/>
                <w:sz w:val="16"/>
                <w:szCs w:val="16"/>
              </w:rPr>
            </w:pPr>
            <w:r w:rsidRPr="00417B87">
              <w:rPr>
                <w:rFonts w:cstheme="minorHAnsi"/>
                <w:sz w:val="16"/>
                <w:szCs w:val="16"/>
              </w:rPr>
              <w:t>Incidence</w:t>
            </w:r>
          </w:p>
          <w:p w14:paraId="6E6D354B" w14:textId="77777777" w:rsidR="00C621ED" w:rsidRPr="00417B87" w:rsidRDefault="00C621ED" w:rsidP="00F42679">
            <w:pPr>
              <w:pStyle w:val="TableText"/>
              <w:numPr>
                <w:ilvl w:val="0"/>
                <w:numId w:val="17"/>
              </w:numPr>
              <w:spacing w:before="0" w:after="0" w:line="240" w:lineRule="auto"/>
              <w:rPr>
                <w:rFonts w:cstheme="minorHAnsi"/>
                <w:sz w:val="16"/>
                <w:szCs w:val="16"/>
              </w:rPr>
            </w:pPr>
            <w:r w:rsidRPr="00417B87">
              <w:rPr>
                <w:rFonts w:cstheme="minorHAnsi"/>
                <w:sz w:val="16"/>
                <w:szCs w:val="16"/>
              </w:rPr>
              <w:t>Number of tests conducted on suspected cases</w:t>
            </w:r>
          </w:p>
          <w:p w14:paraId="7D4EC026" w14:textId="25F77848" w:rsidR="00C621ED" w:rsidRPr="00417B87" w:rsidRDefault="00C621ED" w:rsidP="00F42679">
            <w:pPr>
              <w:pStyle w:val="TableText"/>
              <w:numPr>
                <w:ilvl w:val="0"/>
                <w:numId w:val="17"/>
              </w:numPr>
              <w:spacing w:before="0" w:after="0" w:line="240" w:lineRule="auto"/>
              <w:rPr>
                <w:rFonts w:cstheme="minorHAnsi"/>
                <w:b/>
                <w:bCs/>
                <w:sz w:val="16"/>
                <w:szCs w:val="16"/>
              </w:rPr>
            </w:pPr>
            <w:r>
              <w:rPr>
                <w:rFonts w:cstheme="minorHAnsi"/>
                <w:sz w:val="16"/>
                <w:szCs w:val="16"/>
              </w:rPr>
              <w:t>P</w:t>
            </w:r>
            <w:r w:rsidRPr="00417B87">
              <w:rPr>
                <w:rFonts w:cstheme="minorHAnsi"/>
                <w:sz w:val="16"/>
                <w:szCs w:val="16"/>
              </w:rPr>
              <w:t>roposed annual increase (8.4%)</w:t>
            </w:r>
          </w:p>
          <w:p w14:paraId="623C2D2D" w14:textId="0AE83686" w:rsidR="00C621ED" w:rsidRPr="00417B87" w:rsidRDefault="00C621ED" w:rsidP="00F42679">
            <w:pPr>
              <w:pStyle w:val="TableText"/>
              <w:numPr>
                <w:ilvl w:val="0"/>
                <w:numId w:val="17"/>
              </w:numPr>
              <w:spacing w:before="0" w:after="0" w:line="240" w:lineRule="auto"/>
              <w:rPr>
                <w:rFonts w:cstheme="minorHAnsi"/>
                <w:sz w:val="16"/>
                <w:szCs w:val="16"/>
              </w:rPr>
            </w:pPr>
            <w:r w:rsidRPr="00417B87">
              <w:rPr>
                <w:rFonts w:cstheme="minorHAnsi"/>
                <w:sz w:val="16"/>
                <w:szCs w:val="16"/>
              </w:rPr>
              <w:t>Likely screening requirements based on carrier frequency</w:t>
            </w:r>
          </w:p>
        </w:tc>
        <w:tc>
          <w:tcPr>
            <w:tcW w:w="3439" w:type="dxa"/>
            <w:vAlign w:val="center"/>
          </w:tcPr>
          <w:p w14:paraId="399DF17D" w14:textId="0C833146" w:rsidR="00C621ED" w:rsidRPr="00417B87" w:rsidRDefault="00C621ED" w:rsidP="007304C5">
            <w:pPr>
              <w:pStyle w:val="TableText"/>
              <w:rPr>
                <w:rFonts w:cstheme="minorHAnsi"/>
                <w:sz w:val="16"/>
                <w:szCs w:val="16"/>
              </w:rPr>
            </w:pPr>
            <w:r w:rsidRPr="00417B87">
              <w:rPr>
                <w:rFonts w:cstheme="minorHAnsi"/>
                <w:sz w:val="16"/>
                <w:szCs w:val="16"/>
              </w:rPr>
              <w:t>Lower Incidence Estimate (12.0/100,000)</w:t>
            </w:r>
          </w:p>
        </w:tc>
        <w:tc>
          <w:tcPr>
            <w:tcW w:w="1263" w:type="dxa"/>
            <w:vAlign w:val="center"/>
          </w:tcPr>
          <w:p w14:paraId="7B460F97" w14:textId="45533C10"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634</w:t>
            </w:r>
          </w:p>
        </w:tc>
        <w:tc>
          <w:tcPr>
            <w:tcW w:w="1262" w:type="dxa"/>
            <w:vAlign w:val="center"/>
          </w:tcPr>
          <w:p w14:paraId="49D10320" w14:textId="5A1A070B"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645</w:t>
            </w:r>
          </w:p>
        </w:tc>
        <w:tc>
          <w:tcPr>
            <w:tcW w:w="1113" w:type="dxa"/>
            <w:vAlign w:val="center"/>
          </w:tcPr>
          <w:p w14:paraId="7271B26C" w14:textId="47806769"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652</w:t>
            </w:r>
          </w:p>
        </w:tc>
        <w:tc>
          <w:tcPr>
            <w:tcW w:w="1263" w:type="dxa"/>
            <w:vAlign w:val="center"/>
          </w:tcPr>
          <w:p w14:paraId="0ED6C43C" w14:textId="7BF050D1"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659</w:t>
            </w:r>
          </w:p>
        </w:tc>
        <w:tc>
          <w:tcPr>
            <w:tcW w:w="1168" w:type="dxa"/>
            <w:vAlign w:val="center"/>
          </w:tcPr>
          <w:p w14:paraId="6032F3F5" w14:textId="7B04C77D"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665</w:t>
            </w:r>
          </w:p>
        </w:tc>
      </w:tr>
      <w:tr w:rsidR="00C621ED" w:rsidRPr="00CB2BCC" w14:paraId="67CC8D22" w14:textId="77777777" w:rsidTr="007304C5">
        <w:trPr>
          <w:trHeight w:val="157"/>
        </w:trPr>
        <w:tc>
          <w:tcPr>
            <w:tcW w:w="5347" w:type="dxa"/>
            <w:vMerge/>
            <w:vAlign w:val="center"/>
          </w:tcPr>
          <w:p w14:paraId="5BE586B8" w14:textId="77777777" w:rsidR="00C621ED" w:rsidRPr="00417B87" w:rsidRDefault="00C621ED" w:rsidP="007304C5">
            <w:pPr>
              <w:pStyle w:val="TableText"/>
              <w:rPr>
                <w:rFonts w:cstheme="minorHAnsi"/>
                <w:sz w:val="16"/>
                <w:szCs w:val="16"/>
              </w:rPr>
            </w:pPr>
          </w:p>
        </w:tc>
        <w:tc>
          <w:tcPr>
            <w:tcW w:w="3439" w:type="dxa"/>
            <w:vAlign w:val="center"/>
          </w:tcPr>
          <w:p w14:paraId="0F6E2267" w14:textId="2006015B" w:rsidR="00C621ED" w:rsidRPr="00417B87" w:rsidRDefault="00C621ED" w:rsidP="007304C5">
            <w:pPr>
              <w:pStyle w:val="TableText"/>
              <w:rPr>
                <w:rFonts w:cstheme="minorHAnsi"/>
                <w:sz w:val="16"/>
                <w:szCs w:val="16"/>
              </w:rPr>
            </w:pPr>
            <w:r w:rsidRPr="00417B87">
              <w:rPr>
                <w:rFonts w:cstheme="minorHAnsi"/>
                <w:sz w:val="16"/>
                <w:szCs w:val="16"/>
              </w:rPr>
              <w:t>Upper Incidence Estimate (82.8/100,000)</w:t>
            </w:r>
          </w:p>
        </w:tc>
        <w:tc>
          <w:tcPr>
            <w:tcW w:w="1263" w:type="dxa"/>
            <w:vAlign w:val="center"/>
          </w:tcPr>
          <w:p w14:paraId="0F2A8FEE" w14:textId="40553B29"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2,072</w:t>
            </w:r>
          </w:p>
        </w:tc>
        <w:tc>
          <w:tcPr>
            <w:tcW w:w="1262" w:type="dxa"/>
            <w:vAlign w:val="center"/>
          </w:tcPr>
          <w:p w14:paraId="6EE04E03" w14:textId="387CB414"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2,128</w:t>
            </w:r>
          </w:p>
        </w:tc>
        <w:tc>
          <w:tcPr>
            <w:tcW w:w="1113" w:type="dxa"/>
            <w:vAlign w:val="center"/>
          </w:tcPr>
          <w:p w14:paraId="2E1DBDE8" w14:textId="0001500E"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2,159</w:t>
            </w:r>
          </w:p>
        </w:tc>
        <w:tc>
          <w:tcPr>
            <w:tcW w:w="1263" w:type="dxa"/>
            <w:vAlign w:val="center"/>
          </w:tcPr>
          <w:p w14:paraId="460B27A6" w14:textId="4A865620"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2,189</w:t>
            </w:r>
          </w:p>
        </w:tc>
        <w:tc>
          <w:tcPr>
            <w:tcW w:w="1168" w:type="dxa"/>
            <w:vAlign w:val="center"/>
          </w:tcPr>
          <w:p w14:paraId="34FCF840" w14:textId="68C3CBFF"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2,218</w:t>
            </w:r>
          </w:p>
        </w:tc>
      </w:tr>
      <w:tr w:rsidR="00C621ED" w:rsidRPr="00CB2BCC" w14:paraId="689C700C" w14:textId="77777777" w:rsidTr="007304C5">
        <w:trPr>
          <w:trHeight w:val="157"/>
        </w:trPr>
        <w:tc>
          <w:tcPr>
            <w:tcW w:w="5347" w:type="dxa"/>
            <w:vMerge/>
            <w:vAlign w:val="center"/>
          </w:tcPr>
          <w:p w14:paraId="74FB8746" w14:textId="77777777" w:rsidR="00C621ED" w:rsidRPr="00417B87" w:rsidRDefault="00C621ED" w:rsidP="007304C5">
            <w:pPr>
              <w:pStyle w:val="TableText"/>
              <w:rPr>
                <w:rFonts w:cstheme="minorHAnsi"/>
                <w:sz w:val="16"/>
                <w:szCs w:val="16"/>
              </w:rPr>
            </w:pPr>
          </w:p>
        </w:tc>
        <w:tc>
          <w:tcPr>
            <w:tcW w:w="3439" w:type="dxa"/>
            <w:vAlign w:val="center"/>
          </w:tcPr>
          <w:p w14:paraId="70817586" w14:textId="216EB902" w:rsidR="00C621ED" w:rsidRPr="00417B87" w:rsidRDefault="00C621ED" w:rsidP="007304C5">
            <w:pPr>
              <w:pStyle w:val="TableText"/>
              <w:rPr>
                <w:rFonts w:cstheme="minorHAnsi"/>
                <w:sz w:val="16"/>
                <w:szCs w:val="16"/>
              </w:rPr>
            </w:pPr>
            <w:r w:rsidRPr="00417B87">
              <w:rPr>
                <w:rFonts w:cstheme="minorHAnsi"/>
                <w:sz w:val="16"/>
                <w:szCs w:val="16"/>
              </w:rPr>
              <w:t>Alternative Incidence Estimate (100/100,000)</w:t>
            </w:r>
          </w:p>
        </w:tc>
        <w:tc>
          <w:tcPr>
            <w:tcW w:w="1263" w:type="dxa"/>
            <w:vAlign w:val="center"/>
          </w:tcPr>
          <w:p w14:paraId="31868181" w14:textId="58A77ED2"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2,682</w:t>
            </w:r>
          </w:p>
        </w:tc>
        <w:tc>
          <w:tcPr>
            <w:tcW w:w="1262" w:type="dxa"/>
            <w:vAlign w:val="center"/>
          </w:tcPr>
          <w:p w14:paraId="1022F407" w14:textId="578B715F"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2,752</w:t>
            </w:r>
          </w:p>
        </w:tc>
        <w:tc>
          <w:tcPr>
            <w:tcW w:w="1113" w:type="dxa"/>
            <w:vAlign w:val="center"/>
          </w:tcPr>
          <w:p w14:paraId="27F872EE" w14:textId="7651EE8C"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2,790</w:t>
            </w:r>
          </w:p>
        </w:tc>
        <w:tc>
          <w:tcPr>
            <w:tcW w:w="1263" w:type="dxa"/>
            <w:vAlign w:val="center"/>
          </w:tcPr>
          <w:p w14:paraId="015DEBC2" w14:textId="747CFE1C"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2,828</w:t>
            </w:r>
          </w:p>
        </w:tc>
        <w:tc>
          <w:tcPr>
            <w:tcW w:w="1168" w:type="dxa"/>
            <w:vAlign w:val="center"/>
          </w:tcPr>
          <w:p w14:paraId="0B2A160C" w14:textId="3AA40CE6" w:rsidR="00C621ED" w:rsidRPr="00417B87" w:rsidRDefault="00C621ED" w:rsidP="007304C5">
            <w:pPr>
              <w:pStyle w:val="TableText"/>
              <w:jc w:val="center"/>
              <w:rPr>
                <w:rFonts w:cstheme="minorHAnsi"/>
                <w:color w:val="000000"/>
                <w:sz w:val="16"/>
                <w:szCs w:val="16"/>
              </w:rPr>
            </w:pPr>
            <w:r w:rsidRPr="00417B87">
              <w:rPr>
                <w:rFonts w:cstheme="minorHAnsi"/>
                <w:color w:val="000000"/>
                <w:sz w:val="16"/>
                <w:szCs w:val="16"/>
              </w:rPr>
              <w:t>2,864</w:t>
            </w:r>
          </w:p>
        </w:tc>
      </w:tr>
      <w:tr w:rsidR="00C621ED" w:rsidRPr="00CB2BCC" w14:paraId="076CDBE2" w14:textId="77777777" w:rsidTr="00173763">
        <w:trPr>
          <w:trHeight w:val="157"/>
        </w:trPr>
        <w:tc>
          <w:tcPr>
            <w:tcW w:w="5347" w:type="dxa"/>
            <w:vMerge w:val="restart"/>
            <w:vAlign w:val="center"/>
          </w:tcPr>
          <w:p w14:paraId="7039BF56" w14:textId="36FD94A1" w:rsidR="00C621ED" w:rsidRPr="00417B87" w:rsidRDefault="00C621ED" w:rsidP="0014012F">
            <w:pPr>
              <w:pStyle w:val="TableText"/>
              <w:spacing w:before="0" w:after="0" w:line="240" w:lineRule="auto"/>
              <w:rPr>
                <w:rFonts w:cstheme="minorHAnsi"/>
                <w:b/>
                <w:bCs/>
                <w:sz w:val="16"/>
                <w:szCs w:val="16"/>
              </w:rPr>
            </w:pPr>
            <w:r w:rsidRPr="00417B87">
              <w:rPr>
                <w:rFonts w:cstheme="minorHAnsi"/>
                <w:b/>
                <w:bCs/>
                <w:sz w:val="16"/>
                <w:szCs w:val="16"/>
              </w:rPr>
              <w:t xml:space="preserve">Scenario </w:t>
            </w:r>
            <w:r>
              <w:rPr>
                <w:rFonts w:cstheme="minorHAnsi"/>
                <w:b/>
                <w:bCs/>
                <w:sz w:val="16"/>
                <w:szCs w:val="16"/>
              </w:rPr>
              <w:t>E</w:t>
            </w:r>
          </w:p>
          <w:p w14:paraId="726E4791" w14:textId="77777777" w:rsidR="00C621ED" w:rsidRPr="00417B87" w:rsidRDefault="00C621ED" w:rsidP="00F42679">
            <w:pPr>
              <w:pStyle w:val="TableText"/>
              <w:numPr>
                <w:ilvl w:val="0"/>
                <w:numId w:val="17"/>
              </w:numPr>
              <w:spacing w:before="0" w:after="0" w:line="240" w:lineRule="auto"/>
              <w:rPr>
                <w:rFonts w:cstheme="minorHAnsi"/>
                <w:sz w:val="16"/>
                <w:szCs w:val="16"/>
              </w:rPr>
            </w:pPr>
            <w:r w:rsidRPr="00417B87">
              <w:rPr>
                <w:rFonts w:cstheme="minorHAnsi"/>
                <w:sz w:val="16"/>
                <w:szCs w:val="16"/>
              </w:rPr>
              <w:t>Incidence</w:t>
            </w:r>
          </w:p>
          <w:p w14:paraId="0BBC734D" w14:textId="77777777" w:rsidR="00C621ED" w:rsidRPr="00417B87" w:rsidRDefault="00C621ED" w:rsidP="00F42679">
            <w:pPr>
              <w:pStyle w:val="TableText"/>
              <w:numPr>
                <w:ilvl w:val="0"/>
                <w:numId w:val="17"/>
              </w:numPr>
              <w:spacing w:before="0" w:after="0" w:line="240" w:lineRule="auto"/>
              <w:rPr>
                <w:rFonts w:cstheme="minorHAnsi"/>
                <w:sz w:val="16"/>
                <w:szCs w:val="16"/>
              </w:rPr>
            </w:pPr>
            <w:r w:rsidRPr="00417B87">
              <w:rPr>
                <w:rFonts w:cstheme="minorHAnsi"/>
                <w:sz w:val="16"/>
                <w:szCs w:val="16"/>
              </w:rPr>
              <w:t>Number of tests conducted on suspected cases</w:t>
            </w:r>
          </w:p>
          <w:p w14:paraId="5FEDF295" w14:textId="77777777" w:rsidR="00C621ED" w:rsidRPr="0060173E" w:rsidRDefault="00C621ED" w:rsidP="00F42679">
            <w:pPr>
              <w:pStyle w:val="TableText"/>
              <w:numPr>
                <w:ilvl w:val="0"/>
                <w:numId w:val="17"/>
              </w:numPr>
              <w:spacing w:before="0" w:after="0" w:line="240" w:lineRule="auto"/>
              <w:rPr>
                <w:rFonts w:cstheme="minorHAnsi"/>
                <w:b/>
                <w:bCs/>
                <w:sz w:val="16"/>
                <w:szCs w:val="16"/>
              </w:rPr>
            </w:pPr>
            <w:r>
              <w:rPr>
                <w:rFonts w:cstheme="minorHAnsi"/>
                <w:sz w:val="16"/>
                <w:szCs w:val="16"/>
              </w:rPr>
              <w:t>P</w:t>
            </w:r>
            <w:r w:rsidRPr="00417B87">
              <w:rPr>
                <w:rFonts w:cstheme="minorHAnsi"/>
                <w:sz w:val="16"/>
                <w:szCs w:val="16"/>
              </w:rPr>
              <w:t>roposed annual increase (8.4%)</w:t>
            </w:r>
          </w:p>
          <w:p w14:paraId="3F1B091D" w14:textId="77777777" w:rsidR="00C621ED" w:rsidRPr="00173763" w:rsidRDefault="00C621ED" w:rsidP="00F42679">
            <w:pPr>
              <w:pStyle w:val="TableText"/>
              <w:numPr>
                <w:ilvl w:val="0"/>
                <w:numId w:val="17"/>
              </w:numPr>
              <w:spacing w:before="0" w:after="0" w:line="240" w:lineRule="auto"/>
              <w:rPr>
                <w:rFonts w:cstheme="minorHAnsi"/>
                <w:b/>
                <w:bCs/>
                <w:sz w:val="16"/>
                <w:szCs w:val="16"/>
              </w:rPr>
            </w:pPr>
            <w:r w:rsidRPr="0060173E">
              <w:rPr>
                <w:rFonts w:cstheme="minorHAnsi"/>
                <w:sz w:val="16"/>
                <w:szCs w:val="16"/>
              </w:rPr>
              <w:t>Likely screening requirements based on carrier frequency</w:t>
            </w:r>
          </w:p>
          <w:p w14:paraId="0D6F8DC6" w14:textId="6B2EEC2B" w:rsidR="00C621ED" w:rsidRPr="00A16850" w:rsidRDefault="00C621ED" w:rsidP="00F42679">
            <w:pPr>
              <w:pStyle w:val="TableText"/>
              <w:numPr>
                <w:ilvl w:val="0"/>
                <w:numId w:val="17"/>
              </w:numPr>
              <w:spacing w:before="0" w:after="0" w:line="240" w:lineRule="auto"/>
              <w:rPr>
                <w:rFonts w:cstheme="minorHAnsi"/>
                <w:bCs/>
                <w:sz w:val="16"/>
                <w:szCs w:val="16"/>
              </w:rPr>
            </w:pPr>
            <w:r w:rsidRPr="00A16850">
              <w:rPr>
                <w:rFonts w:cstheme="minorHAnsi"/>
                <w:sz w:val="16"/>
                <w:szCs w:val="16"/>
              </w:rPr>
              <w:t>Cascade Tests</w:t>
            </w:r>
          </w:p>
        </w:tc>
        <w:tc>
          <w:tcPr>
            <w:tcW w:w="3439" w:type="dxa"/>
            <w:vAlign w:val="center"/>
          </w:tcPr>
          <w:p w14:paraId="0B9EA0F3" w14:textId="3A8EB0A9" w:rsidR="00C621ED" w:rsidRPr="00417B87" w:rsidRDefault="00C621ED" w:rsidP="0014012F">
            <w:pPr>
              <w:pStyle w:val="TableText"/>
              <w:rPr>
                <w:rFonts w:cstheme="minorHAnsi"/>
                <w:sz w:val="16"/>
                <w:szCs w:val="16"/>
              </w:rPr>
            </w:pPr>
            <w:r w:rsidRPr="00417B87">
              <w:rPr>
                <w:rFonts w:cstheme="minorHAnsi"/>
                <w:sz w:val="16"/>
                <w:szCs w:val="16"/>
              </w:rPr>
              <w:t>Lower Incidence Estimate (12.0/100,000)</w:t>
            </w:r>
          </w:p>
        </w:tc>
        <w:tc>
          <w:tcPr>
            <w:tcW w:w="1263" w:type="dxa"/>
            <w:vAlign w:val="center"/>
          </w:tcPr>
          <w:p w14:paraId="5F9150B5" w14:textId="27300C7E" w:rsidR="00C621ED" w:rsidRPr="0014012F" w:rsidRDefault="00C621ED" w:rsidP="0014012F">
            <w:pPr>
              <w:pStyle w:val="TableText"/>
              <w:jc w:val="center"/>
              <w:rPr>
                <w:rFonts w:cstheme="minorHAnsi"/>
                <w:color w:val="000000"/>
                <w:sz w:val="16"/>
                <w:szCs w:val="16"/>
              </w:rPr>
            </w:pPr>
            <w:r w:rsidRPr="00173763">
              <w:rPr>
                <w:rFonts w:cs="Calibri"/>
                <w:color w:val="000000"/>
                <w:sz w:val="16"/>
                <w:szCs w:val="16"/>
              </w:rPr>
              <w:t>679</w:t>
            </w:r>
          </w:p>
        </w:tc>
        <w:tc>
          <w:tcPr>
            <w:tcW w:w="1262" w:type="dxa"/>
            <w:vAlign w:val="center"/>
          </w:tcPr>
          <w:p w14:paraId="64D22610" w14:textId="5B92C442" w:rsidR="00C621ED" w:rsidRPr="0014012F" w:rsidRDefault="00C621ED" w:rsidP="0014012F">
            <w:pPr>
              <w:pStyle w:val="TableText"/>
              <w:jc w:val="center"/>
              <w:rPr>
                <w:rFonts w:cstheme="minorHAnsi"/>
                <w:color w:val="000000"/>
                <w:sz w:val="16"/>
                <w:szCs w:val="16"/>
              </w:rPr>
            </w:pPr>
            <w:r w:rsidRPr="00173763">
              <w:rPr>
                <w:rFonts w:cs="Calibri"/>
                <w:color w:val="000000"/>
                <w:sz w:val="16"/>
                <w:szCs w:val="16"/>
              </w:rPr>
              <w:t>692</w:t>
            </w:r>
          </w:p>
        </w:tc>
        <w:tc>
          <w:tcPr>
            <w:tcW w:w="1113" w:type="dxa"/>
            <w:vAlign w:val="center"/>
          </w:tcPr>
          <w:p w14:paraId="6D0B2CBF" w14:textId="53B0FF74" w:rsidR="00C621ED" w:rsidRPr="0014012F" w:rsidRDefault="00C621ED" w:rsidP="0014012F">
            <w:pPr>
              <w:pStyle w:val="TableText"/>
              <w:jc w:val="center"/>
              <w:rPr>
                <w:rFonts w:cstheme="minorHAnsi"/>
                <w:color w:val="000000"/>
                <w:sz w:val="16"/>
                <w:szCs w:val="16"/>
              </w:rPr>
            </w:pPr>
            <w:r w:rsidRPr="00173763">
              <w:rPr>
                <w:rFonts w:cs="Calibri"/>
                <w:color w:val="000000"/>
                <w:sz w:val="16"/>
                <w:szCs w:val="16"/>
              </w:rPr>
              <w:t>699</w:t>
            </w:r>
          </w:p>
        </w:tc>
        <w:tc>
          <w:tcPr>
            <w:tcW w:w="1263" w:type="dxa"/>
            <w:vAlign w:val="center"/>
          </w:tcPr>
          <w:p w14:paraId="60C07BAB" w14:textId="162249BC" w:rsidR="00C621ED" w:rsidRPr="0014012F" w:rsidRDefault="00C621ED" w:rsidP="0014012F">
            <w:pPr>
              <w:pStyle w:val="TableText"/>
              <w:jc w:val="center"/>
              <w:rPr>
                <w:rFonts w:cstheme="minorHAnsi"/>
                <w:color w:val="000000"/>
                <w:sz w:val="16"/>
                <w:szCs w:val="16"/>
              </w:rPr>
            </w:pPr>
            <w:r w:rsidRPr="00173763">
              <w:rPr>
                <w:rFonts w:cs="Calibri"/>
                <w:color w:val="000000"/>
                <w:sz w:val="16"/>
                <w:szCs w:val="16"/>
              </w:rPr>
              <w:t>707</w:t>
            </w:r>
          </w:p>
        </w:tc>
        <w:tc>
          <w:tcPr>
            <w:tcW w:w="1168" w:type="dxa"/>
            <w:vAlign w:val="center"/>
          </w:tcPr>
          <w:p w14:paraId="535538B2" w14:textId="363D9FF1" w:rsidR="00C621ED" w:rsidRPr="0014012F" w:rsidRDefault="00C621ED" w:rsidP="0014012F">
            <w:pPr>
              <w:pStyle w:val="TableText"/>
              <w:jc w:val="center"/>
              <w:rPr>
                <w:rFonts w:cstheme="minorHAnsi"/>
                <w:color w:val="000000"/>
                <w:sz w:val="16"/>
                <w:szCs w:val="16"/>
              </w:rPr>
            </w:pPr>
            <w:r w:rsidRPr="00173763">
              <w:rPr>
                <w:rFonts w:cs="Calibri"/>
                <w:color w:val="000000"/>
                <w:sz w:val="16"/>
                <w:szCs w:val="16"/>
              </w:rPr>
              <w:t>715</w:t>
            </w:r>
          </w:p>
        </w:tc>
      </w:tr>
      <w:tr w:rsidR="00C621ED" w:rsidRPr="00CB2BCC" w14:paraId="31D27DD0" w14:textId="77777777" w:rsidTr="00173763">
        <w:trPr>
          <w:trHeight w:val="157"/>
        </w:trPr>
        <w:tc>
          <w:tcPr>
            <w:tcW w:w="5347" w:type="dxa"/>
            <w:vMerge/>
            <w:vAlign w:val="center"/>
          </w:tcPr>
          <w:p w14:paraId="763C310F" w14:textId="77777777" w:rsidR="00C621ED" w:rsidRPr="00417B87" w:rsidRDefault="00C621ED" w:rsidP="0014012F">
            <w:pPr>
              <w:pStyle w:val="TableText"/>
              <w:rPr>
                <w:rFonts w:cstheme="minorHAnsi"/>
                <w:sz w:val="16"/>
                <w:szCs w:val="16"/>
              </w:rPr>
            </w:pPr>
          </w:p>
        </w:tc>
        <w:tc>
          <w:tcPr>
            <w:tcW w:w="3439" w:type="dxa"/>
            <w:vAlign w:val="center"/>
          </w:tcPr>
          <w:p w14:paraId="7E3302FB" w14:textId="0F1C228F" w:rsidR="00C621ED" w:rsidRPr="00417B87" w:rsidRDefault="00C621ED" w:rsidP="0014012F">
            <w:pPr>
              <w:pStyle w:val="TableText"/>
              <w:rPr>
                <w:rFonts w:cstheme="minorHAnsi"/>
                <w:sz w:val="16"/>
                <w:szCs w:val="16"/>
              </w:rPr>
            </w:pPr>
            <w:r w:rsidRPr="00417B87">
              <w:rPr>
                <w:rFonts w:cstheme="minorHAnsi"/>
                <w:sz w:val="16"/>
                <w:szCs w:val="16"/>
              </w:rPr>
              <w:t>Upper Incidence Estimate (82.8/100,000)</w:t>
            </w:r>
          </w:p>
        </w:tc>
        <w:tc>
          <w:tcPr>
            <w:tcW w:w="1263" w:type="dxa"/>
            <w:vAlign w:val="center"/>
          </w:tcPr>
          <w:p w14:paraId="0606652D" w14:textId="74D33154" w:rsidR="00C621ED" w:rsidRPr="0014012F" w:rsidRDefault="00C621ED" w:rsidP="0014012F">
            <w:pPr>
              <w:pStyle w:val="TableText"/>
              <w:jc w:val="center"/>
              <w:rPr>
                <w:rFonts w:cstheme="minorHAnsi"/>
                <w:color w:val="000000"/>
                <w:sz w:val="16"/>
                <w:szCs w:val="16"/>
              </w:rPr>
            </w:pPr>
            <w:r w:rsidRPr="00173763">
              <w:rPr>
                <w:rFonts w:cs="Calibri"/>
                <w:color w:val="000000"/>
                <w:sz w:val="16"/>
                <w:szCs w:val="16"/>
              </w:rPr>
              <w:t>2,381</w:t>
            </w:r>
          </w:p>
        </w:tc>
        <w:tc>
          <w:tcPr>
            <w:tcW w:w="1262" w:type="dxa"/>
            <w:vAlign w:val="center"/>
          </w:tcPr>
          <w:p w14:paraId="3E642AEB" w14:textId="702A0474" w:rsidR="00C621ED" w:rsidRPr="0014012F" w:rsidRDefault="00C621ED" w:rsidP="0014012F">
            <w:pPr>
              <w:pStyle w:val="TableText"/>
              <w:jc w:val="center"/>
              <w:rPr>
                <w:rFonts w:cstheme="minorHAnsi"/>
                <w:color w:val="000000"/>
                <w:sz w:val="16"/>
                <w:szCs w:val="16"/>
              </w:rPr>
            </w:pPr>
            <w:r w:rsidRPr="00173763">
              <w:rPr>
                <w:rFonts w:cs="Calibri"/>
                <w:color w:val="000000"/>
                <w:sz w:val="16"/>
                <w:szCs w:val="16"/>
              </w:rPr>
              <w:t>2,452</w:t>
            </w:r>
          </w:p>
        </w:tc>
        <w:tc>
          <w:tcPr>
            <w:tcW w:w="1113" w:type="dxa"/>
            <w:vAlign w:val="center"/>
          </w:tcPr>
          <w:p w14:paraId="23CF3C5C" w14:textId="0A4A582A" w:rsidR="00C621ED" w:rsidRPr="0014012F" w:rsidRDefault="00C621ED" w:rsidP="0014012F">
            <w:pPr>
              <w:pStyle w:val="TableText"/>
              <w:jc w:val="center"/>
              <w:rPr>
                <w:rFonts w:cstheme="minorHAnsi"/>
                <w:color w:val="000000"/>
                <w:sz w:val="16"/>
                <w:szCs w:val="16"/>
              </w:rPr>
            </w:pPr>
            <w:r w:rsidRPr="00173763">
              <w:rPr>
                <w:rFonts w:cs="Calibri"/>
                <w:color w:val="000000"/>
                <w:sz w:val="16"/>
                <w:szCs w:val="16"/>
              </w:rPr>
              <w:t>2,490</w:t>
            </w:r>
          </w:p>
        </w:tc>
        <w:tc>
          <w:tcPr>
            <w:tcW w:w="1263" w:type="dxa"/>
            <w:vAlign w:val="center"/>
          </w:tcPr>
          <w:p w14:paraId="604B57BB" w14:textId="622E7B10" w:rsidR="00C621ED" w:rsidRPr="0014012F" w:rsidRDefault="00C621ED" w:rsidP="0014012F">
            <w:pPr>
              <w:pStyle w:val="TableText"/>
              <w:jc w:val="center"/>
              <w:rPr>
                <w:rFonts w:cstheme="minorHAnsi"/>
                <w:color w:val="000000"/>
                <w:sz w:val="16"/>
                <w:szCs w:val="16"/>
              </w:rPr>
            </w:pPr>
            <w:r w:rsidRPr="00173763">
              <w:rPr>
                <w:rFonts w:cs="Calibri"/>
                <w:color w:val="000000"/>
                <w:sz w:val="16"/>
                <w:szCs w:val="16"/>
              </w:rPr>
              <w:t>2,527</w:t>
            </w:r>
          </w:p>
        </w:tc>
        <w:tc>
          <w:tcPr>
            <w:tcW w:w="1168" w:type="dxa"/>
            <w:vAlign w:val="center"/>
          </w:tcPr>
          <w:p w14:paraId="4571979F" w14:textId="60B31EB1" w:rsidR="00C621ED" w:rsidRPr="0014012F" w:rsidRDefault="00C621ED" w:rsidP="0014012F">
            <w:pPr>
              <w:pStyle w:val="TableText"/>
              <w:jc w:val="center"/>
              <w:rPr>
                <w:rFonts w:cstheme="minorHAnsi"/>
                <w:color w:val="000000"/>
                <w:sz w:val="16"/>
                <w:szCs w:val="16"/>
              </w:rPr>
            </w:pPr>
            <w:r w:rsidRPr="00173763">
              <w:rPr>
                <w:rFonts w:cs="Calibri"/>
                <w:color w:val="000000"/>
                <w:sz w:val="16"/>
                <w:szCs w:val="16"/>
              </w:rPr>
              <w:t>2,562</w:t>
            </w:r>
          </w:p>
        </w:tc>
      </w:tr>
      <w:tr w:rsidR="00C621ED" w:rsidRPr="00CB2BCC" w14:paraId="1E639D4C" w14:textId="77777777" w:rsidTr="00173763">
        <w:trPr>
          <w:trHeight w:val="157"/>
        </w:trPr>
        <w:tc>
          <w:tcPr>
            <w:tcW w:w="5347" w:type="dxa"/>
            <w:vMerge/>
            <w:vAlign w:val="center"/>
          </w:tcPr>
          <w:p w14:paraId="7331603D" w14:textId="77777777" w:rsidR="00C621ED" w:rsidRPr="00417B87" w:rsidRDefault="00C621ED" w:rsidP="0014012F">
            <w:pPr>
              <w:pStyle w:val="TableText"/>
              <w:rPr>
                <w:rFonts w:cstheme="minorHAnsi"/>
                <w:sz w:val="16"/>
                <w:szCs w:val="16"/>
              </w:rPr>
            </w:pPr>
          </w:p>
        </w:tc>
        <w:tc>
          <w:tcPr>
            <w:tcW w:w="3439" w:type="dxa"/>
            <w:vAlign w:val="center"/>
          </w:tcPr>
          <w:p w14:paraId="4845EF88" w14:textId="45666F49" w:rsidR="00C621ED" w:rsidRPr="00417B87" w:rsidRDefault="00C621ED" w:rsidP="0014012F">
            <w:pPr>
              <w:pStyle w:val="TableText"/>
              <w:rPr>
                <w:rFonts w:cstheme="minorHAnsi"/>
                <w:sz w:val="16"/>
                <w:szCs w:val="16"/>
              </w:rPr>
            </w:pPr>
            <w:r w:rsidRPr="00417B87">
              <w:rPr>
                <w:rFonts w:cstheme="minorHAnsi"/>
                <w:sz w:val="16"/>
                <w:szCs w:val="16"/>
              </w:rPr>
              <w:t>Alternative Incidence Estimate (100/100,000)</w:t>
            </w:r>
          </w:p>
        </w:tc>
        <w:tc>
          <w:tcPr>
            <w:tcW w:w="1263" w:type="dxa"/>
            <w:vAlign w:val="center"/>
          </w:tcPr>
          <w:p w14:paraId="3E03197C" w14:textId="5C5A4565" w:rsidR="00C621ED" w:rsidRPr="0014012F" w:rsidRDefault="00C621ED" w:rsidP="0014012F">
            <w:pPr>
              <w:pStyle w:val="TableText"/>
              <w:jc w:val="center"/>
              <w:rPr>
                <w:rFonts w:cstheme="minorHAnsi"/>
                <w:color w:val="000000"/>
                <w:sz w:val="16"/>
                <w:szCs w:val="16"/>
              </w:rPr>
            </w:pPr>
            <w:r w:rsidRPr="00173763">
              <w:rPr>
                <w:rFonts w:cs="Calibri"/>
                <w:color w:val="000000"/>
                <w:sz w:val="16"/>
                <w:szCs w:val="16"/>
              </w:rPr>
              <w:t>3,056</w:t>
            </w:r>
          </w:p>
        </w:tc>
        <w:tc>
          <w:tcPr>
            <w:tcW w:w="1262" w:type="dxa"/>
            <w:vAlign w:val="center"/>
          </w:tcPr>
          <w:p w14:paraId="17F5852A" w14:textId="418A294A" w:rsidR="00C621ED" w:rsidRPr="0014012F" w:rsidRDefault="00C621ED" w:rsidP="0014012F">
            <w:pPr>
              <w:pStyle w:val="TableText"/>
              <w:jc w:val="center"/>
              <w:rPr>
                <w:rFonts w:cstheme="minorHAnsi"/>
                <w:color w:val="000000"/>
                <w:sz w:val="16"/>
                <w:szCs w:val="16"/>
              </w:rPr>
            </w:pPr>
            <w:r w:rsidRPr="00173763">
              <w:rPr>
                <w:rFonts w:cs="Calibri"/>
                <w:color w:val="000000"/>
                <w:sz w:val="16"/>
                <w:szCs w:val="16"/>
              </w:rPr>
              <w:t>3,143</w:t>
            </w:r>
          </w:p>
        </w:tc>
        <w:tc>
          <w:tcPr>
            <w:tcW w:w="1113" w:type="dxa"/>
            <w:vAlign w:val="center"/>
          </w:tcPr>
          <w:p w14:paraId="41024AF0" w14:textId="0DC105CE" w:rsidR="00C621ED" w:rsidRPr="0014012F" w:rsidRDefault="00C621ED" w:rsidP="0014012F">
            <w:pPr>
              <w:pStyle w:val="TableText"/>
              <w:jc w:val="center"/>
              <w:rPr>
                <w:rFonts w:cstheme="minorHAnsi"/>
                <w:color w:val="000000"/>
                <w:sz w:val="16"/>
                <w:szCs w:val="16"/>
              </w:rPr>
            </w:pPr>
            <w:r w:rsidRPr="00173763">
              <w:rPr>
                <w:rFonts w:cs="Calibri"/>
                <w:color w:val="000000"/>
                <w:sz w:val="16"/>
                <w:szCs w:val="16"/>
              </w:rPr>
              <w:t>3,190</w:t>
            </w:r>
          </w:p>
        </w:tc>
        <w:tc>
          <w:tcPr>
            <w:tcW w:w="1263" w:type="dxa"/>
            <w:vAlign w:val="center"/>
          </w:tcPr>
          <w:p w14:paraId="1001B940" w14:textId="7980899C" w:rsidR="00C621ED" w:rsidRPr="0014012F" w:rsidRDefault="00C621ED" w:rsidP="0014012F">
            <w:pPr>
              <w:pStyle w:val="TableText"/>
              <w:jc w:val="center"/>
              <w:rPr>
                <w:rFonts w:cstheme="minorHAnsi"/>
                <w:color w:val="000000"/>
                <w:sz w:val="16"/>
                <w:szCs w:val="16"/>
              </w:rPr>
            </w:pPr>
            <w:r w:rsidRPr="00173763">
              <w:rPr>
                <w:rFonts w:cs="Calibri"/>
                <w:color w:val="000000"/>
                <w:sz w:val="16"/>
                <w:szCs w:val="16"/>
              </w:rPr>
              <w:t>3,235</w:t>
            </w:r>
          </w:p>
        </w:tc>
        <w:tc>
          <w:tcPr>
            <w:tcW w:w="1168" w:type="dxa"/>
            <w:vAlign w:val="center"/>
          </w:tcPr>
          <w:p w14:paraId="2D2C7A7B" w14:textId="60EC4627" w:rsidR="00C621ED" w:rsidRPr="0014012F" w:rsidRDefault="00C621ED" w:rsidP="0014012F">
            <w:pPr>
              <w:pStyle w:val="TableText"/>
              <w:jc w:val="center"/>
              <w:rPr>
                <w:rFonts w:cstheme="minorHAnsi"/>
                <w:color w:val="000000"/>
                <w:sz w:val="16"/>
                <w:szCs w:val="16"/>
              </w:rPr>
            </w:pPr>
            <w:r w:rsidRPr="00173763">
              <w:rPr>
                <w:rFonts w:cs="Calibri"/>
                <w:color w:val="000000"/>
                <w:sz w:val="16"/>
                <w:szCs w:val="16"/>
              </w:rPr>
              <w:t>3,279</w:t>
            </w:r>
          </w:p>
        </w:tc>
      </w:tr>
      <w:tr w:rsidR="00C621ED" w:rsidRPr="00CB2BCC" w14:paraId="042AA3F1" w14:textId="77777777" w:rsidTr="008B438C">
        <w:trPr>
          <w:trHeight w:val="82"/>
        </w:trPr>
        <w:tc>
          <w:tcPr>
            <w:tcW w:w="5347" w:type="dxa"/>
            <w:vMerge w:val="restart"/>
            <w:vAlign w:val="center"/>
          </w:tcPr>
          <w:p w14:paraId="1BB65B02" w14:textId="04B3D526" w:rsidR="00C621ED" w:rsidRPr="00417B87" w:rsidRDefault="00C621ED" w:rsidP="003700B8">
            <w:pPr>
              <w:pStyle w:val="TableText"/>
              <w:spacing w:before="0" w:after="0" w:line="240" w:lineRule="auto"/>
              <w:rPr>
                <w:rFonts w:cstheme="minorHAnsi"/>
                <w:b/>
                <w:bCs/>
                <w:sz w:val="16"/>
                <w:szCs w:val="16"/>
              </w:rPr>
            </w:pPr>
            <w:r w:rsidRPr="00417B87">
              <w:rPr>
                <w:rFonts w:cstheme="minorHAnsi"/>
                <w:b/>
                <w:bCs/>
                <w:sz w:val="16"/>
                <w:szCs w:val="16"/>
              </w:rPr>
              <w:t xml:space="preserve">Scenario </w:t>
            </w:r>
            <w:r>
              <w:rPr>
                <w:rFonts w:cstheme="minorHAnsi"/>
                <w:b/>
                <w:bCs/>
                <w:sz w:val="16"/>
                <w:szCs w:val="16"/>
              </w:rPr>
              <w:t>F</w:t>
            </w:r>
          </w:p>
          <w:p w14:paraId="3DCE1C64" w14:textId="77777777" w:rsidR="00C621ED" w:rsidRPr="00417B87" w:rsidRDefault="00C621ED" w:rsidP="00F42679">
            <w:pPr>
              <w:pStyle w:val="TableText"/>
              <w:numPr>
                <w:ilvl w:val="0"/>
                <w:numId w:val="17"/>
              </w:numPr>
              <w:spacing w:before="0" w:after="0" w:line="240" w:lineRule="auto"/>
              <w:rPr>
                <w:rFonts w:cstheme="minorHAnsi"/>
                <w:sz w:val="16"/>
                <w:szCs w:val="16"/>
              </w:rPr>
            </w:pPr>
            <w:r w:rsidRPr="00417B87">
              <w:rPr>
                <w:rFonts w:cstheme="minorHAnsi"/>
                <w:sz w:val="16"/>
                <w:szCs w:val="16"/>
              </w:rPr>
              <w:t>Incidence</w:t>
            </w:r>
          </w:p>
          <w:p w14:paraId="2723F8CE" w14:textId="77777777" w:rsidR="00C621ED" w:rsidRPr="00417B87" w:rsidRDefault="00C621ED" w:rsidP="00F42679">
            <w:pPr>
              <w:pStyle w:val="TableText"/>
              <w:numPr>
                <w:ilvl w:val="0"/>
                <w:numId w:val="17"/>
              </w:numPr>
              <w:spacing w:before="0" w:after="0" w:line="240" w:lineRule="auto"/>
              <w:rPr>
                <w:rFonts w:cstheme="minorHAnsi"/>
                <w:sz w:val="16"/>
                <w:szCs w:val="16"/>
              </w:rPr>
            </w:pPr>
            <w:r w:rsidRPr="00417B87">
              <w:rPr>
                <w:rFonts w:cstheme="minorHAnsi"/>
                <w:sz w:val="16"/>
                <w:szCs w:val="16"/>
              </w:rPr>
              <w:t>Number of tests conducted on suspected cases</w:t>
            </w:r>
          </w:p>
          <w:p w14:paraId="2A0CAD76" w14:textId="77777777" w:rsidR="00C621ED" w:rsidRPr="0060173E" w:rsidRDefault="00C621ED" w:rsidP="00F42679">
            <w:pPr>
              <w:pStyle w:val="TableText"/>
              <w:numPr>
                <w:ilvl w:val="0"/>
                <w:numId w:val="17"/>
              </w:numPr>
              <w:spacing w:before="0" w:after="0" w:line="240" w:lineRule="auto"/>
              <w:rPr>
                <w:rFonts w:cstheme="minorHAnsi"/>
                <w:b/>
                <w:bCs/>
                <w:sz w:val="16"/>
                <w:szCs w:val="16"/>
              </w:rPr>
            </w:pPr>
            <w:r>
              <w:rPr>
                <w:rFonts w:cstheme="minorHAnsi"/>
                <w:sz w:val="16"/>
                <w:szCs w:val="16"/>
              </w:rPr>
              <w:t>P</w:t>
            </w:r>
            <w:r w:rsidRPr="00417B87">
              <w:rPr>
                <w:rFonts w:cstheme="minorHAnsi"/>
                <w:sz w:val="16"/>
                <w:szCs w:val="16"/>
              </w:rPr>
              <w:t>roposed annual increase (8.4%)</w:t>
            </w:r>
          </w:p>
          <w:p w14:paraId="63A47DFA" w14:textId="77777777" w:rsidR="00C621ED" w:rsidRPr="00227F3A" w:rsidRDefault="00C621ED" w:rsidP="00F42679">
            <w:pPr>
              <w:pStyle w:val="TableText"/>
              <w:numPr>
                <w:ilvl w:val="0"/>
                <w:numId w:val="17"/>
              </w:numPr>
              <w:spacing w:before="0" w:after="0" w:line="240" w:lineRule="auto"/>
              <w:rPr>
                <w:rFonts w:cstheme="minorHAnsi"/>
                <w:b/>
                <w:bCs/>
                <w:sz w:val="16"/>
                <w:szCs w:val="16"/>
              </w:rPr>
            </w:pPr>
            <w:r w:rsidRPr="0060173E">
              <w:rPr>
                <w:rFonts w:cstheme="minorHAnsi"/>
                <w:sz w:val="16"/>
                <w:szCs w:val="16"/>
              </w:rPr>
              <w:t>Likely screening requirements based on carrier frequency</w:t>
            </w:r>
          </w:p>
          <w:p w14:paraId="68DB1F17" w14:textId="77777777" w:rsidR="00C621ED" w:rsidRPr="008B438C" w:rsidRDefault="00C621ED" w:rsidP="00F42679">
            <w:pPr>
              <w:pStyle w:val="TableText"/>
              <w:numPr>
                <w:ilvl w:val="0"/>
                <w:numId w:val="17"/>
              </w:numPr>
              <w:spacing w:before="0" w:after="0" w:line="240" w:lineRule="auto"/>
              <w:rPr>
                <w:rFonts w:cstheme="minorHAnsi"/>
                <w:b/>
                <w:bCs/>
                <w:sz w:val="16"/>
                <w:szCs w:val="16"/>
              </w:rPr>
            </w:pPr>
            <w:r w:rsidRPr="00227F3A">
              <w:rPr>
                <w:rFonts w:cstheme="minorHAnsi"/>
                <w:sz w:val="16"/>
                <w:szCs w:val="16"/>
              </w:rPr>
              <w:t>Cascade Tests</w:t>
            </w:r>
          </w:p>
          <w:p w14:paraId="7FE393FE" w14:textId="7A633984" w:rsidR="00C621ED" w:rsidRPr="003700B8" w:rsidRDefault="00C621ED" w:rsidP="00F42679">
            <w:pPr>
              <w:pStyle w:val="TableText"/>
              <w:numPr>
                <w:ilvl w:val="0"/>
                <w:numId w:val="17"/>
              </w:numPr>
              <w:spacing w:before="0" w:after="0" w:line="240" w:lineRule="auto"/>
              <w:rPr>
                <w:rFonts w:cstheme="minorHAnsi"/>
                <w:bCs/>
                <w:sz w:val="16"/>
                <w:szCs w:val="16"/>
              </w:rPr>
            </w:pPr>
            <w:r>
              <w:rPr>
                <w:rFonts w:cstheme="minorHAnsi"/>
                <w:bCs/>
                <w:sz w:val="16"/>
                <w:szCs w:val="16"/>
              </w:rPr>
              <w:t>d</w:t>
            </w:r>
            <w:r w:rsidRPr="008B438C">
              <w:rPr>
                <w:rFonts w:cstheme="minorHAnsi"/>
                <w:bCs/>
                <w:sz w:val="16"/>
                <w:szCs w:val="16"/>
              </w:rPr>
              <w:t>e novo testing</w:t>
            </w:r>
          </w:p>
        </w:tc>
        <w:tc>
          <w:tcPr>
            <w:tcW w:w="3439" w:type="dxa"/>
            <w:vAlign w:val="center"/>
          </w:tcPr>
          <w:p w14:paraId="58B17CCB" w14:textId="7B8230FC" w:rsidR="00C621ED" w:rsidRPr="00417B87" w:rsidRDefault="00C621ED" w:rsidP="003700B8">
            <w:pPr>
              <w:pStyle w:val="TableText"/>
              <w:rPr>
                <w:rFonts w:cstheme="minorHAnsi"/>
                <w:sz w:val="16"/>
                <w:szCs w:val="16"/>
              </w:rPr>
            </w:pPr>
            <w:r w:rsidRPr="00417B87">
              <w:rPr>
                <w:rFonts w:cstheme="minorHAnsi"/>
                <w:sz w:val="16"/>
                <w:szCs w:val="16"/>
              </w:rPr>
              <w:t>Lower Incidence Estimate (12.0/100,000)</w:t>
            </w:r>
          </w:p>
        </w:tc>
        <w:tc>
          <w:tcPr>
            <w:tcW w:w="1263" w:type="dxa"/>
            <w:vAlign w:val="bottom"/>
          </w:tcPr>
          <w:p w14:paraId="2C0D6BF6" w14:textId="0F15DBD5" w:rsidR="00C621ED" w:rsidRPr="003700B8" w:rsidRDefault="00C621ED" w:rsidP="003700B8">
            <w:pPr>
              <w:pStyle w:val="TableText"/>
              <w:jc w:val="center"/>
              <w:rPr>
                <w:rFonts w:cs="Calibri"/>
                <w:color w:val="000000"/>
                <w:sz w:val="16"/>
                <w:szCs w:val="16"/>
              </w:rPr>
            </w:pPr>
            <w:r w:rsidRPr="008B438C">
              <w:rPr>
                <w:rFonts w:cs="Calibri"/>
                <w:color w:val="000000"/>
                <w:sz w:val="16"/>
                <w:szCs w:val="16"/>
              </w:rPr>
              <w:t>690</w:t>
            </w:r>
          </w:p>
        </w:tc>
        <w:tc>
          <w:tcPr>
            <w:tcW w:w="1262" w:type="dxa"/>
            <w:vAlign w:val="bottom"/>
          </w:tcPr>
          <w:p w14:paraId="19F38BA5" w14:textId="549F45FB" w:rsidR="00C621ED" w:rsidRPr="003700B8" w:rsidRDefault="00C621ED" w:rsidP="003700B8">
            <w:pPr>
              <w:pStyle w:val="TableText"/>
              <w:jc w:val="center"/>
              <w:rPr>
                <w:rFonts w:cs="Calibri"/>
                <w:color w:val="000000"/>
                <w:sz w:val="16"/>
                <w:szCs w:val="16"/>
              </w:rPr>
            </w:pPr>
            <w:r w:rsidRPr="008B438C">
              <w:rPr>
                <w:rFonts w:cs="Calibri"/>
                <w:color w:val="000000"/>
                <w:sz w:val="16"/>
                <w:szCs w:val="16"/>
              </w:rPr>
              <w:t>703</w:t>
            </w:r>
          </w:p>
        </w:tc>
        <w:tc>
          <w:tcPr>
            <w:tcW w:w="1113" w:type="dxa"/>
            <w:vAlign w:val="bottom"/>
          </w:tcPr>
          <w:p w14:paraId="2F40F329" w14:textId="7D4C9296" w:rsidR="00C621ED" w:rsidRPr="003700B8" w:rsidRDefault="00C621ED" w:rsidP="003700B8">
            <w:pPr>
              <w:pStyle w:val="TableText"/>
              <w:jc w:val="center"/>
              <w:rPr>
                <w:rFonts w:cs="Calibri"/>
                <w:color w:val="000000"/>
                <w:sz w:val="16"/>
                <w:szCs w:val="16"/>
              </w:rPr>
            </w:pPr>
            <w:r w:rsidRPr="008B438C">
              <w:rPr>
                <w:rFonts w:cs="Calibri"/>
                <w:color w:val="000000"/>
                <w:sz w:val="16"/>
                <w:szCs w:val="16"/>
              </w:rPr>
              <w:t>711</w:t>
            </w:r>
          </w:p>
        </w:tc>
        <w:tc>
          <w:tcPr>
            <w:tcW w:w="1263" w:type="dxa"/>
            <w:vAlign w:val="bottom"/>
          </w:tcPr>
          <w:p w14:paraId="69BD4AE7" w14:textId="7DA06D9D" w:rsidR="00C621ED" w:rsidRPr="003700B8" w:rsidRDefault="00C621ED" w:rsidP="003700B8">
            <w:pPr>
              <w:pStyle w:val="TableText"/>
              <w:jc w:val="center"/>
              <w:rPr>
                <w:rFonts w:cs="Calibri"/>
                <w:color w:val="000000"/>
                <w:sz w:val="16"/>
                <w:szCs w:val="16"/>
              </w:rPr>
            </w:pPr>
            <w:r w:rsidRPr="008B438C">
              <w:rPr>
                <w:rFonts w:cs="Calibri"/>
                <w:color w:val="000000"/>
                <w:sz w:val="16"/>
                <w:szCs w:val="16"/>
              </w:rPr>
              <w:t>719</w:t>
            </w:r>
          </w:p>
        </w:tc>
        <w:tc>
          <w:tcPr>
            <w:tcW w:w="1168" w:type="dxa"/>
            <w:vAlign w:val="bottom"/>
          </w:tcPr>
          <w:p w14:paraId="1DEF660C" w14:textId="0E9A1A3F" w:rsidR="00C621ED" w:rsidRPr="003700B8" w:rsidRDefault="00C621ED" w:rsidP="003700B8">
            <w:pPr>
              <w:pStyle w:val="TableText"/>
              <w:jc w:val="center"/>
              <w:rPr>
                <w:rFonts w:cs="Calibri"/>
                <w:color w:val="000000"/>
                <w:sz w:val="16"/>
                <w:szCs w:val="16"/>
              </w:rPr>
            </w:pPr>
            <w:r w:rsidRPr="008B438C">
              <w:rPr>
                <w:rFonts w:cs="Calibri"/>
                <w:color w:val="000000"/>
                <w:sz w:val="16"/>
                <w:szCs w:val="16"/>
              </w:rPr>
              <w:t>727</w:t>
            </w:r>
          </w:p>
        </w:tc>
      </w:tr>
      <w:tr w:rsidR="00C621ED" w:rsidRPr="00CB2BCC" w14:paraId="47F1938B" w14:textId="77777777" w:rsidTr="008B438C">
        <w:trPr>
          <w:trHeight w:val="80"/>
        </w:trPr>
        <w:tc>
          <w:tcPr>
            <w:tcW w:w="5347" w:type="dxa"/>
            <w:vMerge/>
            <w:vAlign w:val="center"/>
          </w:tcPr>
          <w:p w14:paraId="3EC9A83B" w14:textId="77777777" w:rsidR="00C621ED" w:rsidRPr="00417B87" w:rsidRDefault="00C621ED" w:rsidP="003700B8">
            <w:pPr>
              <w:pStyle w:val="TableText"/>
              <w:rPr>
                <w:rFonts w:cstheme="minorHAnsi"/>
                <w:sz w:val="16"/>
                <w:szCs w:val="16"/>
              </w:rPr>
            </w:pPr>
          </w:p>
        </w:tc>
        <w:tc>
          <w:tcPr>
            <w:tcW w:w="3439" w:type="dxa"/>
            <w:vAlign w:val="center"/>
          </w:tcPr>
          <w:p w14:paraId="5947C2B6" w14:textId="4C9E1B52" w:rsidR="00C621ED" w:rsidRPr="00417B87" w:rsidRDefault="00C621ED" w:rsidP="003700B8">
            <w:pPr>
              <w:pStyle w:val="TableText"/>
              <w:rPr>
                <w:rFonts w:cstheme="minorHAnsi"/>
                <w:sz w:val="16"/>
                <w:szCs w:val="16"/>
              </w:rPr>
            </w:pPr>
            <w:r w:rsidRPr="00417B87">
              <w:rPr>
                <w:rFonts w:cstheme="minorHAnsi"/>
                <w:sz w:val="16"/>
                <w:szCs w:val="16"/>
              </w:rPr>
              <w:t>Upper Incidence Estimate (82.8/100,000)</w:t>
            </w:r>
          </w:p>
        </w:tc>
        <w:tc>
          <w:tcPr>
            <w:tcW w:w="1263" w:type="dxa"/>
            <w:vAlign w:val="bottom"/>
          </w:tcPr>
          <w:p w14:paraId="3105B3CF" w14:textId="48EDA041" w:rsidR="00C621ED" w:rsidRPr="003700B8" w:rsidRDefault="00C621ED" w:rsidP="003700B8">
            <w:pPr>
              <w:pStyle w:val="TableText"/>
              <w:jc w:val="center"/>
              <w:rPr>
                <w:rFonts w:cs="Calibri"/>
                <w:color w:val="000000"/>
                <w:sz w:val="16"/>
                <w:szCs w:val="16"/>
              </w:rPr>
            </w:pPr>
            <w:r w:rsidRPr="008B438C">
              <w:rPr>
                <w:rFonts w:cs="Calibri"/>
                <w:color w:val="000000"/>
                <w:sz w:val="16"/>
                <w:szCs w:val="16"/>
              </w:rPr>
              <w:t>2,458</w:t>
            </w:r>
          </w:p>
        </w:tc>
        <w:tc>
          <w:tcPr>
            <w:tcW w:w="1262" w:type="dxa"/>
            <w:vAlign w:val="bottom"/>
          </w:tcPr>
          <w:p w14:paraId="42CFD10F" w14:textId="5F29AE62" w:rsidR="00C621ED" w:rsidRPr="003700B8" w:rsidRDefault="00C621ED" w:rsidP="003700B8">
            <w:pPr>
              <w:pStyle w:val="TableText"/>
              <w:jc w:val="center"/>
              <w:rPr>
                <w:rFonts w:cs="Calibri"/>
                <w:color w:val="000000"/>
                <w:sz w:val="16"/>
                <w:szCs w:val="16"/>
              </w:rPr>
            </w:pPr>
            <w:r w:rsidRPr="008B438C">
              <w:rPr>
                <w:rFonts w:cs="Calibri"/>
                <w:color w:val="000000"/>
                <w:sz w:val="16"/>
                <w:szCs w:val="16"/>
              </w:rPr>
              <w:t>2,533</w:t>
            </w:r>
          </w:p>
        </w:tc>
        <w:tc>
          <w:tcPr>
            <w:tcW w:w="1113" w:type="dxa"/>
            <w:vAlign w:val="bottom"/>
          </w:tcPr>
          <w:p w14:paraId="39940384" w14:textId="5D13DE76" w:rsidR="00C621ED" w:rsidRPr="003700B8" w:rsidRDefault="00C621ED" w:rsidP="003700B8">
            <w:pPr>
              <w:pStyle w:val="TableText"/>
              <w:jc w:val="center"/>
              <w:rPr>
                <w:rFonts w:cs="Calibri"/>
                <w:color w:val="000000"/>
                <w:sz w:val="16"/>
                <w:szCs w:val="16"/>
              </w:rPr>
            </w:pPr>
            <w:r w:rsidRPr="008B438C">
              <w:rPr>
                <w:rFonts w:cs="Calibri"/>
                <w:color w:val="000000"/>
                <w:sz w:val="16"/>
                <w:szCs w:val="16"/>
              </w:rPr>
              <w:t>2,572</w:t>
            </w:r>
          </w:p>
        </w:tc>
        <w:tc>
          <w:tcPr>
            <w:tcW w:w="1263" w:type="dxa"/>
            <w:vAlign w:val="bottom"/>
          </w:tcPr>
          <w:p w14:paraId="7E57BB56" w14:textId="5E4A2E2E" w:rsidR="00C621ED" w:rsidRPr="003700B8" w:rsidRDefault="00C621ED" w:rsidP="003700B8">
            <w:pPr>
              <w:pStyle w:val="TableText"/>
              <w:jc w:val="center"/>
              <w:rPr>
                <w:rFonts w:cs="Calibri"/>
                <w:color w:val="000000"/>
                <w:sz w:val="16"/>
                <w:szCs w:val="16"/>
              </w:rPr>
            </w:pPr>
            <w:r w:rsidRPr="008B438C">
              <w:rPr>
                <w:rFonts w:cs="Calibri"/>
                <w:color w:val="000000"/>
                <w:sz w:val="16"/>
                <w:szCs w:val="16"/>
              </w:rPr>
              <w:t>2,610</w:t>
            </w:r>
          </w:p>
        </w:tc>
        <w:tc>
          <w:tcPr>
            <w:tcW w:w="1168" w:type="dxa"/>
            <w:vAlign w:val="bottom"/>
          </w:tcPr>
          <w:p w14:paraId="06BAD106" w14:textId="5EDA8854" w:rsidR="00C621ED" w:rsidRPr="003700B8" w:rsidRDefault="00C621ED" w:rsidP="003700B8">
            <w:pPr>
              <w:pStyle w:val="TableText"/>
              <w:jc w:val="center"/>
              <w:rPr>
                <w:rFonts w:cs="Calibri"/>
                <w:color w:val="000000"/>
                <w:sz w:val="16"/>
                <w:szCs w:val="16"/>
              </w:rPr>
            </w:pPr>
            <w:r w:rsidRPr="008B438C">
              <w:rPr>
                <w:rFonts w:cs="Calibri"/>
                <w:color w:val="000000"/>
                <w:sz w:val="16"/>
                <w:szCs w:val="16"/>
              </w:rPr>
              <w:t>2,647</w:t>
            </w:r>
          </w:p>
        </w:tc>
      </w:tr>
      <w:tr w:rsidR="00C621ED" w:rsidRPr="00CB2BCC" w14:paraId="3BD195D1" w14:textId="77777777" w:rsidTr="008B438C">
        <w:trPr>
          <w:trHeight w:val="80"/>
        </w:trPr>
        <w:tc>
          <w:tcPr>
            <w:tcW w:w="5347" w:type="dxa"/>
            <w:vMerge/>
            <w:vAlign w:val="center"/>
          </w:tcPr>
          <w:p w14:paraId="19B61676" w14:textId="77777777" w:rsidR="00C621ED" w:rsidRPr="00417B87" w:rsidRDefault="00C621ED" w:rsidP="003700B8">
            <w:pPr>
              <w:pStyle w:val="TableText"/>
              <w:rPr>
                <w:rFonts w:cstheme="minorHAnsi"/>
                <w:sz w:val="16"/>
                <w:szCs w:val="16"/>
              </w:rPr>
            </w:pPr>
          </w:p>
        </w:tc>
        <w:tc>
          <w:tcPr>
            <w:tcW w:w="3439" w:type="dxa"/>
            <w:vAlign w:val="center"/>
          </w:tcPr>
          <w:p w14:paraId="798873F9" w14:textId="688B08A8" w:rsidR="00C621ED" w:rsidRPr="00417B87" w:rsidRDefault="00C621ED" w:rsidP="003700B8">
            <w:pPr>
              <w:pStyle w:val="TableText"/>
              <w:rPr>
                <w:rFonts w:cstheme="minorHAnsi"/>
                <w:sz w:val="16"/>
                <w:szCs w:val="16"/>
              </w:rPr>
            </w:pPr>
            <w:r w:rsidRPr="00417B87">
              <w:rPr>
                <w:rFonts w:cstheme="minorHAnsi"/>
                <w:sz w:val="16"/>
                <w:szCs w:val="16"/>
              </w:rPr>
              <w:t>Alternative Incidence Estimate (100/100,000)</w:t>
            </w:r>
          </w:p>
        </w:tc>
        <w:tc>
          <w:tcPr>
            <w:tcW w:w="1263" w:type="dxa"/>
            <w:vAlign w:val="bottom"/>
          </w:tcPr>
          <w:p w14:paraId="02D5FFC3" w14:textId="00ACF4C2" w:rsidR="00C621ED" w:rsidRPr="003700B8" w:rsidRDefault="00C621ED" w:rsidP="003700B8">
            <w:pPr>
              <w:pStyle w:val="TableText"/>
              <w:jc w:val="center"/>
              <w:rPr>
                <w:rFonts w:cs="Calibri"/>
                <w:color w:val="000000"/>
                <w:sz w:val="16"/>
                <w:szCs w:val="16"/>
              </w:rPr>
            </w:pPr>
            <w:r w:rsidRPr="008B438C">
              <w:rPr>
                <w:rFonts w:cs="Calibri"/>
                <w:color w:val="000000"/>
                <w:sz w:val="16"/>
                <w:szCs w:val="16"/>
              </w:rPr>
              <w:t>3,149</w:t>
            </w:r>
          </w:p>
        </w:tc>
        <w:tc>
          <w:tcPr>
            <w:tcW w:w="1262" w:type="dxa"/>
            <w:vAlign w:val="bottom"/>
          </w:tcPr>
          <w:p w14:paraId="66C18952" w14:textId="06365BB8" w:rsidR="00C621ED" w:rsidRPr="003700B8" w:rsidRDefault="00C621ED" w:rsidP="003700B8">
            <w:pPr>
              <w:pStyle w:val="TableText"/>
              <w:jc w:val="center"/>
              <w:rPr>
                <w:rFonts w:cs="Calibri"/>
                <w:color w:val="000000"/>
                <w:sz w:val="16"/>
                <w:szCs w:val="16"/>
              </w:rPr>
            </w:pPr>
            <w:r w:rsidRPr="008B438C">
              <w:rPr>
                <w:rFonts w:cs="Calibri"/>
                <w:color w:val="000000"/>
                <w:sz w:val="16"/>
                <w:szCs w:val="16"/>
              </w:rPr>
              <w:t>3,240</w:t>
            </w:r>
          </w:p>
        </w:tc>
        <w:tc>
          <w:tcPr>
            <w:tcW w:w="1113" w:type="dxa"/>
            <w:vAlign w:val="bottom"/>
          </w:tcPr>
          <w:p w14:paraId="29BDF273" w14:textId="6E695FE2" w:rsidR="00C621ED" w:rsidRPr="003700B8" w:rsidRDefault="00C621ED" w:rsidP="003700B8">
            <w:pPr>
              <w:pStyle w:val="TableText"/>
              <w:jc w:val="center"/>
              <w:rPr>
                <w:rFonts w:cs="Calibri"/>
                <w:color w:val="000000"/>
                <w:sz w:val="16"/>
                <w:szCs w:val="16"/>
              </w:rPr>
            </w:pPr>
            <w:r w:rsidRPr="008B438C">
              <w:rPr>
                <w:rFonts w:cs="Calibri"/>
                <w:color w:val="000000"/>
                <w:sz w:val="16"/>
                <w:szCs w:val="16"/>
              </w:rPr>
              <w:t>3,289</w:t>
            </w:r>
          </w:p>
        </w:tc>
        <w:tc>
          <w:tcPr>
            <w:tcW w:w="1263" w:type="dxa"/>
            <w:vAlign w:val="bottom"/>
          </w:tcPr>
          <w:p w14:paraId="770AE038" w14:textId="5B9055B9" w:rsidR="00C621ED" w:rsidRPr="003700B8" w:rsidRDefault="00C621ED" w:rsidP="003700B8">
            <w:pPr>
              <w:pStyle w:val="TableText"/>
              <w:jc w:val="center"/>
              <w:rPr>
                <w:rFonts w:cs="Calibri"/>
                <w:color w:val="000000"/>
                <w:sz w:val="16"/>
                <w:szCs w:val="16"/>
              </w:rPr>
            </w:pPr>
            <w:r w:rsidRPr="008B438C">
              <w:rPr>
                <w:rFonts w:cs="Calibri"/>
                <w:color w:val="000000"/>
                <w:sz w:val="16"/>
                <w:szCs w:val="16"/>
              </w:rPr>
              <w:t>3,336</w:t>
            </w:r>
          </w:p>
        </w:tc>
        <w:tc>
          <w:tcPr>
            <w:tcW w:w="1168" w:type="dxa"/>
            <w:vAlign w:val="bottom"/>
          </w:tcPr>
          <w:p w14:paraId="7748B841" w14:textId="4B357518" w:rsidR="00C621ED" w:rsidRPr="003700B8" w:rsidRDefault="00C621ED" w:rsidP="003700B8">
            <w:pPr>
              <w:pStyle w:val="TableText"/>
              <w:jc w:val="center"/>
              <w:rPr>
                <w:rFonts w:cs="Calibri"/>
                <w:color w:val="000000"/>
                <w:sz w:val="16"/>
                <w:szCs w:val="16"/>
              </w:rPr>
            </w:pPr>
            <w:r w:rsidRPr="008B438C">
              <w:rPr>
                <w:rFonts w:cs="Calibri"/>
                <w:color w:val="000000"/>
                <w:sz w:val="16"/>
                <w:szCs w:val="16"/>
              </w:rPr>
              <w:t>3,382</w:t>
            </w:r>
          </w:p>
        </w:tc>
      </w:tr>
    </w:tbl>
    <w:p w14:paraId="1C4C1F62" w14:textId="39889EDD" w:rsidR="00C621ED" w:rsidRPr="00417B87" w:rsidRDefault="00C621ED" w:rsidP="00417B87">
      <w:pPr>
        <w:spacing w:after="0" w:line="240" w:lineRule="auto"/>
        <w:rPr>
          <w:rFonts w:asciiTheme="minorHAnsi" w:hAnsiTheme="minorHAnsi"/>
          <w:b/>
          <w:bCs/>
          <w:sz w:val="20"/>
          <w:szCs w:val="20"/>
        </w:rPr>
      </w:pPr>
      <w:r w:rsidRPr="00417B87">
        <w:rPr>
          <w:rFonts w:asciiTheme="minorHAnsi" w:hAnsiTheme="minorHAnsi"/>
          <w:b/>
          <w:bCs/>
          <w:sz w:val="20"/>
          <w:szCs w:val="20"/>
        </w:rPr>
        <w:t>Table 3: Likely testing requirements based on population incidence</w:t>
      </w:r>
    </w:p>
    <w:p w14:paraId="64803794" w14:textId="2985352F" w:rsidR="00C621ED" w:rsidRPr="00573587" w:rsidRDefault="00C621ED" w:rsidP="00580113">
      <w:pPr>
        <w:spacing w:after="0" w:line="240" w:lineRule="auto"/>
        <w:rPr>
          <w:rFonts w:asciiTheme="minorHAnsi" w:hAnsiTheme="minorHAnsi" w:cstheme="minorHAnsi"/>
          <w:sz w:val="18"/>
          <w:szCs w:val="18"/>
        </w:rPr>
      </w:pPr>
      <w:r w:rsidRPr="002A2E61">
        <w:rPr>
          <w:sz w:val="18"/>
          <w:szCs w:val="18"/>
        </w:rPr>
        <w:t>Source</w:t>
      </w:r>
      <w:r>
        <w:rPr>
          <w:sz w:val="18"/>
          <w:szCs w:val="18"/>
        </w:rPr>
        <w:t>s: A</w:t>
      </w:r>
      <w:r w:rsidRPr="002A2E61">
        <w:rPr>
          <w:sz w:val="18"/>
          <w:szCs w:val="18"/>
        </w:rPr>
        <w:t>pplication</w:t>
      </w:r>
      <w:r>
        <w:rPr>
          <w:sz w:val="18"/>
          <w:szCs w:val="18"/>
        </w:rPr>
        <w:t xml:space="preserve"> Form 1585, ABS </w:t>
      </w:r>
      <w:r w:rsidRPr="00573587">
        <w:rPr>
          <w:rFonts w:asciiTheme="minorHAnsi" w:hAnsiTheme="minorHAnsi" w:cstheme="minorHAnsi"/>
          <w:color w:val="000000"/>
          <w:sz w:val="18"/>
          <w:szCs w:val="18"/>
          <w:shd w:val="clear" w:color="auto" w:fill="FFFFFF"/>
        </w:rPr>
        <w:t>3222.0 - Population Projections, Australia, 2017 (base) - 2066</w:t>
      </w:r>
      <w:r w:rsidRPr="00573587">
        <w:rPr>
          <w:rFonts w:asciiTheme="minorHAnsi" w:hAnsiTheme="minorHAnsi" w:cstheme="minorHAnsi"/>
          <w:sz w:val="18"/>
          <w:szCs w:val="18"/>
        </w:rPr>
        <w:t xml:space="preserve"> </w:t>
      </w:r>
    </w:p>
    <w:p w14:paraId="25E10754" w14:textId="679C86FA" w:rsidR="00C621ED" w:rsidRPr="002A2E61" w:rsidRDefault="00C621ED" w:rsidP="00580113">
      <w:pPr>
        <w:spacing w:line="240" w:lineRule="auto"/>
        <w:rPr>
          <w:sz w:val="18"/>
          <w:szCs w:val="18"/>
        </w:rPr>
      </w:pPr>
      <w:r>
        <w:rPr>
          <w:sz w:val="18"/>
          <w:szCs w:val="18"/>
        </w:rPr>
        <w:t>*Estimated population</w:t>
      </w:r>
    </w:p>
    <w:p w14:paraId="2E3A9198" w14:textId="77777777" w:rsidR="00C621ED" w:rsidRDefault="00C621ED" w:rsidP="00AE4562">
      <w:pPr>
        <w:pStyle w:val="Heading2"/>
        <w:sectPr w:rsidR="00C621ED" w:rsidSect="00F84793">
          <w:footnotePr>
            <w:numRestart w:val="eachPage"/>
          </w:footnotePr>
          <w:pgSz w:w="16838" w:h="11906" w:orient="landscape"/>
          <w:pgMar w:top="1440" w:right="1440" w:bottom="1440" w:left="1440" w:header="708" w:footer="708" w:gutter="0"/>
          <w:cols w:space="708"/>
          <w:docGrid w:linePitch="360"/>
        </w:sectPr>
      </w:pPr>
    </w:p>
    <w:p w14:paraId="6C0F15FC" w14:textId="32B73568" w:rsidR="00C621ED" w:rsidRPr="00715F5A" w:rsidRDefault="00C621ED" w:rsidP="00CF1B86">
      <w:pPr>
        <w:pStyle w:val="Caption"/>
      </w:pPr>
      <w:r w:rsidRPr="00417B87">
        <w:rPr>
          <w:rFonts w:ascii="Calibri" w:hAnsi="Calibri"/>
        </w:rPr>
        <w:lastRenderedPageBreak/>
        <w:t xml:space="preserve">Table </w:t>
      </w:r>
      <w:r>
        <w:rPr>
          <w:rFonts w:ascii="Calibri" w:hAnsi="Calibri"/>
        </w:rPr>
        <w:t>4</w:t>
      </w:r>
      <w:r w:rsidRPr="00417B87">
        <w:rPr>
          <w:rFonts w:ascii="Calibri" w:hAnsi="Calibri"/>
        </w:rPr>
        <w:t xml:space="preserve">: </w:t>
      </w:r>
      <w:r>
        <w:rPr>
          <w:rFonts w:ascii="Calibri" w:hAnsi="Calibri"/>
        </w:rPr>
        <w:t>Likely testing volumes across three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1356"/>
        <w:gridCol w:w="1358"/>
        <w:gridCol w:w="1356"/>
        <w:gridCol w:w="1358"/>
        <w:gridCol w:w="1356"/>
      </w:tblGrid>
      <w:tr w:rsidR="00C621ED" w:rsidRPr="002A6C09" w14:paraId="4D9D9C08" w14:textId="77777777" w:rsidTr="00F55867">
        <w:trPr>
          <w:trHeight w:val="510"/>
        </w:trPr>
        <w:tc>
          <w:tcPr>
            <w:tcW w:w="1238" w:type="pct"/>
            <w:shd w:val="clear" w:color="auto" w:fill="808080" w:themeFill="background1" w:themeFillShade="80"/>
            <w:vAlign w:val="center"/>
          </w:tcPr>
          <w:p w14:paraId="19CB61E8" w14:textId="77777777" w:rsidR="00C621ED" w:rsidRPr="002A6C09" w:rsidRDefault="00C621ED" w:rsidP="00F55867">
            <w:pPr>
              <w:pStyle w:val="TableText"/>
              <w:spacing w:after="0"/>
              <w:rPr>
                <w:rStyle w:val="Strong"/>
                <w:color w:val="FFFFFF" w:themeColor="background1"/>
              </w:rPr>
            </w:pPr>
            <w:r w:rsidRPr="002A6C09">
              <w:rPr>
                <w:rStyle w:val="Strong"/>
                <w:color w:val="FFFFFF" w:themeColor="background1"/>
              </w:rPr>
              <w:t>Parameter</w:t>
            </w:r>
          </w:p>
        </w:tc>
        <w:tc>
          <w:tcPr>
            <w:tcW w:w="752" w:type="pct"/>
            <w:shd w:val="clear" w:color="auto" w:fill="808080" w:themeFill="background1" w:themeFillShade="80"/>
            <w:vAlign w:val="center"/>
          </w:tcPr>
          <w:p w14:paraId="2A77B06A" w14:textId="77777777" w:rsidR="00C621ED" w:rsidRPr="002A6C09" w:rsidRDefault="00C621ED" w:rsidP="00F55867">
            <w:pPr>
              <w:pStyle w:val="TableText"/>
              <w:spacing w:after="0"/>
              <w:jc w:val="center"/>
              <w:rPr>
                <w:rStyle w:val="Strong"/>
                <w:color w:val="FFFFFF" w:themeColor="background1"/>
              </w:rPr>
            </w:pPr>
            <w:r w:rsidRPr="002A6C09">
              <w:rPr>
                <w:rStyle w:val="Strong"/>
                <w:color w:val="FFFFFF" w:themeColor="background1"/>
              </w:rPr>
              <w:t>2017</w:t>
            </w:r>
          </w:p>
        </w:tc>
        <w:tc>
          <w:tcPr>
            <w:tcW w:w="753" w:type="pct"/>
            <w:shd w:val="clear" w:color="auto" w:fill="808080" w:themeFill="background1" w:themeFillShade="80"/>
            <w:vAlign w:val="center"/>
          </w:tcPr>
          <w:p w14:paraId="4CB78FA6" w14:textId="77777777" w:rsidR="00C621ED" w:rsidRPr="002A6C09" w:rsidRDefault="00C621ED" w:rsidP="00F55867">
            <w:pPr>
              <w:pStyle w:val="TableText"/>
              <w:spacing w:after="0"/>
              <w:jc w:val="center"/>
              <w:rPr>
                <w:rStyle w:val="Strong"/>
                <w:color w:val="FFFFFF" w:themeColor="background1"/>
              </w:rPr>
            </w:pPr>
            <w:r w:rsidRPr="002A6C09">
              <w:rPr>
                <w:rStyle w:val="Strong"/>
                <w:color w:val="FFFFFF" w:themeColor="background1"/>
              </w:rPr>
              <w:t>2018</w:t>
            </w:r>
          </w:p>
        </w:tc>
        <w:tc>
          <w:tcPr>
            <w:tcW w:w="752" w:type="pct"/>
            <w:shd w:val="clear" w:color="auto" w:fill="808080" w:themeFill="background1" w:themeFillShade="80"/>
            <w:vAlign w:val="center"/>
          </w:tcPr>
          <w:p w14:paraId="390EB589" w14:textId="77777777" w:rsidR="00C621ED" w:rsidRPr="002A6C09" w:rsidRDefault="00C621ED" w:rsidP="00F55867">
            <w:pPr>
              <w:pStyle w:val="TableText"/>
              <w:spacing w:after="0"/>
              <w:jc w:val="center"/>
              <w:rPr>
                <w:rStyle w:val="Strong"/>
                <w:color w:val="FFFFFF" w:themeColor="background1"/>
              </w:rPr>
            </w:pPr>
            <w:r w:rsidRPr="002A6C09">
              <w:rPr>
                <w:rStyle w:val="Strong"/>
                <w:color w:val="FFFFFF" w:themeColor="background1"/>
              </w:rPr>
              <w:t>2019*</w:t>
            </w:r>
          </w:p>
        </w:tc>
        <w:tc>
          <w:tcPr>
            <w:tcW w:w="753" w:type="pct"/>
            <w:shd w:val="clear" w:color="auto" w:fill="808080" w:themeFill="background1" w:themeFillShade="80"/>
            <w:vAlign w:val="center"/>
          </w:tcPr>
          <w:p w14:paraId="045727A2" w14:textId="77777777" w:rsidR="00C621ED" w:rsidRPr="002A6C09" w:rsidRDefault="00C621ED" w:rsidP="00F55867">
            <w:pPr>
              <w:pStyle w:val="TableText"/>
              <w:spacing w:after="0"/>
              <w:jc w:val="center"/>
              <w:rPr>
                <w:rStyle w:val="Strong"/>
                <w:color w:val="FFFFFF" w:themeColor="background1"/>
              </w:rPr>
            </w:pPr>
            <w:r w:rsidRPr="002A6C09">
              <w:rPr>
                <w:rStyle w:val="Strong"/>
                <w:color w:val="FFFFFF" w:themeColor="background1"/>
              </w:rPr>
              <w:t>2020*</w:t>
            </w:r>
          </w:p>
        </w:tc>
        <w:tc>
          <w:tcPr>
            <w:tcW w:w="752" w:type="pct"/>
            <w:shd w:val="clear" w:color="auto" w:fill="808080" w:themeFill="background1" w:themeFillShade="80"/>
            <w:vAlign w:val="center"/>
          </w:tcPr>
          <w:p w14:paraId="1E9823AE" w14:textId="77777777" w:rsidR="00C621ED" w:rsidRPr="002A6C09" w:rsidRDefault="00C621ED" w:rsidP="00F55867">
            <w:pPr>
              <w:pStyle w:val="TableText"/>
              <w:spacing w:after="0"/>
              <w:jc w:val="center"/>
              <w:rPr>
                <w:rStyle w:val="Strong"/>
                <w:color w:val="FFFFFF" w:themeColor="background1"/>
              </w:rPr>
            </w:pPr>
            <w:r w:rsidRPr="002A6C09">
              <w:rPr>
                <w:rStyle w:val="Strong"/>
                <w:color w:val="FFFFFF" w:themeColor="background1"/>
              </w:rPr>
              <w:t>2021*</w:t>
            </w:r>
          </w:p>
        </w:tc>
      </w:tr>
      <w:tr w:rsidR="00C621ED" w14:paraId="11B522BF" w14:textId="77777777" w:rsidTr="00F55867">
        <w:trPr>
          <w:trHeight w:val="394"/>
        </w:trPr>
        <w:tc>
          <w:tcPr>
            <w:tcW w:w="1238" w:type="pct"/>
            <w:vAlign w:val="center"/>
          </w:tcPr>
          <w:p w14:paraId="3277C63C" w14:textId="77777777" w:rsidR="00C621ED" w:rsidRDefault="00C621ED" w:rsidP="00F55867">
            <w:pPr>
              <w:pStyle w:val="TableText"/>
              <w:spacing w:after="0"/>
            </w:pPr>
            <w:r>
              <w:t>Number of suspected NMD i</w:t>
            </w:r>
            <w:r w:rsidRPr="006C39C3">
              <w:t>ndex cases</w:t>
            </w:r>
            <w:r>
              <w:t xml:space="preserve"> +cascade testing-</w:t>
            </w:r>
          </w:p>
          <w:p w14:paraId="37FCB1C8" w14:textId="77777777" w:rsidR="00C621ED" w:rsidRPr="006C39C3" w:rsidRDefault="00C621ED" w:rsidP="00F55867">
            <w:pPr>
              <w:pStyle w:val="TableText"/>
              <w:spacing w:after="0"/>
            </w:pPr>
            <w:r>
              <w:t>original modelling</w:t>
            </w:r>
          </w:p>
        </w:tc>
        <w:tc>
          <w:tcPr>
            <w:tcW w:w="752" w:type="pct"/>
            <w:vAlign w:val="center"/>
          </w:tcPr>
          <w:p w14:paraId="743D1228" w14:textId="77777777" w:rsidR="00C621ED" w:rsidRPr="00023E88" w:rsidRDefault="00C621ED" w:rsidP="00F55867">
            <w:pPr>
              <w:pStyle w:val="TableText"/>
              <w:spacing w:after="0"/>
              <w:jc w:val="center"/>
            </w:pPr>
            <w:r w:rsidRPr="00023E88">
              <w:t>944+310=</w:t>
            </w:r>
          </w:p>
          <w:p w14:paraId="65EE73D4" w14:textId="77777777" w:rsidR="00C621ED" w:rsidRPr="00023E88" w:rsidRDefault="00C621ED" w:rsidP="00F55867">
            <w:pPr>
              <w:pStyle w:val="TableText"/>
              <w:spacing w:after="0"/>
              <w:jc w:val="center"/>
              <w:rPr>
                <w:b/>
                <w:bCs/>
              </w:rPr>
            </w:pPr>
            <w:r w:rsidRPr="00023E88">
              <w:rPr>
                <w:b/>
                <w:bCs/>
              </w:rPr>
              <w:t>1,254</w:t>
            </w:r>
          </w:p>
        </w:tc>
        <w:tc>
          <w:tcPr>
            <w:tcW w:w="753" w:type="pct"/>
            <w:vAlign w:val="center"/>
          </w:tcPr>
          <w:p w14:paraId="07DE6A0E" w14:textId="77777777" w:rsidR="00C621ED" w:rsidRPr="00023E88" w:rsidRDefault="00C621ED" w:rsidP="00F55867">
            <w:pPr>
              <w:pStyle w:val="TableText"/>
              <w:spacing w:after="0"/>
              <w:jc w:val="center"/>
            </w:pPr>
            <w:r w:rsidRPr="00023E88">
              <w:t>1,023+330=</w:t>
            </w:r>
          </w:p>
          <w:p w14:paraId="7A974CFC" w14:textId="77777777" w:rsidR="00C621ED" w:rsidRPr="00023E88" w:rsidRDefault="00C621ED" w:rsidP="00F55867">
            <w:pPr>
              <w:pStyle w:val="TableText"/>
              <w:spacing w:after="0"/>
              <w:jc w:val="center"/>
              <w:rPr>
                <w:b/>
                <w:bCs/>
              </w:rPr>
            </w:pPr>
            <w:r w:rsidRPr="00023E88">
              <w:rPr>
                <w:b/>
                <w:bCs/>
              </w:rPr>
              <w:t>1,353</w:t>
            </w:r>
          </w:p>
        </w:tc>
        <w:tc>
          <w:tcPr>
            <w:tcW w:w="752" w:type="pct"/>
            <w:vAlign w:val="center"/>
          </w:tcPr>
          <w:p w14:paraId="19715EB4" w14:textId="77777777" w:rsidR="00C621ED" w:rsidRPr="00023E88" w:rsidRDefault="00C621ED" w:rsidP="00F55867">
            <w:pPr>
              <w:pStyle w:val="TableText"/>
              <w:spacing w:after="0"/>
              <w:jc w:val="center"/>
            </w:pPr>
            <w:r w:rsidRPr="00023E88">
              <w:t>1,108+354=</w:t>
            </w:r>
          </w:p>
          <w:p w14:paraId="2D4ADC4F" w14:textId="77777777" w:rsidR="00C621ED" w:rsidRPr="00023E88" w:rsidRDefault="00C621ED" w:rsidP="00F55867">
            <w:pPr>
              <w:pStyle w:val="TableText"/>
              <w:spacing w:after="0"/>
              <w:jc w:val="center"/>
              <w:rPr>
                <w:b/>
                <w:bCs/>
              </w:rPr>
            </w:pPr>
            <w:r w:rsidRPr="00023E88">
              <w:rPr>
                <w:b/>
                <w:bCs/>
              </w:rPr>
              <w:t>1,462</w:t>
            </w:r>
          </w:p>
        </w:tc>
        <w:tc>
          <w:tcPr>
            <w:tcW w:w="753" w:type="pct"/>
            <w:vAlign w:val="center"/>
          </w:tcPr>
          <w:p w14:paraId="2BF29007" w14:textId="77777777" w:rsidR="00C621ED" w:rsidRPr="00023E88" w:rsidRDefault="00C621ED" w:rsidP="00F55867">
            <w:pPr>
              <w:pStyle w:val="TableText"/>
              <w:spacing w:after="0"/>
              <w:jc w:val="center"/>
            </w:pPr>
            <w:r w:rsidRPr="00023E88">
              <w:t>1,200+382=</w:t>
            </w:r>
          </w:p>
          <w:p w14:paraId="138C2168" w14:textId="77777777" w:rsidR="00C621ED" w:rsidRPr="00023E88" w:rsidRDefault="00C621ED" w:rsidP="00F55867">
            <w:pPr>
              <w:pStyle w:val="TableText"/>
              <w:spacing w:after="0"/>
              <w:jc w:val="center"/>
              <w:rPr>
                <w:b/>
                <w:bCs/>
              </w:rPr>
            </w:pPr>
            <w:r w:rsidRPr="00023E88">
              <w:rPr>
                <w:b/>
                <w:bCs/>
              </w:rPr>
              <w:t>1,582</w:t>
            </w:r>
          </w:p>
        </w:tc>
        <w:tc>
          <w:tcPr>
            <w:tcW w:w="752" w:type="pct"/>
            <w:vAlign w:val="center"/>
          </w:tcPr>
          <w:p w14:paraId="01EA437D" w14:textId="77777777" w:rsidR="00C621ED" w:rsidRPr="00023E88" w:rsidRDefault="00C621ED" w:rsidP="00F55867">
            <w:pPr>
              <w:pStyle w:val="TableText"/>
              <w:spacing w:after="0"/>
              <w:jc w:val="center"/>
            </w:pPr>
            <w:r w:rsidRPr="00023E88">
              <w:t>1,300+413=</w:t>
            </w:r>
          </w:p>
          <w:p w14:paraId="132BC870" w14:textId="77777777" w:rsidR="00C621ED" w:rsidRPr="00023E88" w:rsidRDefault="00C621ED" w:rsidP="00F55867">
            <w:pPr>
              <w:pStyle w:val="TableText"/>
              <w:spacing w:after="0"/>
              <w:jc w:val="center"/>
              <w:rPr>
                <w:b/>
                <w:bCs/>
              </w:rPr>
            </w:pPr>
            <w:r w:rsidRPr="00023E88">
              <w:rPr>
                <w:b/>
                <w:bCs/>
              </w:rPr>
              <w:t>1,713</w:t>
            </w:r>
          </w:p>
        </w:tc>
      </w:tr>
      <w:tr w:rsidR="00C621ED" w14:paraId="11516BF9" w14:textId="77777777" w:rsidTr="00F55867">
        <w:trPr>
          <w:trHeight w:val="394"/>
        </w:trPr>
        <w:tc>
          <w:tcPr>
            <w:tcW w:w="1238" w:type="pct"/>
            <w:vAlign w:val="center"/>
          </w:tcPr>
          <w:p w14:paraId="6D02AA63" w14:textId="77777777" w:rsidR="00C621ED" w:rsidRDefault="00C621ED" w:rsidP="00F55867">
            <w:pPr>
              <w:pStyle w:val="TableText"/>
              <w:spacing w:after="0"/>
            </w:pPr>
            <w:r>
              <w:t>Screening Requirements (upper incidence estimates, Scenario D)</w:t>
            </w:r>
          </w:p>
        </w:tc>
        <w:tc>
          <w:tcPr>
            <w:tcW w:w="752" w:type="pct"/>
            <w:vAlign w:val="center"/>
          </w:tcPr>
          <w:p w14:paraId="1A4F903A" w14:textId="77777777" w:rsidR="00C621ED" w:rsidRPr="00023E88" w:rsidRDefault="00C621ED" w:rsidP="00F55867">
            <w:pPr>
              <w:pStyle w:val="TableText"/>
              <w:spacing w:after="0"/>
              <w:jc w:val="center"/>
              <w:rPr>
                <w:b/>
                <w:bCs/>
              </w:rPr>
            </w:pPr>
            <w:r w:rsidRPr="00023E88">
              <w:rPr>
                <w:rFonts w:cstheme="minorHAnsi"/>
                <w:b/>
                <w:bCs/>
                <w:color w:val="000000"/>
              </w:rPr>
              <w:t>2,072</w:t>
            </w:r>
          </w:p>
        </w:tc>
        <w:tc>
          <w:tcPr>
            <w:tcW w:w="753" w:type="pct"/>
            <w:vAlign w:val="center"/>
          </w:tcPr>
          <w:p w14:paraId="795CC913" w14:textId="77777777" w:rsidR="00C621ED" w:rsidRPr="00023E88" w:rsidRDefault="00C621ED" w:rsidP="00F55867">
            <w:pPr>
              <w:pStyle w:val="TableText"/>
              <w:spacing w:after="0"/>
              <w:jc w:val="center"/>
              <w:rPr>
                <w:b/>
                <w:bCs/>
              </w:rPr>
            </w:pPr>
            <w:r w:rsidRPr="00023E88">
              <w:rPr>
                <w:rFonts w:cstheme="minorHAnsi"/>
                <w:b/>
                <w:bCs/>
                <w:color w:val="000000"/>
              </w:rPr>
              <w:t>2,128</w:t>
            </w:r>
          </w:p>
        </w:tc>
        <w:tc>
          <w:tcPr>
            <w:tcW w:w="752" w:type="pct"/>
            <w:vAlign w:val="center"/>
          </w:tcPr>
          <w:p w14:paraId="779ACD18" w14:textId="77777777" w:rsidR="00C621ED" w:rsidRPr="00023E88" w:rsidRDefault="00C621ED" w:rsidP="00F55867">
            <w:pPr>
              <w:pStyle w:val="TableText"/>
              <w:spacing w:after="0"/>
              <w:jc w:val="center"/>
              <w:rPr>
                <w:b/>
                <w:bCs/>
              </w:rPr>
            </w:pPr>
            <w:r w:rsidRPr="00023E88">
              <w:rPr>
                <w:rFonts w:cstheme="minorHAnsi"/>
                <w:b/>
                <w:bCs/>
                <w:color w:val="000000"/>
              </w:rPr>
              <w:t>2,159</w:t>
            </w:r>
          </w:p>
        </w:tc>
        <w:tc>
          <w:tcPr>
            <w:tcW w:w="753" w:type="pct"/>
            <w:vAlign w:val="center"/>
          </w:tcPr>
          <w:p w14:paraId="08BB00D7" w14:textId="77777777" w:rsidR="00C621ED" w:rsidRPr="00023E88" w:rsidRDefault="00C621ED" w:rsidP="00F55867">
            <w:pPr>
              <w:pStyle w:val="TableText"/>
              <w:spacing w:after="0"/>
              <w:jc w:val="center"/>
              <w:rPr>
                <w:b/>
                <w:bCs/>
              </w:rPr>
            </w:pPr>
            <w:r w:rsidRPr="00023E88">
              <w:rPr>
                <w:rFonts w:cstheme="minorHAnsi"/>
                <w:b/>
                <w:bCs/>
                <w:color w:val="000000"/>
              </w:rPr>
              <w:t>2,189</w:t>
            </w:r>
          </w:p>
        </w:tc>
        <w:tc>
          <w:tcPr>
            <w:tcW w:w="752" w:type="pct"/>
            <w:vAlign w:val="center"/>
          </w:tcPr>
          <w:p w14:paraId="091BF9F9" w14:textId="77777777" w:rsidR="00C621ED" w:rsidRPr="00023E88" w:rsidRDefault="00C621ED" w:rsidP="00F55867">
            <w:pPr>
              <w:pStyle w:val="TableText"/>
              <w:spacing w:after="0"/>
              <w:jc w:val="center"/>
              <w:rPr>
                <w:b/>
                <w:bCs/>
              </w:rPr>
            </w:pPr>
            <w:r w:rsidRPr="00023E88">
              <w:rPr>
                <w:rFonts w:cstheme="minorHAnsi"/>
                <w:b/>
                <w:bCs/>
                <w:color w:val="000000"/>
              </w:rPr>
              <w:t>2,218</w:t>
            </w:r>
          </w:p>
        </w:tc>
      </w:tr>
      <w:tr w:rsidR="00C621ED" w14:paraId="606BB868" w14:textId="77777777" w:rsidTr="00F55867">
        <w:trPr>
          <w:trHeight w:val="394"/>
        </w:trPr>
        <w:tc>
          <w:tcPr>
            <w:tcW w:w="1238" w:type="pct"/>
            <w:vAlign w:val="center"/>
          </w:tcPr>
          <w:p w14:paraId="7BA7F0DE" w14:textId="77777777" w:rsidR="00C621ED" w:rsidRDefault="00C621ED" w:rsidP="00F55867">
            <w:pPr>
              <w:pStyle w:val="TableText"/>
              <w:spacing w:after="0"/>
            </w:pPr>
            <w:r>
              <w:t>Screening Requirements (upper incidence estimates, Scenario E)</w:t>
            </w:r>
          </w:p>
        </w:tc>
        <w:tc>
          <w:tcPr>
            <w:tcW w:w="752" w:type="pct"/>
            <w:vAlign w:val="center"/>
          </w:tcPr>
          <w:p w14:paraId="74D06470" w14:textId="77777777" w:rsidR="00C621ED" w:rsidRPr="00023E88" w:rsidRDefault="00C621ED" w:rsidP="00F55867">
            <w:pPr>
              <w:pStyle w:val="TableText"/>
              <w:spacing w:after="0"/>
              <w:jc w:val="center"/>
              <w:rPr>
                <w:rFonts w:cstheme="minorHAnsi"/>
                <w:b/>
                <w:bCs/>
                <w:color w:val="000000"/>
              </w:rPr>
            </w:pPr>
            <w:r w:rsidRPr="00023E88">
              <w:rPr>
                <w:rFonts w:cs="Calibri"/>
                <w:b/>
                <w:bCs/>
                <w:color w:val="000000"/>
              </w:rPr>
              <w:t>2,381</w:t>
            </w:r>
          </w:p>
        </w:tc>
        <w:tc>
          <w:tcPr>
            <w:tcW w:w="753" w:type="pct"/>
            <w:vAlign w:val="center"/>
          </w:tcPr>
          <w:p w14:paraId="79AA1D30" w14:textId="77777777" w:rsidR="00C621ED" w:rsidRPr="00023E88" w:rsidRDefault="00C621ED" w:rsidP="00F55867">
            <w:pPr>
              <w:pStyle w:val="TableText"/>
              <w:spacing w:after="0"/>
              <w:jc w:val="center"/>
              <w:rPr>
                <w:rFonts w:cstheme="minorHAnsi"/>
                <w:b/>
                <w:bCs/>
                <w:color w:val="000000"/>
              </w:rPr>
            </w:pPr>
            <w:r w:rsidRPr="00023E88">
              <w:rPr>
                <w:rFonts w:cs="Calibri"/>
                <w:b/>
                <w:bCs/>
                <w:color w:val="000000"/>
              </w:rPr>
              <w:t>2,452</w:t>
            </w:r>
          </w:p>
        </w:tc>
        <w:tc>
          <w:tcPr>
            <w:tcW w:w="752" w:type="pct"/>
            <w:vAlign w:val="center"/>
          </w:tcPr>
          <w:p w14:paraId="0E2EA810" w14:textId="77777777" w:rsidR="00C621ED" w:rsidRPr="00023E88" w:rsidRDefault="00C621ED" w:rsidP="00F55867">
            <w:pPr>
              <w:pStyle w:val="TableText"/>
              <w:spacing w:after="0"/>
              <w:jc w:val="center"/>
              <w:rPr>
                <w:rFonts w:cstheme="minorHAnsi"/>
                <w:b/>
                <w:bCs/>
                <w:color w:val="000000"/>
              </w:rPr>
            </w:pPr>
            <w:r w:rsidRPr="00023E88">
              <w:rPr>
                <w:rFonts w:cs="Calibri"/>
                <w:b/>
                <w:bCs/>
                <w:color w:val="000000"/>
              </w:rPr>
              <w:t>2,490</w:t>
            </w:r>
          </w:p>
        </w:tc>
        <w:tc>
          <w:tcPr>
            <w:tcW w:w="753" w:type="pct"/>
            <w:vAlign w:val="center"/>
          </w:tcPr>
          <w:p w14:paraId="2EF21766" w14:textId="77777777" w:rsidR="00C621ED" w:rsidRPr="00023E88" w:rsidRDefault="00C621ED" w:rsidP="00F55867">
            <w:pPr>
              <w:pStyle w:val="TableText"/>
              <w:spacing w:after="0"/>
              <w:jc w:val="center"/>
              <w:rPr>
                <w:rFonts w:cstheme="minorHAnsi"/>
                <w:b/>
                <w:bCs/>
                <w:color w:val="000000"/>
              </w:rPr>
            </w:pPr>
            <w:r w:rsidRPr="00023E88">
              <w:rPr>
                <w:rFonts w:cs="Calibri"/>
                <w:b/>
                <w:bCs/>
                <w:color w:val="000000"/>
              </w:rPr>
              <w:t>2,527</w:t>
            </w:r>
          </w:p>
        </w:tc>
        <w:tc>
          <w:tcPr>
            <w:tcW w:w="752" w:type="pct"/>
            <w:vAlign w:val="center"/>
          </w:tcPr>
          <w:p w14:paraId="187876A1" w14:textId="77777777" w:rsidR="00C621ED" w:rsidRPr="00023E88" w:rsidRDefault="00C621ED" w:rsidP="00F55867">
            <w:pPr>
              <w:pStyle w:val="TableText"/>
              <w:spacing w:after="0"/>
              <w:jc w:val="center"/>
              <w:rPr>
                <w:rFonts w:cstheme="minorHAnsi"/>
                <w:b/>
                <w:bCs/>
                <w:color w:val="000000"/>
              </w:rPr>
            </w:pPr>
            <w:r w:rsidRPr="00023E88">
              <w:rPr>
                <w:rFonts w:cs="Calibri"/>
                <w:b/>
                <w:bCs/>
                <w:color w:val="000000"/>
              </w:rPr>
              <w:t>2,562</w:t>
            </w:r>
          </w:p>
        </w:tc>
      </w:tr>
    </w:tbl>
    <w:p w14:paraId="5FE235D9" w14:textId="21219E3A" w:rsidR="00C82A06" w:rsidRPr="00F40FCD" w:rsidRDefault="00C82A06" w:rsidP="00F40FCD">
      <w:pPr>
        <w:pStyle w:val="NoSpacing"/>
        <w:rPr>
          <w:i/>
          <w:sz w:val="18"/>
          <w:szCs w:val="18"/>
        </w:rPr>
      </w:pPr>
      <w:r w:rsidRPr="00F40FCD">
        <w:rPr>
          <w:sz w:val="18"/>
          <w:szCs w:val="18"/>
        </w:rPr>
        <w:t>Source</w:t>
      </w:r>
      <w:r w:rsidR="00CF1758">
        <w:rPr>
          <w:sz w:val="18"/>
          <w:szCs w:val="18"/>
        </w:rPr>
        <w:t>: Refer to Table 2 and 3</w:t>
      </w:r>
    </w:p>
    <w:p w14:paraId="4DCA8BED" w14:textId="424B5AAB" w:rsidR="00C621ED" w:rsidRPr="006D5AAF" w:rsidRDefault="00C621ED" w:rsidP="006D5AAF">
      <w:pPr>
        <w:pStyle w:val="Heading2"/>
        <w:spacing w:before="200" w:after="80"/>
        <w:rPr>
          <w:rFonts w:ascii="Cambria" w:hAnsi="Cambria"/>
          <w:i w:val="0"/>
          <w:color w:val="0066FF"/>
          <w:sz w:val="28"/>
          <w:szCs w:val="28"/>
          <w:u w:val="none"/>
        </w:rPr>
      </w:pPr>
      <w:r w:rsidRPr="006D5AAF">
        <w:rPr>
          <w:rFonts w:ascii="Cambria" w:hAnsi="Cambria"/>
          <w:i w:val="0"/>
          <w:color w:val="0066FF"/>
          <w:sz w:val="28"/>
          <w:szCs w:val="28"/>
          <w:u w:val="none"/>
        </w:rPr>
        <w:t xml:space="preserve">Prior test </w:t>
      </w:r>
    </w:p>
    <w:p w14:paraId="5FC90136" w14:textId="77777777" w:rsidR="00C621ED" w:rsidRDefault="00C621ED" w:rsidP="002E459A">
      <w:r w:rsidRPr="002E459A">
        <w:t xml:space="preserve">No prior tests are required for the proposed genetic test. </w:t>
      </w:r>
    </w:p>
    <w:p w14:paraId="7B537390" w14:textId="46A7CFF0" w:rsidR="00C621ED" w:rsidRPr="006D5AAF" w:rsidRDefault="00C621ED" w:rsidP="00461277">
      <w:pPr>
        <w:spacing w:after="120"/>
        <w:rPr>
          <w:rFonts w:ascii="Cambria" w:hAnsi="Cambria"/>
          <w:b/>
          <w:bCs/>
          <w:iCs/>
          <w:color w:val="0066FF"/>
          <w:sz w:val="32"/>
          <w:szCs w:val="32"/>
        </w:rPr>
      </w:pPr>
      <w:r w:rsidRPr="006D5AAF">
        <w:rPr>
          <w:rFonts w:ascii="Cambria" w:hAnsi="Cambria"/>
          <w:b/>
          <w:bCs/>
          <w:iCs/>
          <w:color w:val="0066FF"/>
          <w:sz w:val="32"/>
          <w:szCs w:val="32"/>
        </w:rPr>
        <w:t>I</w:t>
      </w:r>
      <w:r>
        <w:rPr>
          <w:rFonts w:ascii="Cambria" w:hAnsi="Cambria"/>
          <w:b/>
          <w:bCs/>
          <w:iCs/>
          <w:color w:val="0066FF"/>
          <w:sz w:val="32"/>
          <w:szCs w:val="32"/>
        </w:rPr>
        <w:t>NTERVENTION</w:t>
      </w:r>
    </w:p>
    <w:p w14:paraId="33D25EF1" w14:textId="77777777" w:rsidR="00156D6D" w:rsidRPr="00156D6D" w:rsidRDefault="00156D6D" w:rsidP="00156D6D">
      <w:pPr>
        <w:spacing w:after="0"/>
        <w:rPr>
          <w:b/>
          <w:bCs/>
          <w:i/>
          <w:iCs/>
          <w:sz w:val="16"/>
          <w:szCs w:val="16"/>
        </w:rPr>
      </w:pPr>
    </w:p>
    <w:p w14:paraId="63D533B2" w14:textId="67AB5B17" w:rsidR="00C621ED" w:rsidRPr="00F40FCD" w:rsidRDefault="00C621ED" w:rsidP="008C3942">
      <w:pPr>
        <w:spacing w:after="120"/>
        <w:rPr>
          <w:b/>
          <w:bCs/>
          <w:iCs/>
          <w:sz w:val="24"/>
        </w:rPr>
      </w:pPr>
      <w:r w:rsidRPr="00F40FCD">
        <w:rPr>
          <w:b/>
          <w:bCs/>
          <w:iCs/>
          <w:sz w:val="24"/>
        </w:rPr>
        <w:t>PASC’s First Consideration (December 2019)</w:t>
      </w:r>
    </w:p>
    <w:p w14:paraId="2F0ADF38" w14:textId="1675566C" w:rsidR="00C621ED" w:rsidRPr="00F40FCD" w:rsidRDefault="00C621ED" w:rsidP="006F7B0A">
      <w:pPr>
        <w:spacing w:after="0"/>
        <w:rPr>
          <w:iCs/>
        </w:rPr>
      </w:pPr>
      <w:r w:rsidRPr="00F40FCD">
        <w:rPr>
          <w:iCs/>
        </w:rPr>
        <w:t xml:space="preserve">PASC noted this application is for a targeted gene panel test (myopathy and/or neuropathy panel), using next generation sequencing (NGS). This will exclude some NMDs (e.g. SMA, CMT). PASC </w:t>
      </w:r>
      <w:r w:rsidR="00185C83" w:rsidRPr="00F40FCD">
        <w:rPr>
          <w:iCs/>
        </w:rPr>
        <w:t xml:space="preserve">had stated that </w:t>
      </w:r>
      <w:r w:rsidRPr="00F40FCD">
        <w:rPr>
          <w:iCs/>
        </w:rPr>
        <w:t>NGS will also not reliably detect myotonic dystrophy, facioscapulohumeral dystrophy and Duchenne muscular dystrophy (but not because these disorders a</w:t>
      </w:r>
      <w:r w:rsidR="003D7263" w:rsidRPr="00F40FCD">
        <w:rPr>
          <w:iCs/>
        </w:rPr>
        <w:t>re due to copy-number variants</w:t>
      </w:r>
      <w:r w:rsidRPr="00F40FCD">
        <w:rPr>
          <w:iCs/>
        </w:rPr>
        <w:t>). PASC advised that, excluding these conditions, will complicate the issue of incidence and prevalence, because remaining conditions will all be rare.</w:t>
      </w:r>
    </w:p>
    <w:p w14:paraId="7E36FA22" w14:textId="77777777" w:rsidR="00C621ED" w:rsidRPr="00F40FCD" w:rsidRDefault="00C621ED" w:rsidP="006F7B0A">
      <w:pPr>
        <w:spacing w:after="0"/>
        <w:rPr>
          <w:iCs/>
          <w:sz w:val="16"/>
          <w:szCs w:val="16"/>
        </w:rPr>
      </w:pPr>
    </w:p>
    <w:p w14:paraId="1631A19A" w14:textId="70D73B93" w:rsidR="00C621ED" w:rsidRPr="00F40FCD" w:rsidRDefault="00C621ED" w:rsidP="00F83207">
      <w:pPr>
        <w:spacing w:after="0"/>
        <w:rPr>
          <w:iCs/>
        </w:rPr>
      </w:pPr>
      <w:r w:rsidRPr="00F40FCD">
        <w:rPr>
          <w:iCs/>
        </w:rPr>
        <w:t>T</w:t>
      </w:r>
      <w:r w:rsidR="00B52E45">
        <w:rPr>
          <w:iCs/>
        </w:rPr>
        <w:t>he applicant advised that this wa</w:t>
      </w:r>
      <w:r w:rsidRPr="00F40FCD">
        <w:rPr>
          <w:iCs/>
        </w:rPr>
        <w:t>s incorrect. The applicant advised that the panel is capable of detecting copy number variants. For example,</w:t>
      </w:r>
      <w:r w:rsidR="003D7263" w:rsidRPr="00F40FCD">
        <w:rPr>
          <w:iCs/>
        </w:rPr>
        <w:t xml:space="preserve"> the PMP22 copy number variants</w:t>
      </w:r>
      <w:r w:rsidRPr="00F40FCD">
        <w:rPr>
          <w:iCs/>
        </w:rPr>
        <w:t xml:space="preserve"> should be detecte</w:t>
      </w:r>
      <w:r w:rsidR="003D7263" w:rsidRPr="00F40FCD">
        <w:rPr>
          <w:iCs/>
        </w:rPr>
        <w:t>d by the panel. Given DMD variant</w:t>
      </w:r>
      <w:r w:rsidRPr="00F40FCD">
        <w:rPr>
          <w:iCs/>
        </w:rPr>
        <w:t xml:space="preserve"> is </w:t>
      </w:r>
      <w:r w:rsidRPr="00F40FCD">
        <w:rPr>
          <w:iCs/>
          <w:u w:val="single"/>
        </w:rPr>
        <w:t>comprehensively</w:t>
      </w:r>
      <w:r w:rsidRPr="00F40FCD">
        <w:rPr>
          <w:iCs/>
        </w:rPr>
        <w:t xml:space="preserve"> analysed by the</w:t>
      </w:r>
      <w:r w:rsidR="00B52E45">
        <w:rPr>
          <w:iCs/>
        </w:rPr>
        <w:t xml:space="preserve"> proposed panel, the applicant wa</w:t>
      </w:r>
      <w:r w:rsidRPr="00F40FCD">
        <w:rPr>
          <w:iCs/>
        </w:rPr>
        <w:t xml:space="preserve">s unsure why this conclusion was made. </w:t>
      </w:r>
    </w:p>
    <w:p w14:paraId="2CA0488E" w14:textId="77777777" w:rsidR="00C621ED" w:rsidRPr="00F40FCD" w:rsidRDefault="00C621ED" w:rsidP="00F83207">
      <w:pPr>
        <w:spacing w:after="0"/>
        <w:rPr>
          <w:iCs/>
          <w:sz w:val="16"/>
          <w:szCs w:val="16"/>
        </w:rPr>
      </w:pPr>
    </w:p>
    <w:p w14:paraId="35FEBE4B" w14:textId="637ECF9E" w:rsidR="00C621ED" w:rsidRPr="00F40FCD" w:rsidRDefault="00C621ED" w:rsidP="00F83207">
      <w:pPr>
        <w:spacing w:after="0"/>
        <w:rPr>
          <w:iCs/>
        </w:rPr>
      </w:pPr>
      <w:r w:rsidRPr="00F40FCD">
        <w:rPr>
          <w:iCs/>
        </w:rPr>
        <w:t>The applicant requested t</w:t>
      </w:r>
      <w:r w:rsidR="00B52E45">
        <w:rPr>
          <w:iCs/>
        </w:rPr>
        <w:t>hat the PICO document reiterated</w:t>
      </w:r>
      <w:r w:rsidRPr="00F40FCD">
        <w:rPr>
          <w:iCs/>
        </w:rPr>
        <w:t xml:space="preserve"> that disorders that cannot be assessed by the proposed technology are specifically mentioned, as outlined on page 11, paragraph 6 of the original PASC Outcome document (i.e. “</w:t>
      </w:r>
      <w:r w:rsidRPr="00F40FCD">
        <w:rPr>
          <w:iCs/>
          <w:u w:val="single"/>
        </w:rPr>
        <w:t>Some NMD variants, like spinal muscular atrophy type 1 (SMN1), myotonic dystrophy type 1 (DM1) and facioscapulohumeral muscular dystrophy type 1 (FSHD1), are not detected by NGS.</w:t>
      </w:r>
      <w:r w:rsidRPr="00F40FCD">
        <w:rPr>
          <w:iCs/>
        </w:rPr>
        <w:t xml:space="preserve">” The applicant advised that the comment following this statement (i.e. “If there is a strong clinical suspicion of these disorders, a patient or fetus will undergo variant-specific testing for the relevant genes, </w:t>
      </w:r>
      <w:r w:rsidRPr="00F40FCD">
        <w:rPr>
          <w:iCs/>
          <w:u w:val="single"/>
        </w:rPr>
        <w:t>covered by separate MBS items</w:t>
      </w:r>
      <w:r w:rsidRPr="00F40FCD">
        <w:rPr>
          <w:iCs/>
        </w:rPr>
        <w:t>”) is incorrect. The applicant confirmed there are no MBS items that cover testing for these disorders, with the exception of PMP22 (MBS item 73294).</w:t>
      </w:r>
    </w:p>
    <w:p w14:paraId="07A32D00" w14:textId="0AE24499" w:rsidR="00C621ED" w:rsidRPr="00F40FCD" w:rsidRDefault="00C621ED" w:rsidP="00F83207">
      <w:pPr>
        <w:spacing w:after="0"/>
        <w:rPr>
          <w:iCs/>
          <w:sz w:val="16"/>
          <w:szCs w:val="16"/>
        </w:rPr>
      </w:pPr>
    </w:p>
    <w:p w14:paraId="256E65B2" w14:textId="2C66101D" w:rsidR="00C621ED" w:rsidRPr="00F40FCD" w:rsidRDefault="00C621ED" w:rsidP="00F83207">
      <w:pPr>
        <w:spacing w:after="0"/>
        <w:rPr>
          <w:iCs/>
        </w:rPr>
      </w:pPr>
      <w:r w:rsidRPr="00F40FCD">
        <w:rPr>
          <w:iCs/>
        </w:rPr>
        <w:t xml:space="preserve">In light of the applicant’s comments, </w:t>
      </w:r>
      <w:r w:rsidR="00EE027D">
        <w:rPr>
          <w:iCs/>
        </w:rPr>
        <w:t>and subject to PASC’s advic</w:t>
      </w:r>
      <w:r w:rsidR="00B52E45">
        <w:rPr>
          <w:iCs/>
        </w:rPr>
        <w:t xml:space="preserve">e, </w:t>
      </w:r>
      <w:r w:rsidRPr="00F40FCD">
        <w:rPr>
          <w:iCs/>
        </w:rPr>
        <w:t xml:space="preserve">the statements identified by the applicant as incorrect </w:t>
      </w:r>
      <w:r w:rsidR="00B52E45">
        <w:rPr>
          <w:iCs/>
        </w:rPr>
        <w:t>were removed from the PICO document.</w:t>
      </w:r>
    </w:p>
    <w:p w14:paraId="2CB13B4E" w14:textId="774DD368" w:rsidR="00C621ED" w:rsidRPr="00F40FCD" w:rsidRDefault="00C621ED" w:rsidP="00F83207">
      <w:pPr>
        <w:spacing w:after="0"/>
        <w:rPr>
          <w:iCs/>
          <w:sz w:val="16"/>
          <w:szCs w:val="16"/>
        </w:rPr>
      </w:pPr>
    </w:p>
    <w:p w14:paraId="17ACB8C0" w14:textId="4AE1558D" w:rsidR="00C621ED" w:rsidRPr="00F40FCD" w:rsidRDefault="00C621ED" w:rsidP="000A6494">
      <w:pPr>
        <w:spacing w:after="0"/>
        <w:rPr>
          <w:iCs/>
        </w:rPr>
      </w:pPr>
      <w:r w:rsidRPr="00F40FCD">
        <w:rPr>
          <w:iCs/>
        </w:rPr>
        <w:t xml:space="preserve">The applicant advised that the current technology (involving multiple short reads) may be substituted in the near future by a different approach (i.e. multiple long reads). In addition, </w:t>
      </w:r>
      <w:r w:rsidRPr="00F40FCD">
        <w:rPr>
          <w:iCs/>
        </w:rPr>
        <w:lastRenderedPageBreak/>
        <w:t xml:space="preserve">bioinformatic approaches may change, and future gene panels may be able to detect more/different gene </w:t>
      </w:r>
      <w:r w:rsidR="008F12C1" w:rsidRPr="00F40FCD">
        <w:rPr>
          <w:iCs/>
        </w:rPr>
        <w:t>variants</w:t>
      </w:r>
      <w:r w:rsidRPr="00F40FCD">
        <w:rPr>
          <w:iCs/>
        </w:rPr>
        <w:t xml:space="preserve">. </w:t>
      </w:r>
      <w:r w:rsidR="00185C83" w:rsidRPr="00F40FCD">
        <w:rPr>
          <w:iCs/>
        </w:rPr>
        <w:t>The applicant was of the view that t</w:t>
      </w:r>
      <w:r w:rsidRPr="00F40FCD">
        <w:rPr>
          <w:iCs/>
        </w:rPr>
        <w:t>he MBS items should be agnostic to technology and should not be re</w:t>
      </w:r>
      <w:r w:rsidR="00B52E45">
        <w:rPr>
          <w:iCs/>
        </w:rPr>
        <w:t>strictive. The Department agreed</w:t>
      </w:r>
      <w:r w:rsidRPr="00F40FCD">
        <w:rPr>
          <w:iCs/>
        </w:rPr>
        <w:t xml:space="preserve"> with this, noting the proposed MBS items are method agnostic.</w:t>
      </w:r>
    </w:p>
    <w:p w14:paraId="4CBD453B" w14:textId="2ADCB91D" w:rsidR="00C621ED" w:rsidRPr="00F40FCD" w:rsidRDefault="00C621ED" w:rsidP="006F7B0A">
      <w:pPr>
        <w:spacing w:after="0"/>
        <w:rPr>
          <w:iCs/>
          <w:sz w:val="16"/>
          <w:szCs w:val="16"/>
        </w:rPr>
      </w:pPr>
      <w:r w:rsidRPr="00F40FCD">
        <w:rPr>
          <w:iCs/>
          <w:sz w:val="16"/>
          <w:szCs w:val="16"/>
        </w:rPr>
        <w:br/>
      </w:r>
      <w:r w:rsidRPr="00F40FCD">
        <w:rPr>
          <w:iCs/>
        </w:rPr>
        <w:t>PASC agreed with the applicant that a broad panel of genes is preferred.</w:t>
      </w:r>
      <w:r w:rsidRPr="00F40FCD">
        <w:rPr>
          <w:iCs/>
        </w:rPr>
        <w:br/>
      </w:r>
    </w:p>
    <w:p w14:paraId="5104E813" w14:textId="1D4CFEC0" w:rsidR="00C621ED" w:rsidRPr="00F40FCD" w:rsidRDefault="00C621ED" w:rsidP="00461277">
      <w:pPr>
        <w:spacing w:after="0"/>
        <w:rPr>
          <w:iCs/>
        </w:rPr>
      </w:pPr>
      <w:r w:rsidRPr="00F40FCD">
        <w:rPr>
          <w:rFonts w:eastAsia="Times New Roman"/>
          <w:iCs/>
          <w:color w:val="000000"/>
          <w:szCs w:val="20"/>
          <w:lang w:eastAsia="en-AU"/>
        </w:rPr>
        <w:t xml:space="preserve">PASC advised that the </w:t>
      </w:r>
      <w:r w:rsidRPr="00F40FCD">
        <w:rPr>
          <w:iCs/>
        </w:rPr>
        <w:t>two panels do not include the mitochondrial genome, so mitochondrial myopathies are out of the scope of this application.</w:t>
      </w:r>
      <w:r w:rsidRPr="002B68D0">
        <w:rPr>
          <w:color w:val="000000" w:themeColor="text1"/>
        </w:rPr>
        <w:t xml:space="preserve"> </w:t>
      </w:r>
      <w:r w:rsidRPr="00F40FCD">
        <w:rPr>
          <w:iCs/>
        </w:rPr>
        <w:t xml:space="preserve">A sentence </w:t>
      </w:r>
      <w:r w:rsidR="00B52E45">
        <w:rPr>
          <w:iCs/>
        </w:rPr>
        <w:t xml:space="preserve">was </w:t>
      </w:r>
      <w:r w:rsidRPr="00F40FCD">
        <w:rPr>
          <w:iCs/>
        </w:rPr>
        <w:t xml:space="preserve"> added to the intervention section to address this.</w:t>
      </w:r>
    </w:p>
    <w:p w14:paraId="216A4699" w14:textId="339C08C6" w:rsidR="00C621ED" w:rsidRPr="002B68D0" w:rsidRDefault="00C621ED" w:rsidP="006F7B0A">
      <w:pPr>
        <w:spacing w:after="0"/>
        <w:rPr>
          <w:color w:val="000000" w:themeColor="text1"/>
        </w:rPr>
      </w:pPr>
      <w:r w:rsidRPr="00F40FCD">
        <w:rPr>
          <w:iCs/>
          <w:sz w:val="16"/>
          <w:szCs w:val="16"/>
        </w:rPr>
        <w:br/>
      </w:r>
      <w:r w:rsidRPr="00F40FCD">
        <w:rPr>
          <w:rFonts w:eastAsia="Times New Roman"/>
          <w:iCs/>
          <w:color w:val="000000"/>
          <w:szCs w:val="20"/>
          <w:lang w:eastAsia="en-AU"/>
        </w:rPr>
        <w:t>PASC recommended the need for clarity about whether gene panel testing would replace existing MBS items, or be an additional test. PASC recommended reviewing whether tests already MBS funded could be rolled into this application. Current MBS items that would not be replaced by a potential amalgamation would need to remain. This application relates to NGS, so it is important to ensure existing MBS items cover syndromes for which NGS is unsuitable.</w:t>
      </w:r>
      <w:r w:rsidRPr="002B68D0">
        <w:rPr>
          <w:color w:val="000000" w:themeColor="text1"/>
        </w:rPr>
        <w:t xml:space="preserve"> </w:t>
      </w:r>
    </w:p>
    <w:p w14:paraId="14B797BB" w14:textId="7FD8E7A8" w:rsidR="00C621ED" w:rsidRPr="00BF5A3D" w:rsidRDefault="00C621ED" w:rsidP="006F7B0A">
      <w:pPr>
        <w:spacing w:after="0"/>
        <w:rPr>
          <w:color w:val="000000" w:themeColor="text1"/>
          <w:sz w:val="16"/>
          <w:szCs w:val="16"/>
        </w:rPr>
      </w:pPr>
    </w:p>
    <w:p w14:paraId="1448157E" w14:textId="0ADEFCBE" w:rsidR="00C621ED" w:rsidRPr="00F40FCD" w:rsidRDefault="00C621ED" w:rsidP="004B3356">
      <w:pPr>
        <w:spacing w:after="0"/>
        <w:rPr>
          <w:iCs/>
          <w:color w:val="000000" w:themeColor="text1"/>
        </w:rPr>
      </w:pPr>
      <w:r w:rsidRPr="00F40FCD">
        <w:rPr>
          <w:iCs/>
          <w:color w:val="000000" w:themeColor="text1"/>
        </w:rPr>
        <w:t>The applicant reiterated (as detailed in their comments in the ‘Population’ section of this PICO), that given there is no age restriction in the current application, existing MBS item 73294 could be considered amalgamated. However, the applicant believes item 73294 should remain on the MBS as a first-line test for some patients. Other MBS items detailed in this application (biopsy, etc) will need to remain available for patients. The Department agrees that item 73294 should remain separate, in order to allow single-gene testing in selected patients.</w:t>
      </w:r>
    </w:p>
    <w:p w14:paraId="796DB4D5" w14:textId="77777777" w:rsidR="00C621ED" w:rsidRPr="00F40FCD" w:rsidRDefault="00C621ED" w:rsidP="006F7B0A">
      <w:pPr>
        <w:spacing w:after="0"/>
        <w:rPr>
          <w:rFonts w:eastAsia="Times New Roman"/>
          <w:iCs/>
          <w:color w:val="000000"/>
          <w:sz w:val="16"/>
          <w:szCs w:val="16"/>
          <w:lang w:eastAsia="en-AU"/>
        </w:rPr>
      </w:pPr>
    </w:p>
    <w:p w14:paraId="38B57B6E" w14:textId="1098F26E" w:rsidR="00C621ED" w:rsidRPr="00F40FCD" w:rsidRDefault="00C621ED" w:rsidP="00461277">
      <w:pPr>
        <w:rPr>
          <w:rFonts w:eastAsia="Times New Roman"/>
          <w:iCs/>
          <w:color w:val="000000"/>
          <w:szCs w:val="20"/>
          <w:lang w:eastAsia="en-AU"/>
        </w:rPr>
      </w:pPr>
      <w:r w:rsidRPr="00F40FCD">
        <w:rPr>
          <w:rFonts w:eastAsia="Times New Roman"/>
          <w:iCs/>
          <w:color w:val="000000"/>
          <w:szCs w:val="20"/>
          <w:lang w:eastAsia="en-AU"/>
        </w:rPr>
        <w:t xml:space="preserve">The applicant advised that (in most cases) the proposed intervention will replace existing MBS items 30075 (diagnostic biopsy), 72844 (enzyme histochemistry) and 72846 (immunohistochemistry). </w:t>
      </w:r>
    </w:p>
    <w:p w14:paraId="5BAFEE70" w14:textId="398B868C" w:rsidR="00C621ED" w:rsidRPr="00F40FCD" w:rsidRDefault="00C621ED" w:rsidP="00461277">
      <w:pPr>
        <w:rPr>
          <w:iCs/>
        </w:rPr>
      </w:pPr>
      <w:r w:rsidRPr="00F40FCD">
        <w:rPr>
          <w:rFonts w:eastAsia="Times New Roman"/>
          <w:iCs/>
          <w:color w:val="000000"/>
          <w:szCs w:val="20"/>
          <w:lang w:eastAsia="en-AU"/>
        </w:rPr>
        <w:t>Based on the proposed clinical algorithm, if a person initially declines genetic testing, these existing MBS items will be used for diagnosis. Based on results obtained through currently-funded MBS tests, the person may then choose to undertake genetic testing (if the test is warranted and offered by a specialist). In such scenarios, the person may utilise the current MBS items and the proposed intervention. There may also be scenarios where a person refuses genetic testing, despite positive (MBS-funded) biopsy results.</w:t>
      </w:r>
    </w:p>
    <w:p w14:paraId="253E1162" w14:textId="40C89843" w:rsidR="00C621ED" w:rsidRDefault="00C621ED" w:rsidP="00DE26F7">
      <w:pPr>
        <w:spacing w:after="120"/>
      </w:pPr>
      <w:r w:rsidRPr="002E459A">
        <w:t xml:space="preserve">The proposed intervention includes two types of genetic testing: </w:t>
      </w:r>
    </w:p>
    <w:p w14:paraId="2E02393A" w14:textId="1A181094" w:rsidR="00C621ED" w:rsidRDefault="00C621ED" w:rsidP="00F42679">
      <w:pPr>
        <w:pStyle w:val="ListParagraph"/>
        <w:numPr>
          <w:ilvl w:val="0"/>
          <w:numId w:val="19"/>
        </w:numPr>
      </w:pPr>
      <w:r w:rsidRPr="002E459A">
        <w:t xml:space="preserve">gene panel testing </w:t>
      </w:r>
    </w:p>
    <w:p w14:paraId="23144E4B" w14:textId="2C03D275" w:rsidR="00C621ED" w:rsidRDefault="00C621ED" w:rsidP="00F42679">
      <w:pPr>
        <w:pStyle w:val="ListParagraph"/>
        <w:numPr>
          <w:ilvl w:val="0"/>
          <w:numId w:val="19"/>
        </w:numPr>
      </w:pPr>
      <w:r>
        <w:t>variant</w:t>
      </w:r>
      <w:r w:rsidRPr="002E459A">
        <w:t xml:space="preserve">-specific testing.  </w:t>
      </w:r>
    </w:p>
    <w:p w14:paraId="51223B1B" w14:textId="7A245D57" w:rsidR="00C621ED" w:rsidRDefault="00C621ED" w:rsidP="00F955C9">
      <w:r w:rsidRPr="002E459A">
        <w:t>The type of NMD genetic test is based on whether there is a known pathogenic gene variant in the person’s biological family members.</w:t>
      </w:r>
    </w:p>
    <w:p w14:paraId="601DC22C" w14:textId="0C7E04E3" w:rsidR="00C621ED" w:rsidRPr="002E459A" w:rsidRDefault="00C621ED" w:rsidP="006D5AAF">
      <w:pPr>
        <w:spacing w:after="120"/>
      </w:pPr>
      <w:r>
        <w:t xml:space="preserve">Mitochondrial myopathies are out of scope of this application. </w:t>
      </w:r>
    </w:p>
    <w:p w14:paraId="7006F2D5" w14:textId="77777777" w:rsidR="00CA3C67" w:rsidRDefault="00CA3C67">
      <w:pPr>
        <w:rPr>
          <w:rFonts w:ascii="Cambria" w:hAnsi="Cambria"/>
          <w:b/>
          <w:color w:val="00B0F0"/>
          <w:sz w:val="28"/>
          <w:szCs w:val="28"/>
        </w:rPr>
      </w:pPr>
      <w:r>
        <w:rPr>
          <w:rFonts w:ascii="Cambria" w:hAnsi="Cambria"/>
          <w:b/>
          <w:color w:val="00B0F0"/>
          <w:sz w:val="28"/>
          <w:szCs w:val="28"/>
        </w:rPr>
        <w:br w:type="page"/>
      </w:r>
    </w:p>
    <w:p w14:paraId="2C6E7133" w14:textId="09006A9E" w:rsidR="00C621ED" w:rsidRPr="006D5AAF" w:rsidRDefault="00C621ED" w:rsidP="006D5AAF">
      <w:pPr>
        <w:spacing w:after="80"/>
        <w:rPr>
          <w:rFonts w:ascii="Cambria" w:hAnsi="Cambria"/>
          <w:b/>
          <w:color w:val="00B0F0"/>
          <w:sz w:val="28"/>
          <w:szCs w:val="28"/>
        </w:rPr>
      </w:pPr>
      <w:r w:rsidRPr="006D5AAF">
        <w:rPr>
          <w:rFonts w:ascii="Cambria" w:hAnsi="Cambria"/>
          <w:b/>
          <w:color w:val="00B0F0"/>
          <w:sz w:val="28"/>
          <w:szCs w:val="28"/>
        </w:rPr>
        <w:lastRenderedPageBreak/>
        <w:t>Gene panel testing</w:t>
      </w:r>
    </w:p>
    <w:p w14:paraId="4C299743" w14:textId="76D80D39" w:rsidR="00C621ED" w:rsidRPr="002E459A" w:rsidRDefault="00C621ED" w:rsidP="00074FA3">
      <w:r w:rsidRPr="002E459A">
        <w:t>Gene panels capture all known pathogenic variants of NMD that are detectable by next generation sequencing (NGS)</w:t>
      </w:r>
      <w:r>
        <w:t xml:space="preserve">. </w:t>
      </w:r>
      <w:r w:rsidRPr="002E459A">
        <w:t xml:space="preserve">After a clinical examination to rule out other </w:t>
      </w:r>
      <w:r>
        <w:t xml:space="preserve">non-genetic </w:t>
      </w:r>
      <w:r w:rsidRPr="002E459A">
        <w:t xml:space="preserve">causes of NMD, patients will undergo genetic testing by either the myopathy or neuropathy gene panel. </w:t>
      </w:r>
      <w:r>
        <w:t xml:space="preserve">The choice of panel used is decided by the referring medical practitioner and is based on clinical presentation. </w:t>
      </w:r>
      <w:r w:rsidRPr="002E459A">
        <w:t>In some circumstances</w:t>
      </w:r>
      <w:r>
        <w:t xml:space="preserve">, </w:t>
      </w:r>
      <w:r w:rsidRPr="002E459A">
        <w:t>both panels will be used</w:t>
      </w:r>
      <w:r>
        <w:t>, owing to difficulty in determining a diagnosis based on clinical examination</w:t>
      </w:r>
      <w:r w:rsidRPr="002E459A">
        <w:t>.</w:t>
      </w:r>
      <w:r>
        <w:t xml:space="preserve"> Based on current data held by the applicant, this occurs in about 1% of gene panel tests (40 out of 4000 tests).</w:t>
      </w:r>
      <w:r w:rsidRPr="002E459A">
        <w:t xml:space="preserve"> </w:t>
      </w:r>
    </w:p>
    <w:p w14:paraId="23A77602" w14:textId="00BD590D" w:rsidR="00C621ED" w:rsidRDefault="00C621ED" w:rsidP="00074FA3">
      <w:r w:rsidRPr="002E459A">
        <w:t>The gene panel test is suitable for a patient</w:t>
      </w:r>
      <w:r>
        <w:t xml:space="preserve"> or f</w:t>
      </w:r>
      <w:r w:rsidRPr="002E459A">
        <w:t>etus with suspected NMD, who do</w:t>
      </w:r>
      <w:r>
        <w:t>es</w:t>
      </w:r>
      <w:r w:rsidRPr="002E459A">
        <w:t xml:space="preserve"> not have a documented family history </w:t>
      </w:r>
      <w:r>
        <w:t xml:space="preserve">of an </w:t>
      </w:r>
      <w:r w:rsidRPr="002E459A">
        <w:t>NMD gene variant.</w:t>
      </w:r>
      <w:r>
        <w:t xml:space="preserve"> </w:t>
      </w:r>
      <w:r w:rsidRPr="002E459A">
        <w:t xml:space="preserve">Biological parents of those </w:t>
      </w:r>
      <w:r>
        <w:t xml:space="preserve">individuals </w:t>
      </w:r>
      <w:r w:rsidRPr="002E459A">
        <w:t>with a positive genetic</w:t>
      </w:r>
      <w:r>
        <w:t xml:space="preserve"> panel</w:t>
      </w:r>
      <w:r w:rsidRPr="002E459A">
        <w:t xml:space="preserve"> test result</w:t>
      </w:r>
      <w:r>
        <w:t>,</w:t>
      </w:r>
      <w:r w:rsidRPr="002E459A">
        <w:t xml:space="preserve"> will </w:t>
      </w:r>
      <w:r>
        <w:t xml:space="preserve">then </w:t>
      </w:r>
      <w:r w:rsidRPr="002E459A">
        <w:t>also be screened</w:t>
      </w:r>
      <w:r>
        <w:t>,</w:t>
      </w:r>
      <w:r w:rsidRPr="002E459A">
        <w:t xml:space="preserve"> using a specific genetic test to determine whether the pathogenic variant was inherited or </w:t>
      </w:r>
      <w:r w:rsidRPr="002E459A">
        <w:rPr>
          <w:i/>
          <w:iCs/>
        </w:rPr>
        <w:t xml:space="preserve">de novo. </w:t>
      </w:r>
      <w:r w:rsidRPr="002E459A">
        <w:t xml:space="preserve"> </w:t>
      </w:r>
    </w:p>
    <w:p w14:paraId="36E005C1" w14:textId="4CB0D228" w:rsidR="00C621ED" w:rsidRDefault="00C621ED" w:rsidP="00074FA3">
      <w:r w:rsidRPr="0078466A">
        <w:t xml:space="preserve">Patients with a negative genetic test result may undergo a muscle </w:t>
      </w:r>
      <w:r>
        <w:t xml:space="preserve">or nerve </w:t>
      </w:r>
      <w:r w:rsidRPr="0078466A">
        <w:t>biopsy</w:t>
      </w:r>
      <w:r>
        <w:t>,</w:t>
      </w:r>
      <w:r w:rsidRPr="0078466A">
        <w:t xml:space="preserve"> </w:t>
      </w:r>
      <w:r>
        <w:t xml:space="preserve">in order to characterise their disease (as currently happens), and in </w:t>
      </w:r>
      <w:r w:rsidRPr="0078466A">
        <w:t xml:space="preserve">future, may </w:t>
      </w:r>
      <w:r>
        <w:t xml:space="preserve">obtain </w:t>
      </w:r>
      <w:r w:rsidRPr="0078466A">
        <w:t>re</w:t>
      </w:r>
      <w:r>
        <w:t>-</w:t>
      </w:r>
      <w:r w:rsidRPr="0078466A">
        <w:t>analysis of their genetic data</w:t>
      </w:r>
      <w:r>
        <w:t xml:space="preserve"> (e.g. if new genes are identified and/or added to the panel)</w:t>
      </w:r>
      <w:r w:rsidRPr="0078466A">
        <w:t>.</w:t>
      </w:r>
      <w:r>
        <w:t xml:space="preserve"> Other tests (such as histology or biochemistry analysis) may also be used for diagnosis. The number and type of tests used for patients with a negative genetic test result is based on disease phenotype. </w:t>
      </w:r>
    </w:p>
    <w:p w14:paraId="505BFF92" w14:textId="3BAB4657" w:rsidR="00C621ED" w:rsidRPr="00BF5A3D" w:rsidRDefault="00C621ED" w:rsidP="00074FA3">
      <w:pPr>
        <w:rPr>
          <w:iCs/>
        </w:rPr>
      </w:pPr>
      <w:r w:rsidRPr="002B68D0">
        <w:rPr>
          <w:iCs/>
        </w:rPr>
        <w:t>A description of the ‘exemplar’ genes with defined diagnostic, prognostic and predictive utilities in the neuromuscular panel was provided by the applicant</w:t>
      </w:r>
      <w:r w:rsidR="00D31DAC">
        <w:rPr>
          <w:iCs/>
        </w:rPr>
        <w:t xml:space="preserve"> in Appendix A of the Amended Application Form (provided to the Department on 6 April, 2020). </w:t>
      </w:r>
      <w:r w:rsidRPr="002B68D0">
        <w:rPr>
          <w:iCs/>
        </w:rPr>
        <w:t xml:space="preserve"> These should include at least one gene for each of the four groups per page 5. If there are conditions in each category</w:t>
      </w:r>
      <w:r w:rsidRPr="00BF5A3D">
        <w:rPr>
          <w:iCs/>
        </w:rPr>
        <w:t xml:space="preserve"> which are exemplars for childhood-onset disorders, these should also be described.</w:t>
      </w:r>
    </w:p>
    <w:p w14:paraId="11338650" w14:textId="66EDC9B5" w:rsidR="00C52943" w:rsidRPr="00C52943" w:rsidRDefault="00B52E45" w:rsidP="00C52943">
      <w:r>
        <w:t>The applicant confirmed</w:t>
      </w:r>
      <w:r w:rsidR="00C52943">
        <w:t xml:space="preserve"> that for each patient tested, they will have one pathology sample taken from which the full virtual gene panel will be assessed, but depending on the clinical features, either the neurological or muscular panel will be reported to the clinician. In the event there is residual clinical uncertainty, the remaining panel can then be reported.</w:t>
      </w:r>
    </w:p>
    <w:p w14:paraId="5E89B058" w14:textId="5828455B" w:rsidR="00C621ED" w:rsidRPr="006D5AAF" w:rsidRDefault="00C621ED" w:rsidP="006D5AAF">
      <w:pPr>
        <w:spacing w:after="80"/>
        <w:rPr>
          <w:b/>
          <w:color w:val="00B0F0"/>
          <w:sz w:val="28"/>
          <w:szCs w:val="28"/>
        </w:rPr>
      </w:pPr>
      <w:r w:rsidRPr="006D5AAF">
        <w:rPr>
          <w:b/>
          <w:color w:val="00B0F0"/>
          <w:sz w:val="28"/>
          <w:szCs w:val="28"/>
        </w:rPr>
        <w:t>Variant-specific testing</w:t>
      </w:r>
    </w:p>
    <w:p w14:paraId="10928040" w14:textId="01E8A187" w:rsidR="00C621ED" w:rsidRPr="002E459A" w:rsidRDefault="00C621ED" w:rsidP="00074FA3">
      <w:pPr>
        <w:rPr>
          <w:szCs w:val="20"/>
        </w:rPr>
      </w:pPr>
      <w:r w:rsidRPr="002E459A">
        <w:rPr>
          <w:szCs w:val="20"/>
        </w:rPr>
        <w:t xml:space="preserve">Sanger sequencing or other technologies (e.g. multiplex ligation-dependent probe amplification (MLPA)) is used for </w:t>
      </w:r>
      <w:r>
        <w:rPr>
          <w:szCs w:val="20"/>
        </w:rPr>
        <w:t>variant</w:t>
      </w:r>
      <w:r w:rsidRPr="002E459A">
        <w:rPr>
          <w:szCs w:val="20"/>
        </w:rPr>
        <w:t xml:space="preserve">-specific genetic testing. This cascade test </w:t>
      </w:r>
      <w:r>
        <w:rPr>
          <w:szCs w:val="20"/>
        </w:rPr>
        <w:t xml:space="preserve">is proposed to </w:t>
      </w:r>
      <w:r w:rsidRPr="002E459A">
        <w:rPr>
          <w:szCs w:val="20"/>
        </w:rPr>
        <w:t>be performed for a patient</w:t>
      </w:r>
      <w:r>
        <w:rPr>
          <w:szCs w:val="20"/>
        </w:rPr>
        <w:t xml:space="preserve"> or f</w:t>
      </w:r>
      <w:r w:rsidRPr="002E459A">
        <w:rPr>
          <w:szCs w:val="20"/>
        </w:rPr>
        <w:t>etus with a biological family hist</w:t>
      </w:r>
      <w:r>
        <w:rPr>
          <w:szCs w:val="20"/>
        </w:rPr>
        <w:t xml:space="preserve">ory of an </w:t>
      </w:r>
      <w:r w:rsidRPr="002E459A">
        <w:rPr>
          <w:szCs w:val="20"/>
        </w:rPr>
        <w:t xml:space="preserve">actionable pathogenic variant of NMD. </w:t>
      </w:r>
      <w:r>
        <w:rPr>
          <w:szCs w:val="20"/>
        </w:rPr>
        <w:t xml:space="preserve">If the variant-specific genetic test is negative, further tests like broad gene panel testing and/or biopsy may be warranted, but only if the patient develops signs and symptoms later in their life. </w:t>
      </w:r>
    </w:p>
    <w:p w14:paraId="5A21C1C6" w14:textId="0A79BBFE" w:rsidR="00C621ED" w:rsidRPr="002E459A" w:rsidRDefault="00C621ED" w:rsidP="00074FA3">
      <w:pPr>
        <w:rPr>
          <w:szCs w:val="20"/>
        </w:rPr>
      </w:pPr>
      <w:r w:rsidRPr="00930FF6">
        <w:rPr>
          <w:szCs w:val="20"/>
        </w:rPr>
        <w:t xml:space="preserve">Some NMD </w:t>
      </w:r>
      <w:r>
        <w:rPr>
          <w:szCs w:val="20"/>
        </w:rPr>
        <w:t>varian</w:t>
      </w:r>
      <w:r w:rsidR="00B748E1">
        <w:rPr>
          <w:szCs w:val="20"/>
        </w:rPr>
        <w:t>t</w:t>
      </w:r>
      <w:r>
        <w:rPr>
          <w:szCs w:val="20"/>
        </w:rPr>
        <w:t>s,</w:t>
      </w:r>
      <w:r w:rsidRPr="00930FF6">
        <w:rPr>
          <w:szCs w:val="20"/>
        </w:rPr>
        <w:t xml:space="preserve"> like spinal muscular atrophy type 1 (</w:t>
      </w:r>
      <w:r w:rsidRPr="00930FF6">
        <w:rPr>
          <w:i/>
          <w:iCs/>
          <w:szCs w:val="20"/>
        </w:rPr>
        <w:t>SMN1</w:t>
      </w:r>
      <w:r w:rsidRPr="00930FF6">
        <w:rPr>
          <w:szCs w:val="20"/>
        </w:rPr>
        <w:t>), myotonic dystrophy type 1 (</w:t>
      </w:r>
      <w:r w:rsidRPr="00930FF6">
        <w:rPr>
          <w:i/>
          <w:iCs/>
          <w:szCs w:val="20"/>
        </w:rPr>
        <w:t>DM1</w:t>
      </w:r>
      <w:r w:rsidRPr="00930FF6">
        <w:rPr>
          <w:szCs w:val="20"/>
        </w:rPr>
        <w:t>) and facioscapulohumeral muscular dystrophy type 1 (</w:t>
      </w:r>
      <w:r w:rsidRPr="00930FF6">
        <w:rPr>
          <w:i/>
          <w:iCs/>
          <w:szCs w:val="20"/>
        </w:rPr>
        <w:t>FSHD1</w:t>
      </w:r>
      <w:r w:rsidRPr="00930FF6">
        <w:rPr>
          <w:szCs w:val="20"/>
        </w:rPr>
        <w:t>)</w:t>
      </w:r>
      <w:r>
        <w:rPr>
          <w:szCs w:val="20"/>
        </w:rPr>
        <w:t>,</w:t>
      </w:r>
      <w:r w:rsidRPr="00930FF6">
        <w:rPr>
          <w:szCs w:val="20"/>
        </w:rPr>
        <w:t xml:space="preserve"> are not detected by NGS. If there is a strong clinical suspicion of these disorders, a</w:t>
      </w:r>
      <w:r>
        <w:rPr>
          <w:szCs w:val="20"/>
        </w:rPr>
        <w:t xml:space="preserve"> patient or f</w:t>
      </w:r>
      <w:r w:rsidRPr="00930FF6">
        <w:rPr>
          <w:szCs w:val="20"/>
        </w:rPr>
        <w:t xml:space="preserve">etus </w:t>
      </w:r>
      <w:r>
        <w:rPr>
          <w:szCs w:val="20"/>
        </w:rPr>
        <w:t xml:space="preserve">could </w:t>
      </w:r>
      <w:r w:rsidRPr="00930FF6">
        <w:rPr>
          <w:szCs w:val="20"/>
        </w:rPr>
        <w:t xml:space="preserve">undergo </w:t>
      </w:r>
      <w:r>
        <w:rPr>
          <w:szCs w:val="20"/>
        </w:rPr>
        <w:t>variant</w:t>
      </w:r>
      <w:r w:rsidRPr="00930FF6">
        <w:rPr>
          <w:szCs w:val="20"/>
        </w:rPr>
        <w:t xml:space="preserve">-specific testing for the relevant genes, </w:t>
      </w:r>
      <w:r>
        <w:rPr>
          <w:szCs w:val="20"/>
        </w:rPr>
        <w:t xml:space="preserve">if </w:t>
      </w:r>
      <w:r w:rsidRPr="00930FF6">
        <w:rPr>
          <w:szCs w:val="20"/>
        </w:rPr>
        <w:t>separate MBS items</w:t>
      </w:r>
      <w:r>
        <w:rPr>
          <w:szCs w:val="20"/>
        </w:rPr>
        <w:t xml:space="preserve"> were listed</w:t>
      </w:r>
      <w:r w:rsidRPr="00930FF6">
        <w:rPr>
          <w:szCs w:val="20"/>
        </w:rPr>
        <w:t xml:space="preserve">. </w:t>
      </w:r>
    </w:p>
    <w:p w14:paraId="2745FB70" w14:textId="2DF37089" w:rsidR="00C621ED" w:rsidRDefault="00C621ED" w:rsidP="00074FA3">
      <w:r>
        <w:t xml:space="preserve">Genetic test results are obtained within two to four months, although urgent cases can be processed within one to two weeks. Prenatal genetic test results for known familial variants can be obtained within four to seven days.  </w:t>
      </w:r>
    </w:p>
    <w:p w14:paraId="12B0D4B3" w14:textId="77777777" w:rsidR="00CA3C67" w:rsidRDefault="00CA3C67">
      <w:r>
        <w:br w:type="page"/>
      </w:r>
    </w:p>
    <w:p w14:paraId="66D9A3FB" w14:textId="00D8A7FA" w:rsidR="00C621ED" w:rsidRPr="002E459A" w:rsidRDefault="00C621ED" w:rsidP="00074FA3">
      <w:r>
        <w:lastRenderedPageBreak/>
        <w:t>Patients and parents of a f</w:t>
      </w:r>
      <w:r w:rsidRPr="002E459A">
        <w:t>etus identified with an NMD are offered genetic counselling</w:t>
      </w:r>
      <w:r>
        <w:t xml:space="preserve"> (which may be provided by a genetic counsellor, a specialist physician, or both), as well as being </w:t>
      </w:r>
      <w:r w:rsidRPr="002E459A">
        <w:t>referred to other healthcare clinicians</w:t>
      </w:r>
      <w:r>
        <w:t xml:space="preserve">, such as </w:t>
      </w:r>
      <w:r w:rsidRPr="002E459A">
        <w:t xml:space="preserve">neurologists, cardiologists, physiotherapists, respiratory </w:t>
      </w:r>
      <w:r>
        <w:t>therapists, etc. Disorder-</w:t>
      </w:r>
      <w:r w:rsidRPr="002E459A">
        <w:t>specific treatment is commenced i</w:t>
      </w:r>
      <w:r>
        <w:t xml:space="preserve">n a timely manner, </w:t>
      </w:r>
      <w:r w:rsidRPr="002E459A">
        <w:t xml:space="preserve">and advice is provided on family planning options. </w:t>
      </w:r>
    </w:p>
    <w:p w14:paraId="41AF8D47" w14:textId="36D576A1" w:rsidR="00C621ED" w:rsidRDefault="00C621ED" w:rsidP="00074FA3">
      <w:r w:rsidRPr="002E459A">
        <w:t xml:space="preserve">The gene panel test and </w:t>
      </w:r>
      <w:r>
        <w:t>variant</w:t>
      </w:r>
      <w:r w:rsidRPr="002E459A">
        <w:t>-specific test</w:t>
      </w:r>
      <w:r>
        <w:t>ing</w:t>
      </w:r>
      <w:r w:rsidRPr="002E459A">
        <w:t xml:space="preserve"> </w:t>
      </w:r>
      <w:r>
        <w:t>are</w:t>
      </w:r>
      <w:r w:rsidRPr="002E459A">
        <w:t xml:space="preserve"> not </w:t>
      </w:r>
      <w:r>
        <w:t xml:space="preserve">currently </w:t>
      </w:r>
      <w:r w:rsidRPr="002E459A">
        <w:t>funded</w:t>
      </w:r>
      <w:r>
        <w:t xml:space="preserve"> on </w:t>
      </w:r>
      <w:r w:rsidRPr="002E459A">
        <w:t>the MBS</w:t>
      </w:r>
      <w:r>
        <w:t xml:space="preserve">, but are </w:t>
      </w:r>
      <w:r w:rsidRPr="002E459A">
        <w:t>accessed on a user</w:t>
      </w:r>
      <w:r>
        <w:t>-</w:t>
      </w:r>
      <w:r w:rsidRPr="002E459A">
        <w:t>pay basis.</w:t>
      </w:r>
    </w:p>
    <w:p w14:paraId="22ABF3B4" w14:textId="24E2E30A" w:rsidR="00C621ED" w:rsidRPr="002E459A" w:rsidRDefault="00C621ED" w:rsidP="00186439">
      <w:pPr>
        <w:spacing w:after="120"/>
      </w:pPr>
      <w:r>
        <w:t xml:space="preserve">Some non-genetic </w:t>
      </w:r>
      <w:r w:rsidRPr="002E459A">
        <w:t xml:space="preserve">NMD diagnostic </w:t>
      </w:r>
      <w:r w:rsidR="00185C83">
        <w:t xml:space="preserve">procedures and </w:t>
      </w:r>
      <w:r w:rsidRPr="002E459A">
        <w:t xml:space="preserve">tests are currently subsidised </w:t>
      </w:r>
      <w:r>
        <w:t>on</w:t>
      </w:r>
      <w:r w:rsidRPr="002E459A">
        <w:t xml:space="preserve"> the MBS:</w:t>
      </w:r>
    </w:p>
    <w:p w14:paraId="39B11489" w14:textId="58BE8901" w:rsidR="00C621ED" w:rsidRPr="002E459A" w:rsidRDefault="00C621ED" w:rsidP="00F42679">
      <w:pPr>
        <w:pStyle w:val="ListParagraph"/>
        <w:numPr>
          <w:ilvl w:val="0"/>
          <w:numId w:val="8"/>
        </w:numPr>
      </w:pPr>
      <w:r>
        <w:rPr>
          <w:b/>
          <w:bCs/>
        </w:rPr>
        <w:t xml:space="preserve">Item </w:t>
      </w:r>
      <w:r w:rsidRPr="002E459A">
        <w:rPr>
          <w:b/>
          <w:bCs/>
        </w:rPr>
        <w:t>30075:</w:t>
      </w:r>
      <w:r w:rsidRPr="002E459A">
        <w:t xml:space="preserve"> Diagnostic biopsy of lymph gland, muscle or other deep tissue or organ, as an independent procedure, if the biopsy specimen is sent for pathological examination.</w:t>
      </w:r>
    </w:p>
    <w:p w14:paraId="596DA4EF" w14:textId="51BFCC77" w:rsidR="00C621ED" w:rsidRPr="002E459A" w:rsidRDefault="00C621ED" w:rsidP="00F42679">
      <w:pPr>
        <w:pStyle w:val="ListParagraph"/>
        <w:numPr>
          <w:ilvl w:val="0"/>
          <w:numId w:val="8"/>
        </w:numPr>
      </w:pPr>
      <w:r>
        <w:rPr>
          <w:rStyle w:val="Strong"/>
        </w:rPr>
        <w:t xml:space="preserve">Item </w:t>
      </w:r>
      <w:r w:rsidRPr="002E459A">
        <w:rPr>
          <w:rStyle w:val="Strong"/>
        </w:rPr>
        <w:t>72846:</w:t>
      </w:r>
      <w:r w:rsidRPr="002E459A">
        <w:rPr>
          <w:szCs w:val="20"/>
        </w:rPr>
        <w:t xml:space="preserve"> Immunohistochemical examination of biopsy material by immunofluorescence, immunoperoxidase or other labelled antibody techniques with multiple antigenic specificities per specimen - 1 to 3 antibodies except those listed in 72848.</w:t>
      </w:r>
    </w:p>
    <w:p w14:paraId="5E5D4482" w14:textId="6129EBDB" w:rsidR="00C621ED" w:rsidRPr="002E459A" w:rsidRDefault="00C621ED" w:rsidP="00F42679">
      <w:pPr>
        <w:pStyle w:val="ListParagraph"/>
        <w:numPr>
          <w:ilvl w:val="0"/>
          <w:numId w:val="8"/>
        </w:numPr>
      </w:pPr>
      <w:r>
        <w:rPr>
          <w:rStyle w:val="Strong"/>
        </w:rPr>
        <w:t xml:space="preserve">Item </w:t>
      </w:r>
      <w:r w:rsidRPr="002E459A">
        <w:rPr>
          <w:rStyle w:val="Strong"/>
        </w:rPr>
        <w:t>72844:</w:t>
      </w:r>
      <w:r w:rsidRPr="002E459A">
        <w:rPr>
          <w:szCs w:val="20"/>
        </w:rPr>
        <w:t xml:space="preserve"> Enzyme histochemistry of skeletal muscle for investigation of primary degenerative or metabolic muscle diseases or of muscle abnormalities secondary to disease of the central or peripheral nervous system - 1 or more tests</w:t>
      </w:r>
      <w:r w:rsidRPr="002E459A">
        <w:rPr>
          <w:rStyle w:val="EndnoteReference"/>
        </w:rPr>
        <w:endnoteReference w:id="17"/>
      </w:r>
      <w:r w:rsidRPr="002E459A">
        <w:rPr>
          <w:szCs w:val="20"/>
        </w:rPr>
        <w:t>.</w:t>
      </w:r>
    </w:p>
    <w:p w14:paraId="0346E953" w14:textId="41360097" w:rsidR="00C621ED" w:rsidRDefault="00C621ED" w:rsidP="007A2D99">
      <w:r>
        <w:t>In addition, p</w:t>
      </w:r>
      <w:r w:rsidRPr="002E459A">
        <w:t>atients with a family history o</w:t>
      </w:r>
      <w:r>
        <w:t>f</w:t>
      </w:r>
      <w:r w:rsidRPr="002E459A">
        <w:t xml:space="preserve"> suspected NMD</w:t>
      </w:r>
      <w:r>
        <w:t xml:space="preserve"> currently</w:t>
      </w:r>
      <w:r w:rsidRPr="002E459A">
        <w:t xml:space="preserve"> undergo several diagnostic tests such as nerve conduction studies, blood tests to measure creatine kinase and other biomarkers, electromyography, and nerve and muscle biopsies</w:t>
      </w:r>
      <w:r w:rsidRPr="002E459A">
        <w:rPr>
          <w:rStyle w:val="EndnoteReference"/>
        </w:rPr>
        <w:endnoteReference w:id="18"/>
      </w:r>
      <w:r w:rsidRPr="002E459A">
        <w:t xml:space="preserve">. These diagnostic tests, especially </w:t>
      </w:r>
      <w:r w:rsidR="00185C83">
        <w:t xml:space="preserve">nerve and muscle </w:t>
      </w:r>
      <w:r w:rsidRPr="002E459A">
        <w:t xml:space="preserve">biopsies, are </w:t>
      </w:r>
      <w:r w:rsidR="00185C83" w:rsidRPr="002E459A">
        <w:t xml:space="preserve">invasive </w:t>
      </w:r>
      <w:r w:rsidR="00185C83">
        <w:t xml:space="preserve">and often </w:t>
      </w:r>
      <w:r w:rsidRPr="002E459A">
        <w:t xml:space="preserve">painful. </w:t>
      </w:r>
    </w:p>
    <w:p w14:paraId="08D13FE7" w14:textId="060F706A" w:rsidR="00C621ED" w:rsidRDefault="00C621ED" w:rsidP="007A2D99">
      <w:r w:rsidRPr="002E459A">
        <w:t>Genetic testing helps to identify the putative causative gene variant of the clinical phenotype so that treatment and counselling is targeted and can be commenced early, and patients can be advised on family planning, prognosis, and other long-term management plans</w:t>
      </w:r>
      <w:r w:rsidRPr="002E459A">
        <w:rPr>
          <w:rStyle w:val="EndnoteReference"/>
        </w:rPr>
        <w:endnoteReference w:id="19"/>
      </w:r>
      <w:r w:rsidRPr="002E459A">
        <w:t xml:space="preserve">. </w:t>
      </w:r>
      <w:r>
        <w:t>Single gene testing of specimens can be done currently, but given the number of genetic variants, it is implausible to perform these for each patient.</w:t>
      </w:r>
    </w:p>
    <w:p w14:paraId="3B1A0758" w14:textId="6F28E712" w:rsidR="00C621ED" w:rsidRPr="002E459A" w:rsidRDefault="00C621ED" w:rsidP="007A2D99">
      <w:r w:rsidRPr="002E459A">
        <w:t xml:space="preserve">The proposed intervention is less painful and invasive when compared </w:t>
      </w:r>
      <w:r w:rsidR="00185C83">
        <w:t>with</w:t>
      </w:r>
      <w:r w:rsidR="00185C83" w:rsidRPr="002E459A">
        <w:t xml:space="preserve"> </w:t>
      </w:r>
      <w:r w:rsidRPr="002E459A">
        <w:t xml:space="preserve">muscle and nerve biopsies and </w:t>
      </w:r>
      <w:r w:rsidR="00185C83">
        <w:t>may</w:t>
      </w:r>
      <w:r w:rsidRPr="002E459A">
        <w:t xml:space="preserve"> help patients avoid further time consuming and expensive tests such as nerve or muscle imaging, blood and cerebrospinal fluid testing, Sanger sequencing and other additional tests for family members (e.g. cascade testing).   </w:t>
      </w:r>
    </w:p>
    <w:p w14:paraId="709885D2" w14:textId="0BB8C6EA" w:rsidR="00C621ED" w:rsidRPr="002E459A" w:rsidRDefault="00C621ED" w:rsidP="007A2D99">
      <w:r w:rsidRPr="002E459A">
        <w:t>The proposed genetic tests</w:t>
      </w:r>
      <w:r>
        <w:t>, amalgamated in panels (which would replace the current diagnostic testing processes</w:t>
      </w:r>
      <w:r w:rsidRPr="002E459A">
        <w:t xml:space="preserve"> </w:t>
      </w:r>
      <w:r>
        <w:t xml:space="preserve">described above, and single-gene tests for some index patients), </w:t>
      </w:r>
      <w:r w:rsidRPr="002E459A">
        <w:t xml:space="preserve">would be accessible via a referral from a specialist paediatrician, neurologist, </w:t>
      </w:r>
      <w:r>
        <w:t xml:space="preserve">clinical geneticist </w:t>
      </w:r>
      <w:r w:rsidRPr="002E459A">
        <w:t xml:space="preserve">or </w:t>
      </w:r>
      <w:r>
        <w:rPr>
          <w:szCs w:val="20"/>
        </w:rPr>
        <w:t>obstetrician</w:t>
      </w:r>
      <w:r>
        <w:t xml:space="preserve">. </w:t>
      </w:r>
      <w:r w:rsidRPr="002E459A">
        <w:t>DNA is obtained from a peripheral blood sample, saliva sample or buccal swab for paediatric and adult patients</w:t>
      </w:r>
      <w:r>
        <w:t>,</w:t>
      </w:r>
      <w:r w:rsidRPr="002E459A">
        <w:t xml:space="preserve"> and amniocentesis or CVS </w:t>
      </w:r>
      <w:r>
        <w:t xml:space="preserve">is obtained </w:t>
      </w:r>
      <w:r w:rsidRPr="002E459A">
        <w:t xml:space="preserve">for prenatal genetic tests. The </w:t>
      </w:r>
      <w:r>
        <w:t>samples are delivered to a NATA-</w:t>
      </w:r>
      <w:r w:rsidRPr="002E459A">
        <w:t>accredited pathology laboratory for analysis</w:t>
      </w:r>
      <w:r>
        <w:t>,</w:t>
      </w:r>
      <w:r w:rsidRPr="002E459A">
        <w:t xml:space="preserve"> and interpretation </w:t>
      </w:r>
      <w:r>
        <w:t xml:space="preserve">is undertaken </w:t>
      </w:r>
      <w:r w:rsidRPr="002E459A">
        <w:t xml:space="preserve">by accredited pathologists or medical scientists. </w:t>
      </w:r>
    </w:p>
    <w:p w14:paraId="2652B4BD" w14:textId="2DD1ABA9" w:rsidR="00C621ED" w:rsidRDefault="00C621ED" w:rsidP="00EE534C">
      <w:pPr>
        <w:spacing w:after="120"/>
      </w:pPr>
      <w:r>
        <w:t xml:space="preserve">If a patient has a positive diagnosis for an autosomal recessive NMD, their reproductive partner will also require variant-specific testing for the putative causative gene variant. </w:t>
      </w:r>
      <w:r w:rsidRPr="002E459A">
        <w:t>NMD genetic test</w:t>
      </w:r>
      <w:r>
        <w:t>s</w:t>
      </w:r>
      <w:r w:rsidRPr="002E459A">
        <w:t xml:space="preserve"> </w:t>
      </w:r>
      <w:r>
        <w:t>are</w:t>
      </w:r>
      <w:r w:rsidRPr="002E459A">
        <w:t xml:space="preserve"> a once</w:t>
      </w:r>
      <w:r>
        <w:t>-</w:t>
      </w:r>
      <w:r w:rsidRPr="002E459A">
        <w:t>off diagnostic test</w:t>
      </w:r>
      <w:r>
        <w:t xml:space="preserve"> per patient</w:t>
      </w:r>
      <w:r w:rsidRPr="002E459A">
        <w:t>. Re</w:t>
      </w:r>
      <w:r>
        <w:t>-</w:t>
      </w:r>
      <w:r w:rsidRPr="002E459A">
        <w:t>testing and data re</w:t>
      </w:r>
      <w:r>
        <w:t>-</w:t>
      </w:r>
      <w:r w:rsidRPr="002E459A">
        <w:t>analysis can be requested by the laboratory</w:t>
      </w:r>
      <w:r>
        <w:t xml:space="preserve"> (if required),</w:t>
      </w:r>
      <w:r w:rsidRPr="002E459A">
        <w:t xml:space="preserve"> in consultation with the requesting clinician. This </w:t>
      </w:r>
      <w:r>
        <w:t xml:space="preserve">may </w:t>
      </w:r>
      <w:r w:rsidRPr="002E459A">
        <w:t>be applicable for people with a negative test result</w:t>
      </w:r>
      <w:r>
        <w:t>, based on current gene panel composition,</w:t>
      </w:r>
      <w:r w:rsidRPr="002E459A">
        <w:t xml:space="preserve"> </w:t>
      </w:r>
      <w:r>
        <w:t xml:space="preserve">when </w:t>
      </w:r>
      <w:r w:rsidRPr="002E459A">
        <w:t>new genes and associated phenotypes are discovered and reported.</w:t>
      </w:r>
    </w:p>
    <w:p w14:paraId="79CBAAA2" w14:textId="77777777" w:rsidR="0009772D" w:rsidRPr="00F40FCD" w:rsidRDefault="0009772D" w:rsidP="0009772D">
      <w:pPr>
        <w:spacing w:after="80"/>
        <w:rPr>
          <w:b/>
          <w:bCs/>
          <w:iCs/>
          <w:sz w:val="24"/>
        </w:rPr>
      </w:pPr>
      <w:r w:rsidRPr="00F40FCD">
        <w:rPr>
          <w:b/>
          <w:bCs/>
          <w:iCs/>
          <w:sz w:val="24"/>
        </w:rPr>
        <w:lastRenderedPageBreak/>
        <w:t>PASC’s Second Consideration (April 2020)</w:t>
      </w:r>
    </w:p>
    <w:p w14:paraId="4E84A5AB" w14:textId="6303EC68" w:rsidR="0009772D" w:rsidRPr="002B68D0" w:rsidRDefault="0009772D" w:rsidP="0009772D">
      <w:pPr>
        <w:spacing w:after="120"/>
        <w:rPr>
          <w:i/>
          <w:iCs/>
        </w:rPr>
      </w:pPr>
      <w:r w:rsidRPr="002B68D0">
        <w:rPr>
          <w:i/>
          <w:iCs/>
        </w:rPr>
        <w:t>PASC confirmed the interventions.</w:t>
      </w:r>
    </w:p>
    <w:p w14:paraId="60768A3D" w14:textId="20CF1B59" w:rsidR="0009772D" w:rsidRPr="002B68D0" w:rsidRDefault="0009772D" w:rsidP="0009772D">
      <w:pPr>
        <w:spacing w:after="120"/>
        <w:rPr>
          <w:i/>
          <w:iCs/>
        </w:rPr>
      </w:pPr>
      <w:r w:rsidRPr="002B68D0">
        <w:rPr>
          <w:i/>
          <w:iCs/>
        </w:rPr>
        <w:t xml:space="preserve">PASC noted the applicant previously provided additional information about the exemplar and facilitated genes for the nominated exemplar diseases in each of the 4 categories, which will allow the assessment group to do the </w:t>
      </w:r>
      <w:r w:rsidR="00B52E45">
        <w:rPr>
          <w:i/>
          <w:iCs/>
        </w:rPr>
        <w:t>analysis based on the Clinical U</w:t>
      </w:r>
      <w:r w:rsidRPr="002B68D0">
        <w:rPr>
          <w:i/>
          <w:iCs/>
        </w:rPr>
        <w:t>tility Card approach.</w:t>
      </w:r>
    </w:p>
    <w:p w14:paraId="71137F3B" w14:textId="4B564C4B" w:rsidR="0009772D" w:rsidRPr="002B68D0" w:rsidRDefault="0009772D" w:rsidP="0009772D">
      <w:pPr>
        <w:spacing w:after="120"/>
        <w:rPr>
          <w:i/>
          <w:iCs/>
        </w:rPr>
      </w:pPr>
      <w:r w:rsidRPr="002B68D0">
        <w:rPr>
          <w:i/>
          <w:iCs/>
        </w:rPr>
        <w:t xml:space="preserve">PASC advised that most of the testing would be in a non-hospital setting, </w:t>
      </w:r>
      <w:r w:rsidR="00B52E45">
        <w:rPr>
          <w:i/>
          <w:iCs/>
        </w:rPr>
        <w:t>making</w:t>
      </w:r>
      <w:r w:rsidRPr="002B68D0">
        <w:rPr>
          <w:i/>
          <w:iCs/>
        </w:rPr>
        <w:t xml:space="preserve"> this testing suitable for the MBS. </w:t>
      </w:r>
    </w:p>
    <w:p w14:paraId="5FB33A2D" w14:textId="1404FE3C" w:rsidR="0009772D" w:rsidRPr="002B68D0" w:rsidRDefault="0009772D" w:rsidP="0009772D">
      <w:pPr>
        <w:spacing w:after="120"/>
        <w:rPr>
          <w:i/>
          <w:iCs/>
        </w:rPr>
      </w:pPr>
      <w:r w:rsidRPr="002B68D0">
        <w:rPr>
          <w:i/>
          <w:iCs/>
        </w:rPr>
        <w:t>PASC noted the issues relating to inequity of access for this application, including jurisdictional variation.</w:t>
      </w:r>
    </w:p>
    <w:p w14:paraId="74DB1E37" w14:textId="47708C42" w:rsidR="00F40FCD" w:rsidRPr="00F40FCD" w:rsidRDefault="00C621ED" w:rsidP="00F40FCD">
      <w:pPr>
        <w:spacing w:after="80"/>
        <w:rPr>
          <w:rFonts w:ascii="Cambria" w:hAnsi="Cambria"/>
          <w:b/>
          <w:bCs/>
          <w:color w:val="0066FF"/>
          <w:sz w:val="32"/>
          <w:szCs w:val="32"/>
        </w:rPr>
      </w:pPr>
      <w:r>
        <w:rPr>
          <w:rFonts w:ascii="Cambria" w:hAnsi="Cambria"/>
          <w:b/>
          <w:bCs/>
          <w:color w:val="0066FF"/>
          <w:sz w:val="32"/>
          <w:szCs w:val="32"/>
        </w:rPr>
        <w:t>COMPARATOR</w:t>
      </w:r>
    </w:p>
    <w:p w14:paraId="00D2E3CD" w14:textId="77777777" w:rsidR="00F40FCD" w:rsidRDefault="004E2B54" w:rsidP="008E234F">
      <w:pPr>
        <w:rPr>
          <w:i/>
          <w:iCs/>
        </w:rPr>
      </w:pPr>
      <w:r w:rsidRPr="002B68D0">
        <w:rPr>
          <w:i/>
          <w:iCs/>
        </w:rPr>
        <w:t xml:space="preserve">PASC confirmed that the appropriate comparator is no genetic testing. </w:t>
      </w:r>
    </w:p>
    <w:p w14:paraId="640A07D4" w14:textId="56D9E92A" w:rsidR="00C621ED" w:rsidRPr="00F661BD" w:rsidRDefault="00C621ED" w:rsidP="008E234F">
      <w:r w:rsidRPr="00F661BD">
        <w:t xml:space="preserve">No gene panel test or </w:t>
      </w:r>
      <w:r>
        <w:t>variant</w:t>
      </w:r>
      <w:r w:rsidRPr="00F661BD">
        <w:t xml:space="preserve">-specific test is the proposed comparator.  </w:t>
      </w:r>
    </w:p>
    <w:p w14:paraId="07D719A9" w14:textId="1ACBC1CE" w:rsidR="00C621ED" w:rsidRPr="00F661BD" w:rsidRDefault="00C621ED" w:rsidP="00F86E92">
      <w:r w:rsidRPr="00F661BD">
        <w:t xml:space="preserve">Diagnosis of NMD is currently informed by MBS subsidised diagnostic tests that are available for patients with suspected NMD.  These tests are not suitable comparators since they do not provide a definitive diagnosis and are unable to specify the genetic pathogenic variant of NMD.  However diagnostic tests will not be required if the proposed interventions are introduced on the MBS.  </w:t>
      </w:r>
    </w:p>
    <w:p w14:paraId="6FDB3F48" w14:textId="3CDF5359" w:rsidR="00C621ED" w:rsidRDefault="00C621ED" w:rsidP="00EE534C">
      <w:pPr>
        <w:spacing w:after="120"/>
      </w:pPr>
      <w:r w:rsidRPr="00F661BD">
        <w:t>It is important to note that</w:t>
      </w:r>
      <w:r>
        <w:t>,</w:t>
      </w:r>
      <w:r w:rsidRPr="00F661BD">
        <w:t xml:space="preserve"> in current clinical practice</w:t>
      </w:r>
      <w:r>
        <w:t>,</w:t>
      </w:r>
      <w:r w:rsidRPr="00F661BD">
        <w:t xml:space="preserve"> clinicians may </w:t>
      </w:r>
      <w:r>
        <w:t>request</w:t>
      </w:r>
      <w:r w:rsidRPr="00F661BD">
        <w:t xml:space="preserve"> sequential series of single gene tests (funded o</w:t>
      </w:r>
      <w:r>
        <w:t>utside the MBS on either a user-</w:t>
      </w:r>
      <w:r w:rsidRPr="00F661BD">
        <w:t>pay basis or utilising state/territory health department funding</w:t>
      </w:r>
      <w:r>
        <w:t>,</w:t>
      </w:r>
      <w:r w:rsidRPr="00F661BD">
        <w:t xml:space="preserve"> etc)</w:t>
      </w:r>
      <w:r>
        <w:t xml:space="preserve">. This is </w:t>
      </w:r>
      <w:r w:rsidRPr="00F661BD">
        <w:t>in addition to, or in replace of</w:t>
      </w:r>
      <w:r>
        <w:t>, requesting MBS-</w:t>
      </w:r>
      <w:r w:rsidRPr="00F661BD">
        <w:t>subsidised diagnostic tests. However</w:t>
      </w:r>
      <w:r>
        <w:t>,</w:t>
      </w:r>
      <w:r w:rsidRPr="00F661BD">
        <w:t xml:space="preserve"> it was</w:t>
      </w:r>
      <w:r>
        <w:t xml:space="preserve"> deemed not suitable for single-</w:t>
      </w:r>
      <w:r w:rsidRPr="00F661BD">
        <w:t>gene testing to be compared to broad panel testing</w:t>
      </w:r>
      <w:r>
        <w:t xml:space="preserve">. This is because </w:t>
      </w:r>
      <w:r w:rsidRPr="00F661BD">
        <w:t>neither are currently available on the MBS</w:t>
      </w:r>
      <w:r>
        <w:t>,</w:t>
      </w:r>
      <w:r w:rsidRPr="00F661BD">
        <w:t xml:space="preserve"> and the application i</w:t>
      </w:r>
      <w:r>
        <w:t>ncludes the use of single-</w:t>
      </w:r>
      <w:r w:rsidRPr="00F661BD">
        <w:t xml:space="preserve">gene testing (i.e. </w:t>
      </w:r>
      <w:r>
        <w:t>variant</w:t>
      </w:r>
      <w:r w:rsidRPr="00F661BD">
        <w:t>-specific testing) for a defined cohort</w:t>
      </w:r>
      <w:r>
        <w:t>,</w:t>
      </w:r>
      <w:r w:rsidRPr="00F661BD">
        <w:t xml:space="preserve"> compared to </w:t>
      </w:r>
      <w:r>
        <w:t xml:space="preserve">use of </w:t>
      </w:r>
      <w:r w:rsidRPr="00F661BD">
        <w:t>the broad panel for a different cohort.</w:t>
      </w:r>
    </w:p>
    <w:p w14:paraId="5E8D579E" w14:textId="77777777" w:rsidR="004E2B54" w:rsidRPr="009D6757" w:rsidRDefault="004E2B54" w:rsidP="00EE534C">
      <w:pPr>
        <w:spacing w:after="120"/>
      </w:pPr>
    </w:p>
    <w:p w14:paraId="4917A33E" w14:textId="4CA2BC3D" w:rsidR="00C621ED" w:rsidRPr="000A707A" w:rsidRDefault="00C621ED" w:rsidP="00EE534C">
      <w:pPr>
        <w:pStyle w:val="Heading2"/>
        <w:spacing w:after="80"/>
        <w:rPr>
          <w:i w:val="0"/>
          <w:color w:val="00B0F0"/>
          <w:sz w:val="32"/>
          <w:szCs w:val="32"/>
          <w:u w:val="none"/>
        </w:rPr>
      </w:pPr>
      <w:r w:rsidRPr="000A707A">
        <w:rPr>
          <w:i w:val="0"/>
          <w:color w:val="00B0F0"/>
          <w:sz w:val="32"/>
          <w:szCs w:val="32"/>
          <w:u w:val="none"/>
        </w:rPr>
        <w:t>OUTCOMES</w:t>
      </w:r>
    </w:p>
    <w:p w14:paraId="53EA8BDC" w14:textId="3A4F8EF8" w:rsidR="00655C99" w:rsidRPr="00024A62" w:rsidRDefault="00655C99" w:rsidP="00655C99">
      <w:pPr>
        <w:spacing w:after="0"/>
        <w:rPr>
          <w:b/>
          <w:bCs/>
          <w:i/>
          <w:iCs/>
          <w:sz w:val="16"/>
          <w:szCs w:val="16"/>
        </w:rPr>
      </w:pPr>
    </w:p>
    <w:p w14:paraId="778B3D61" w14:textId="066B8FF3" w:rsidR="00BF5A3D" w:rsidRPr="00892AC6" w:rsidRDefault="004E2B54" w:rsidP="00892AC6">
      <w:pPr>
        <w:rPr>
          <w:i/>
          <w:iCs/>
        </w:rPr>
      </w:pPr>
      <w:r w:rsidRPr="00BF5A3D">
        <w:rPr>
          <w:i/>
          <w:iCs/>
        </w:rPr>
        <w:t>PASC confirmed the proposed outcomes.</w:t>
      </w:r>
    </w:p>
    <w:p w14:paraId="2ADE658E" w14:textId="592EE81B" w:rsidR="00C621ED" w:rsidRPr="000A707A" w:rsidRDefault="00C621ED" w:rsidP="000A707A">
      <w:pPr>
        <w:spacing w:after="120"/>
        <w:rPr>
          <w:rFonts w:ascii="Cambria" w:hAnsi="Cambria"/>
          <w:b/>
          <w:color w:val="00B0F0"/>
          <w:sz w:val="28"/>
          <w:szCs w:val="28"/>
          <w:u w:val="single"/>
        </w:rPr>
      </w:pPr>
      <w:r w:rsidRPr="000A707A">
        <w:rPr>
          <w:rFonts w:ascii="Cambria" w:hAnsi="Cambria"/>
          <w:b/>
          <w:color w:val="00B0F0"/>
          <w:sz w:val="28"/>
          <w:szCs w:val="28"/>
          <w:u w:val="single"/>
        </w:rPr>
        <w:t>Patient-relevant outcomes</w:t>
      </w:r>
    </w:p>
    <w:p w14:paraId="140DD801" w14:textId="5A95741F" w:rsidR="00C621ED" w:rsidRDefault="00C621ED" w:rsidP="00257E6E">
      <w:r>
        <w:t xml:space="preserve">From a patient perspective, NMD genetic tests may offer a definitive diagnosis without the need for multiple tests that can be time consuming, painful, and invasive. Patients can commence targeted treatments earlier which can offer symptom relief, slow disease progression, and improve quality of life (QoL). This intervention detects pathogenic variants of NMD in asymptomatic family members and foeti which can help in early education and monitoring of signs and symptoms of the disorder.  </w:t>
      </w:r>
    </w:p>
    <w:p w14:paraId="3432B496" w14:textId="32E09010" w:rsidR="00C621ED" w:rsidRDefault="00C621ED" w:rsidP="00257E6E">
      <w:r>
        <w:t>Pregnant couples (and those planning a pregnancy) can be advised on reproductive options and pregnancy termination to avoid having children with these diseases. High risk couples (reproductive couples with a pathogenic variant of NMD or with a family history of pathogenic NMD), and females with a fetus with NMD who choose to have children without considering alternative options, would be able to prepare and inform themselves prior to birth, by seeking frequent monitoring and early treatments.</w:t>
      </w:r>
    </w:p>
    <w:p w14:paraId="650C8E2E" w14:textId="15344AE3" w:rsidR="00C621ED" w:rsidRDefault="00C621ED" w:rsidP="000A707A">
      <w:pPr>
        <w:spacing w:after="160"/>
      </w:pPr>
      <w:r>
        <w:lastRenderedPageBreak/>
        <w:t xml:space="preserve">From a clinical perspective, an accurate assignment of genomic variant is important, because of prognostic and therapeutic implications for the patient. Clinicians can reach a definitive diagnosis earlier; they can provide patient-centred monitoring and therapy; and (if necessary) refer patient/s to other relevant healthcare services and clinicians. Also, genetic counselling services will be targeted to the disorder, and clinicians will be able to provide relevant information on prognosis, family planning and long-term management.  </w:t>
      </w:r>
    </w:p>
    <w:p w14:paraId="252A54A4" w14:textId="28C4A83B" w:rsidR="00C621ED" w:rsidRDefault="00C621ED" w:rsidP="000A707A">
      <w:pPr>
        <w:spacing w:after="120"/>
      </w:pPr>
      <w:r>
        <w:t xml:space="preserve">The following outcomes are considered relevant to the assessment of the comparative effectiveness and safety for a person or fetus with suspected NMD and those with a family history of an actionable pathogenic variant. </w:t>
      </w:r>
    </w:p>
    <w:p w14:paraId="777BD867" w14:textId="670A0032" w:rsidR="00C621ED" w:rsidRPr="000A707A" w:rsidRDefault="00C621ED" w:rsidP="000A707A">
      <w:pPr>
        <w:spacing w:after="80"/>
        <w:rPr>
          <w:rFonts w:ascii="Cambria" w:hAnsi="Cambria"/>
          <w:b/>
          <w:iCs/>
          <w:color w:val="00B0F0"/>
          <w:sz w:val="24"/>
          <w:szCs w:val="24"/>
        </w:rPr>
      </w:pPr>
      <w:r w:rsidRPr="000A707A">
        <w:rPr>
          <w:rFonts w:ascii="Cambria" w:hAnsi="Cambria"/>
          <w:b/>
          <w:iCs/>
          <w:color w:val="00B0F0"/>
          <w:sz w:val="24"/>
          <w:szCs w:val="24"/>
        </w:rPr>
        <w:t>Effectiveness:</w:t>
      </w:r>
    </w:p>
    <w:p w14:paraId="1349E79A" w14:textId="7630A367" w:rsidR="00C621ED" w:rsidRDefault="00C621ED" w:rsidP="00F42679">
      <w:pPr>
        <w:pStyle w:val="ListParagraph"/>
        <w:numPr>
          <w:ilvl w:val="0"/>
          <w:numId w:val="12"/>
        </w:numPr>
      </w:pPr>
      <w:r>
        <w:t>Impact on clinical management</w:t>
      </w:r>
    </w:p>
    <w:p w14:paraId="42F99DA1" w14:textId="73214EDD" w:rsidR="00C621ED" w:rsidRDefault="00C621ED" w:rsidP="00F42679">
      <w:pPr>
        <w:pStyle w:val="ListParagraph"/>
        <w:numPr>
          <w:ilvl w:val="0"/>
          <w:numId w:val="12"/>
        </w:numPr>
      </w:pPr>
      <w:r>
        <w:t>Health-related quality of life</w:t>
      </w:r>
    </w:p>
    <w:p w14:paraId="1546BFB0" w14:textId="77777777" w:rsidR="00C621ED" w:rsidRDefault="00C621ED" w:rsidP="00F42679">
      <w:pPr>
        <w:pStyle w:val="ListParagraph"/>
        <w:numPr>
          <w:ilvl w:val="0"/>
          <w:numId w:val="12"/>
        </w:numPr>
      </w:pPr>
      <w:r>
        <w:t>Impact on decisions for future reproduction</w:t>
      </w:r>
    </w:p>
    <w:p w14:paraId="56347404" w14:textId="0321FA22" w:rsidR="00C621ED" w:rsidRDefault="00C621ED" w:rsidP="00F42679">
      <w:pPr>
        <w:pStyle w:val="ListParagraph"/>
        <w:numPr>
          <w:ilvl w:val="0"/>
          <w:numId w:val="12"/>
        </w:numPr>
      </w:pPr>
      <w:r>
        <w:t>Termination rate due to presence of specific genetic variants</w:t>
      </w:r>
    </w:p>
    <w:p w14:paraId="35539652" w14:textId="3E3329A7" w:rsidR="00C621ED" w:rsidRDefault="00185C83" w:rsidP="00F42679">
      <w:pPr>
        <w:pStyle w:val="ListParagraph"/>
        <w:numPr>
          <w:ilvl w:val="0"/>
          <w:numId w:val="12"/>
        </w:numPr>
        <w:spacing w:after="120"/>
      </w:pPr>
      <w:r>
        <w:t xml:space="preserve">Reduction </w:t>
      </w:r>
      <w:r w:rsidR="00C621ED">
        <w:t xml:space="preserve">in proportion of children born </w:t>
      </w:r>
      <w:r>
        <w:t xml:space="preserve">with </w:t>
      </w:r>
      <w:r w:rsidR="00C621ED">
        <w:t>NMD</w:t>
      </w:r>
    </w:p>
    <w:p w14:paraId="0163E508" w14:textId="59AE72A6" w:rsidR="00C621ED" w:rsidRPr="000A707A" w:rsidRDefault="00C621ED" w:rsidP="000A707A">
      <w:pPr>
        <w:spacing w:after="80"/>
        <w:rPr>
          <w:rFonts w:ascii="Cambria" w:hAnsi="Cambria"/>
          <w:b/>
          <w:iCs/>
          <w:color w:val="00B0F0"/>
          <w:sz w:val="24"/>
          <w:szCs w:val="24"/>
        </w:rPr>
      </w:pPr>
      <w:r w:rsidRPr="000A707A">
        <w:rPr>
          <w:rFonts w:ascii="Cambria" w:hAnsi="Cambria"/>
          <w:b/>
          <w:iCs/>
          <w:color w:val="00B0F0"/>
          <w:sz w:val="24"/>
          <w:szCs w:val="24"/>
        </w:rPr>
        <w:t xml:space="preserve">Safety:  </w:t>
      </w:r>
    </w:p>
    <w:p w14:paraId="3387E179" w14:textId="5FDB6C65" w:rsidR="00C621ED" w:rsidRPr="00B846E5" w:rsidRDefault="00C621ED" w:rsidP="00F42679">
      <w:pPr>
        <w:pStyle w:val="ListParagraph"/>
        <w:numPr>
          <w:ilvl w:val="0"/>
          <w:numId w:val="9"/>
        </w:numPr>
        <w:rPr>
          <w:i/>
          <w:iCs/>
        </w:rPr>
      </w:pPr>
      <w:r>
        <w:t>Adverse events from obtaining a sample for testing</w:t>
      </w:r>
    </w:p>
    <w:p w14:paraId="7FDA3F1F" w14:textId="3466D438" w:rsidR="00C621ED" w:rsidRPr="00FF274B" w:rsidRDefault="00C621ED" w:rsidP="00F42679">
      <w:pPr>
        <w:pStyle w:val="ListParagraph"/>
        <w:numPr>
          <w:ilvl w:val="0"/>
          <w:numId w:val="9"/>
        </w:numPr>
        <w:rPr>
          <w:i/>
          <w:iCs/>
        </w:rPr>
      </w:pPr>
      <w:r>
        <w:t>Adverse effects of targeted drug therapy</w:t>
      </w:r>
    </w:p>
    <w:p w14:paraId="1E71DAAF" w14:textId="36FC0111" w:rsidR="00C621ED" w:rsidRPr="00103078" w:rsidRDefault="00C621ED" w:rsidP="00F42679">
      <w:pPr>
        <w:pStyle w:val="ListParagraph"/>
        <w:numPr>
          <w:ilvl w:val="0"/>
          <w:numId w:val="9"/>
        </w:numPr>
        <w:rPr>
          <w:i/>
          <w:iCs/>
        </w:rPr>
      </w:pPr>
      <w:r>
        <w:t>Psychological adverse events from genetic testing or not genetic testing</w:t>
      </w:r>
    </w:p>
    <w:p w14:paraId="7CC1BF0A" w14:textId="7447941F" w:rsidR="00C621ED" w:rsidRPr="00103078" w:rsidRDefault="00C621ED" w:rsidP="00F42679">
      <w:pPr>
        <w:pStyle w:val="ListParagraph"/>
        <w:numPr>
          <w:ilvl w:val="0"/>
          <w:numId w:val="9"/>
        </w:numPr>
        <w:spacing w:after="120"/>
        <w:rPr>
          <w:i/>
          <w:iCs/>
        </w:rPr>
      </w:pPr>
      <w:r>
        <w:t>Psychological effects of false positives or false negatives</w:t>
      </w:r>
    </w:p>
    <w:p w14:paraId="790A60C5" w14:textId="686B71B0" w:rsidR="00C621ED" w:rsidRPr="000A707A" w:rsidRDefault="00C621ED" w:rsidP="000A707A">
      <w:pPr>
        <w:spacing w:after="80"/>
        <w:rPr>
          <w:rFonts w:ascii="Cambria" w:hAnsi="Cambria"/>
          <w:b/>
          <w:iCs/>
          <w:color w:val="00B0F0"/>
          <w:sz w:val="24"/>
          <w:szCs w:val="24"/>
        </w:rPr>
      </w:pPr>
      <w:r w:rsidRPr="000A707A">
        <w:rPr>
          <w:rFonts w:ascii="Cambria" w:hAnsi="Cambria"/>
          <w:b/>
          <w:iCs/>
          <w:color w:val="00B0F0"/>
          <w:sz w:val="24"/>
          <w:szCs w:val="24"/>
        </w:rPr>
        <w:t>Analytical validity</w:t>
      </w:r>
      <w:r w:rsidRPr="000A707A">
        <w:rPr>
          <w:rStyle w:val="EndnoteReference"/>
          <w:rFonts w:ascii="Cambria" w:hAnsi="Cambria"/>
          <w:b/>
          <w:iCs/>
          <w:color w:val="00B0F0"/>
          <w:sz w:val="24"/>
          <w:szCs w:val="24"/>
        </w:rPr>
        <w:endnoteReference w:id="20"/>
      </w:r>
      <w:r w:rsidRPr="000A707A">
        <w:rPr>
          <w:rFonts w:ascii="Cambria" w:hAnsi="Cambria"/>
          <w:b/>
          <w:iCs/>
          <w:color w:val="00B0F0"/>
          <w:sz w:val="24"/>
          <w:szCs w:val="24"/>
        </w:rPr>
        <w:t>:</w:t>
      </w:r>
    </w:p>
    <w:p w14:paraId="48D4E8EE" w14:textId="7A94603B" w:rsidR="00C621ED" w:rsidRPr="00E718E4" w:rsidRDefault="00C621ED" w:rsidP="00F42679">
      <w:pPr>
        <w:pStyle w:val="ListParagraph"/>
        <w:numPr>
          <w:ilvl w:val="0"/>
          <w:numId w:val="10"/>
        </w:numPr>
        <w:rPr>
          <w:i/>
          <w:iCs/>
        </w:rPr>
      </w:pPr>
      <w:r>
        <w:t>Analytical sensitivity and specificity</w:t>
      </w:r>
    </w:p>
    <w:p w14:paraId="293CBD08" w14:textId="7C466EB0" w:rsidR="00C621ED" w:rsidRPr="00E718E4" w:rsidRDefault="00C621ED" w:rsidP="00F42679">
      <w:pPr>
        <w:pStyle w:val="ListParagraph"/>
        <w:numPr>
          <w:ilvl w:val="0"/>
          <w:numId w:val="10"/>
        </w:numPr>
        <w:rPr>
          <w:i/>
          <w:iCs/>
        </w:rPr>
      </w:pPr>
      <w:r>
        <w:t>Likelihood ratios</w:t>
      </w:r>
    </w:p>
    <w:p w14:paraId="35115458" w14:textId="7550C1A0" w:rsidR="00C621ED" w:rsidRPr="00E718E4" w:rsidRDefault="00C621ED" w:rsidP="00F42679">
      <w:pPr>
        <w:pStyle w:val="ListParagraph"/>
        <w:numPr>
          <w:ilvl w:val="0"/>
          <w:numId w:val="10"/>
        </w:numPr>
        <w:rPr>
          <w:i/>
          <w:iCs/>
        </w:rPr>
      </w:pPr>
      <w:r>
        <w:t>Rate of repeat testing</w:t>
      </w:r>
    </w:p>
    <w:p w14:paraId="362109FE" w14:textId="7B7F0054" w:rsidR="00C621ED" w:rsidRPr="00E718E4" w:rsidRDefault="00C621ED" w:rsidP="00F42679">
      <w:pPr>
        <w:pStyle w:val="ListParagraph"/>
        <w:numPr>
          <w:ilvl w:val="0"/>
          <w:numId w:val="10"/>
        </w:numPr>
        <w:spacing w:after="120"/>
        <w:rPr>
          <w:i/>
          <w:iCs/>
        </w:rPr>
      </w:pPr>
      <w:r>
        <w:t>Rate of repeat genetic data analysis</w:t>
      </w:r>
    </w:p>
    <w:p w14:paraId="523C8DA7" w14:textId="14F77F78" w:rsidR="00C621ED" w:rsidRPr="000A707A" w:rsidRDefault="00C621ED" w:rsidP="000A707A">
      <w:pPr>
        <w:spacing w:after="80"/>
        <w:rPr>
          <w:rFonts w:ascii="Cambria" w:hAnsi="Cambria"/>
          <w:b/>
          <w:iCs/>
          <w:color w:val="00B0F0"/>
          <w:sz w:val="24"/>
          <w:szCs w:val="24"/>
        </w:rPr>
      </w:pPr>
      <w:r w:rsidRPr="000A707A">
        <w:rPr>
          <w:rFonts w:ascii="Cambria" w:hAnsi="Cambria"/>
          <w:b/>
          <w:iCs/>
          <w:color w:val="00B0F0"/>
          <w:sz w:val="24"/>
          <w:szCs w:val="24"/>
        </w:rPr>
        <w:t>Clinical validity</w:t>
      </w:r>
      <w:r w:rsidRPr="000A707A">
        <w:rPr>
          <w:rStyle w:val="EndnoteReference"/>
          <w:rFonts w:ascii="Cambria" w:hAnsi="Cambria"/>
          <w:b/>
          <w:iCs/>
          <w:color w:val="00B0F0"/>
          <w:sz w:val="24"/>
          <w:szCs w:val="24"/>
        </w:rPr>
        <w:endnoteReference w:id="21"/>
      </w:r>
      <w:r w:rsidRPr="000A707A">
        <w:rPr>
          <w:rFonts w:ascii="Cambria" w:hAnsi="Cambria"/>
          <w:b/>
          <w:iCs/>
          <w:color w:val="00B0F0"/>
          <w:sz w:val="24"/>
          <w:szCs w:val="24"/>
        </w:rPr>
        <w:t>:</w:t>
      </w:r>
    </w:p>
    <w:p w14:paraId="5E3113E1" w14:textId="206A67ED" w:rsidR="00C621ED" w:rsidRDefault="00C621ED" w:rsidP="00F42679">
      <w:pPr>
        <w:pStyle w:val="ListParagraph"/>
        <w:numPr>
          <w:ilvl w:val="0"/>
          <w:numId w:val="11"/>
        </w:numPr>
      </w:pPr>
      <w:r>
        <w:t>Clinical sensitivity and specificity</w:t>
      </w:r>
    </w:p>
    <w:p w14:paraId="2D21AB31" w14:textId="6C9DA4F2" w:rsidR="00C621ED" w:rsidRDefault="00C621ED" w:rsidP="00F42679">
      <w:pPr>
        <w:pStyle w:val="ListParagraph"/>
        <w:numPr>
          <w:ilvl w:val="0"/>
          <w:numId w:val="11"/>
        </w:numPr>
        <w:spacing w:after="120"/>
      </w:pPr>
      <w:r>
        <w:t>Positive and negative predictive values</w:t>
      </w:r>
    </w:p>
    <w:p w14:paraId="4E1747FE" w14:textId="0CCD733C" w:rsidR="00C621ED" w:rsidRPr="000A707A" w:rsidRDefault="00C621ED" w:rsidP="00E20165">
      <w:pPr>
        <w:spacing w:after="120"/>
        <w:rPr>
          <w:rFonts w:ascii="Cambria" w:hAnsi="Cambria"/>
          <w:b/>
          <w:color w:val="00B0F0"/>
          <w:sz w:val="28"/>
          <w:szCs w:val="28"/>
          <w:u w:val="single"/>
        </w:rPr>
      </w:pPr>
      <w:r w:rsidRPr="000A707A">
        <w:rPr>
          <w:rFonts w:ascii="Cambria" w:hAnsi="Cambria"/>
          <w:b/>
          <w:color w:val="00B0F0"/>
          <w:sz w:val="28"/>
          <w:szCs w:val="28"/>
          <w:u w:val="single"/>
        </w:rPr>
        <w:t>Healthcare system outcomes</w:t>
      </w:r>
    </w:p>
    <w:p w14:paraId="074EB403" w14:textId="180F00C9" w:rsidR="00C621ED" w:rsidRDefault="00C621ED" w:rsidP="00F00576">
      <w:r>
        <w:t>A</w:t>
      </w:r>
      <w:r w:rsidRPr="00033475">
        <w:t>vailability of</w:t>
      </w:r>
      <w:r>
        <w:t xml:space="preserve"> genetic testing</w:t>
      </w:r>
      <w:r w:rsidRPr="00033475">
        <w:t xml:space="preserve"> </w:t>
      </w:r>
      <w:r>
        <w:t xml:space="preserve">for people with suspected NMD (and cascade testing of family members and fetuses) </w:t>
      </w:r>
      <w:r w:rsidRPr="00033475">
        <w:t xml:space="preserve">will have implications for the Australian healthcare system. </w:t>
      </w:r>
    </w:p>
    <w:p w14:paraId="654DCC57" w14:textId="74DF0926" w:rsidR="00C621ED" w:rsidRDefault="00C621ED" w:rsidP="00F00576">
      <w:r>
        <w:t>Availability of NMD gene panel and variant-specific tests will likely involve additional consultations with clinicians, so people and pregnant females with suspected NMD, and those with a family history of these disorders, understand what the testing provides and the implications for patients and their families. Positive results of these genetic tests will result in referrals to other healthcare clinicians and consultations at genetic counselling services. Where a gene has been identified as a causal variant, the genetic test provides a definitive diagnosis. It is therefore expected there will be fewer specialist appointments, especially for diagnostic purposes, before appropriate treatment can be commenced</w:t>
      </w:r>
      <w:r w:rsidRPr="00D86FCA">
        <w:t xml:space="preserve"> </w:t>
      </w:r>
      <w:r>
        <w:t>(where a known variant is detected).</w:t>
      </w:r>
    </w:p>
    <w:p w14:paraId="2FA4FD67" w14:textId="77777777" w:rsidR="00CA3C67" w:rsidRDefault="00CA3C67">
      <w:r>
        <w:br w:type="page"/>
      </w:r>
    </w:p>
    <w:p w14:paraId="08F18C59" w14:textId="2135FFD9" w:rsidR="00C621ED" w:rsidRDefault="00C621ED" w:rsidP="000A707A">
      <w:pPr>
        <w:spacing w:after="160"/>
      </w:pPr>
      <w:r>
        <w:lastRenderedPageBreak/>
        <w:t>The a</w:t>
      </w:r>
      <w:r w:rsidRPr="0053662A">
        <w:t xml:space="preserve">pplicant claims that </w:t>
      </w:r>
      <w:r>
        <w:t>equal access to</w:t>
      </w:r>
      <w:r w:rsidRPr="0053662A">
        <w:t xml:space="preserve"> </w:t>
      </w:r>
      <w:r>
        <w:t>NMD genetic tests, via MBS funding,</w:t>
      </w:r>
      <w:r w:rsidRPr="0053662A">
        <w:t xml:space="preserve"> will minimise the cost of </w:t>
      </w:r>
      <w:r>
        <w:t xml:space="preserve">other diagnostic </w:t>
      </w:r>
      <w:r w:rsidRPr="0053662A">
        <w:t>test</w:t>
      </w:r>
      <w:r>
        <w:t>s</w:t>
      </w:r>
      <w:r w:rsidRPr="0053662A">
        <w:t xml:space="preserve"> </w:t>
      </w:r>
      <w:r>
        <w:t>and</w:t>
      </w:r>
      <w:r w:rsidRPr="0053662A">
        <w:t xml:space="preserve"> decrease the risk of treatment with inappropriate therapies. </w:t>
      </w:r>
      <w:r>
        <w:t>NMD genetic panel tests could therefore</w:t>
      </w:r>
      <w:r w:rsidRPr="0053662A">
        <w:t xml:space="preserve"> have a lower cost than multiple sequential </w:t>
      </w:r>
      <w:r>
        <w:t>genetic and non-genetic diagnostic tests,</w:t>
      </w:r>
      <w:r w:rsidRPr="0053662A">
        <w:t xml:space="preserve"> and reduce the costs associated with inappropriate treatment (for the therapy and associated adverse events).</w:t>
      </w:r>
      <w:r>
        <w:t xml:space="preserve">  </w:t>
      </w:r>
    </w:p>
    <w:p w14:paraId="24DFEEF6" w14:textId="153131E1" w:rsidR="00C621ED" w:rsidRDefault="00C621ED" w:rsidP="000A707A">
      <w:pPr>
        <w:spacing w:after="120"/>
      </w:pPr>
      <w:r>
        <w:t>Couples will be able to choose other reproductive options. If so, this would result in a cost-saving for the MBS, PBS and other healthcare use (e.g. public/private hospitalisation and/or non-admitted patient sessions, private health insurance). For people or fetuses with a negative NMD genetic test result, the impact on healthcare resources will be the cost of the test or MBS fee.</w:t>
      </w:r>
    </w:p>
    <w:p w14:paraId="173D9F96" w14:textId="77777777" w:rsidR="00C621ED" w:rsidRPr="000A707A" w:rsidRDefault="00C621ED" w:rsidP="000A707A">
      <w:pPr>
        <w:spacing w:after="80"/>
        <w:rPr>
          <w:rFonts w:ascii="Cambria" w:hAnsi="Cambria"/>
          <w:b/>
          <w:iCs/>
          <w:color w:val="00B0F0"/>
          <w:sz w:val="24"/>
          <w:szCs w:val="24"/>
        </w:rPr>
      </w:pPr>
      <w:r w:rsidRPr="000A707A">
        <w:rPr>
          <w:rFonts w:ascii="Cambria" w:hAnsi="Cambria"/>
          <w:b/>
          <w:iCs/>
          <w:color w:val="00B0F0"/>
          <w:sz w:val="24"/>
          <w:szCs w:val="24"/>
        </w:rPr>
        <w:t>Healthcare resources:</w:t>
      </w:r>
    </w:p>
    <w:p w14:paraId="0BB21317" w14:textId="64F9336D" w:rsidR="00C621ED" w:rsidRDefault="00C621ED" w:rsidP="00F42679">
      <w:pPr>
        <w:pStyle w:val="ListParagraph"/>
        <w:numPr>
          <w:ilvl w:val="0"/>
          <w:numId w:val="1"/>
        </w:numPr>
        <w:ind w:hanging="76"/>
      </w:pPr>
      <w:r>
        <w:t>Cost of gene panel test or variant-specific test</w:t>
      </w:r>
    </w:p>
    <w:p w14:paraId="49931167" w14:textId="5E653E85" w:rsidR="00C621ED" w:rsidRDefault="00C621ED" w:rsidP="00F42679">
      <w:pPr>
        <w:pStyle w:val="ListParagraph"/>
        <w:numPr>
          <w:ilvl w:val="0"/>
          <w:numId w:val="1"/>
        </w:numPr>
        <w:ind w:hanging="76"/>
      </w:pPr>
      <w:r>
        <w:t>Number of</w:t>
      </w:r>
      <w:r w:rsidR="008F12C1">
        <w:t xml:space="preserve"> samples</w:t>
      </w:r>
      <w:r>
        <w:t xml:space="preserve">, and </w:t>
      </w:r>
      <w:r w:rsidR="008F12C1">
        <w:t xml:space="preserve">the </w:t>
      </w:r>
      <w:r>
        <w:t xml:space="preserve">cost associated with obtaining </w:t>
      </w:r>
      <w:r w:rsidR="008F12C1">
        <w:t>them</w:t>
      </w:r>
    </w:p>
    <w:p w14:paraId="2A0F712A" w14:textId="77777777" w:rsidR="00C621ED" w:rsidRDefault="00C621ED" w:rsidP="00F42679">
      <w:pPr>
        <w:pStyle w:val="ListParagraph"/>
        <w:numPr>
          <w:ilvl w:val="0"/>
          <w:numId w:val="1"/>
        </w:numPr>
        <w:ind w:hanging="76"/>
      </w:pPr>
      <w:r>
        <w:t>Additional medical practitioner consultations</w:t>
      </w:r>
    </w:p>
    <w:p w14:paraId="2D751C72" w14:textId="77777777" w:rsidR="00C621ED" w:rsidRDefault="00C621ED" w:rsidP="00F42679">
      <w:pPr>
        <w:pStyle w:val="ListParagraph"/>
        <w:numPr>
          <w:ilvl w:val="0"/>
          <w:numId w:val="1"/>
        </w:numPr>
        <w:ind w:hanging="76"/>
      </w:pPr>
      <w:r>
        <w:t>Cost of retesting and/or data reanalysis</w:t>
      </w:r>
    </w:p>
    <w:p w14:paraId="00D10022" w14:textId="77777777" w:rsidR="00C621ED" w:rsidRDefault="00C621ED" w:rsidP="00F42679">
      <w:pPr>
        <w:pStyle w:val="ListParagraph"/>
        <w:numPr>
          <w:ilvl w:val="0"/>
          <w:numId w:val="1"/>
        </w:numPr>
        <w:ind w:hanging="76"/>
      </w:pPr>
      <w:r>
        <w:t>Cost of genetic counselling</w:t>
      </w:r>
    </w:p>
    <w:p w14:paraId="6CFECD19" w14:textId="08A4E327" w:rsidR="00C621ED" w:rsidRDefault="00C621ED" w:rsidP="00F42679">
      <w:pPr>
        <w:pStyle w:val="ListParagraph"/>
        <w:numPr>
          <w:ilvl w:val="0"/>
          <w:numId w:val="1"/>
        </w:numPr>
        <w:ind w:hanging="76"/>
      </w:pPr>
      <w:r>
        <w:t>Cost offset by reducing number of diagnostic tests</w:t>
      </w:r>
    </w:p>
    <w:p w14:paraId="38AB0844" w14:textId="42E6E689" w:rsidR="00C621ED" w:rsidRDefault="00C621ED" w:rsidP="00F42679">
      <w:pPr>
        <w:pStyle w:val="ListParagraph"/>
        <w:numPr>
          <w:ilvl w:val="0"/>
          <w:numId w:val="1"/>
        </w:numPr>
        <w:ind w:hanging="76"/>
      </w:pPr>
      <w:r>
        <w:t>Cost of targeted therapies</w:t>
      </w:r>
    </w:p>
    <w:p w14:paraId="060F337E" w14:textId="77777777" w:rsidR="00C621ED" w:rsidRDefault="00C621ED" w:rsidP="00F42679">
      <w:pPr>
        <w:pStyle w:val="ListParagraph"/>
        <w:numPr>
          <w:ilvl w:val="0"/>
          <w:numId w:val="1"/>
        </w:numPr>
        <w:ind w:hanging="76"/>
      </w:pPr>
      <w:r>
        <w:t>Cost of pregnancy termination</w:t>
      </w:r>
    </w:p>
    <w:p w14:paraId="10372E16" w14:textId="2ED68DF8" w:rsidR="00C621ED" w:rsidRDefault="00C621ED" w:rsidP="00F42679">
      <w:pPr>
        <w:pStyle w:val="ListParagraph"/>
        <w:numPr>
          <w:ilvl w:val="0"/>
          <w:numId w:val="1"/>
        </w:numPr>
        <w:ind w:hanging="76"/>
      </w:pPr>
      <w:r>
        <w:t>Cost offset by reducing number of births with NMD</w:t>
      </w:r>
    </w:p>
    <w:p w14:paraId="781120FB" w14:textId="63F5C0CB" w:rsidR="00C621ED" w:rsidRDefault="00C621ED" w:rsidP="00F42679">
      <w:pPr>
        <w:pStyle w:val="ListParagraph"/>
        <w:numPr>
          <w:ilvl w:val="0"/>
          <w:numId w:val="1"/>
        </w:numPr>
        <w:ind w:left="709" w:hanging="425"/>
      </w:pPr>
      <w:r>
        <w:t>Costs of pre-implantation genetic diagnosis for couples with a previously affected infant, or who are known carriers</w:t>
      </w:r>
    </w:p>
    <w:p w14:paraId="4ACB608C" w14:textId="77777777" w:rsidR="00C621ED" w:rsidRDefault="00C621ED" w:rsidP="00F42679">
      <w:pPr>
        <w:pStyle w:val="ListParagraph"/>
        <w:numPr>
          <w:ilvl w:val="0"/>
          <w:numId w:val="1"/>
        </w:numPr>
        <w:ind w:hanging="76"/>
      </w:pPr>
      <w:r>
        <w:t>Cost per quality-adjusted life year</w:t>
      </w:r>
    </w:p>
    <w:p w14:paraId="5AC25BA0" w14:textId="4EE53913" w:rsidR="00C621ED" w:rsidRPr="00FC2C74" w:rsidRDefault="00C621ED" w:rsidP="00F42679">
      <w:pPr>
        <w:pStyle w:val="ListParagraph"/>
        <w:numPr>
          <w:ilvl w:val="0"/>
          <w:numId w:val="1"/>
        </w:numPr>
        <w:ind w:hanging="76"/>
      </w:pPr>
      <w:r>
        <w:t>Total Australian Government healthcare costs</w:t>
      </w:r>
    </w:p>
    <w:p w14:paraId="5A833A56" w14:textId="5911F763" w:rsidR="00C621ED" w:rsidRPr="002E459A" w:rsidRDefault="00C621ED" w:rsidP="002E459A">
      <w:pPr>
        <w:sectPr w:rsidR="00C621ED" w:rsidRPr="002E459A" w:rsidSect="00CE4690">
          <w:footnotePr>
            <w:numRestart w:val="eachPage"/>
          </w:footnotePr>
          <w:endnotePr>
            <w:numFmt w:val="decimal"/>
          </w:endnotePr>
          <w:pgSz w:w="11906" w:h="16838"/>
          <w:pgMar w:top="709" w:right="1440" w:bottom="1440" w:left="1440" w:header="708" w:footer="708" w:gutter="0"/>
          <w:cols w:space="708"/>
          <w:docGrid w:linePitch="360"/>
        </w:sectPr>
      </w:pPr>
    </w:p>
    <w:p w14:paraId="38AEBD92" w14:textId="65A993F3" w:rsidR="00C621ED" w:rsidRPr="00125EA8" w:rsidRDefault="00C621ED" w:rsidP="000A707A">
      <w:pPr>
        <w:pStyle w:val="Heading2"/>
        <w:spacing w:before="0" w:line="240" w:lineRule="auto"/>
        <w:jc w:val="both"/>
        <w:rPr>
          <w:rFonts w:ascii="Cambria" w:hAnsi="Cambria"/>
          <w:i w:val="0"/>
          <w:color w:val="00B0F0"/>
          <w:sz w:val="32"/>
          <w:szCs w:val="32"/>
          <w:u w:val="none"/>
        </w:rPr>
      </w:pPr>
      <w:r w:rsidRPr="00125EA8">
        <w:rPr>
          <w:rFonts w:ascii="Cambria" w:hAnsi="Cambria"/>
          <w:i w:val="0"/>
          <w:color w:val="00B0F0"/>
          <w:sz w:val="32"/>
          <w:szCs w:val="32"/>
          <w:u w:val="none"/>
        </w:rPr>
        <w:lastRenderedPageBreak/>
        <w:t>Current and proposed clinical management algorithms</w:t>
      </w:r>
    </w:p>
    <w:p w14:paraId="3C5BE841" w14:textId="77777777" w:rsidR="00655C99" w:rsidRPr="00D02A9E" w:rsidRDefault="00655C99" w:rsidP="00D02A9E">
      <w:pPr>
        <w:pStyle w:val="Heading2"/>
        <w:spacing w:before="0" w:after="0" w:line="240" w:lineRule="auto"/>
        <w:jc w:val="both"/>
        <w:rPr>
          <w:rFonts w:ascii="Cambria" w:hAnsi="Cambria"/>
          <w:color w:val="00B0F0"/>
          <w:sz w:val="16"/>
          <w:szCs w:val="16"/>
        </w:rPr>
      </w:pPr>
    </w:p>
    <w:p w14:paraId="7038FC51" w14:textId="6C84C3E4" w:rsidR="00C621ED" w:rsidRPr="00F40FCD" w:rsidRDefault="00C621ED" w:rsidP="000A707A">
      <w:pPr>
        <w:pStyle w:val="Heading2"/>
        <w:spacing w:before="0" w:line="240" w:lineRule="auto"/>
        <w:jc w:val="both"/>
        <w:rPr>
          <w:rFonts w:ascii="Cambria" w:hAnsi="Cambria"/>
          <w:i w:val="0"/>
          <w:color w:val="00B0F0"/>
          <w:sz w:val="28"/>
          <w:szCs w:val="28"/>
        </w:rPr>
      </w:pPr>
      <w:r w:rsidRPr="00F40FCD">
        <w:rPr>
          <w:rFonts w:ascii="Cambria" w:hAnsi="Cambria"/>
          <w:i w:val="0"/>
          <w:color w:val="00B0F0"/>
          <w:sz w:val="28"/>
          <w:szCs w:val="28"/>
        </w:rPr>
        <w:t>Current clinical management algorithm for identified population</w:t>
      </w:r>
    </w:p>
    <w:p w14:paraId="23984D7F" w14:textId="77777777" w:rsidR="00C621ED" w:rsidRPr="00511D5D" w:rsidRDefault="00C621ED" w:rsidP="00511D5D">
      <w:r w:rsidRPr="00511D5D">
        <w:t>Under the current clinical management pathway, people with suspected NMD, pregnant females with a fetus with signs of NMD and those with a family history of these disorders, are referred for genetic testing by their medical practitioner. If they accept to be tested, the service is currently performed on a user-pay basis.</w:t>
      </w:r>
    </w:p>
    <w:p w14:paraId="24E1BF2E" w14:textId="329177FF" w:rsidR="00C621ED" w:rsidRPr="00511D5D" w:rsidRDefault="00C621ED" w:rsidP="00511D5D">
      <w:r w:rsidRPr="00511D5D">
        <w:fldChar w:fldCharType="begin"/>
      </w:r>
      <w:r w:rsidRPr="00511D5D">
        <w:instrText xml:space="preserve"> REF _Ref21426602 \h </w:instrText>
      </w:r>
      <w:r>
        <w:instrText xml:space="preserve"> \* MERGEFORMAT </w:instrText>
      </w:r>
      <w:r w:rsidRPr="00511D5D">
        <w:fldChar w:fldCharType="separate"/>
      </w:r>
      <w:r w:rsidRPr="00511D5D">
        <w:t>Figure 1</w:t>
      </w:r>
      <w:r w:rsidRPr="00511D5D">
        <w:fldChar w:fldCharType="end"/>
      </w:r>
      <w:r w:rsidRPr="00511D5D">
        <w:t xml:space="preserve"> and </w:t>
      </w:r>
      <w:r w:rsidRPr="00511D5D">
        <w:fldChar w:fldCharType="begin"/>
      </w:r>
      <w:r w:rsidRPr="00511D5D">
        <w:instrText xml:space="preserve"> REF _Ref21426757 \h </w:instrText>
      </w:r>
      <w:r>
        <w:instrText xml:space="preserve"> \* MERGEFORMAT </w:instrText>
      </w:r>
      <w:r w:rsidRPr="00511D5D">
        <w:fldChar w:fldCharType="separate"/>
      </w:r>
      <w:r w:rsidRPr="00511D5D">
        <w:t>Figure 2</w:t>
      </w:r>
      <w:r w:rsidRPr="00511D5D">
        <w:fldChar w:fldCharType="end"/>
      </w:r>
      <w:r>
        <w:t xml:space="preserve"> present</w:t>
      </w:r>
      <w:r w:rsidRPr="00511D5D">
        <w:t xml:space="preserve"> the current clinical management algorithm for NMD genetic testi</w:t>
      </w:r>
      <w:r>
        <w:t xml:space="preserve">ng in the proposed population. </w:t>
      </w:r>
      <w:r w:rsidRPr="00511D5D">
        <w:t>A multidisciplinary healthcare team treats the patient as they progress with age. These d</w:t>
      </w:r>
      <w:r>
        <w:t>iseases significantly affect</w:t>
      </w:r>
      <w:r w:rsidRPr="00511D5D">
        <w:t xml:space="preserve"> quality of life and are associated with increased healthcare costs. </w:t>
      </w:r>
    </w:p>
    <w:p w14:paraId="1A7C7B57" w14:textId="25313BF8" w:rsidR="00C621ED" w:rsidRPr="000A707A" w:rsidRDefault="00C621ED" w:rsidP="0047314B">
      <w:pPr>
        <w:pStyle w:val="Caption"/>
        <w:spacing w:after="120" w:line="360" w:lineRule="auto"/>
        <w:rPr>
          <w:sz w:val="24"/>
          <w:szCs w:val="24"/>
        </w:rPr>
      </w:pPr>
      <w:bookmarkStart w:id="6" w:name="_Ref21426602"/>
      <w:bookmarkStart w:id="7" w:name="_Ref21426591"/>
      <w:r w:rsidRPr="000A707A">
        <w:rPr>
          <w:sz w:val="24"/>
          <w:szCs w:val="24"/>
        </w:rPr>
        <w:t xml:space="preserve">Figure </w:t>
      </w:r>
      <w:r w:rsidRPr="000A707A">
        <w:rPr>
          <w:sz w:val="24"/>
          <w:szCs w:val="24"/>
        </w:rPr>
        <w:fldChar w:fldCharType="begin"/>
      </w:r>
      <w:r w:rsidRPr="000A707A">
        <w:rPr>
          <w:sz w:val="24"/>
          <w:szCs w:val="24"/>
        </w:rPr>
        <w:instrText xml:space="preserve"> SEQ Figure \* ARABIC </w:instrText>
      </w:r>
      <w:r w:rsidRPr="000A707A">
        <w:rPr>
          <w:sz w:val="24"/>
          <w:szCs w:val="24"/>
        </w:rPr>
        <w:fldChar w:fldCharType="separate"/>
      </w:r>
      <w:r w:rsidRPr="000A707A">
        <w:rPr>
          <w:noProof/>
          <w:sz w:val="24"/>
          <w:szCs w:val="24"/>
        </w:rPr>
        <w:t>1</w:t>
      </w:r>
      <w:r w:rsidRPr="000A707A">
        <w:rPr>
          <w:sz w:val="24"/>
          <w:szCs w:val="24"/>
        </w:rPr>
        <w:fldChar w:fldCharType="end"/>
      </w:r>
      <w:bookmarkEnd w:id="6"/>
      <w:r w:rsidRPr="000A707A">
        <w:rPr>
          <w:sz w:val="24"/>
          <w:szCs w:val="24"/>
        </w:rPr>
        <w:t>: Current clinical algorithm – variant-specific NMD genetic test</w:t>
      </w:r>
      <w:bookmarkEnd w:id="7"/>
    </w:p>
    <w:p w14:paraId="2A769BE8" w14:textId="5DF41F96" w:rsidR="00C621ED" w:rsidRDefault="00C621ED" w:rsidP="001716A6">
      <w:pPr>
        <w:rPr>
          <w:lang w:val="en-GB" w:eastAsia="ja-JP"/>
        </w:rPr>
      </w:pPr>
      <w:r w:rsidRPr="001716A6">
        <w:rPr>
          <w:noProof/>
          <w:lang w:eastAsia="en-AU"/>
        </w:rPr>
        <w:drawing>
          <wp:inline distT="0" distB="0" distL="0" distR="0" wp14:anchorId="796CB0F4" wp14:editId="682CA7EC">
            <wp:extent cx="6037975" cy="2856865"/>
            <wp:effectExtent l="0" t="0" r="1270" b="635"/>
            <wp:docPr id="9" name="Picture 9" descr="Picture"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42307" cy="2858915"/>
                    </a:xfrm>
                    <a:prstGeom prst="rect">
                      <a:avLst/>
                    </a:prstGeom>
                  </pic:spPr>
                </pic:pic>
              </a:graphicData>
            </a:graphic>
          </wp:inline>
        </w:drawing>
      </w:r>
    </w:p>
    <w:p w14:paraId="2646E98E" w14:textId="2527A0F6" w:rsidR="00C621ED" w:rsidRPr="0047314B" w:rsidRDefault="00C621ED" w:rsidP="00490055"/>
    <w:p w14:paraId="3B4D046D" w14:textId="29CD4BA8" w:rsidR="00C621ED" w:rsidRPr="000A707A" w:rsidRDefault="00C621ED" w:rsidP="0047314B">
      <w:pPr>
        <w:pStyle w:val="Caption"/>
        <w:spacing w:after="240" w:line="360" w:lineRule="auto"/>
        <w:rPr>
          <w:sz w:val="24"/>
          <w:szCs w:val="24"/>
        </w:rPr>
      </w:pPr>
      <w:bookmarkStart w:id="8" w:name="_Ref21426757"/>
      <w:r w:rsidRPr="000A707A">
        <w:rPr>
          <w:sz w:val="24"/>
          <w:szCs w:val="24"/>
        </w:rPr>
        <w:lastRenderedPageBreak/>
        <w:t xml:space="preserve">Figure </w:t>
      </w:r>
      <w:r w:rsidRPr="000A707A">
        <w:rPr>
          <w:sz w:val="24"/>
          <w:szCs w:val="24"/>
        </w:rPr>
        <w:fldChar w:fldCharType="begin"/>
      </w:r>
      <w:r w:rsidRPr="000A707A">
        <w:rPr>
          <w:sz w:val="24"/>
          <w:szCs w:val="24"/>
        </w:rPr>
        <w:instrText xml:space="preserve"> SEQ Figure \* ARABIC </w:instrText>
      </w:r>
      <w:r w:rsidRPr="000A707A">
        <w:rPr>
          <w:sz w:val="24"/>
          <w:szCs w:val="24"/>
        </w:rPr>
        <w:fldChar w:fldCharType="separate"/>
      </w:r>
      <w:r w:rsidRPr="000A707A">
        <w:rPr>
          <w:noProof/>
          <w:sz w:val="24"/>
          <w:szCs w:val="24"/>
        </w:rPr>
        <w:t>2</w:t>
      </w:r>
      <w:r w:rsidRPr="000A707A">
        <w:rPr>
          <w:sz w:val="24"/>
          <w:szCs w:val="24"/>
        </w:rPr>
        <w:fldChar w:fldCharType="end"/>
      </w:r>
      <w:bookmarkEnd w:id="8"/>
      <w:r w:rsidRPr="000A707A">
        <w:rPr>
          <w:sz w:val="24"/>
          <w:szCs w:val="24"/>
        </w:rPr>
        <w:t xml:space="preserve">: </w:t>
      </w:r>
      <w:bookmarkStart w:id="9" w:name="_Ref21426765"/>
      <w:r w:rsidRPr="000A707A">
        <w:rPr>
          <w:sz w:val="24"/>
          <w:szCs w:val="24"/>
        </w:rPr>
        <w:t xml:space="preserve">Current clinical algorithm – NMD gene panel test (myopathy and/or neuropathy) </w:t>
      </w:r>
      <w:bookmarkEnd w:id="9"/>
    </w:p>
    <w:p w14:paraId="43DC2427" w14:textId="3E05463A" w:rsidR="00C621ED" w:rsidRDefault="00C621ED" w:rsidP="000A3541">
      <w:pPr>
        <w:rPr>
          <w:lang w:val="en-GB" w:eastAsia="ja-JP"/>
        </w:rPr>
      </w:pPr>
      <w:r w:rsidRPr="000A3541">
        <w:rPr>
          <w:noProof/>
          <w:lang w:eastAsia="en-AU"/>
        </w:rPr>
        <w:drawing>
          <wp:inline distT="0" distB="0" distL="0" distR="0" wp14:anchorId="6B63EC8B" wp14:editId="1E99BF02">
            <wp:extent cx="6211242" cy="2875915"/>
            <wp:effectExtent l="0" t="0" r="0" b="635"/>
            <wp:docPr id="10" name="Picture 10" descr="Picture"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14135" cy="2877255"/>
                    </a:xfrm>
                    <a:prstGeom prst="rect">
                      <a:avLst/>
                    </a:prstGeom>
                  </pic:spPr>
                </pic:pic>
              </a:graphicData>
            </a:graphic>
          </wp:inline>
        </w:drawing>
      </w:r>
    </w:p>
    <w:p w14:paraId="5E1229F6" w14:textId="70C40C41" w:rsidR="00C621ED" w:rsidRPr="00F40FCD" w:rsidRDefault="00C621ED" w:rsidP="000A707A">
      <w:pPr>
        <w:spacing w:after="120"/>
        <w:rPr>
          <w:rFonts w:ascii="Cambria" w:hAnsi="Cambria"/>
          <w:b/>
          <w:color w:val="00B0F0"/>
          <w:sz w:val="28"/>
          <w:szCs w:val="28"/>
          <w:u w:val="single"/>
        </w:rPr>
      </w:pPr>
      <w:r w:rsidRPr="008005C1">
        <w:br w:type="page"/>
      </w:r>
      <w:r w:rsidRPr="00F40FCD">
        <w:rPr>
          <w:rFonts w:ascii="Cambria" w:hAnsi="Cambria"/>
          <w:b/>
          <w:color w:val="00B0F0"/>
          <w:sz w:val="28"/>
          <w:szCs w:val="28"/>
          <w:u w:val="single"/>
        </w:rPr>
        <w:lastRenderedPageBreak/>
        <w:t>Proposed clinical management algorithm for identified population</w:t>
      </w:r>
    </w:p>
    <w:p w14:paraId="5B11EA8F" w14:textId="4B7D0CA9" w:rsidR="00C621ED" w:rsidRDefault="00C621ED" w:rsidP="00FC404D">
      <w:r>
        <w:fldChar w:fldCharType="begin"/>
      </w:r>
      <w:r>
        <w:instrText xml:space="preserve"> REF _Ref21426904 \h </w:instrText>
      </w:r>
      <w:r>
        <w:fldChar w:fldCharType="separate"/>
      </w:r>
      <w:r>
        <w:t xml:space="preserve">Figure </w:t>
      </w:r>
      <w:r>
        <w:rPr>
          <w:noProof/>
        </w:rPr>
        <w:t>3</w:t>
      </w:r>
      <w:r>
        <w:fldChar w:fldCharType="end"/>
      </w:r>
      <w:r>
        <w:t xml:space="preserve"> and </w:t>
      </w:r>
      <w:r>
        <w:fldChar w:fldCharType="begin"/>
      </w:r>
      <w:r>
        <w:instrText xml:space="preserve"> REF _Ref21427153 \h </w:instrText>
      </w:r>
      <w:r>
        <w:fldChar w:fldCharType="separate"/>
      </w:r>
      <w:r>
        <w:t xml:space="preserve">Figure </w:t>
      </w:r>
      <w:r>
        <w:rPr>
          <w:noProof/>
        </w:rPr>
        <w:t>4</w:t>
      </w:r>
      <w:r>
        <w:fldChar w:fldCharType="end"/>
      </w:r>
      <w:r>
        <w:t xml:space="preserve"> present the proposed clinical management algorithm for NMD genetic testing in the proposed population. The main difference between the current and proposed clinical algorithm is that NMD genetic testing is MBS subsidised (for the proposed clinical management algorithm), rather than on a user-pay basis (current clinical management algorithm). If genetic testing is undertaken (noting some individuals may object to genetic testing), current diagnostic processes funded under the MBS may not be required. </w:t>
      </w:r>
    </w:p>
    <w:p w14:paraId="6D8E8935" w14:textId="1032A9DF" w:rsidR="00C621ED" w:rsidRPr="00F40FCD" w:rsidRDefault="00C621ED" w:rsidP="000D0D5D">
      <w:r w:rsidRPr="00F40FCD">
        <w:t>PASC noted the management algorithms were complex and heterogeneous, involving a multi-disciplinary approach (including counselling and referral to a neuromuscular specialist, in addition to paediatricians, respiratory therapists and cardiologists). The applicant would like clarification on whether genetic counselling should be reflected in the proposed algorithms (while noting it is funded outside the MBS in the public sector).This doesn’t need to be included as a specific step in the algorithm, but should be noted in the PICO that ‘genetic counselling’ may be performed by either a genetic counsellor, or by a specialist physician, or both.</w:t>
      </w:r>
      <w:r w:rsidRPr="00BF5A3D">
        <w:t xml:space="preserve"> </w:t>
      </w:r>
      <w:r w:rsidRPr="00F40FCD">
        <w:t>A change has been made to the text on page 14 which clarifies who can provide the genetic counselling required (genetic counsellor, specialist physician, or both).</w:t>
      </w:r>
    </w:p>
    <w:p w14:paraId="511ABAE6" w14:textId="05E38B47" w:rsidR="00C621ED" w:rsidRPr="00F40FCD" w:rsidRDefault="00C621ED" w:rsidP="007618C5">
      <w:r w:rsidRPr="00F40FCD">
        <w:t>PASC noted an incorrect loopback in the flowchart for an “individual presenting post-natally, with clinical signs and symptoms of an NMD” (Figure 4). This needs to be corrected – i.e. in the “Genetic testing declined” arm of the chart, the arrow from a positive result following variant-specific gene testing should not lead back to myopathy/neuropathy panel testing.</w:t>
      </w:r>
      <w:r w:rsidRPr="00BF5A3D">
        <w:t xml:space="preserve"> </w:t>
      </w:r>
      <w:r w:rsidRPr="00F40FCD">
        <w:t xml:space="preserve">The applicant agreed with the suggested changes to the algorithms, noting Figures 2 and 4 contain the same erroneous loop back.  The applicant repeated that the correct term is ‘variant’, not ‘mutation’. </w:t>
      </w:r>
    </w:p>
    <w:p w14:paraId="6BFCE577" w14:textId="16CCBF55" w:rsidR="00C621ED" w:rsidRDefault="00C621ED" w:rsidP="00FC404D"/>
    <w:p w14:paraId="47D4E470" w14:textId="1F538702" w:rsidR="00F40FCD" w:rsidRDefault="00F40FCD" w:rsidP="00FC404D"/>
    <w:p w14:paraId="626F2606" w14:textId="49515696" w:rsidR="00F40FCD" w:rsidRDefault="00F40FCD" w:rsidP="00FC404D"/>
    <w:p w14:paraId="507385AB" w14:textId="2865EB32" w:rsidR="00F40FCD" w:rsidRDefault="00F40FCD" w:rsidP="00FC404D"/>
    <w:p w14:paraId="68FCAC5C" w14:textId="20AB0038" w:rsidR="00F40FCD" w:rsidRDefault="00F40FCD" w:rsidP="00FC404D"/>
    <w:p w14:paraId="5B342169" w14:textId="71305D30" w:rsidR="00F40FCD" w:rsidRDefault="00F40FCD" w:rsidP="00FC404D"/>
    <w:p w14:paraId="6773F11F" w14:textId="0A820663" w:rsidR="00F40FCD" w:rsidRDefault="00F40FCD" w:rsidP="00FC404D"/>
    <w:p w14:paraId="393BA861" w14:textId="51D7AA00" w:rsidR="00F40FCD" w:rsidRDefault="00F40FCD" w:rsidP="00FC404D"/>
    <w:p w14:paraId="59A193AC" w14:textId="3602A265" w:rsidR="00F40FCD" w:rsidRDefault="00F40FCD" w:rsidP="00FC404D"/>
    <w:p w14:paraId="1E1CDF26" w14:textId="49FA7F27" w:rsidR="00F40FCD" w:rsidRDefault="00F40FCD" w:rsidP="00FC404D"/>
    <w:p w14:paraId="29ECCD4B" w14:textId="3CFA9E05" w:rsidR="00F40FCD" w:rsidRDefault="00F40FCD" w:rsidP="00FC404D"/>
    <w:p w14:paraId="758CED85" w14:textId="77777777" w:rsidR="00F40FCD" w:rsidRDefault="00F40FCD" w:rsidP="00FC404D"/>
    <w:p w14:paraId="3574AE58" w14:textId="77777777" w:rsidR="00F40FCD" w:rsidRDefault="00F40FCD" w:rsidP="00FC404D"/>
    <w:p w14:paraId="43663131" w14:textId="159EDBAE" w:rsidR="00C621ED" w:rsidRPr="000A707A" w:rsidRDefault="00C621ED" w:rsidP="0047314B">
      <w:pPr>
        <w:pStyle w:val="Caption"/>
        <w:spacing w:line="360" w:lineRule="auto"/>
        <w:rPr>
          <w:sz w:val="24"/>
          <w:szCs w:val="24"/>
        </w:rPr>
      </w:pPr>
      <w:bookmarkStart w:id="10" w:name="_Ref21426904"/>
      <w:r w:rsidRPr="000A707A">
        <w:rPr>
          <w:sz w:val="24"/>
          <w:szCs w:val="24"/>
        </w:rPr>
        <w:lastRenderedPageBreak/>
        <w:t xml:space="preserve">Figure </w:t>
      </w:r>
      <w:r w:rsidRPr="000A707A">
        <w:rPr>
          <w:sz w:val="24"/>
          <w:szCs w:val="24"/>
        </w:rPr>
        <w:fldChar w:fldCharType="begin"/>
      </w:r>
      <w:r w:rsidRPr="000A707A">
        <w:rPr>
          <w:sz w:val="24"/>
          <w:szCs w:val="24"/>
        </w:rPr>
        <w:instrText xml:space="preserve"> SEQ Figure \* ARABIC </w:instrText>
      </w:r>
      <w:r w:rsidRPr="000A707A">
        <w:rPr>
          <w:sz w:val="24"/>
          <w:szCs w:val="24"/>
        </w:rPr>
        <w:fldChar w:fldCharType="separate"/>
      </w:r>
      <w:r w:rsidRPr="000A707A">
        <w:rPr>
          <w:noProof/>
          <w:sz w:val="24"/>
          <w:szCs w:val="24"/>
        </w:rPr>
        <w:t>3</w:t>
      </w:r>
      <w:r w:rsidRPr="000A707A">
        <w:rPr>
          <w:sz w:val="24"/>
          <w:szCs w:val="24"/>
        </w:rPr>
        <w:fldChar w:fldCharType="end"/>
      </w:r>
      <w:bookmarkEnd w:id="10"/>
      <w:r w:rsidRPr="000A707A">
        <w:rPr>
          <w:sz w:val="24"/>
          <w:szCs w:val="24"/>
        </w:rPr>
        <w:t xml:space="preserve">: Proposed clinical algorithm – Variant-specific NMD genetic test </w:t>
      </w:r>
    </w:p>
    <w:p w14:paraId="53D38FEE" w14:textId="45394509" w:rsidR="00D10282" w:rsidRDefault="00B13CF6" w:rsidP="00154351">
      <w:pPr>
        <w:rPr>
          <w:sz w:val="16"/>
          <w:szCs w:val="16"/>
        </w:rPr>
      </w:pPr>
      <w:r>
        <w:rPr>
          <w:noProof/>
          <w:lang w:eastAsia="en-AU"/>
        </w:rPr>
        <w:drawing>
          <wp:anchor distT="0" distB="0" distL="114300" distR="114300" simplePos="0" relativeHeight="251658240" behindDoc="0" locked="0" layoutInCell="1" allowOverlap="1" wp14:anchorId="7F24BD09" wp14:editId="154096BD">
            <wp:simplePos x="0" y="0"/>
            <wp:positionH relativeFrom="margin">
              <wp:posOffset>-520700</wp:posOffset>
            </wp:positionH>
            <wp:positionV relativeFrom="paragraph">
              <wp:posOffset>213360</wp:posOffset>
            </wp:positionV>
            <wp:extent cx="7039300" cy="2779308"/>
            <wp:effectExtent l="0" t="0" r="0" b="2540"/>
            <wp:wrapNone/>
            <wp:docPr id="5" name="Picture 5" descr="Picture"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7039300" cy="2779308"/>
                    </a:xfrm>
                    <a:prstGeom prst="rect">
                      <a:avLst/>
                    </a:prstGeom>
                  </pic:spPr>
                </pic:pic>
              </a:graphicData>
            </a:graphic>
            <wp14:sizeRelH relativeFrom="page">
              <wp14:pctWidth>0</wp14:pctWidth>
            </wp14:sizeRelH>
            <wp14:sizeRelV relativeFrom="page">
              <wp14:pctHeight>0</wp14:pctHeight>
            </wp14:sizeRelV>
          </wp:anchor>
        </w:drawing>
      </w:r>
    </w:p>
    <w:p w14:paraId="78BA3122" w14:textId="03EF47CF" w:rsidR="00D10282" w:rsidRDefault="00D10282" w:rsidP="00154351">
      <w:pPr>
        <w:rPr>
          <w:sz w:val="16"/>
          <w:szCs w:val="16"/>
        </w:rPr>
      </w:pPr>
    </w:p>
    <w:p w14:paraId="70FD2CF6" w14:textId="6527DC3F" w:rsidR="00D10282" w:rsidRDefault="00D10282" w:rsidP="00154351">
      <w:pPr>
        <w:rPr>
          <w:sz w:val="16"/>
          <w:szCs w:val="16"/>
        </w:rPr>
      </w:pPr>
    </w:p>
    <w:p w14:paraId="3E4E1FB1" w14:textId="13C640D8" w:rsidR="00B13CF6" w:rsidRDefault="00B13CF6" w:rsidP="00154351">
      <w:pPr>
        <w:rPr>
          <w:sz w:val="16"/>
          <w:szCs w:val="16"/>
        </w:rPr>
      </w:pPr>
    </w:p>
    <w:p w14:paraId="08EF3936" w14:textId="648C4D63" w:rsidR="00B13CF6" w:rsidRDefault="00B13CF6" w:rsidP="00154351">
      <w:pPr>
        <w:rPr>
          <w:sz w:val="16"/>
          <w:szCs w:val="16"/>
        </w:rPr>
      </w:pPr>
    </w:p>
    <w:p w14:paraId="06D6AF27" w14:textId="67D9A14E" w:rsidR="00B13CF6" w:rsidRDefault="00B13CF6" w:rsidP="00154351">
      <w:pPr>
        <w:rPr>
          <w:sz w:val="16"/>
          <w:szCs w:val="16"/>
        </w:rPr>
      </w:pPr>
    </w:p>
    <w:p w14:paraId="2EAB5C9E" w14:textId="53AE20FE" w:rsidR="00B13CF6" w:rsidRDefault="00B13CF6" w:rsidP="00154351">
      <w:pPr>
        <w:rPr>
          <w:sz w:val="16"/>
          <w:szCs w:val="16"/>
        </w:rPr>
      </w:pPr>
    </w:p>
    <w:p w14:paraId="57FD95B7" w14:textId="484777A4" w:rsidR="00B13CF6" w:rsidRDefault="00B13CF6" w:rsidP="00154351">
      <w:pPr>
        <w:rPr>
          <w:sz w:val="16"/>
          <w:szCs w:val="16"/>
        </w:rPr>
      </w:pPr>
    </w:p>
    <w:p w14:paraId="2AEA5971" w14:textId="7641BBB5" w:rsidR="00B13CF6" w:rsidRDefault="00B13CF6" w:rsidP="00154351">
      <w:pPr>
        <w:rPr>
          <w:sz w:val="16"/>
          <w:szCs w:val="16"/>
        </w:rPr>
      </w:pPr>
    </w:p>
    <w:p w14:paraId="1A971E25" w14:textId="5F58B2ED" w:rsidR="00B13CF6" w:rsidRDefault="00B13CF6" w:rsidP="00154351">
      <w:pPr>
        <w:rPr>
          <w:sz w:val="16"/>
          <w:szCs w:val="16"/>
        </w:rPr>
      </w:pPr>
    </w:p>
    <w:p w14:paraId="4A09C373" w14:textId="260CE3C0" w:rsidR="00B13CF6" w:rsidRDefault="00B13CF6" w:rsidP="00154351">
      <w:pPr>
        <w:rPr>
          <w:sz w:val="16"/>
          <w:szCs w:val="16"/>
        </w:rPr>
      </w:pPr>
    </w:p>
    <w:p w14:paraId="6C1DA930" w14:textId="4040E2A3" w:rsidR="00F40FCD" w:rsidRDefault="00C621ED" w:rsidP="00F40FCD">
      <w:pPr>
        <w:spacing w:after="0"/>
        <w:rPr>
          <w:sz w:val="16"/>
          <w:szCs w:val="16"/>
        </w:rPr>
      </w:pPr>
      <w:r>
        <w:rPr>
          <w:sz w:val="16"/>
          <w:szCs w:val="16"/>
        </w:rPr>
        <w:t>*Assuming 100% sensitivity and specificity of the Variant-specific test</w:t>
      </w:r>
    </w:p>
    <w:p w14:paraId="0387C68A" w14:textId="26482CDF" w:rsidR="00BF5A3D" w:rsidRPr="00F40FCD" w:rsidRDefault="00BF5A3D" w:rsidP="00F40FCD">
      <w:pPr>
        <w:spacing w:after="0"/>
        <w:rPr>
          <w:i/>
          <w:sz w:val="16"/>
          <w:szCs w:val="16"/>
        </w:rPr>
      </w:pPr>
      <w:r w:rsidRPr="00F40FCD">
        <w:rPr>
          <w:i/>
          <w:sz w:val="16"/>
          <w:szCs w:val="16"/>
        </w:rPr>
        <w:t>Updated based on PASC advice that, ‘mutation-specific testing’ should be changed to ‘variant-specific testing’.</w:t>
      </w:r>
    </w:p>
    <w:p w14:paraId="4CD86C99" w14:textId="002ADD86" w:rsidR="00C621ED" w:rsidRDefault="00C621ED" w:rsidP="00154351"/>
    <w:p w14:paraId="5DC02486" w14:textId="1A23F93E" w:rsidR="00C621ED" w:rsidRPr="000A707A" w:rsidRDefault="00CA3C67" w:rsidP="0047314B">
      <w:pPr>
        <w:pStyle w:val="Caption"/>
        <w:spacing w:line="360" w:lineRule="auto"/>
        <w:rPr>
          <w:sz w:val="24"/>
          <w:szCs w:val="24"/>
        </w:rPr>
      </w:pPr>
      <w:bookmarkStart w:id="11" w:name="_Ref21427153"/>
      <w:r>
        <w:rPr>
          <w:noProof/>
          <w:lang w:val="en-AU" w:eastAsia="en-AU"/>
        </w:rPr>
        <w:drawing>
          <wp:anchor distT="0" distB="0" distL="114300" distR="114300" simplePos="0" relativeHeight="251659264" behindDoc="0" locked="0" layoutInCell="1" allowOverlap="1" wp14:anchorId="2D17C858" wp14:editId="15C7B41E">
            <wp:simplePos x="0" y="0"/>
            <wp:positionH relativeFrom="margin">
              <wp:align>center</wp:align>
            </wp:positionH>
            <wp:positionV relativeFrom="paragraph">
              <wp:posOffset>335915</wp:posOffset>
            </wp:positionV>
            <wp:extent cx="7240776" cy="3441418"/>
            <wp:effectExtent l="0" t="0" r="0" b="6985"/>
            <wp:wrapNone/>
            <wp:docPr id="6" name="Picture 6" descr="Picture"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240776" cy="3441418"/>
                    </a:xfrm>
                    <a:prstGeom prst="rect">
                      <a:avLst/>
                    </a:prstGeom>
                  </pic:spPr>
                </pic:pic>
              </a:graphicData>
            </a:graphic>
            <wp14:sizeRelH relativeFrom="page">
              <wp14:pctWidth>0</wp14:pctWidth>
            </wp14:sizeRelH>
            <wp14:sizeRelV relativeFrom="page">
              <wp14:pctHeight>0</wp14:pctHeight>
            </wp14:sizeRelV>
          </wp:anchor>
        </w:drawing>
      </w:r>
      <w:r w:rsidR="00C621ED" w:rsidRPr="000A707A">
        <w:rPr>
          <w:sz w:val="24"/>
          <w:szCs w:val="24"/>
        </w:rPr>
        <w:t xml:space="preserve">Figure </w:t>
      </w:r>
      <w:r w:rsidR="00C621ED" w:rsidRPr="000A707A">
        <w:rPr>
          <w:sz w:val="24"/>
          <w:szCs w:val="24"/>
        </w:rPr>
        <w:fldChar w:fldCharType="begin"/>
      </w:r>
      <w:r w:rsidR="00C621ED" w:rsidRPr="000A707A">
        <w:rPr>
          <w:sz w:val="24"/>
          <w:szCs w:val="24"/>
        </w:rPr>
        <w:instrText xml:space="preserve"> SEQ Figure \* ARABIC </w:instrText>
      </w:r>
      <w:r w:rsidR="00C621ED" w:rsidRPr="000A707A">
        <w:rPr>
          <w:sz w:val="24"/>
          <w:szCs w:val="24"/>
        </w:rPr>
        <w:fldChar w:fldCharType="separate"/>
      </w:r>
      <w:r w:rsidR="00C621ED" w:rsidRPr="000A707A">
        <w:rPr>
          <w:noProof/>
          <w:sz w:val="24"/>
          <w:szCs w:val="24"/>
        </w:rPr>
        <w:t>4</w:t>
      </w:r>
      <w:r w:rsidR="00C621ED" w:rsidRPr="000A707A">
        <w:rPr>
          <w:sz w:val="24"/>
          <w:szCs w:val="24"/>
        </w:rPr>
        <w:fldChar w:fldCharType="end"/>
      </w:r>
      <w:bookmarkEnd w:id="11"/>
      <w:r w:rsidR="00C621ED" w:rsidRPr="000A707A">
        <w:rPr>
          <w:sz w:val="24"/>
          <w:szCs w:val="24"/>
        </w:rPr>
        <w:t xml:space="preserve">: Proposed clinical algorithm – NMD gene panel test (myopathy and/or neuropathy) </w:t>
      </w:r>
    </w:p>
    <w:p w14:paraId="767333F6" w14:textId="3C18AFFB" w:rsidR="00C621ED" w:rsidRPr="000C22AD" w:rsidRDefault="00C621ED" w:rsidP="00173763">
      <w:r w:rsidRPr="001F3959">
        <w:rPr>
          <w:noProof/>
        </w:rPr>
        <w:t xml:space="preserve"> </w:t>
      </w:r>
    </w:p>
    <w:p w14:paraId="58A38E14" w14:textId="55546C75" w:rsidR="00D10282" w:rsidRDefault="00D10282" w:rsidP="00BB612E">
      <w:pPr>
        <w:rPr>
          <w:iCs/>
          <w:noProof/>
          <w:sz w:val="16"/>
          <w:szCs w:val="16"/>
          <w:lang w:eastAsia="en-AU"/>
        </w:rPr>
      </w:pPr>
    </w:p>
    <w:p w14:paraId="1599815A" w14:textId="63E8086F" w:rsidR="00D10282" w:rsidRDefault="00D10282" w:rsidP="00BB612E">
      <w:pPr>
        <w:rPr>
          <w:iCs/>
          <w:noProof/>
          <w:sz w:val="16"/>
          <w:szCs w:val="16"/>
          <w:lang w:eastAsia="en-AU"/>
        </w:rPr>
      </w:pPr>
    </w:p>
    <w:p w14:paraId="5CD1A1BC" w14:textId="197C7751" w:rsidR="00B13CF6" w:rsidRDefault="00B13CF6" w:rsidP="00BB612E">
      <w:pPr>
        <w:rPr>
          <w:iCs/>
          <w:noProof/>
          <w:sz w:val="16"/>
          <w:szCs w:val="16"/>
          <w:lang w:eastAsia="en-AU"/>
        </w:rPr>
      </w:pPr>
    </w:p>
    <w:p w14:paraId="462046F7" w14:textId="05207119" w:rsidR="00B13CF6" w:rsidRDefault="00B13CF6" w:rsidP="00BB612E">
      <w:pPr>
        <w:rPr>
          <w:iCs/>
          <w:noProof/>
          <w:sz w:val="16"/>
          <w:szCs w:val="16"/>
          <w:lang w:eastAsia="en-AU"/>
        </w:rPr>
      </w:pPr>
    </w:p>
    <w:p w14:paraId="2C296AE6" w14:textId="62D47703" w:rsidR="00B13CF6" w:rsidRDefault="00B13CF6" w:rsidP="00BB612E">
      <w:pPr>
        <w:rPr>
          <w:iCs/>
          <w:noProof/>
          <w:sz w:val="16"/>
          <w:szCs w:val="16"/>
          <w:lang w:eastAsia="en-AU"/>
        </w:rPr>
      </w:pPr>
    </w:p>
    <w:p w14:paraId="5B4DC4B2" w14:textId="59AA3ADE" w:rsidR="00B13CF6" w:rsidRDefault="00B13CF6" w:rsidP="00BB612E">
      <w:pPr>
        <w:rPr>
          <w:iCs/>
          <w:noProof/>
          <w:sz w:val="16"/>
          <w:szCs w:val="16"/>
          <w:lang w:eastAsia="en-AU"/>
        </w:rPr>
      </w:pPr>
    </w:p>
    <w:p w14:paraId="22D8D9EF" w14:textId="66366B4D" w:rsidR="00B13CF6" w:rsidRDefault="00B13CF6" w:rsidP="00BB612E">
      <w:pPr>
        <w:rPr>
          <w:iCs/>
          <w:noProof/>
          <w:sz w:val="16"/>
          <w:szCs w:val="16"/>
          <w:lang w:eastAsia="en-AU"/>
        </w:rPr>
      </w:pPr>
    </w:p>
    <w:p w14:paraId="392BD3E6" w14:textId="475193E7" w:rsidR="00B13CF6" w:rsidRDefault="00B13CF6" w:rsidP="00BB612E">
      <w:pPr>
        <w:rPr>
          <w:iCs/>
          <w:noProof/>
          <w:sz w:val="16"/>
          <w:szCs w:val="16"/>
          <w:lang w:eastAsia="en-AU"/>
        </w:rPr>
      </w:pPr>
    </w:p>
    <w:p w14:paraId="53209EF4" w14:textId="26AE0FF3" w:rsidR="00B13CF6" w:rsidRDefault="00B13CF6" w:rsidP="00BB612E">
      <w:pPr>
        <w:rPr>
          <w:iCs/>
          <w:noProof/>
          <w:sz w:val="16"/>
          <w:szCs w:val="16"/>
          <w:lang w:eastAsia="en-AU"/>
        </w:rPr>
      </w:pPr>
    </w:p>
    <w:p w14:paraId="5DA967F3" w14:textId="0834DB44" w:rsidR="00B13CF6" w:rsidRDefault="00B13CF6" w:rsidP="00BB612E">
      <w:pPr>
        <w:rPr>
          <w:iCs/>
          <w:noProof/>
          <w:sz w:val="16"/>
          <w:szCs w:val="16"/>
          <w:lang w:eastAsia="en-AU"/>
        </w:rPr>
      </w:pPr>
    </w:p>
    <w:p w14:paraId="13D49FD6" w14:textId="34F9BD17" w:rsidR="00B13CF6" w:rsidRDefault="00B13CF6" w:rsidP="00BB612E">
      <w:pPr>
        <w:rPr>
          <w:iCs/>
          <w:noProof/>
          <w:sz w:val="16"/>
          <w:szCs w:val="16"/>
          <w:lang w:eastAsia="en-AU"/>
        </w:rPr>
      </w:pPr>
    </w:p>
    <w:p w14:paraId="3F015CF7" w14:textId="20D84634" w:rsidR="00B13CF6" w:rsidRDefault="00B13CF6" w:rsidP="00BB612E">
      <w:pPr>
        <w:rPr>
          <w:iCs/>
          <w:noProof/>
          <w:sz w:val="16"/>
          <w:szCs w:val="16"/>
          <w:lang w:eastAsia="en-AU"/>
        </w:rPr>
      </w:pPr>
    </w:p>
    <w:p w14:paraId="34AEEF27" w14:textId="77777777" w:rsidR="00B13CF6" w:rsidRDefault="00C621ED" w:rsidP="00B13CF6">
      <w:pPr>
        <w:spacing w:after="0"/>
        <w:rPr>
          <w:i/>
          <w:sz w:val="16"/>
          <w:szCs w:val="16"/>
        </w:rPr>
      </w:pPr>
      <w:r w:rsidRPr="00B13CF6">
        <w:rPr>
          <w:iCs/>
          <w:noProof/>
          <w:sz w:val="16"/>
          <w:szCs w:val="16"/>
          <w:lang w:eastAsia="en-AU"/>
        </w:rPr>
        <w:t>*Assuming 100% sensitivity and specificty of the gene panel test</w:t>
      </w:r>
    </w:p>
    <w:p w14:paraId="7321C351" w14:textId="0D7AA23E" w:rsidR="00BF5A3D" w:rsidRPr="00B13CF6" w:rsidRDefault="00BF5A3D" w:rsidP="00B13CF6">
      <w:pPr>
        <w:spacing w:after="0"/>
        <w:rPr>
          <w:i/>
          <w:sz w:val="16"/>
          <w:szCs w:val="16"/>
        </w:rPr>
      </w:pPr>
      <w:r w:rsidRPr="00B13CF6">
        <w:rPr>
          <w:iCs/>
          <w:noProof/>
          <w:sz w:val="16"/>
          <w:szCs w:val="16"/>
          <w:lang w:eastAsia="en-AU"/>
        </w:rPr>
        <w:t xml:space="preserve"> </w:t>
      </w:r>
      <w:r w:rsidRPr="00B13CF6">
        <w:rPr>
          <w:i/>
          <w:sz w:val="16"/>
          <w:szCs w:val="16"/>
        </w:rPr>
        <w:t>Updated based on PASC advice that, ‘mutation-specific testing’ should be changed to ‘variant-specific testing’.</w:t>
      </w:r>
    </w:p>
    <w:p w14:paraId="4F00A14D" w14:textId="768ACF1D" w:rsidR="00F40FCD" w:rsidRDefault="00F40FCD" w:rsidP="000A707A">
      <w:pPr>
        <w:pStyle w:val="Heading2"/>
        <w:spacing w:line="240" w:lineRule="auto"/>
        <w:jc w:val="both"/>
        <w:rPr>
          <w:rFonts w:ascii="Cambria" w:hAnsi="Cambria"/>
          <w:i w:val="0"/>
          <w:color w:val="00B0F0"/>
          <w:sz w:val="32"/>
          <w:szCs w:val="32"/>
          <w:u w:val="none"/>
        </w:rPr>
      </w:pPr>
    </w:p>
    <w:p w14:paraId="18D3A0BA" w14:textId="77777777" w:rsidR="000F2EC1" w:rsidRDefault="000F2EC1">
      <w:pPr>
        <w:rPr>
          <w:rFonts w:ascii="Cambria" w:eastAsia="MS Gothic" w:hAnsi="Cambria"/>
          <w:b/>
          <w:bCs/>
          <w:color w:val="00B0F0"/>
          <w:sz w:val="32"/>
          <w:szCs w:val="32"/>
        </w:rPr>
      </w:pPr>
      <w:r>
        <w:rPr>
          <w:rFonts w:ascii="Cambria" w:hAnsi="Cambria"/>
          <w:i/>
          <w:color w:val="00B0F0"/>
          <w:sz w:val="32"/>
          <w:szCs w:val="32"/>
        </w:rPr>
        <w:br w:type="page"/>
      </w:r>
    </w:p>
    <w:p w14:paraId="3CBAE20D" w14:textId="20708CBB" w:rsidR="00C621ED" w:rsidRPr="000A707A" w:rsidRDefault="00C621ED" w:rsidP="000A707A">
      <w:pPr>
        <w:pStyle w:val="Heading2"/>
        <w:spacing w:line="240" w:lineRule="auto"/>
        <w:jc w:val="both"/>
        <w:rPr>
          <w:rFonts w:ascii="Cambria" w:hAnsi="Cambria"/>
          <w:i w:val="0"/>
          <w:color w:val="00B0F0"/>
          <w:sz w:val="32"/>
          <w:szCs w:val="32"/>
          <w:u w:val="none"/>
        </w:rPr>
      </w:pPr>
      <w:r w:rsidRPr="000A707A">
        <w:rPr>
          <w:rFonts w:ascii="Cambria" w:hAnsi="Cambria"/>
          <w:i w:val="0"/>
          <w:color w:val="00B0F0"/>
          <w:sz w:val="32"/>
          <w:szCs w:val="32"/>
          <w:u w:val="none"/>
        </w:rPr>
        <w:lastRenderedPageBreak/>
        <w:t>Proposed economic evaluation</w:t>
      </w:r>
    </w:p>
    <w:p w14:paraId="4613FF1C" w14:textId="2BDC329D" w:rsidR="00D02A9E" w:rsidRPr="00D02A9E" w:rsidRDefault="00D02A9E" w:rsidP="00D02A9E">
      <w:pPr>
        <w:spacing w:after="0"/>
        <w:rPr>
          <w:b/>
          <w:bCs/>
          <w:i/>
          <w:iCs/>
          <w:sz w:val="16"/>
          <w:szCs w:val="16"/>
        </w:rPr>
      </w:pPr>
    </w:p>
    <w:p w14:paraId="11D7FED8" w14:textId="7C21AF23" w:rsidR="00C621ED" w:rsidRPr="00F40FCD" w:rsidRDefault="00C621ED" w:rsidP="000A707A">
      <w:pPr>
        <w:spacing w:after="80"/>
        <w:rPr>
          <w:b/>
          <w:bCs/>
          <w:iCs/>
          <w:sz w:val="24"/>
        </w:rPr>
      </w:pPr>
      <w:r w:rsidRPr="00F40FCD">
        <w:rPr>
          <w:b/>
          <w:bCs/>
          <w:iCs/>
          <w:sz w:val="24"/>
        </w:rPr>
        <w:t>PASC’s First Consideration (December 2019)</w:t>
      </w:r>
    </w:p>
    <w:p w14:paraId="03D2622A" w14:textId="47C77ADF" w:rsidR="00C621ED" w:rsidRPr="00F40FCD" w:rsidRDefault="00C621ED" w:rsidP="008B438C">
      <w:pPr>
        <w:spacing w:after="0"/>
        <w:rPr>
          <w:iCs/>
          <w:sz w:val="16"/>
          <w:szCs w:val="16"/>
        </w:rPr>
      </w:pPr>
      <w:r w:rsidRPr="00F40FCD">
        <w:rPr>
          <w:iCs/>
        </w:rPr>
        <w:t>PASC questioned whether a cost-consequence analysis may be more appropriate than cost-effectiveness. However, PASC noted that cost-consequence analysis would create problems for ESC and MSAC (in terms of judging value propositions). PASC concluded that a cost-consequence analysis could be supplemented with a cost-utility framework.</w:t>
      </w:r>
      <w:r w:rsidRPr="00BF5A3D">
        <w:t xml:space="preserve"> </w:t>
      </w:r>
      <w:r w:rsidRPr="00F40FCD">
        <w:rPr>
          <w:iCs/>
        </w:rPr>
        <w:t>A sentence surrounding the supplementation of a cost utility framework surrounding the cost consequence analysis has been added.</w:t>
      </w:r>
      <w:r w:rsidRPr="00F40FCD">
        <w:rPr>
          <w:iCs/>
        </w:rPr>
        <w:br/>
      </w:r>
    </w:p>
    <w:p w14:paraId="3134BC07" w14:textId="68A7AD5A" w:rsidR="00C621ED" w:rsidRPr="00F40FCD" w:rsidRDefault="00C621ED" w:rsidP="00185189">
      <w:pPr>
        <w:spacing w:after="0"/>
        <w:rPr>
          <w:iCs/>
        </w:rPr>
      </w:pPr>
      <w:r w:rsidRPr="00F40FCD">
        <w:rPr>
          <w:iCs/>
        </w:rPr>
        <w:t xml:space="preserve">PASC stressed the importance of identifying the tests that would replace current MBS-funded tests, and tests that would be additional, noting this would affect the economics considerably. The applicant advised that the proposed intervention will replace current MBS-funded tests (30075, 72844 and 72846) in some circumstances. The applicant elaborated that there will be some circumstances where both </w:t>
      </w:r>
      <w:r w:rsidR="008F12C1" w:rsidRPr="00F40FCD">
        <w:rPr>
          <w:iCs/>
        </w:rPr>
        <w:t xml:space="preserve">current </w:t>
      </w:r>
      <w:r w:rsidRPr="00F40FCD">
        <w:rPr>
          <w:iCs/>
        </w:rPr>
        <w:t>MBS-funded tests and the proposed interventions will be used. Current MBS-funded tests may also be required if a person declines genetic testing.</w:t>
      </w:r>
    </w:p>
    <w:p w14:paraId="49EF2207" w14:textId="77777777" w:rsidR="00C621ED" w:rsidRPr="00F40FCD" w:rsidRDefault="00C621ED" w:rsidP="00185189">
      <w:pPr>
        <w:spacing w:after="0"/>
        <w:rPr>
          <w:iCs/>
        </w:rPr>
      </w:pPr>
      <w:r w:rsidRPr="00F40FCD">
        <w:rPr>
          <w:iCs/>
          <w:sz w:val="16"/>
          <w:szCs w:val="16"/>
        </w:rPr>
        <w:br/>
      </w:r>
      <w:r w:rsidRPr="00F40FCD">
        <w:rPr>
          <w:iCs/>
        </w:rPr>
        <w:t>PASC noted that targeted gene panel test testing could shorten the diagnostic pathway and reduce utilisation of other tests. This is a clear cost offset (not cost utility) that is within scope of the evaluation, but for which evidentiary demands are not trivial.</w:t>
      </w:r>
      <w:r w:rsidRPr="00BF5A3D">
        <w:t xml:space="preserve"> </w:t>
      </w:r>
      <w:r w:rsidRPr="00F40FCD">
        <w:rPr>
          <w:iCs/>
        </w:rPr>
        <w:t xml:space="preserve">A paragraph surrounding the possibility of a shortened diagnostic pathway has been added. </w:t>
      </w:r>
    </w:p>
    <w:p w14:paraId="32C5AEBE" w14:textId="77777777" w:rsidR="00C621ED" w:rsidRPr="00F40FCD" w:rsidRDefault="00C621ED" w:rsidP="00185189">
      <w:pPr>
        <w:spacing w:after="0"/>
        <w:rPr>
          <w:iCs/>
          <w:sz w:val="16"/>
          <w:szCs w:val="16"/>
        </w:rPr>
      </w:pPr>
    </w:p>
    <w:p w14:paraId="7959AA22" w14:textId="48F51B68" w:rsidR="00C621ED" w:rsidRPr="00185189" w:rsidRDefault="00C621ED" w:rsidP="00185189">
      <w:pPr>
        <w:spacing w:after="0"/>
        <w:rPr>
          <w:i/>
          <w:iCs/>
        </w:rPr>
      </w:pPr>
      <w:r w:rsidRPr="00F40FCD">
        <w:rPr>
          <w:iCs/>
        </w:rPr>
        <w:t>The applicant supplied an article by Schofield et al (2017) - “Cost-effectiveness of massively parallel sequencing for diagnosis of paediatric muscle diseases”. The applicant advised that this article should be referenced in the PICO, which it has</w:t>
      </w:r>
      <w:r w:rsidRPr="009815BE">
        <w:rPr>
          <w:i/>
          <w:iCs/>
        </w:rPr>
        <w:t>.</w:t>
      </w:r>
    </w:p>
    <w:p w14:paraId="32076495" w14:textId="0B715F94" w:rsidR="00C621ED" w:rsidRPr="00E53B2A" w:rsidRDefault="00C621ED" w:rsidP="008B438C">
      <w:pPr>
        <w:spacing w:after="0"/>
        <w:rPr>
          <w:i/>
          <w:iCs/>
          <w:sz w:val="16"/>
          <w:szCs w:val="16"/>
        </w:rPr>
      </w:pPr>
    </w:p>
    <w:p w14:paraId="08FE79BA" w14:textId="188E00B8" w:rsidR="00C621ED" w:rsidRPr="00F40FCD" w:rsidRDefault="00C621ED" w:rsidP="008B438C">
      <w:pPr>
        <w:spacing w:after="0"/>
        <w:rPr>
          <w:iCs/>
          <w:color w:val="00B0F0"/>
        </w:rPr>
      </w:pPr>
      <w:r w:rsidRPr="00F40FCD">
        <w:rPr>
          <w:iCs/>
        </w:rPr>
        <w:t>PASC acknowledged that obtaining accurate utilisation data will be key for this application, because Australian incidence and prevalence data for NMDs are lacking.</w:t>
      </w:r>
      <w:r w:rsidRPr="00BF5A3D" w:rsidDel="00422405">
        <w:t xml:space="preserve"> </w:t>
      </w:r>
      <w:r w:rsidRPr="00F40FCD">
        <w:t xml:space="preserve">PASC noted that the </w:t>
      </w:r>
      <w:r w:rsidRPr="00F40FCD">
        <w:rPr>
          <w:iCs/>
        </w:rPr>
        <w:t xml:space="preserve">currently accepted method to sample fetal DNA is by CVS or amniocentesis. </w:t>
      </w:r>
    </w:p>
    <w:p w14:paraId="60AA86D6" w14:textId="016C5A92" w:rsidR="00C621ED" w:rsidRPr="00F40FCD" w:rsidRDefault="00C621ED" w:rsidP="008B438C">
      <w:pPr>
        <w:spacing w:after="0"/>
        <w:rPr>
          <w:iCs/>
          <w:sz w:val="16"/>
          <w:szCs w:val="16"/>
        </w:rPr>
      </w:pPr>
    </w:p>
    <w:p w14:paraId="0903B05D" w14:textId="5248B11C" w:rsidR="00C621ED" w:rsidRPr="00F40FCD" w:rsidRDefault="00C621ED" w:rsidP="008B438C">
      <w:pPr>
        <w:spacing w:after="0"/>
        <w:rPr>
          <w:iCs/>
          <w:sz w:val="16"/>
          <w:szCs w:val="16"/>
        </w:rPr>
      </w:pPr>
      <w:r w:rsidRPr="00F40FCD">
        <w:rPr>
          <w:iCs/>
        </w:rPr>
        <w:t>PASC noted leakage may be an issue for cascade and pre-natal testing. The applicant advised that, given proposed MBS item descriptors BBBB and CCCC are conditional on positive findings from AAAA or DDDD, there should be minimal leakage (if items BBBB and CCCC are strictly followed in practice).</w:t>
      </w:r>
      <w:r w:rsidRPr="00F40FCD">
        <w:rPr>
          <w:iCs/>
        </w:rPr>
        <w:br/>
      </w:r>
    </w:p>
    <w:p w14:paraId="13695E95" w14:textId="77777777" w:rsidR="00C621ED" w:rsidRPr="00F40FCD" w:rsidRDefault="00C621ED" w:rsidP="0074294E">
      <w:pPr>
        <w:spacing w:after="120"/>
        <w:rPr>
          <w:iCs/>
        </w:rPr>
      </w:pPr>
      <w:r w:rsidRPr="00F40FCD">
        <w:rPr>
          <w:iCs/>
        </w:rPr>
        <w:t>PASC advised that costs used in the evaluation will need to be closely analysed, noting that patient out-of-pocket costs may be:</w:t>
      </w:r>
    </w:p>
    <w:p w14:paraId="31708BF0" w14:textId="58549FE5" w:rsidR="00C621ED" w:rsidRPr="00F40FCD" w:rsidRDefault="00C621ED" w:rsidP="00F42679">
      <w:pPr>
        <w:pStyle w:val="ListParagraph"/>
        <w:numPr>
          <w:ilvl w:val="0"/>
          <w:numId w:val="23"/>
        </w:numPr>
        <w:spacing w:after="0"/>
        <w:rPr>
          <w:iCs/>
          <w:sz w:val="10"/>
          <w:szCs w:val="10"/>
        </w:rPr>
      </w:pPr>
      <w:r w:rsidRPr="00F40FCD">
        <w:rPr>
          <w:iCs/>
        </w:rPr>
        <w:t>more than the 15% not reimbursed by Medicare (i.e. based on the 85% MBS rebate for non-admitted [out-of-hospital] patients) OR</w:t>
      </w:r>
      <w:r w:rsidRPr="00F40FCD">
        <w:rPr>
          <w:iCs/>
        </w:rPr>
        <w:br/>
      </w:r>
    </w:p>
    <w:p w14:paraId="6D91937C" w14:textId="644311F8" w:rsidR="00C621ED" w:rsidRPr="00F40FCD" w:rsidRDefault="00C621ED" w:rsidP="00F42679">
      <w:pPr>
        <w:pStyle w:val="ListParagraph"/>
        <w:numPr>
          <w:ilvl w:val="0"/>
          <w:numId w:val="23"/>
        </w:numPr>
        <w:spacing w:after="0"/>
        <w:rPr>
          <w:iCs/>
        </w:rPr>
      </w:pPr>
      <w:r w:rsidRPr="00F40FCD">
        <w:rPr>
          <w:iCs/>
        </w:rPr>
        <w:t xml:space="preserve">more than the Greatest Permissible Gap (GPG) amount. From 1 November 2019, the GPG is set at $84.70, which means that all out-of-hospital Medicare services which have an MBS fee of $565.00 or more will attract a benefit that is greater than 85% of the MBS fee. If, for example, the schedule fee for a service is $1,000, then the 85% benefit would be $850 which means that the gap is $150. In this case, the GPG would apply and the patient would receive a Medicare benefit of $915.30, not $850 (i.e. $1,000 minus the GPG of $84.70). </w:t>
      </w:r>
      <w:r w:rsidRPr="00F40FCD">
        <w:rPr>
          <w:b/>
          <w:iCs/>
        </w:rPr>
        <w:t>Source: MBS Online</w:t>
      </w:r>
    </w:p>
    <w:p w14:paraId="7C1538F2" w14:textId="77777777" w:rsidR="00F40FCD" w:rsidRPr="00F40FCD" w:rsidRDefault="00F40FCD" w:rsidP="00F40FCD">
      <w:pPr>
        <w:pStyle w:val="ListParagraph"/>
        <w:spacing w:after="0"/>
        <w:ind w:left="360"/>
        <w:rPr>
          <w:iCs/>
        </w:rPr>
      </w:pPr>
    </w:p>
    <w:p w14:paraId="25247CBF" w14:textId="77777777" w:rsidR="00C621ED" w:rsidRPr="00E53B2A" w:rsidRDefault="00C621ED" w:rsidP="00764900">
      <w:pPr>
        <w:spacing w:after="0"/>
        <w:rPr>
          <w:sz w:val="16"/>
          <w:szCs w:val="16"/>
        </w:rPr>
      </w:pPr>
    </w:p>
    <w:p w14:paraId="7FB9A3F2" w14:textId="77777777" w:rsidR="000F2EC1" w:rsidRDefault="000F2EC1">
      <w:pPr>
        <w:rPr>
          <w:b/>
          <w:bCs/>
          <w:iCs/>
          <w:sz w:val="24"/>
        </w:rPr>
      </w:pPr>
      <w:r>
        <w:rPr>
          <w:b/>
          <w:bCs/>
          <w:iCs/>
          <w:sz w:val="24"/>
        </w:rPr>
        <w:br w:type="page"/>
      </w:r>
    </w:p>
    <w:p w14:paraId="79235A87" w14:textId="688CE1A7" w:rsidR="004E2B54" w:rsidRPr="00F40FCD" w:rsidRDefault="004E2B54" w:rsidP="004E2B54">
      <w:pPr>
        <w:spacing w:after="80"/>
        <w:rPr>
          <w:b/>
          <w:bCs/>
          <w:iCs/>
          <w:sz w:val="24"/>
        </w:rPr>
      </w:pPr>
      <w:r w:rsidRPr="00F40FCD">
        <w:rPr>
          <w:b/>
          <w:bCs/>
          <w:iCs/>
          <w:sz w:val="24"/>
        </w:rPr>
        <w:lastRenderedPageBreak/>
        <w:t>PASC’s Second Consideration (April 2020)</w:t>
      </w:r>
    </w:p>
    <w:p w14:paraId="5C54E11B" w14:textId="77777777" w:rsidR="004E2B54" w:rsidRPr="00F40FCD" w:rsidRDefault="004E2B54" w:rsidP="004E2B54">
      <w:pPr>
        <w:rPr>
          <w:i/>
          <w:iCs/>
        </w:rPr>
      </w:pPr>
      <w:r w:rsidRPr="00F40FCD">
        <w:rPr>
          <w:i/>
          <w:iCs/>
        </w:rPr>
        <w:t>PASC confirmed that the analysis should be a cost‐effectiveness and/or cost-utility analysis.</w:t>
      </w:r>
    </w:p>
    <w:p w14:paraId="28767BE9" w14:textId="77777777" w:rsidR="00F40FCD" w:rsidRDefault="004E2B54" w:rsidP="00B75BB1">
      <w:r w:rsidRPr="00F40FCD">
        <w:rPr>
          <w:i/>
          <w:iCs/>
        </w:rPr>
        <w:t xml:space="preserve">PASC agreed with the consultation feedback, that ‘In children, nerve and muscle biopsies are done under general anaesthesia. This cost should therefore include that of a hospital day-stay admission and general anaesthetic, and has been under-estimated.’ This should be considered in the economic </w:t>
      </w:r>
      <w:r w:rsidR="00F40FCD" w:rsidRPr="00F40FCD">
        <w:rPr>
          <w:i/>
          <w:iCs/>
        </w:rPr>
        <w:t>evaluation.</w:t>
      </w:r>
      <w:r w:rsidR="00F40FCD">
        <w:t xml:space="preserve"> </w:t>
      </w:r>
    </w:p>
    <w:p w14:paraId="5B478610" w14:textId="40FF97FC" w:rsidR="00C621ED" w:rsidRDefault="00F40FCD" w:rsidP="00B75BB1">
      <w:r>
        <w:t>The</w:t>
      </w:r>
      <w:r w:rsidR="00C621ED">
        <w:t xml:space="preserve"> clinical claim is that genetic testing for NMD, is inferior in terms of safety and superior in terms of clinical effectiveness, compared to no genetic testing for the proposed population.  </w:t>
      </w:r>
    </w:p>
    <w:p w14:paraId="62FC38AA" w14:textId="77777777" w:rsidR="00C621ED" w:rsidRDefault="00C621ED" w:rsidP="00B75BB1">
      <w:r>
        <w:t xml:space="preserve">According to the </w:t>
      </w:r>
      <w:r w:rsidRPr="00416ECD">
        <w:rPr>
          <w:i/>
          <w:iCs/>
        </w:rPr>
        <w:t>Technical Guidelines for preparing assessment reports for the Medical Services Advisory Committee: Investigative</w:t>
      </w:r>
      <w:r w:rsidRPr="00416ECD">
        <w:t>, the required economic analysis is therefore a cost‐effectiveness and/or cost-utility analysis.</w:t>
      </w:r>
      <w:r>
        <w:t xml:space="preserve"> </w:t>
      </w:r>
      <w:r w:rsidRPr="00416ECD">
        <w:t xml:space="preserve"> This type of analysis will determine the incremental cost per extra unit of health outcome achieved, expressed in quality-adjusted life years (QALYs) because of a reduction in the number of </w:t>
      </w:r>
      <w:r>
        <w:t xml:space="preserve">further diagnostic tests, early treatment and fewer number of </w:t>
      </w:r>
      <w:r w:rsidRPr="00416ECD">
        <w:t xml:space="preserve">babies born with </w:t>
      </w:r>
      <w:r>
        <w:t>NMD</w:t>
      </w:r>
      <w:r w:rsidRPr="00416ECD">
        <w:t>.</w:t>
      </w:r>
      <w:r>
        <w:t xml:space="preserve">  A</w:t>
      </w:r>
      <w:r w:rsidRPr="00550FE4">
        <w:t xml:space="preserve"> cost-consequence analysis could be supplemented with </w:t>
      </w:r>
      <w:r>
        <w:t>the</w:t>
      </w:r>
      <w:r w:rsidRPr="00550FE4">
        <w:t xml:space="preserve"> cost-utility framework.</w:t>
      </w:r>
      <w:r>
        <w:t xml:space="preserve"> </w:t>
      </w:r>
    </w:p>
    <w:p w14:paraId="43DD2868" w14:textId="379E576F" w:rsidR="00C621ED" w:rsidRDefault="00C621ED" w:rsidP="00B75BB1">
      <w:r w:rsidRPr="008B438C">
        <w:t xml:space="preserve">Targeted gene panel test testing could shorten the diagnostic pathway and reduce utilisation of other tests. </w:t>
      </w:r>
      <w:r>
        <w:t xml:space="preserve"> </w:t>
      </w:r>
      <w:r w:rsidRPr="008B438C">
        <w:t>This is a clear cost offset (not cost utility) that is within scope of the evaluation, but for which evidentiary demands are not trivial.</w:t>
      </w:r>
    </w:p>
    <w:p w14:paraId="6A869F48" w14:textId="5FD30E02" w:rsidR="00C621ED" w:rsidRDefault="00C621ED" w:rsidP="00B75BB1">
      <w:r>
        <w:t>For the economic evaluation, QALYs should be calculated for each of the endpoint outcomes.  If QALYs cannot be calculated, then the measure of effectiveness can be expressed in life years or other outcomes.</w:t>
      </w:r>
    </w:p>
    <w:p w14:paraId="4056ADE6" w14:textId="6BB5BD4B" w:rsidR="0041773B" w:rsidRDefault="00C621ED" w:rsidP="00006557">
      <w:r>
        <w:t>An Australian cost-effective analysis study of 56 patients compared the costs involved with traditional NMD diagnostic tests and an NMD gene panel test.  The results revealed that the NMD gene panel was more cost effective.  Traditional diagnostic tests on average cost AUD$10,491 per patient and AUD$22,596 per successful diagnosis.  The NMD gene panel cost $6,683 less than traditional diagnostic tests, per patient.  This reduction in the cost per patient was statistically significant at 5% level of significance</w:t>
      </w:r>
      <w:r>
        <w:rPr>
          <w:rStyle w:val="EndnoteReference"/>
        </w:rPr>
        <w:endnoteReference w:id="22"/>
      </w:r>
      <w:r>
        <w:t>.</w:t>
      </w:r>
    </w:p>
    <w:p w14:paraId="4BBC0ECD" w14:textId="17EF9F3F" w:rsidR="00D02A9E" w:rsidRPr="00323A2E" w:rsidRDefault="00752491" w:rsidP="00323A2E">
      <w:pPr>
        <w:pStyle w:val="Heading2"/>
        <w:spacing w:line="240" w:lineRule="auto"/>
        <w:jc w:val="both"/>
        <w:rPr>
          <w:rFonts w:ascii="Cambria" w:hAnsi="Cambria"/>
          <w:i w:val="0"/>
          <w:color w:val="00B0F0"/>
          <w:sz w:val="32"/>
          <w:szCs w:val="32"/>
          <w:u w:val="none"/>
        </w:rPr>
      </w:pPr>
      <w:r w:rsidRPr="000A707A">
        <w:rPr>
          <w:rFonts w:ascii="Cambria" w:hAnsi="Cambria"/>
          <w:i w:val="0"/>
          <w:color w:val="00B0F0"/>
          <w:sz w:val="32"/>
          <w:szCs w:val="32"/>
          <w:u w:val="none"/>
        </w:rPr>
        <w:t>Proposed</w:t>
      </w:r>
      <w:r w:rsidR="00764900" w:rsidRPr="000A707A">
        <w:rPr>
          <w:rFonts w:ascii="Cambria" w:hAnsi="Cambria"/>
          <w:i w:val="0"/>
          <w:color w:val="00B0F0"/>
          <w:sz w:val="32"/>
          <w:szCs w:val="32"/>
          <w:u w:val="none"/>
        </w:rPr>
        <w:t xml:space="preserve"> MBS</w:t>
      </w:r>
      <w:r w:rsidRPr="000A707A">
        <w:rPr>
          <w:rFonts w:ascii="Cambria" w:hAnsi="Cambria"/>
          <w:i w:val="0"/>
          <w:color w:val="00B0F0"/>
          <w:sz w:val="32"/>
          <w:szCs w:val="32"/>
          <w:u w:val="none"/>
        </w:rPr>
        <w:t xml:space="preserve"> item descriptor</w:t>
      </w:r>
      <w:r w:rsidR="00764900" w:rsidRPr="000A707A">
        <w:rPr>
          <w:rFonts w:ascii="Cambria" w:hAnsi="Cambria"/>
          <w:i w:val="0"/>
          <w:color w:val="00B0F0"/>
          <w:sz w:val="32"/>
          <w:szCs w:val="32"/>
          <w:u w:val="none"/>
        </w:rPr>
        <w:t>/s and MBS fees (if relevant)</w:t>
      </w:r>
    </w:p>
    <w:p w14:paraId="28BCFE1F" w14:textId="318B655B" w:rsidR="00F23850" w:rsidRPr="007C100A" w:rsidRDefault="00F23850" w:rsidP="00AB614A">
      <w:pPr>
        <w:spacing w:after="80"/>
        <w:rPr>
          <w:b/>
          <w:bCs/>
          <w:iCs/>
          <w:sz w:val="24"/>
        </w:rPr>
      </w:pPr>
      <w:r w:rsidRPr="007C100A">
        <w:rPr>
          <w:b/>
          <w:bCs/>
          <w:iCs/>
          <w:sz w:val="24"/>
        </w:rPr>
        <w:t>PASC’s</w:t>
      </w:r>
      <w:r w:rsidR="0018364B" w:rsidRPr="007C100A">
        <w:rPr>
          <w:b/>
          <w:bCs/>
          <w:iCs/>
          <w:sz w:val="24"/>
        </w:rPr>
        <w:t xml:space="preserve"> First Consideration (December 2019)</w:t>
      </w:r>
    </w:p>
    <w:p w14:paraId="1F5DF22F" w14:textId="766F592D" w:rsidR="00F23850" w:rsidRPr="007C100A" w:rsidRDefault="00F23850" w:rsidP="008B438C">
      <w:pPr>
        <w:spacing w:after="0"/>
        <w:rPr>
          <w:iCs/>
          <w:sz w:val="16"/>
          <w:szCs w:val="16"/>
        </w:rPr>
      </w:pPr>
      <w:r w:rsidRPr="007C100A">
        <w:rPr>
          <w:iCs/>
        </w:rPr>
        <w:t xml:space="preserve">PASC agreed the MBS item </w:t>
      </w:r>
      <w:r w:rsidRPr="007C100A">
        <w:rPr>
          <w:rFonts w:eastAsia="Times New Roman"/>
          <w:iCs/>
          <w:color w:val="000000"/>
          <w:szCs w:val="20"/>
          <w:lang w:eastAsia="en-AU"/>
        </w:rPr>
        <w:t>descriptors need to be clear about what conditions are being investigated (and how).</w:t>
      </w:r>
      <w:r w:rsidRPr="007C100A">
        <w:rPr>
          <w:rFonts w:eastAsia="Times New Roman"/>
          <w:iCs/>
          <w:color w:val="000000"/>
          <w:szCs w:val="20"/>
          <w:lang w:eastAsia="en-AU"/>
        </w:rPr>
        <w:br/>
      </w:r>
    </w:p>
    <w:p w14:paraId="0A9C2E16" w14:textId="77777777" w:rsidR="000D4FA7" w:rsidRPr="007C100A" w:rsidRDefault="00F23850" w:rsidP="008B438C">
      <w:pPr>
        <w:spacing w:after="0"/>
        <w:rPr>
          <w:iCs/>
        </w:rPr>
      </w:pPr>
      <w:r w:rsidRPr="007C100A">
        <w:rPr>
          <w:iCs/>
        </w:rPr>
        <w:t>PASC agreed that ‘requesters’ for the test should be specialists, due to the need for genetic counselling. PASC agreed that, if GPs were granted the ability to request the test, it should not be for cascade testing (and only in consultation with a relevant specialist, being a neurologist, paediatrician or clinical geneticist). PASC advised that restrictions on requesting the test need to be clear.</w:t>
      </w:r>
    </w:p>
    <w:p w14:paraId="0A2B8F4A" w14:textId="77777777" w:rsidR="000D4FA7" w:rsidRPr="007C100A" w:rsidRDefault="000D4FA7" w:rsidP="008B438C">
      <w:pPr>
        <w:spacing w:after="0"/>
        <w:rPr>
          <w:iCs/>
          <w:sz w:val="16"/>
          <w:szCs w:val="16"/>
        </w:rPr>
      </w:pPr>
    </w:p>
    <w:p w14:paraId="41475740" w14:textId="27E5B4CE" w:rsidR="004660B5" w:rsidRPr="007C100A" w:rsidRDefault="000D4FA7" w:rsidP="004660B5">
      <w:pPr>
        <w:spacing w:after="0"/>
        <w:rPr>
          <w:iCs/>
        </w:rPr>
      </w:pPr>
      <w:r w:rsidRPr="007C100A">
        <w:rPr>
          <w:iCs/>
        </w:rPr>
        <w:t>The applica</w:t>
      </w:r>
      <w:r w:rsidR="00984E5C" w:rsidRPr="007C100A">
        <w:rPr>
          <w:iCs/>
        </w:rPr>
        <w:t xml:space="preserve">nt </w:t>
      </w:r>
      <w:r w:rsidRPr="007C100A">
        <w:rPr>
          <w:iCs/>
        </w:rPr>
        <w:t>advised that they agree with PASC that the requester</w:t>
      </w:r>
      <w:r w:rsidR="004660B5" w:rsidRPr="00892AC6">
        <w:t xml:space="preserve"> </w:t>
      </w:r>
      <w:r w:rsidR="004660B5" w:rsidRPr="007C100A">
        <w:rPr>
          <w:iCs/>
        </w:rPr>
        <w:t xml:space="preserve">should be a specialist, and that re-wording of </w:t>
      </w:r>
      <w:r w:rsidR="00977C31" w:rsidRPr="007C100A">
        <w:rPr>
          <w:iCs/>
        </w:rPr>
        <w:t xml:space="preserve">proposed </w:t>
      </w:r>
      <w:r w:rsidR="004660B5" w:rsidRPr="007C100A">
        <w:rPr>
          <w:iCs/>
        </w:rPr>
        <w:t xml:space="preserve">item descriptors </w:t>
      </w:r>
      <w:r w:rsidR="00977C31" w:rsidRPr="007C100A">
        <w:rPr>
          <w:iCs/>
        </w:rPr>
        <w:t>has been achieved (as presented below).</w:t>
      </w:r>
    </w:p>
    <w:p w14:paraId="6967E0F8" w14:textId="25C58537" w:rsidR="00F23850" w:rsidRPr="007C100A" w:rsidRDefault="00F23850" w:rsidP="008B438C">
      <w:pPr>
        <w:spacing w:after="0"/>
        <w:rPr>
          <w:iCs/>
          <w:sz w:val="16"/>
          <w:szCs w:val="16"/>
        </w:rPr>
      </w:pPr>
      <w:r w:rsidRPr="007C100A">
        <w:rPr>
          <w:iCs/>
          <w:sz w:val="16"/>
          <w:szCs w:val="16"/>
        </w:rPr>
        <w:br/>
      </w:r>
      <w:r w:rsidRPr="007C100A">
        <w:rPr>
          <w:iCs/>
        </w:rPr>
        <w:t>PASC noted the amendments to MBS item descriptors and fees below, proposed by the Department.</w:t>
      </w:r>
      <w:r w:rsidRPr="007C100A">
        <w:rPr>
          <w:iCs/>
        </w:rPr>
        <w:br/>
      </w:r>
    </w:p>
    <w:p w14:paraId="270908C6" w14:textId="2C110445" w:rsidR="00977C31" w:rsidRPr="007C100A" w:rsidRDefault="00F23850" w:rsidP="00977C31">
      <w:pPr>
        <w:rPr>
          <w:iCs/>
        </w:rPr>
      </w:pPr>
      <w:r w:rsidRPr="007C100A">
        <w:rPr>
          <w:iCs/>
        </w:rPr>
        <w:lastRenderedPageBreak/>
        <w:t>PASC noted that, for</w:t>
      </w:r>
      <w:r w:rsidR="002A270A" w:rsidRPr="007C100A">
        <w:rPr>
          <w:iCs/>
        </w:rPr>
        <w:t xml:space="preserve"> item DDDD, the MBS fee appeared</w:t>
      </w:r>
      <w:r w:rsidRPr="007C100A">
        <w:rPr>
          <w:iCs/>
        </w:rPr>
        <w:t xml:space="preserve"> to be incorrect in the Draft PICO (i.e. it should be $1,000, not $1,600).</w:t>
      </w:r>
      <w:r w:rsidR="00977C31" w:rsidRPr="007C100A">
        <w:rPr>
          <w:b/>
          <w:bCs/>
          <w:iCs/>
        </w:rPr>
        <w:t xml:space="preserve"> </w:t>
      </w:r>
      <w:r w:rsidR="00D93414" w:rsidRPr="007C100A">
        <w:rPr>
          <w:iCs/>
        </w:rPr>
        <w:t>The applicant</w:t>
      </w:r>
      <w:r w:rsidR="00977C31" w:rsidRPr="007C100A">
        <w:rPr>
          <w:iCs/>
        </w:rPr>
        <w:t xml:space="preserve"> advised that the proposed fee for item DDDD encompasses testing for variant detection </w:t>
      </w:r>
      <w:r w:rsidR="00977C31" w:rsidRPr="007C100A">
        <w:rPr>
          <w:b/>
          <w:bCs/>
          <w:iCs/>
          <w:u w:val="single"/>
        </w:rPr>
        <w:t>in addition to</w:t>
      </w:r>
      <w:r w:rsidR="00977C31" w:rsidRPr="007C100A">
        <w:rPr>
          <w:iCs/>
        </w:rPr>
        <w:t xml:space="preserve"> testing for maternal cell contamination (which is required in the context of prenatal testing). The applicant advised that the fee </w:t>
      </w:r>
      <w:r w:rsidR="00977C31" w:rsidRPr="007C100A">
        <w:rPr>
          <w:b/>
          <w:bCs/>
          <w:iCs/>
          <w:u w:val="single"/>
        </w:rPr>
        <w:t>cannot</w:t>
      </w:r>
      <w:r w:rsidR="00977C31" w:rsidRPr="007C100A">
        <w:rPr>
          <w:iCs/>
        </w:rPr>
        <w:t xml:space="preserve"> be the same or lower than that for item AAAA, because item DDDD includes variant detection and maternal cell contamination. The applicant is of the view that, because the original proposed fee of $1,600 is inclusive of both tests, and is below a reasonable fee that includes both tests, it should stand.</w:t>
      </w:r>
    </w:p>
    <w:p w14:paraId="20272C60" w14:textId="02C31794" w:rsidR="00977C31" w:rsidRPr="007C100A" w:rsidRDefault="00977C31" w:rsidP="00977C31">
      <w:pPr>
        <w:rPr>
          <w:iCs/>
        </w:rPr>
      </w:pPr>
      <w:r w:rsidRPr="007C100A">
        <w:rPr>
          <w:iCs/>
        </w:rPr>
        <w:t>The Department is of the view that there is justification for an increased fee for item DDDD (i.e. higher than $1,000) to account for cell contamination, but the ultimate decision will be made by MSAC.</w:t>
      </w:r>
    </w:p>
    <w:p w14:paraId="210AB1CB" w14:textId="2EC65BD9" w:rsidR="00977C31" w:rsidRPr="007C100A" w:rsidRDefault="00F23850" w:rsidP="008B438C">
      <w:pPr>
        <w:spacing w:after="0"/>
        <w:rPr>
          <w:iCs/>
        </w:rPr>
      </w:pPr>
      <w:r w:rsidRPr="007C100A">
        <w:rPr>
          <w:iCs/>
        </w:rPr>
        <w:t>PASC noted that the changes to MBS fees (proposed by the Department</w:t>
      </w:r>
      <w:r w:rsidR="00977C31" w:rsidRPr="007C100A">
        <w:rPr>
          <w:iCs/>
        </w:rPr>
        <w:t xml:space="preserve"> prior to PASC’s first consideration</w:t>
      </w:r>
      <w:r w:rsidRPr="007C100A">
        <w:rPr>
          <w:iCs/>
        </w:rPr>
        <w:t>) reflect fees for current MBS items for genetic testing.</w:t>
      </w:r>
    </w:p>
    <w:p w14:paraId="0ABE637C" w14:textId="6B6482B0" w:rsidR="00977C31" w:rsidRPr="007C100A" w:rsidRDefault="00977C31" w:rsidP="008B438C">
      <w:pPr>
        <w:spacing w:after="0"/>
        <w:rPr>
          <w:iCs/>
          <w:sz w:val="18"/>
          <w:szCs w:val="18"/>
        </w:rPr>
      </w:pPr>
    </w:p>
    <w:p w14:paraId="22E127DB" w14:textId="77777777" w:rsidR="001E656D" w:rsidRPr="00892AC6" w:rsidRDefault="00977C31" w:rsidP="00C13EB0">
      <w:pPr>
        <w:spacing w:after="0"/>
      </w:pPr>
      <w:r w:rsidRPr="007C100A">
        <w:rPr>
          <w:iCs/>
        </w:rPr>
        <w:t xml:space="preserve">The Department is of the view that an additional MBS item </w:t>
      </w:r>
      <w:r w:rsidR="007164CF" w:rsidRPr="007C100A">
        <w:rPr>
          <w:iCs/>
        </w:rPr>
        <w:t>(EEEE) would be appropriate for partner testing (see draft item EEEE below). This could be a generalised item, as per the applicant’s feedback since PASC’s first consideration. Further discussion is needed on this issue at PASC’s second consideration, followed by ESC and MSAC.</w:t>
      </w:r>
      <w:r w:rsidR="00C13EB0" w:rsidRPr="00892AC6">
        <w:t xml:space="preserve"> </w:t>
      </w:r>
    </w:p>
    <w:p w14:paraId="441AB769" w14:textId="77777777" w:rsidR="000F2EC1" w:rsidRDefault="000F2EC1" w:rsidP="00C13EB0">
      <w:pPr>
        <w:spacing w:after="0"/>
      </w:pPr>
    </w:p>
    <w:p w14:paraId="0214F274" w14:textId="6AD68E37" w:rsidR="00C13EB0" w:rsidRPr="007C100A" w:rsidRDefault="001E656D" w:rsidP="00C13EB0">
      <w:pPr>
        <w:spacing w:after="0"/>
        <w:rPr>
          <w:iCs/>
        </w:rPr>
      </w:pPr>
      <w:r w:rsidRPr="007C100A">
        <w:t>Rather than the proposed additional item EEEE, consideration could be given to a ‘catch-all’ item (for future use), along the following lines</w:t>
      </w:r>
      <w:r w:rsidR="00C13EB0" w:rsidRPr="007C100A">
        <w:rPr>
          <w:iCs/>
        </w:rPr>
        <w:t>:</w:t>
      </w:r>
    </w:p>
    <w:p w14:paraId="22607E6B" w14:textId="77777777" w:rsidR="001E656D" w:rsidRPr="007C100A" w:rsidRDefault="001E656D" w:rsidP="00C13EB0">
      <w:pPr>
        <w:spacing w:after="0"/>
        <w:rPr>
          <w:iCs/>
          <w:sz w:val="10"/>
          <w:szCs w:val="10"/>
        </w:rPr>
      </w:pPr>
    </w:p>
    <w:p w14:paraId="78A60D77" w14:textId="0B5FE96C" w:rsidR="00C13EB0" w:rsidRPr="007C100A" w:rsidRDefault="00C13EB0" w:rsidP="001E656D">
      <w:pPr>
        <w:spacing w:after="0"/>
        <w:ind w:left="426"/>
        <w:rPr>
          <w:iCs/>
        </w:rPr>
      </w:pPr>
      <w:r w:rsidRPr="007C100A">
        <w:rPr>
          <w:iCs/>
        </w:rPr>
        <w:t>Detection of a single identified gene variant requested by a specialist or consultant physician and after appropriate genetic counselling, in a reproductive partner of an individual with a documented and actionable pathogenic germline recessive gen</w:t>
      </w:r>
      <w:r w:rsidR="00251211" w:rsidRPr="007C100A">
        <w:rPr>
          <w:iCs/>
        </w:rPr>
        <w:t>e variant identified under MBS i</w:t>
      </w:r>
      <w:r w:rsidRPr="007C100A">
        <w:rPr>
          <w:iCs/>
        </w:rPr>
        <w:t>tems A, B, C … X, Y, Z</w:t>
      </w:r>
      <w:r w:rsidR="00251211" w:rsidRPr="007C100A">
        <w:rPr>
          <w:iCs/>
        </w:rPr>
        <w:t>, etc.</w:t>
      </w:r>
      <w:r w:rsidRPr="007C100A">
        <w:rPr>
          <w:iCs/>
        </w:rPr>
        <w:t xml:space="preserve"> </w:t>
      </w:r>
    </w:p>
    <w:p w14:paraId="413EC024" w14:textId="35AF21E0" w:rsidR="00F23850" w:rsidRPr="007C100A" w:rsidRDefault="00F23850" w:rsidP="00764900">
      <w:pPr>
        <w:spacing w:after="0"/>
        <w:jc w:val="both"/>
        <w:rPr>
          <w:sz w:val="16"/>
          <w:szCs w:val="16"/>
          <w:u w:color="FF0000"/>
        </w:rPr>
      </w:pPr>
    </w:p>
    <w:p w14:paraId="72D3DD14" w14:textId="77777777" w:rsidR="009C3D6B" w:rsidRPr="007C100A" w:rsidRDefault="009C3D6B" w:rsidP="009C3D6B">
      <w:pPr>
        <w:spacing w:after="80"/>
        <w:rPr>
          <w:b/>
          <w:bCs/>
          <w:iCs/>
          <w:sz w:val="24"/>
          <w:szCs w:val="24"/>
        </w:rPr>
      </w:pPr>
      <w:r w:rsidRPr="007C100A">
        <w:rPr>
          <w:b/>
          <w:bCs/>
          <w:iCs/>
          <w:sz w:val="24"/>
          <w:szCs w:val="24"/>
        </w:rPr>
        <w:t>PASC’s Second Consideration (April 2020)</w:t>
      </w:r>
    </w:p>
    <w:p w14:paraId="24444437" w14:textId="77777777" w:rsidR="009C3D6B" w:rsidRPr="007C100A" w:rsidRDefault="009C3D6B" w:rsidP="009C3D6B">
      <w:pPr>
        <w:rPr>
          <w:i/>
          <w:iCs/>
        </w:rPr>
      </w:pPr>
      <w:r w:rsidRPr="007C100A">
        <w:rPr>
          <w:i/>
          <w:iCs/>
        </w:rPr>
        <w:t>PASC noted that the items descriptors were unchanged from the previous consideration and confirmed them.</w:t>
      </w:r>
    </w:p>
    <w:p w14:paraId="524D1963" w14:textId="7F12839B" w:rsidR="009C3D6B" w:rsidRDefault="009C3D6B" w:rsidP="00764900">
      <w:pPr>
        <w:spacing w:after="0"/>
        <w:jc w:val="both"/>
        <w:rPr>
          <w:i/>
          <w:iCs/>
        </w:rPr>
      </w:pPr>
      <w:r w:rsidRPr="007C100A">
        <w:rPr>
          <w:i/>
          <w:iCs/>
        </w:rPr>
        <w:t>PASC advised that MSAC will need to consider the rebates for the items</w:t>
      </w:r>
      <w:r w:rsidR="00892AC6">
        <w:rPr>
          <w:i/>
          <w:iCs/>
        </w:rPr>
        <w:t xml:space="preserve"> (see ‘</w:t>
      </w:r>
      <w:r w:rsidR="00323A2E">
        <w:rPr>
          <w:i/>
          <w:iCs/>
        </w:rPr>
        <w:t>C</w:t>
      </w:r>
      <w:r w:rsidR="00892AC6">
        <w:rPr>
          <w:i/>
          <w:iCs/>
        </w:rPr>
        <w:t>onsultation Feedback’)</w:t>
      </w:r>
      <w:r w:rsidRPr="007C100A">
        <w:rPr>
          <w:i/>
          <w:iCs/>
        </w:rPr>
        <w:t>.</w:t>
      </w:r>
    </w:p>
    <w:p w14:paraId="044FBC76" w14:textId="77777777" w:rsidR="00090703" w:rsidRPr="001E656D" w:rsidRDefault="00090703" w:rsidP="00764900">
      <w:pPr>
        <w:spacing w:after="0"/>
        <w:jc w:val="both"/>
        <w:rPr>
          <w:sz w:val="16"/>
          <w:szCs w:val="16"/>
          <w:u w:color="FF0000"/>
        </w:rPr>
      </w:pPr>
    </w:p>
    <w:p w14:paraId="6BF27ECE" w14:textId="78BDDFF9" w:rsidR="00752491" w:rsidRPr="00895BCC" w:rsidRDefault="0061613F" w:rsidP="0061613F">
      <w:pPr>
        <w:rPr>
          <w:u w:color="FF0000"/>
        </w:rPr>
      </w:pPr>
      <w:r>
        <w:rPr>
          <w:u w:color="FF0000"/>
        </w:rPr>
        <w:t xml:space="preserve">Four separate </w:t>
      </w:r>
      <w:r w:rsidR="00863103">
        <w:rPr>
          <w:u w:color="FF0000"/>
        </w:rPr>
        <w:t>MBS items are proposed</w:t>
      </w:r>
      <w:r w:rsidR="006D28FD">
        <w:rPr>
          <w:u w:color="FF0000"/>
        </w:rPr>
        <w:t>.</w:t>
      </w:r>
      <w:r w:rsidR="00D210BC">
        <w:rPr>
          <w:u w:color="FF0000"/>
        </w:rPr>
        <w:t xml:space="preserve"> </w:t>
      </w:r>
      <w:r w:rsidR="006D28FD">
        <w:rPr>
          <w:u w:color="FF0000"/>
        </w:rPr>
        <w:t>T</w:t>
      </w:r>
      <w:r w:rsidR="00D210BC">
        <w:rPr>
          <w:u w:color="FF0000"/>
        </w:rPr>
        <w:t xml:space="preserve">wo </w:t>
      </w:r>
      <w:r w:rsidR="001E656D">
        <w:rPr>
          <w:u w:color="FF0000"/>
        </w:rPr>
        <w:t xml:space="preserve">items </w:t>
      </w:r>
      <w:r w:rsidR="00D210BC">
        <w:rPr>
          <w:u w:color="FF0000"/>
        </w:rPr>
        <w:t xml:space="preserve">for paediatric and adult </w:t>
      </w:r>
      <w:r w:rsidR="00850788">
        <w:rPr>
          <w:u w:color="FF0000"/>
        </w:rPr>
        <w:t>detection (</w:t>
      </w:r>
      <w:r w:rsidR="00304267">
        <w:rPr>
          <w:u w:color="FF0000"/>
        </w:rPr>
        <w:t>suspected NMD</w:t>
      </w:r>
      <w:r w:rsidR="001E656D">
        <w:rPr>
          <w:u w:color="FF0000"/>
        </w:rPr>
        <w:t>,</w:t>
      </w:r>
      <w:r w:rsidR="00304267">
        <w:rPr>
          <w:u w:color="FF0000"/>
        </w:rPr>
        <w:t xml:space="preserve"> and asymptomatic </w:t>
      </w:r>
      <w:r w:rsidR="006D28FD">
        <w:rPr>
          <w:u w:color="FF0000"/>
        </w:rPr>
        <w:t>paediatric and adult with a family history of NMD</w:t>
      </w:r>
      <w:r w:rsidR="00850788">
        <w:rPr>
          <w:u w:color="FF0000"/>
        </w:rPr>
        <w:t>)</w:t>
      </w:r>
      <w:r w:rsidR="001E656D">
        <w:rPr>
          <w:u w:color="FF0000"/>
        </w:rPr>
        <w:t>,</w:t>
      </w:r>
      <w:r w:rsidR="006D28FD">
        <w:rPr>
          <w:u w:color="FF0000"/>
        </w:rPr>
        <w:t xml:space="preserve"> </w:t>
      </w:r>
      <w:r w:rsidR="00D210BC">
        <w:rPr>
          <w:u w:color="FF0000"/>
        </w:rPr>
        <w:t xml:space="preserve">and </w:t>
      </w:r>
      <w:r w:rsidR="001E656D">
        <w:rPr>
          <w:u w:color="FF0000"/>
        </w:rPr>
        <w:t xml:space="preserve">a </w:t>
      </w:r>
      <w:r w:rsidR="00D210BC">
        <w:rPr>
          <w:u w:color="FF0000"/>
        </w:rPr>
        <w:t>subsequent</w:t>
      </w:r>
      <w:r w:rsidR="00BF0222">
        <w:rPr>
          <w:u w:color="FF0000"/>
        </w:rPr>
        <w:t xml:space="preserve"> two</w:t>
      </w:r>
      <w:r w:rsidR="001E656D">
        <w:rPr>
          <w:u w:color="FF0000"/>
        </w:rPr>
        <w:t xml:space="preserve"> items</w:t>
      </w:r>
      <w:r w:rsidR="00BF0222">
        <w:rPr>
          <w:u w:color="FF0000"/>
        </w:rPr>
        <w:t xml:space="preserve"> for prenatal detection </w:t>
      </w:r>
      <w:r w:rsidR="000D5C86">
        <w:rPr>
          <w:u w:color="FF0000"/>
        </w:rPr>
        <w:t>(</w:t>
      </w:r>
      <w:r w:rsidR="00D210BC">
        <w:rPr>
          <w:u w:color="FF0000"/>
        </w:rPr>
        <w:t>suspected NMD</w:t>
      </w:r>
      <w:r w:rsidR="001E656D">
        <w:rPr>
          <w:u w:color="FF0000"/>
        </w:rPr>
        <w:t>,</w:t>
      </w:r>
      <w:r w:rsidR="00D210BC">
        <w:rPr>
          <w:u w:color="FF0000"/>
        </w:rPr>
        <w:t xml:space="preserve"> and </w:t>
      </w:r>
      <w:r w:rsidR="00304267">
        <w:rPr>
          <w:u w:color="FF0000"/>
        </w:rPr>
        <w:t xml:space="preserve">asymptomatic </w:t>
      </w:r>
      <w:r w:rsidR="00D24B00">
        <w:rPr>
          <w:u w:color="FF0000"/>
        </w:rPr>
        <w:t>f</w:t>
      </w:r>
      <w:r w:rsidR="00D210BC">
        <w:rPr>
          <w:u w:color="FF0000"/>
        </w:rPr>
        <w:t>etus with a family history of NMD)</w:t>
      </w:r>
      <w:r w:rsidR="00850788">
        <w:rPr>
          <w:u w:color="FF0000"/>
        </w:rPr>
        <w:t>.</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8C3E5E" w:rsidRPr="00DE3D6C" w14:paraId="47B716FB" w14:textId="77777777" w:rsidTr="00F4622B">
        <w:trPr>
          <w:cantSplit/>
          <w:tblHeader/>
        </w:trPr>
        <w:tc>
          <w:tcPr>
            <w:tcW w:w="9242" w:type="dxa"/>
          </w:tcPr>
          <w:p w14:paraId="50F7A663" w14:textId="34C8F909" w:rsidR="008C3E5E" w:rsidRPr="00DE3D6C" w:rsidRDefault="00186439" w:rsidP="00EF2DB9">
            <w:r>
              <w:t>Item</w:t>
            </w:r>
            <w:r w:rsidR="00EF2DB9">
              <w:t xml:space="preserve"> AAAA                                               </w:t>
            </w:r>
            <w:r w:rsidR="008C3E5E" w:rsidRPr="00DE3D6C">
              <w:t xml:space="preserve">Category </w:t>
            </w:r>
            <w:r w:rsidR="0034693F">
              <w:t xml:space="preserve">6 </w:t>
            </w:r>
            <w:r w:rsidR="00EF2DB9">
              <w:t>(Pathology Services)</w:t>
            </w:r>
            <w:r w:rsidR="008C3E5E" w:rsidRPr="003057B0">
              <w:t xml:space="preserve"> – </w:t>
            </w:r>
            <w:r w:rsidR="00EF2DB9">
              <w:t>Group P7 Genetics</w:t>
            </w:r>
          </w:p>
        </w:tc>
      </w:tr>
      <w:tr w:rsidR="008C3E5E" w:rsidRPr="00895BCC" w14:paraId="70B211DB" w14:textId="77777777" w:rsidTr="00F4622B">
        <w:trPr>
          <w:cantSplit/>
          <w:tblHeader/>
        </w:trPr>
        <w:tc>
          <w:tcPr>
            <w:tcW w:w="9242" w:type="dxa"/>
          </w:tcPr>
          <w:p w14:paraId="55F96E0E" w14:textId="63F07AAF" w:rsidR="00F27CAB" w:rsidRDefault="00F27CAB" w:rsidP="00F27CAB">
            <w:pPr>
              <w:rPr>
                <w:u w:color="FF0000"/>
              </w:rPr>
            </w:pPr>
            <w:r w:rsidRPr="006C39C3">
              <w:rPr>
                <w:szCs w:val="20"/>
              </w:rPr>
              <w:t xml:space="preserve">Characterisation of gene variant(s) </w:t>
            </w:r>
            <w:r>
              <w:rPr>
                <w:szCs w:val="20"/>
              </w:rPr>
              <w:t>by a gene panel</w:t>
            </w:r>
            <w:r w:rsidR="00091A88">
              <w:rPr>
                <w:szCs w:val="20"/>
              </w:rPr>
              <w:t xml:space="preserve"> requested by a specialist or consultant physician</w:t>
            </w:r>
            <w:r>
              <w:rPr>
                <w:szCs w:val="20"/>
              </w:rPr>
              <w:t xml:space="preserve"> </w:t>
            </w:r>
            <w:r w:rsidRPr="006C39C3">
              <w:rPr>
                <w:szCs w:val="20"/>
              </w:rPr>
              <w:t xml:space="preserve">in a patient presenting with clinical </w:t>
            </w:r>
            <w:r w:rsidR="00437046">
              <w:rPr>
                <w:szCs w:val="20"/>
              </w:rPr>
              <w:t xml:space="preserve">signs and </w:t>
            </w:r>
            <w:r w:rsidRPr="006C39C3">
              <w:rPr>
                <w:szCs w:val="20"/>
              </w:rPr>
              <w:t>symptoms suggestive of a genetic neuromuscular disorder</w:t>
            </w:r>
            <w:r w:rsidR="001E656D">
              <w:rPr>
                <w:szCs w:val="20"/>
              </w:rPr>
              <w:t>,</w:t>
            </w:r>
            <w:r w:rsidRPr="006C39C3">
              <w:rPr>
                <w:szCs w:val="20"/>
              </w:rPr>
              <w:t xml:space="preserve"> other than </w:t>
            </w:r>
            <w:r w:rsidRPr="00A8286F">
              <w:rPr>
                <w:szCs w:val="20"/>
              </w:rPr>
              <w:t>those associated with</w:t>
            </w:r>
            <w:r w:rsidRPr="006C39C3">
              <w:rPr>
                <w:szCs w:val="20"/>
              </w:rPr>
              <w:t xml:space="preserve"> </w:t>
            </w:r>
            <w:r w:rsidRPr="00B37360">
              <w:rPr>
                <w:szCs w:val="20"/>
              </w:rPr>
              <w:t>variants</w:t>
            </w:r>
            <w:r>
              <w:rPr>
                <w:szCs w:val="20"/>
              </w:rPr>
              <w:t xml:space="preserve"> that are not detected by massively parallel sequencing,</w:t>
            </w:r>
            <w:r w:rsidRPr="00B37360">
              <w:rPr>
                <w:szCs w:val="20"/>
              </w:rPr>
              <w:t xml:space="preserve"> </w:t>
            </w:r>
            <w:r w:rsidRPr="006C39C3">
              <w:rPr>
                <w:szCs w:val="20"/>
              </w:rPr>
              <w:t>and after exclusion of non-genetic causes</w:t>
            </w:r>
            <w:r w:rsidR="00091A88">
              <w:rPr>
                <w:szCs w:val="20"/>
              </w:rPr>
              <w:t>.</w:t>
            </w:r>
          </w:p>
          <w:p w14:paraId="5CFFE4E1" w14:textId="77777777" w:rsidR="00F27CAB" w:rsidRPr="006C39C3" w:rsidRDefault="00F27CAB" w:rsidP="00F27CAB">
            <w:pPr>
              <w:rPr>
                <w:szCs w:val="20"/>
              </w:rPr>
            </w:pPr>
          </w:p>
          <w:p w14:paraId="5FFC64C0" w14:textId="2AC2322B" w:rsidR="008C3E5E" w:rsidRPr="00895BCC" w:rsidRDefault="00F27CAB" w:rsidP="00506C49">
            <w:pPr>
              <w:rPr>
                <w:u w:val="dotted" w:color="FF0000"/>
              </w:rPr>
            </w:pPr>
            <w:r w:rsidRPr="005429CC">
              <w:rPr>
                <w:b/>
                <w:u w:color="FF0000"/>
              </w:rPr>
              <w:t>Fee</w:t>
            </w:r>
            <w:r w:rsidR="00764900">
              <w:t>:  $</w:t>
            </w:r>
            <w:r w:rsidR="00F37F1E" w:rsidRPr="005429CC">
              <w:t>1,</w:t>
            </w:r>
            <w:r w:rsidR="00F37F1E">
              <w:t>2</w:t>
            </w:r>
            <w:r w:rsidR="00F37F1E" w:rsidRPr="005429CC">
              <w:t>00</w:t>
            </w:r>
            <w:r w:rsidR="00F37F1E" w:rsidRPr="006C39C3">
              <w:t xml:space="preserve"> </w:t>
            </w:r>
            <w:r w:rsidR="009B4E00">
              <w:t xml:space="preserve">    </w:t>
            </w:r>
            <w:r w:rsidR="00F37F1E" w:rsidRPr="00F37F1E">
              <w:rPr>
                <w:b/>
                <w:bCs/>
              </w:rPr>
              <w:t>Benefit</w:t>
            </w:r>
            <w:r w:rsidRPr="00F37F1E">
              <w:rPr>
                <w:b/>
                <w:bCs/>
              </w:rPr>
              <w:t>:</w:t>
            </w:r>
            <w:r w:rsidRPr="006C39C3">
              <w:rPr>
                <w:b/>
              </w:rPr>
              <w:t xml:space="preserve"> </w:t>
            </w:r>
            <w:r w:rsidRPr="006C39C3">
              <w:t xml:space="preserve">75% = </w:t>
            </w:r>
            <w:r w:rsidR="00764900">
              <w:t>$825</w:t>
            </w:r>
            <w:r w:rsidR="00506C49">
              <w:t xml:space="preserve"> </w:t>
            </w:r>
            <w:r w:rsidR="00764900">
              <w:t xml:space="preserve">  </w:t>
            </w:r>
            <w:r w:rsidR="009B4E00">
              <w:t xml:space="preserve"> </w:t>
            </w:r>
            <w:r w:rsidRPr="006C39C3">
              <w:t xml:space="preserve">85% = </w:t>
            </w:r>
            <w:r w:rsidR="00764900">
              <w:t>$935</w:t>
            </w:r>
          </w:p>
        </w:tc>
      </w:tr>
    </w:tbl>
    <w:p w14:paraId="7A640547" w14:textId="77777777" w:rsidR="008C3E5E" w:rsidRDefault="008C3E5E" w:rsidP="00D93414">
      <w:pPr>
        <w:spacing w:after="0"/>
      </w:pP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353843" w:rsidRPr="00DE3D6C" w14:paraId="1DDE4749" w14:textId="77777777" w:rsidTr="00353843">
        <w:trPr>
          <w:cantSplit/>
          <w:tblHeader/>
        </w:trPr>
        <w:tc>
          <w:tcPr>
            <w:tcW w:w="9242" w:type="dxa"/>
          </w:tcPr>
          <w:p w14:paraId="6A2B6568" w14:textId="417DC621" w:rsidR="00353843" w:rsidRPr="00DE3D6C" w:rsidRDefault="00186439" w:rsidP="00353843">
            <w:r>
              <w:lastRenderedPageBreak/>
              <w:t>Item</w:t>
            </w:r>
            <w:r w:rsidR="00353843">
              <w:t xml:space="preserve"> BBB</w:t>
            </w:r>
            <w:r w:rsidR="008805E0">
              <w:t>B</w:t>
            </w:r>
            <w:r w:rsidR="00353843">
              <w:t xml:space="preserve">                                              </w:t>
            </w:r>
            <w:r w:rsidR="00353843" w:rsidRPr="00DE3D6C">
              <w:t xml:space="preserve">Category </w:t>
            </w:r>
            <w:r w:rsidR="00353843">
              <w:t>6 (Pathology Services)</w:t>
            </w:r>
            <w:r w:rsidR="00353843" w:rsidRPr="003057B0">
              <w:t xml:space="preserve"> – </w:t>
            </w:r>
            <w:r w:rsidR="00353843">
              <w:t>Group P7 Genetics</w:t>
            </w:r>
          </w:p>
        </w:tc>
      </w:tr>
      <w:tr w:rsidR="00353843" w:rsidRPr="00895BCC" w14:paraId="0961E3DC" w14:textId="77777777" w:rsidTr="00353843">
        <w:trPr>
          <w:cantSplit/>
          <w:tblHeader/>
        </w:trPr>
        <w:tc>
          <w:tcPr>
            <w:tcW w:w="9242" w:type="dxa"/>
          </w:tcPr>
          <w:p w14:paraId="736182B3" w14:textId="7A287392" w:rsidR="008805E0" w:rsidRPr="008805E0" w:rsidRDefault="008805E0" w:rsidP="008805E0">
            <w:pPr>
              <w:rPr>
                <w:u w:color="FF0000"/>
              </w:rPr>
            </w:pPr>
            <w:r w:rsidRPr="008805E0">
              <w:rPr>
                <w:u w:color="FF0000"/>
              </w:rPr>
              <w:t>Detection of a single identified gene variant</w:t>
            </w:r>
            <w:r w:rsidR="004B00D9">
              <w:rPr>
                <w:u w:color="FF0000"/>
              </w:rPr>
              <w:t xml:space="preserve"> requested by a specialist or consultant physician</w:t>
            </w:r>
            <w:r w:rsidRPr="008805E0">
              <w:rPr>
                <w:u w:color="FF0000"/>
              </w:rPr>
              <w:t xml:space="preserve"> in a biological relative of a patient with a documented</w:t>
            </w:r>
            <w:r w:rsidR="009118F9">
              <w:rPr>
                <w:u w:color="FF0000"/>
              </w:rPr>
              <w:t xml:space="preserve"> and</w:t>
            </w:r>
            <w:r w:rsidRPr="008805E0">
              <w:rPr>
                <w:u w:color="FF0000"/>
              </w:rPr>
              <w:t xml:space="preserve"> </w:t>
            </w:r>
            <w:r w:rsidR="009118F9">
              <w:rPr>
                <w:u w:color="FF0000"/>
              </w:rPr>
              <w:t xml:space="preserve">actionable </w:t>
            </w:r>
            <w:r w:rsidRPr="008805E0">
              <w:rPr>
                <w:u w:color="FF0000"/>
              </w:rPr>
              <w:t>pathogenic germline gene variant for a neuromuscular disorder identi</w:t>
            </w:r>
            <w:r w:rsidR="00186439">
              <w:rPr>
                <w:u w:color="FF0000"/>
              </w:rPr>
              <w:t xml:space="preserve">fied by item </w:t>
            </w:r>
            <w:r w:rsidRPr="008805E0">
              <w:rPr>
                <w:u w:color="FF0000"/>
              </w:rPr>
              <w:t>AAAA</w:t>
            </w:r>
            <w:r w:rsidR="00BD0150">
              <w:rPr>
                <w:u w:color="FF0000"/>
              </w:rPr>
              <w:t xml:space="preserve"> or DDDD</w:t>
            </w:r>
            <w:r w:rsidR="004B00D9">
              <w:rPr>
                <w:u w:color="FF0000"/>
              </w:rPr>
              <w:t>.</w:t>
            </w:r>
          </w:p>
          <w:p w14:paraId="7EDFFC4B" w14:textId="77777777" w:rsidR="008805E0" w:rsidRDefault="008805E0" w:rsidP="008805E0">
            <w:pPr>
              <w:rPr>
                <w:u w:color="FF0000"/>
              </w:rPr>
            </w:pPr>
          </w:p>
          <w:p w14:paraId="71DEBF68" w14:textId="73F9C00F" w:rsidR="00353843" w:rsidRPr="00895BCC" w:rsidRDefault="008805E0" w:rsidP="00506C49">
            <w:pPr>
              <w:rPr>
                <w:u w:color="FF0000"/>
              </w:rPr>
            </w:pPr>
            <w:r w:rsidRPr="008805E0">
              <w:rPr>
                <w:b/>
                <w:bCs/>
                <w:u w:color="FF0000"/>
              </w:rPr>
              <w:t>Fee:</w:t>
            </w:r>
            <w:r w:rsidR="00764900">
              <w:rPr>
                <w:u w:color="FF0000"/>
              </w:rPr>
              <w:t xml:space="preserve">  $4</w:t>
            </w:r>
            <w:r w:rsidR="004B00D9">
              <w:rPr>
                <w:u w:color="FF0000"/>
              </w:rPr>
              <w:t>00</w:t>
            </w:r>
            <w:r w:rsidRPr="008805E0">
              <w:rPr>
                <w:b/>
                <w:bCs/>
                <w:u w:color="FF0000"/>
              </w:rPr>
              <w:t xml:space="preserve">   </w:t>
            </w:r>
            <w:r w:rsidR="009B4E00">
              <w:rPr>
                <w:b/>
                <w:bCs/>
                <w:u w:color="FF0000"/>
              </w:rPr>
              <w:t xml:space="preserve">  </w:t>
            </w:r>
            <w:r w:rsidRPr="008805E0">
              <w:rPr>
                <w:b/>
                <w:bCs/>
                <w:u w:color="FF0000"/>
              </w:rPr>
              <w:t>Benefit:</w:t>
            </w:r>
            <w:r w:rsidRPr="008805E0">
              <w:rPr>
                <w:u w:color="FF0000"/>
              </w:rPr>
              <w:t xml:space="preserve"> 75% = </w:t>
            </w:r>
            <w:r w:rsidR="00764900">
              <w:rPr>
                <w:u w:color="FF0000"/>
              </w:rPr>
              <w:t>$</w:t>
            </w:r>
            <w:r w:rsidRPr="008805E0">
              <w:rPr>
                <w:u w:color="FF0000"/>
              </w:rPr>
              <w:t xml:space="preserve">337.50 </w:t>
            </w:r>
            <w:r w:rsidR="00764900">
              <w:rPr>
                <w:u w:color="FF0000"/>
              </w:rPr>
              <w:t xml:space="preserve">  </w:t>
            </w:r>
            <w:r w:rsidR="009B4E00">
              <w:rPr>
                <w:u w:color="FF0000"/>
              </w:rPr>
              <w:t xml:space="preserve"> </w:t>
            </w:r>
            <w:r w:rsidRPr="008805E0">
              <w:rPr>
                <w:u w:color="FF0000"/>
              </w:rPr>
              <w:t xml:space="preserve">85% = </w:t>
            </w:r>
            <w:r w:rsidR="00764900">
              <w:rPr>
                <w:u w:color="FF0000"/>
              </w:rPr>
              <w:t>$</w:t>
            </w:r>
            <w:r w:rsidRPr="008805E0">
              <w:rPr>
                <w:u w:color="FF0000"/>
              </w:rPr>
              <w:t>382.50</w:t>
            </w:r>
          </w:p>
        </w:tc>
      </w:tr>
    </w:tbl>
    <w:p w14:paraId="0B6F11C4" w14:textId="77777777" w:rsidR="00353843" w:rsidRDefault="00353843" w:rsidP="00D93414">
      <w:pPr>
        <w:spacing w:after="0"/>
      </w:pP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9118F9" w:rsidRPr="00DE3D6C" w14:paraId="6386093B" w14:textId="77777777" w:rsidTr="009118F9">
        <w:trPr>
          <w:cantSplit/>
          <w:tblHeader/>
        </w:trPr>
        <w:tc>
          <w:tcPr>
            <w:tcW w:w="9242" w:type="dxa"/>
          </w:tcPr>
          <w:p w14:paraId="3F095170" w14:textId="002EA427" w:rsidR="009118F9" w:rsidRPr="00DE3D6C" w:rsidRDefault="00186439" w:rsidP="009118F9">
            <w:r>
              <w:t>Item</w:t>
            </w:r>
            <w:r w:rsidR="009118F9">
              <w:t xml:space="preserve"> CCCC                                              </w:t>
            </w:r>
            <w:r w:rsidR="009118F9" w:rsidRPr="00DE3D6C">
              <w:t xml:space="preserve">Category </w:t>
            </w:r>
            <w:r w:rsidR="009118F9">
              <w:t>6 (Pathology Services)</w:t>
            </w:r>
            <w:r w:rsidR="009118F9" w:rsidRPr="003057B0">
              <w:t xml:space="preserve"> – </w:t>
            </w:r>
            <w:r w:rsidR="009118F9">
              <w:t>Group P7 Genetics</w:t>
            </w:r>
          </w:p>
        </w:tc>
      </w:tr>
      <w:tr w:rsidR="009118F9" w:rsidRPr="00895BCC" w14:paraId="009FA1EC" w14:textId="77777777" w:rsidTr="009118F9">
        <w:trPr>
          <w:cantSplit/>
          <w:tblHeader/>
        </w:trPr>
        <w:tc>
          <w:tcPr>
            <w:tcW w:w="9242" w:type="dxa"/>
          </w:tcPr>
          <w:p w14:paraId="281D0A94" w14:textId="032FAC68" w:rsidR="009118F9" w:rsidRPr="009118F9" w:rsidRDefault="00166A0D" w:rsidP="009118F9">
            <w:pPr>
              <w:rPr>
                <w:u w:color="FF0000"/>
              </w:rPr>
            </w:pPr>
            <w:r>
              <w:rPr>
                <w:u w:color="FF0000"/>
              </w:rPr>
              <w:t xml:space="preserve">Prenatal detection of an </w:t>
            </w:r>
            <w:r w:rsidR="0045303E">
              <w:rPr>
                <w:u w:color="FF0000"/>
              </w:rPr>
              <w:t xml:space="preserve">actionable </w:t>
            </w:r>
            <w:r w:rsidR="00695880">
              <w:rPr>
                <w:u w:color="FF0000"/>
              </w:rPr>
              <w:t xml:space="preserve">pathogenic </w:t>
            </w:r>
            <w:r w:rsidR="009118F9" w:rsidRPr="009118F9">
              <w:rPr>
                <w:u w:color="FF0000"/>
              </w:rPr>
              <w:t xml:space="preserve">familial gene variant(s) </w:t>
            </w:r>
            <w:r w:rsidR="00552862">
              <w:rPr>
                <w:u w:color="FF0000"/>
              </w:rPr>
              <w:t xml:space="preserve">requested by a specialist or consultant physician </w:t>
            </w:r>
            <w:r w:rsidR="009118F9" w:rsidRPr="009118F9">
              <w:rPr>
                <w:u w:color="FF0000"/>
              </w:rPr>
              <w:t>for a neuromuscular disorder previously identified in an index patie</w:t>
            </w:r>
            <w:r w:rsidR="00186439">
              <w:rPr>
                <w:u w:color="FF0000"/>
              </w:rPr>
              <w:t xml:space="preserve">nt in the family by item </w:t>
            </w:r>
            <w:r w:rsidR="009118F9" w:rsidRPr="009118F9">
              <w:rPr>
                <w:u w:color="FF0000"/>
              </w:rPr>
              <w:t>AAAA, including maternal cell contamination assessment</w:t>
            </w:r>
            <w:r w:rsidR="00552862">
              <w:rPr>
                <w:u w:color="FF0000"/>
              </w:rPr>
              <w:t>.</w:t>
            </w:r>
          </w:p>
          <w:p w14:paraId="7D2BAA0D" w14:textId="77777777" w:rsidR="009118F9" w:rsidRDefault="009118F9" w:rsidP="009118F9">
            <w:pPr>
              <w:rPr>
                <w:u w:color="FF0000"/>
              </w:rPr>
            </w:pPr>
          </w:p>
          <w:p w14:paraId="0F27B035" w14:textId="530D9BB7" w:rsidR="009118F9" w:rsidRPr="00895BCC" w:rsidRDefault="009118F9" w:rsidP="009118F9">
            <w:pPr>
              <w:rPr>
                <w:u w:color="FF0000"/>
              </w:rPr>
            </w:pPr>
            <w:r w:rsidRPr="009118F9">
              <w:rPr>
                <w:b/>
                <w:bCs/>
                <w:u w:color="FF0000"/>
              </w:rPr>
              <w:t>Fee:</w:t>
            </w:r>
            <w:r w:rsidR="00764900">
              <w:rPr>
                <w:u w:color="FF0000"/>
              </w:rPr>
              <w:t xml:space="preserve">  $</w:t>
            </w:r>
            <w:r w:rsidR="004B00D9">
              <w:rPr>
                <w:u w:color="FF0000"/>
              </w:rPr>
              <w:t>400</w:t>
            </w:r>
            <w:r w:rsidRPr="009118F9">
              <w:rPr>
                <w:u w:color="FF0000"/>
              </w:rPr>
              <w:t xml:space="preserve">   </w:t>
            </w:r>
            <w:r w:rsidR="009B4E00">
              <w:rPr>
                <w:u w:color="FF0000"/>
              </w:rPr>
              <w:t xml:space="preserve">  </w:t>
            </w:r>
            <w:r w:rsidRPr="009118F9">
              <w:rPr>
                <w:b/>
                <w:bCs/>
                <w:u w:color="FF0000"/>
              </w:rPr>
              <w:t>Benefit:</w:t>
            </w:r>
            <w:r w:rsidR="00764900">
              <w:rPr>
                <w:u w:color="FF0000"/>
              </w:rPr>
              <w:t xml:space="preserve"> 75% = $750</w:t>
            </w:r>
            <w:r w:rsidR="00506C49">
              <w:rPr>
                <w:u w:color="FF0000"/>
              </w:rPr>
              <w:t xml:space="preserve"> </w:t>
            </w:r>
            <w:r w:rsidR="00764900">
              <w:rPr>
                <w:u w:color="FF0000"/>
              </w:rPr>
              <w:t xml:space="preserve">  </w:t>
            </w:r>
            <w:r w:rsidR="009B4E00">
              <w:rPr>
                <w:u w:color="FF0000"/>
              </w:rPr>
              <w:t xml:space="preserve"> </w:t>
            </w:r>
            <w:r w:rsidR="00764900">
              <w:rPr>
                <w:u w:color="FF0000"/>
              </w:rPr>
              <w:t>85% =$ 850</w:t>
            </w:r>
          </w:p>
        </w:tc>
      </w:tr>
    </w:tbl>
    <w:p w14:paraId="071384D9" w14:textId="77777777" w:rsidR="009118F9" w:rsidRDefault="009118F9" w:rsidP="00E364F7"/>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D92B11" w:rsidRPr="00DE3D6C" w14:paraId="24156A71" w14:textId="77777777" w:rsidTr="00D92B11">
        <w:trPr>
          <w:cantSplit/>
          <w:tblHeader/>
        </w:trPr>
        <w:tc>
          <w:tcPr>
            <w:tcW w:w="9242" w:type="dxa"/>
          </w:tcPr>
          <w:p w14:paraId="12DC2F76" w14:textId="0E860026" w:rsidR="00D92B11" w:rsidRPr="00DE3D6C" w:rsidRDefault="00186439" w:rsidP="00D92B11">
            <w:r>
              <w:t>Item</w:t>
            </w:r>
            <w:r w:rsidR="00D92B11">
              <w:t xml:space="preserve"> DDDD                                              </w:t>
            </w:r>
            <w:r w:rsidR="00D92B11" w:rsidRPr="00DE3D6C">
              <w:t xml:space="preserve">Category </w:t>
            </w:r>
            <w:r w:rsidR="00D92B11">
              <w:t>6 (Pathology Services)</w:t>
            </w:r>
            <w:r w:rsidR="00D92B11" w:rsidRPr="003057B0">
              <w:t xml:space="preserve"> – </w:t>
            </w:r>
            <w:r w:rsidR="00D92B11">
              <w:t>Group P7 Genetics</w:t>
            </w:r>
          </w:p>
        </w:tc>
      </w:tr>
      <w:tr w:rsidR="00D92B11" w:rsidRPr="00895BCC" w14:paraId="0AA3AB6C" w14:textId="77777777" w:rsidTr="00D92B11">
        <w:trPr>
          <w:cantSplit/>
          <w:tblHeader/>
        </w:trPr>
        <w:tc>
          <w:tcPr>
            <w:tcW w:w="9242" w:type="dxa"/>
          </w:tcPr>
          <w:p w14:paraId="64A14575" w14:textId="423C3E08" w:rsidR="00D92B11" w:rsidRDefault="00D92B11" w:rsidP="00D92B11">
            <w:pPr>
              <w:rPr>
                <w:u w:color="FF0000"/>
              </w:rPr>
            </w:pPr>
            <w:r w:rsidRPr="00D92B11">
              <w:rPr>
                <w:u w:color="FF0000"/>
              </w:rPr>
              <w:t xml:space="preserve">Prenatal detection of unknown gene variant(s) </w:t>
            </w:r>
            <w:r w:rsidR="00552862">
              <w:rPr>
                <w:u w:color="FF0000"/>
              </w:rPr>
              <w:t xml:space="preserve">requested by a specialist or consultant physician </w:t>
            </w:r>
            <w:r w:rsidRPr="00D92B11">
              <w:rPr>
                <w:u w:color="FF0000"/>
              </w:rPr>
              <w:t>for a suspected genetic neuromuscular disorder using a gene panel, after exclusion of non-genetic causes, and including maternal cell contamination assessment</w:t>
            </w:r>
            <w:r w:rsidR="00552862">
              <w:rPr>
                <w:u w:color="FF0000"/>
              </w:rPr>
              <w:t>.</w:t>
            </w:r>
          </w:p>
          <w:p w14:paraId="19F277E1" w14:textId="77777777" w:rsidR="00D92B11" w:rsidRPr="00D92B11" w:rsidRDefault="00D92B11" w:rsidP="00D92B11">
            <w:pPr>
              <w:rPr>
                <w:u w:color="FF0000"/>
              </w:rPr>
            </w:pPr>
          </w:p>
          <w:p w14:paraId="05EDB0C8" w14:textId="1C24A2EF" w:rsidR="00D92B11" w:rsidRPr="00895BCC" w:rsidRDefault="00D92B11" w:rsidP="00D92B11">
            <w:pPr>
              <w:rPr>
                <w:u w:color="FF0000"/>
              </w:rPr>
            </w:pPr>
            <w:r w:rsidRPr="00D92B11">
              <w:rPr>
                <w:b/>
                <w:bCs/>
                <w:u w:color="FF0000"/>
              </w:rPr>
              <w:t>Fee:</w:t>
            </w:r>
            <w:r w:rsidR="00764900">
              <w:rPr>
                <w:u w:color="FF0000"/>
              </w:rPr>
              <w:t xml:space="preserve">  $1,</w:t>
            </w:r>
            <w:r w:rsidR="00091A88">
              <w:rPr>
                <w:u w:color="FF0000"/>
              </w:rPr>
              <w:t>0</w:t>
            </w:r>
            <w:r w:rsidR="00764900">
              <w:rPr>
                <w:u w:color="FF0000"/>
              </w:rPr>
              <w:t>00</w:t>
            </w:r>
            <w:r w:rsidRPr="00D92B11">
              <w:rPr>
                <w:u w:color="FF0000"/>
              </w:rPr>
              <w:t xml:space="preserve">   </w:t>
            </w:r>
            <w:r w:rsidR="009B4E00">
              <w:rPr>
                <w:u w:color="FF0000"/>
              </w:rPr>
              <w:t xml:space="preserve">  </w:t>
            </w:r>
            <w:r w:rsidRPr="00D92B11">
              <w:rPr>
                <w:b/>
                <w:bCs/>
                <w:u w:color="FF0000"/>
              </w:rPr>
              <w:t>Benefit:</w:t>
            </w:r>
            <w:r w:rsidR="00764900">
              <w:rPr>
                <w:u w:color="FF0000"/>
              </w:rPr>
              <w:t xml:space="preserve"> 75% = $750</w:t>
            </w:r>
            <w:r>
              <w:rPr>
                <w:u w:color="FF0000"/>
              </w:rPr>
              <w:t xml:space="preserve"> </w:t>
            </w:r>
            <w:r w:rsidR="00764900">
              <w:rPr>
                <w:u w:color="FF0000"/>
              </w:rPr>
              <w:t xml:space="preserve">  </w:t>
            </w:r>
            <w:r w:rsidR="009B4E00">
              <w:rPr>
                <w:u w:color="FF0000"/>
              </w:rPr>
              <w:t xml:space="preserve"> </w:t>
            </w:r>
            <w:r w:rsidR="00764900">
              <w:rPr>
                <w:u w:color="FF0000"/>
              </w:rPr>
              <w:t>85% =$ 850</w:t>
            </w:r>
          </w:p>
        </w:tc>
      </w:tr>
    </w:tbl>
    <w:p w14:paraId="0968C7E8" w14:textId="54F73175" w:rsidR="00005A25" w:rsidRDefault="002A270A" w:rsidP="00AB614A">
      <w:pPr>
        <w:spacing w:before="240" w:after="120"/>
        <w:rPr>
          <w:b/>
          <w:i/>
          <w:iCs/>
        </w:rPr>
      </w:pPr>
      <w:r w:rsidRPr="00D93414">
        <w:rPr>
          <w:b/>
          <w:i/>
          <w:iCs/>
        </w:rPr>
        <w:t>Proposed additional item, following PASC’s first consideration</w:t>
      </w:r>
      <w:r w:rsidR="00C13EB0">
        <w:rPr>
          <w:b/>
          <w:i/>
          <w:iCs/>
        </w:rPr>
        <w:t xml:space="preserve"> (see comments above regarding a generalised item)</w:t>
      </w:r>
    </w:p>
    <w:tbl>
      <w:tblPr>
        <w:tblStyle w:val="TableGrid"/>
        <w:tblW w:w="0" w:type="auto"/>
        <w:tblLook w:val="04A0" w:firstRow="1" w:lastRow="0" w:firstColumn="1" w:lastColumn="0" w:noHBand="0" w:noVBand="1"/>
      </w:tblPr>
      <w:tblGrid>
        <w:gridCol w:w="9016"/>
      </w:tblGrid>
      <w:tr w:rsidR="004553F5" w:rsidRPr="004553F5" w14:paraId="5AA00EAA" w14:textId="77777777" w:rsidTr="0047361B">
        <w:trPr>
          <w:cantSplit/>
          <w:tblHeader/>
        </w:trPr>
        <w:tc>
          <w:tcPr>
            <w:tcW w:w="9242" w:type="dxa"/>
          </w:tcPr>
          <w:p w14:paraId="7DDE779F" w14:textId="1D307C05" w:rsidR="004553F5" w:rsidRPr="004553F5" w:rsidRDefault="004553F5" w:rsidP="004553F5">
            <w:pPr>
              <w:spacing w:line="276" w:lineRule="auto"/>
              <w:rPr>
                <w:b/>
                <w:i/>
                <w:iCs/>
              </w:rPr>
            </w:pPr>
            <w:r w:rsidRPr="004553F5">
              <w:rPr>
                <w:b/>
                <w:i/>
                <w:iCs/>
              </w:rPr>
              <w:t>Item EEEE                                            Category 6 (Pathology Services) – Group P7 Genetics</w:t>
            </w:r>
          </w:p>
        </w:tc>
      </w:tr>
      <w:tr w:rsidR="004553F5" w:rsidRPr="004553F5" w14:paraId="6E2EDA26" w14:textId="77777777" w:rsidTr="0047361B">
        <w:trPr>
          <w:cantSplit/>
          <w:tblHeader/>
        </w:trPr>
        <w:tc>
          <w:tcPr>
            <w:tcW w:w="9242" w:type="dxa"/>
          </w:tcPr>
          <w:p w14:paraId="495F6BFF" w14:textId="224F7BF8" w:rsidR="004553F5" w:rsidRPr="004553F5" w:rsidRDefault="004553F5" w:rsidP="004553F5">
            <w:pPr>
              <w:spacing w:before="240" w:after="120" w:line="276" w:lineRule="auto"/>
              <w:rPr>
                <w:i/>
                <w:iCs/>
              </w:rPr>
            </w:pPr>
            <w:r w:rsidRPr="004553F5">
              <w:rPr>
                <w:i/>
                <w:iCs/>
              </w:rPr>
              <w:t xml:space="preserve">Detection of a single identified gene variant requested by a specialist or consultant physician and after appropriate genetic counselling, in a reproductive partner of an individual </w:t>
            </w:r>
            <w:r w:rsidR="00166A0D">
              <w:rPr>
                <w:i/>
                <w:iCs/>
              </w:rPr>
              <w:t xml:space="preserve">with a documented and </w:t>
            </w:r>
            <w:r w:rsidRPr="004553F5">
              <w:rPr>
                <w:i/>
                <w:iCs/>
              </w:rPr>
              <w:t>actionable pathogenic germline recessive gene variant for a neuromuscular disorder identified by item number AAAA or DDDD.</w:t>
            </w:r>
          </w:p>
          <w:p w14:paraId="71A8A780" w14:textId="617C3547" w:rsidR="004553F5" w:rsidRPr="004553F5" w:rsidRDefault="004553F5" w:rsidP="004553F5">
            <w:pPr>
              <w:spacing w:before="240" w:after="120" w:line="276" w:lineRule="auto"/>
              <w:rPr>
                <w:b/>
                <w:i/>
                <w:iCs/>
              </w:rPr>
            </w:pPr>
            <w:r w:rsidRPr="004553F5">
              <w:rPr>
                <w:b/>
                <w:bCs/>
                <w:i/>
                <w:iCs/>
              </w:rPr>
              <w:t>Fee:</w:t>
            </w:r>
            <w:r w:rsidRPr="004553F5">
              <w:rPr>
                <w:b/>
                <w:i/>
                <w:iCs/>
              </w:rPr>
              <w:t xml:space="preserve">  $450</w:t>
            </w:r>
            <w:r w:rsidRPr="004553F5">
              <w:rPr>
                <w:b/>
                <w:bCs/>
                <w:i/>
                <w:iCs/>
              </w:rPr>
              <w:t xml:space="preserve">    </w:t>
            </w:r>
            <w:r>
              <w:rPr>
                <w:b/>
                <w:bCs/>
                <w:i/>
                <w:iCs/>
              </w:rPr>
              <w:t xml:space="preserve"> </w:t>
            </w:r>
            <w:r w:rsidRPr="004553F5">
              <w:rPr>
                <w:b/>
                <w:bCs/>
                <w:i/>
                <w:iCs/>
              </w:rPr>
              <w:t>Benefit:</w:t>
            </w:r>
            <w:r w:rsidRPr="004553F5">
              <w:rPr>
                <w:b/>
                <w:i/>
                <w:iCs/>
              </w:rPr>
              <w:t xml:space="preserve"> 75% = $337.50    </w:t>
            </w:r>
            <w:r>
              <w:rPr>
                <w:b/>
                <w:i/>
                <w:iCs/>
              </w:rPr>
              <w:t xml:space="preserve"> </w:t>
            </w:r>
            <w:r w:rsidRPr="004553F5">
              <w:rPr>
                <w:b/>
                <w:i/>
                <w:iCs/>
              </w:rPr>
              <w:t>85% = $382.50</w:t>
            </w:r>
          </w:p>
        </w:tc>
      </w:tr>
    </w:tbl>
    <w:p w14:paraId="201B99C8" w14:textId="1A42A2B5" w:rsidR="002129FC" w:rsidRPr="006566E4" w:rsidRDefault="002129FC" w:rsidP="00AB614A">
      <w:pPr>
        <w:spacing w:before="120" w:after="80"/>
        <w:rPr>
          <w:b/>
          <w:iCs/>
        </w:rPr>
      </w:pPr>
      <w:r w:rsidRPr="006566E4">
        <w:rPr>
          <w:b/>
          <w:iCs/>
          <w:u w:val="single"/>
        </w:rPr>
        <w:t>Practice note</w:t>
      </w:r>
      <w:r w:rsidRPr="006566E4">
        <w:rPr>
          <w:b/>
          <w:iCs/>
        </w:rPr>
        <w:t>:</w:t>
      </w:r>
    </w:p>
    <w:p w14:paraId="1FE59CBF" w14:textId="2DB57009" w:rsidR="00CC54AD" w:rsidRDefault="002129FC" w:rsidP="00604758">
      <w:pPr>
        <w:rPr>
          <w:iCs/>
        </w:rPr>
      </w:pPr>
      <w:r w:rsidRPr="006566E4">
        <w:rPr>
          <w:iCs/>
        </w:rPr>
        <w:t xml:space="preserve">The laboratory used to undertake </w:t>
      </w:r>
      <w:r w:rsidR="003B7BBF" w:rsidRPr="006566E4">
        <w:rPr>
          <w:iCs/>
        </w:rPr>
        <w:t xml:space="preserve">gene panel </w:t>
      </w:r>
      <w:r w:rsidRPr="006566E4">
        <w:rPr>
          <w:iCs/>
        </w:rPr>
        <w:t xml:space="preserve">tests for items AAAA and DDDD must use a methodology </w:t>
      </w:r>
      <w:r w:rsidR="00604758" w:rsidRPr="006566E4">
        <w:rPr>
          <w:iCs/>
        </w:rPr>
        <w:t xml:space="preserve">with </w:t>
      </w:r>
      <w:r w:rsidR="003B7BBF" w:rsidRPr="006566E4">
        <w:rPr>
          <w:iCs/>
        </w:rPr>
        <w:t>sufficient</w:t>
      </w:r>
      <w:r w:rsidR="00AD2ACC" w:rsidRPr="006566E4">
        <w:rPr>
          <w:iCs/>
        </w:rPr>
        <w:t xml:space="preserve"> diagnostic range and sensitivit</w:t>
      </w:r>
      <w:bookmarkStart w:id="12" w:name="Editing"/>
      <w:bookmarkEnd w:id="12"/>
      <w:r w:rsidR="00AD2ACC" w:rsidRPr="006566E4">
        <w:rPr>
          <w:iCs/>
        </w:rPr>
        <w:t>y to detect all known pathogenic gene variants of NMD</w:t>
      </w:r>
      <w:r w:rsidR="00604758" w:rsidRPr="006566E4">
        <w:rPr>
          <w:iCs/>
        </w:rPr>
        <w:t>.</w:t>
      </w:r>
    </w:p>
    <w:p w14:paraId="33414D98" w14:textId="7EC72B8B" w:rsidR="00323A2E" w:rsidRPr="00323A2E" w:rsidRDefault="00323A2E" w:rsidP="00323A2E">
      <w:pPr>
        <w:spacing w:after="120"/>
        <w:rPr>
          <w:i/>
        </w:rPr>
      </w:pPr>
      <w:r w:rsidRPr="00323A2E">
        <w:rPr>
          <w:i/>
        </w:rPr>
        <w:t>The A</w:t>
      </w:r>
      <w:r>
        <w:rPr>
          <w:i/>
        </w:rPr>
        <w:t>pplicant</w:t>
      </w:r>
      <w:r w:rsidRPr="00323A2E">
        <w:rPr>
          <w:i/>
        </w:rPr>
        <w:t xml:space="preserve"> noted that the revised item numbers as outlined below are erroneous and </w:t>
      </w:r>
      <w:r w:rsidRPr="00090703">
        <w:rPr>
          <w:i/>
        </w:rPr>
        <w:t>do not</w:t>
      </w:r>
      <w:r w:rsidRPr="00323A2E">
        <w:rPr>
          <w:i/>
        </w:rPr>
        <w:t xml:space="preserve"> account for the cost of testing for maternal cell contamination in items CCCC and DDDD in addition to testing for the variant (s).</w:t>
      </w:r>
    </w:p>
    <w:p w14:paraId="6B4A7F3B" w14:textId="63D3474F" w:rsidR="00323A2E" w:rsidRPr="00090703" w:rsidRDefault="00323A2E" w:rsidP="00323A2E">
      <w:pPr>
        <w:spacing w:after="120"/>
        <w:rPr>
          <w:i/>
        </w:rPr>
      </w:pPr>
      <w:r w:rsidRPr="00090703">
        <w:rPr>
          <w:i/>
        </w:rPr>
        <w:t>The Applicant proposed the following</w:t>
      </w:r>
      <w:r w:rsidR="00090703">
        <w:rPr>
          <w:i/>
        </w:rPr>
        <w:t xml:space="preserve"> revised</w:t>
      </w:r>
      <w:r w:rsidR="00090703" w:rsidRPr="00090703">
        <w:rPr>
          <w:i/>
        </w:rPr>
        <w:t xml:space="preserve"> fees for</w:t>
      </w:r>
      <w:r w:rsidRPr="00090703">
        <w:rPr>
          <w:i/>
        </w:rPr>
        <w:t xml:space="preserve"> items CCC</w:t>
      </w:r>
      <w:r w:rsidR="00090703" w:rsidRPr="00090703">
        <w:rPr>
          <w:i/>
        </w:rPr>
        <w:t>C and DDDD:</w:t>
      </w:r>
    </w:p>
    <w:p w14:paraId="61231D4E" w14:textId="70DDDAB7" w:rsidR="00090703" w:rsidRPr="00090703" w:rsidRDefault="00090703" w:rsidP="00090703">
      <w:pPr>
        <w:pStyle w:val="ListParagraph"/>
        <w:numPr>
          <w:ilvl w:val="0"/>
          <w:numId w:val="1"/>
        </w:numPr>
        <w:spacing w:after="120"/>
        <w:rPr>
          <w:i/>
        </w:rPr>
      </w:pPr>
      <w:r w:rsidRPr="00090703">
        <w:rPr>
          <w:i/>
        </w:rPr>
        <w:t>Item CCCC: $</w:t>
      </w:r>
      <w:r>
        <w:rPr>
          <w:i/>
        </w:rPr>
        <w:t>,</w:t>
      </w:r>
      <w:r w:rsidRPr="00090703">
        <w:rPr>
          <w:i/>
        </w:rPr>
        <w:t>1000</w:t>
      </w:r>
    </w:p>
    <w:p w14:paraId="2497CF08" w14:textId="341927D8" w:rsidR="00323A2E" w:rsidRPr="00B13CF6" w:rsidRDefault="00090703" w:rsidP="00604758">
      <w:pPr>
        <w:pStyle w:val="ListParagraph"/>
        <w:numPr>
          <w:ilvl w:val="0"/>
          <w:numId w:val="1"/>
        </w:numPr>
        <w:spacing w:after="120"/>
        <w:rPr>
          <w:i/>
        </w:rPr>
      </w:pPr>
      <w:r w:rsidRPr="00090703">
        <w:rPr>
          <w:i/>
        </w:rPr>
        <w:t>Item DDDD: $1,600</w:t>
      </w:r>
      <w:r>
        <w:rPr>
          <w:i/>
        </w:rPr>
        <w:t xml:space="preserve"> (benefit: 75% = $1,2000 and 85% = $1,360)</w:t>
      </w:r>
    </w:p>
    <w:p w14:paraId="0BEDD123" w14:textId="77777777" w:rsidR="000F2EC1" w:rsidRDefault="000F2EC1">
      <w:pPr>
        <w:rPr>
          <w:rFonts w:ascii="Cambria" w:hAnsi="Cambria" w:cs="Calibri"/>
          <w:b/>
          <w:noProof/>
          <w:color w:val="00B0F0"/>
          <w:sz w:val="32"/>
          <w:szCs w:val="32"/>
          <w:lang w:val="en-US"/>
        </w:rPr>
      </w:pPr>
      <w:r>
        <w:rPr>
          <w:rFonts w:ascii="Cambria" w:hAnsi="Cambria" w:cs="Calibri"/>
          <w:b/>
          <w:noProof/>
          <w:color w:val="00B0F0"/>
          <w:sz w:val="32"/>
          <w:szCs w:val="32"/>
          <w:lang w:val="en-US"/>
        </w:rPr>
        <w:br w:type="page"/>
      </w:r>
    </w:p>
    <w:p w14:paraId="23CEB1F9" w14:textId="18F50C84" w:rsidR="009C3D6B" w:rsidRDefault="007C100A" w:rsidP="007C100A">
      <w:pPr>
        <w:spacing w:after="120" w:line="240" w:lineRule="auto"/>
        <w:rPr>
          <w:rFonts w:ascii="Cambria" w:hAnsi="Cambria" w:cs="Calibri"/>
          <w:b/>
          <w:noProof/>
          <w:color w:val="00B0F0"/>
          <w:sz w:val="32"/>
          <w:szCs w:val="32"/>
          <w:lang w:val="en-US"/>
        </w:rPr>
      </w:pPr>
      <w:r>
        <w:rPr>
          <w:rFonts w:ascii="Cambria" w:hAnsi="Cambria" w:cs="Calibri"/>
          <w:b/>
          <w:noProof/>
          <w:color w:val="00B0F0"/>
          <w:sz w:val="32"/>
          <w:szCs w:val="32"/>
          <w:lang w:val="en-US"/>
        </w:rPr>
        <w:lastRenderedPageBreak/>
        <w:t>Consultation feedback</w:t>
      </w:r>
    </w:p>
    <w:p w14:paraId="705157B4" w14:textId="77777777" w:rsidR="007C100A" w:rsidRPr="007C100A" w:rsidRDefault="007C100A" w:rsidP="007C100A">
      <w:pPr>
        <w:spacing w:after="0"/>
        <w:contextualSpacing/>
        <w:rPr>
          <w:b/>
          <w:sz w:val="24"/>
        </w:rPr>
      </w:pPr>
      <w:r w:rsidRPr="007C100A">
        <w:rPr>
          <w:b/>
          <w:sz w:val="24"/>
        </w:rPr>
        <w:t>PASC’s First Consideration (December 2019)</w:t>
      </w:r>
    </w:p>
    <w:p w14:paraId="7B9E7AD0" w14:textId="77777777" w:rsidR="007C100A" w:rsidRPr="00B93750" w:rsidRDefault="007C100A" w:rsidP="007C100A">
      <w:pPr>
        <w:spacing w:after="0"/>
        <w:contextualSpacing/>
        <w:rPr>
          <w:i/>
          <w:sz w:val="8"/>
          <w:szCs w:val="8"/>
        </w:rPr>
      </w:pPr>
    </w:p>
    <w:p w14:paraId="09DA8975" w14:textId="77777777" w:rsidR="007C100A" w:rsidRPr="007C100A" w:rsidRDefault="007C100A" w:rsidP="007C100A">
      <w:pPr>
        <w:contextualSpacing/>
        <w:rPr>
          <w:sz w:val="16"/>
          <w:szCs w:val="16"/>
        </w:rPr>
      </w:pPr>
      <w:r w:rsidRPr="007C100A">
        <w:t>PASC noted the consultation feedback.</w:t>
      </w:r>
      <w:r w:rsidRPr="007C100A">
        <w:br/>
      </w:r>
    </w:p>
    <w:p w14:paraId="1FD805C7" w14:textId="77777777" w:rsidR="007C100A" w:rsidRPr="007C100A" w:rsidRDefault="007C100A" w:rsidP="007C100A">
      <w:pPr>
        <w:contextualSpacing/>
        <w:rPr>
          <w:sz w:val="16"/>
          <w:szCs w:val="16"/>
        </w:rPr>
      </w:pPr>
      <w:r w:rsidRPr="007C100A">
        <w:t>PASC noted feedback that stated a specific minimum list of genes should be included in the MBS descriptor (or in advisory notes that accompany the MBS descriptor), to ensure laboratories have equivalent tests. The applicant is expected to provide a minimum list of genes.</w:t>
      </w:r>
      <w:r w:rsidRPr="007C100A">
        <w:br/>
      </w:r>
    </w:p>
    <w:p w14:paraId="79DC5E54" w14:textId="67C38037" w:rsidR="007C100A" w:rsidRDefault="007C100A" w:rsidP="007C100A">
      <w:pPr>
        <w:contextualSpacing/>
      </w:pPr>
      <w:r w:rsidRPr="007C100A">
        <w:t>PASC agreed with feedback that the item descriptor should be agnostic about the panel, in order to future-proof against outdated panels (as new disease genes are identified).</w:t>
      </w:r>
    </w:p>
    <w:p w14:paraId="521A9CEA" w14:textId="77777777" w:rsidR="007C100A" w:rsidRPr="007C100A" w:rsidRDefault="007C100A" w:rsidP="007C100A">
      <w:pPr>
        <w:contextualSpacing/>
      </w:pPr>
    </w:p>
    <w:p w14:paraId="2D322BD1" w14:textId="77777777" w:rsidR="009C3D6B" w:rsidRPr="007C100A" w:rsidRDefault="009C3D6B" w:rsidP="009C3D6B">
      <w:pPr>
        <w:spacing w:after="80"/>
        <w:rPr>
          <w:b/>
          <w:bCs/>
          <w:iCs/>
          <w:sz w:val="24"/>
          <w:szCs w:val="24"/>
        </w:rPr>
      </w:pPr>
      <w:r w:rsidRPr="007C100A">
        <w:rPr>
          <w:b/>
          <w:bCs/>
          <w:iCs/>
          <w:sz w:val="24"/>
          <w:szCs w:val="24"/>
        </w:rPr>
        <w:t>PASC’s Second Consideration (April 2020)</w:t>
      </w:r>
    </w:p>
    <w:p w14:paraId="7A8AC101" w14:textId="77777777" w:rsidR="009C3D6B" w:rsidRPr="007C100A" w:rsidRDefault="009C3D6B" w:rsidP="009C3D6B">
      <w:pPr>
        <w:rPr>
          <w:i/>
          <w:iCs/>
        </w:rPr>
      </w:pPr>
      <w:r w:rsidRPr="007C100A">
        <w:rPr>
          <w:i/>
          <w:iCs/>
        </w:rPr>
        <w:t>PASC noted the consultation feedback and general support of the application.</w:t>
      </w:r>
    </w:p>
    <w:p w14:paraId="75919B42" w14:textId="358EDE0B" w:rsidR="004553F5" w:rsidRPr="009C3D6B" w:rsidRDefault="009C3D6B" w:rsidP="009C3D6B">
      <w:pPr>
        <w:spacing w:after="0"/>
        <w:contextualSpacing/>
        <w:rPr>
          <w:i/>
          <w:iCs/>
          <w:sz w:val="18"/>
          <w:szCs w:val="18"/>
        </w:rPr>
      </w:pPr>
      <w:r w:rsidRPr="007C100A">
        <w:rPr>
          <w:i/>
          <w:iCs/>
        </w:rPr>
        <w:t>PASC noted the feedback that proposed rebates for items BBBB and CCCC ‘seem a bit high’</w:t>
      </w:r>
      <w:r w:rsidR="00090703">
        <w:rPr>
          <w:i/>
          <w:iCs/>
        </w:rPr>
        <w:t>.</w:t>
      </w:r>
    </w:p>
    <w:p w14:paraId="57E06303" w14:textId="77777777" w:rsidR="009C3D6B" w:rsidRPr="004553F5" w:rsidRDefault="009C3D6B" w:rsidP="004553F5">
      <w:pPr>
        <w:spacing w:after="0"/>
        <w:contextualSpacing/>
        <w:rPr>
          <w:i/>
          <w:sz w:val="18"/>
          <w:szCs w:val="18"/>
        </w:rPr>
      </w:pPr>
    </w:p>
    <w:p w14:paraId="1E1FD338" w14:textId="5761F4CB" w:rsidR="009C3D6B" w:rsidRPr="007C100A" w:rsidRDefault="004E1C1E" w:rsidP="007C100A">
      <w:pPr>
        <w:keepNext/>
        <w:keepLines/>
        <w:spacing w:after="80"/>
        <w:outlineLvl w:val="1"/>
        <w:rPr>
          <w:rFonts w:ascii="Cambria" w:eastAsia="MS Gothic" w:hAnsi="Cambria"/>
          <w:b/>
          <w:bCs/>
          <w:color w:val="00B0F0"/>
          <w:sz w:val="32"/>
          <w:szCs w:val="32"/>
        </w:rPr>
      </w:pPr>
      <w:r w:rsidRPr="00AB614A">
        <w:rPr>
          <w:rFonts w:ascii="Cambria" w:eastAsia="MS Gothic" w:hAnsi="Cambria"/>
          <w:b/>
          <w:bCs/>
          <w:color w:val="00B0F0"/>
          <w:sz w:val="32"/>
          <w:szCs w:val="32"/>
        </w:rPr>
        <w:t>Next steps</w:t>
      </w:r>
    </w:p>
    <w:p w14:paraId="1472955D" w14:textId="77777777" w:rsidR="009C3D6B" w:rsidRPr="00892AC6" w:rsidRDefault="009C3D6B" w:rsidP="009C3D6B">
      <w:pPr>
        <w:rPr>
          <w:i/>
          <w:iCs/>
        </w:rPr>
      </w:pPr>
      <w:r w:rsidRPr="00892AC6">
        <w:rPr>
          <w:i/>
          <w:iCs/>
        </w:rPr>
        <w:t>PASC advised that, upon ratification of the post-PASC PICO, the application can proceed to the Evaluation Sub-Committee (ESC) stage of the MSAC process.</w:t>
      </w:r>
    </w:p>
    <w:p w14:paraId="3A697EF1" w14:textId="77777777" w:rsidR="009C3D6B" w:rsidRPr="00892AC6" w:rsidRDefault="009C3D6B" w:rsidP="009C3D6B">
      <w:pPr>
        <w:rPr>
          <w:i/>
          <w:iCs/>
        </w:rPr>
      </w:pPr>
      <w:r w:rsidRPr="00892AC6">
        <w:rPr>
          <w:i/>
          <w:iCs/>
        </w:rPr>
        <w:t xml:space="preserve">PASC noted the applicant has elected to progress its application as a DCAR (Department-contracted assessment report). </w:t>
      </w:r>
    </w:p>
    <w:p w14:paraId="76FEF15D" w14:textId="6F2D2B89" w:rsidR="00C621ED" w:rsidRPr="00B13CF6" w:rsidRDefault="009C3D6B">
      <w:pPr>
        <w:rPr>
          <w:rFonts w:asciiTheme="majorHAnsi" w:eastAsiaTheme="majorEastAsia" w:hAnsiTheme="majorHAnsi" w:cstheme="majorBidi"/>
          <w:b/>
          <w:bCs/>
          <w:i/>
          <w:iCs/>
          <w:color w:val="365F91" w:themeColor="accent1" w:themeShade="BF"/>
          <w:sz w:val="26"/>
          <w:szCs w:val="28"/>
        </w:rPr>
      </w:pPr>
      <w:r w:rsidRPr="00892AC6">
        <w:rPr>
          <w:i/>
          <w:iCs/>
        </w:rPr>
        <w:t>PASC advised that the clinical utility card (CUC) format is suitable for this application.</w:t>
      </w:r>
    </w:p>
    <w:p w14:paraId="02017557" w14:textId="77777777" w:rsidR="000F2EC1" w:rsidRDefault="000F2EC1">
      <w:pPr>
        <w:rPr>
          <w:rFonts w:asciiTheme="majorHAnsi" w:eastAsiaTheme="majorEastAsia" w:hAnsiTheme="majorHAnsi" w:cstheme="majorBidi"/>
          <w:b/>
          <w:bCs/>
          <w:color w:val="00B0F0"/>
          <w:sz w:val="32"/>
          <w:szCs w:val="32"/>
        </w:rPr>
      </w:pPr>
      <w:r>
        <w:rPr>
          <w:rFonts w:asciiTheme="majorHAnsi" w:eastAsiaTheme="majorEastAsia" w:hAnsiTheme="majorHAnsi" w:cstheme="majorBidi"/>
          <w:b/>
          <w:bCs/>
          <w:color w:val="00B0F0"/>
          <w:sz w:val="32"/>
          <w:szCs w:val="32"/>
        </w:rPr>
        <w:br w:type="page"/>
      </w:r>
    </w:p>
    <w:p w14:paraId="612304CF" w14:textId="04711A0F" w:rsidR="004E1C1E" w:rsidRPr="0072179C" w:rsidRDefault="00C621ED" w:rsidP="0072179C">
      <w:pPr>
        <w:spacing w:after="0"/>
        <w:rPr>
          <w:rFonts w:asciiTheme="majorHAnsi" w:eastAsiaTheme="majorEastAsia" w:hAnsiTheme="majorHAnsi" w:cstheme="majorBidi"/>
          <w:b/>
          <w:bCs/>
          <w:color w:val="00B0F0"/>
          <w:sz w:val="32"/>
          <w:szCs w:val="32"/>
        </w:rPr>
      </w:pPr>
      <w:r w:rsidRPr="0072179C">
        <w:rPr>
          <w:rFonts w:asciiTheme="majorHAnsi" w:eastAsiaTheme="majorEastAsia" w:hAnsiTheme="majorHAnsi" w:cstheme="majorBidi"/>
          <w:b/>
          <w:bCs/>
          <w:color w:val="00B0F0"/>
          <w:sz w:val="32"/>
          <w:szCs w:val="32"/>
        </w:rPr>
        <w:lastRenderedPageBreak/>
        <w:t>References</w:t>
      </w:r>
    </w:p>
    <w:sectPr w:rsidR="004E1C1E" w:rsidRPr="0072179C" w:rsidSect="00CA3C67">
      <w:headerReference w:type="even" r:id="rId16"/>
      <w:footerReference w:type="default" r:id="rId17"/>
      <w:footnotePr>
        <w:numRestart w:val="eachPage"/>
      </w:footnotePr>
      <w:endnotePr>
        <w:numFmt w:val="decimal"/>
      </w:endnotePr>
      <w:pgSz w:w="11906" w:h="16838"/>
      <w:pgMar w:top="851" w:right="1440" w:bottom="127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88348D" w16cid:durableId="22849BF7"/>
  <w16cid:commentId w16cid:paraId="465154B8" w16cid:durableId="22849A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053E7" w14:textId="77777777" w:rsidR="00B52E45" w:rsidRDefault="00B52E45" w:rsidP="003D699E">
      <w:pPr>
        <w:spacing w:after="0" w:line="240" w:lineRule="auto"/>
      </w:pPr>
      <w:r>
        <w:separator/>
      </w:r>
    </w:p>
  </w:endnote>
  <w:endnote w:type="continuationSeparator" w:id="0">
    <w:p w14:paraId="652D6A55" w14:textId="77777777" w:rsidR="00B52E45" w:rsidRDefault="00B52E45" w:rsidP="003D699E">
      <w:pPr>
        <w:spacing w:after="0" w:line="240" w:lineRule="auto"/>
      </w:pPr>
      <w:r>
        <w:continuationSeparator/>
      </w:r>
    </w:p>
  </w:endnote>
  <w:endnote w:id="1">
    <w:p w14:paraId="380FE1E1" w14:textId="39845E0A" w:rsidR="00B52E45" w:rsidRPr="00C621ED" w:rsidRDefault="00B52E45" w:rsidP="00C621ED">
      <w:pPr>
        <w:pStyle w:val="EndnoteText"/>
        <w:ind w:left="720" w:hanging="720"/>
      </w:pPr>
      <w:r w:rsidRPr="00C621ED">
        <w:rPr>
          <w:rStyle w:val="EndnoteReference"/>
        </w:rPr>
        <w:endnoteRef/>
      </w:r>
      <w:r w:rsidRPr="00C621ED">
        <w:t xml:space="preserve"> Analytical validity: the reproducibility and repeatability of the assay, that is, the ability of the test to measure gene expression accurately and reliably.</w:t>
      </w:r>
    </w:p>
  </w:endnote>
  <w:endnote w:id="2">
    <w:p w14:paraId="71D6597B" w14:textId="200A07B3" w:rsidR="00B52E45" w:rsidRPr="00C621ED" w:rsidRDefault="00B52E45" w:rsidP="00C621ED">
      <w:pPr>
        <w:pStyle w:val="EndnoteText"/>
        <w:ind w:left="720" w:hanging="720"/>
      </w:pPr>
      <w:r w:rsidRPr="00C621ED">
        <w:rPr>
          <w:rStyle w:val="EndnoteReference"/>
        </w:rPr>
        <w:endnoteRef/>
      </w:r>
      <w:r w:rsidRPr="00C621ED">
        <w:t xml:space="preserve"> Clinical validity: measures the test’s ability to predict the presence or absence of disease, that is, the sensitivity, specificity, and positive and negative predictive values, in this case</w:t>
      </w:r>
    </w:p>
  </w:endnote>
  <w:endnote w:id="3">
    <w:p w14:paraId="682A8B06" w14:textId="3F6C528E" w:rsidR="00B52E45" w:rsidRPr="00C621ED" w:rsidRDefault="00B52E45" w:rsidP="00C621ED">
      <w:pPr>
        <w:pStyle w:val="EndNoteBibliography"/>
        <w:spacing w:before="0" w:after="0"/>
        <w:ind w:left="720" w:hanging="720"/>
        <w:rPr>
          <w:szCs w:val="20"/>
        </w:rPr>
      </w:pPr>
      <w:r w:rsidRPr="00C621ED">
        <w:rPr>
          <w:rStyle w:val="EndnoteReference"/>
          <w:szCs w:val="20"/>
        </w:rPr>
        <w:endnoteRef/>
      </w:r>
      <w:r w:rsidRPr="00C621ED">
        <w:rPr>
          <w:szCs w:val="20"/>
        </w:rPr>
        <w:t xml:space="preserve"> Fattahi, Z., Kalhor, Z. et al (2017). 'Improved diagnostic yield of neuromuscular disorders applying clinical exome sequencing in patients arising from a consanguineous population', </w:t>
      </w:r>
      <w:r w:rsidRPr="00C621ED">
        <w:rPr>
          <w:i/>
          <w:szCs w:val="20"/>
        </w:rPr>
        <w:t>Clin Genet,</w:t>
      </w:r>
      <w:r w:rsidRPr="00C621ED">
        <w:rPr>
          <w:b/>
          <w:i/>
          <w:szCs w:val="20"/>
        </w:rPr>
        <w:t xml:space="preserve"> </w:t>
      </w:r>
      <w:r w:rsidRPr="00C621ED">
        <w:rPr>
          <w:szCs w:val="20"/>
        </w:rPr>
        <w:t>91</w:t>
      </w:r>
      <w:r w:rsidRPr="00C621ED">
        <w:rPr>
          <w:b/>
          <w:szCs w:val="20"/>
        </w:rPr>
        <w:t xml:space="preserve"> </w:t>
      </w:r>
      <w:r w:rsidRPr="00C621ED">
        <w:rPr>
          <w:szCs w:val="20"/>
        </w:rPr>
        <w:t>(3), 386-402.</w:t>
      </w:r>
    </w:p>
  </w:endnote>
  <w:endnote w:id="4">
    <w:p w14:paraId="26170E4E" w14:textId="39A7D805" w:rsidR="00B52E45" w:rsidRPr="00C621ED" w:rsidRDefault="00B52E45" w:rsidP="00C621ED">
      <w:pPr>
        <w:pStyle w:val="EndNoteBibliography"/>
        <w:spacing w:before="0" w:after="0"/>
        <w:ind w:left="720" w:hanging="720"/>
        <w:rPr>
          <w:szCs w:val="20"/>
        </w:rPr>
      </w:pPr>
      <w:r w:rsidRPr="00C621ED">
        <w:rPr>
          <w:rStyle w:val="EndnoteReference"/>
          <w:szCs w:val="20"/>
        </w:rPr>
        <w:endnoteRef/>
      </w:r>
      <w:r w:rsidRPr="00C621ED">
        <w:rPr>
          <w:szCs w:val="20"/>
        </w:rPr>
        <w:t xml:space="preserve"> Ankala, A., da Silva, C. et al (2015). 'A comprehensive genomic approach for neuromuscular diseases gives a high diagnostic yield', </w:t>
      </w:r>
      <w:r w:rsidRPr="00C621ED">
        <w:rPr>
          <w:i/>
          <w:szCs w:val="20"/>
        </w:rPr>
        <w:t>Ann Neurol,</w:t>
      </w:r>
      <w:r w:rsidRPr="00C621ED">
        <w:rPr>
          <w:b/>
          <w:i/>
          <w:szCs w:val="20"/>
        </w:rPr>
        <w:t xml:space="preserve"> </w:t>
      </w:r>
      <w:r w:rsidRPr="00C621ED">
        <w:rPr>
          <w:szCs w:val="20"/>
        </w:rPr>
        <w:t>77</w:t>
      </w:r>
      <w:r w:rsidRPr="00C621ED">
        <w:rPr>
          <w:b/>
          <w:szCs w:val="20"/>
        </w:rPr>
        <w:t xml:space="preserve"> </w:t>
      </w:r>
      <w:r w:rsidRPr="00C621ED">
        <w:rPr>
          <w:szCs w:val="20"/>
        </w:rPr>
        <w:t>(2), 206-214.</w:t>
      </w:r>
    </w:p>
  </w:endnote>
  <w:endnote w:id="5">
    <w:p w14:paraId="77CE10A0" w14:textId="57F16306" w:rsidR="00B52E45" w:rsidRPr="00C621ED" w:rsidRDefault="00B52E45" w:rsidP="00C621ED">
      <w:pPr>
        <w:pStyle w:val="EndNoteBibliography"/>
        <w:spacing w:before="0" w:after="0"/>
        <w:ind w:left="720" w:hanging="720"/>
        <w:rPr>
          <w:szCs w:val="20"/>
        </w:rPr>
      </w:pPr>
      <w:r w:rsidRPr="00C621ED">
        <w:rPr>
          <w:rStyle w:val="EndnoteReference"/>
          <w:szCs w:val="20"/>
        </w:rPr>
        <w:endnoteRef/>
      </w:r>
      <w:r w:rsidRPr="00C621ED">
        <w:rPr>
          <w:szCs w:val="20"/>
        </w:rPr>
        <w:t xml:space="preserve"> Dowling, J. J., H, D. G. et al (2018). 'Treating pediatric neuromuscular disorders: The future is now', </w:t>
      </w:r>
      <w:r w:rsidRPr="00C621ED">
        <w:rPr>
          <w:i/>
          <w:szCs w:val="20"/>
        </w:rPr>
        <w:t>Am J Med Genet A,</w:t>
      </w:r>
      <w:r w:rsidRPr="00C621ED">
        <w:rPr>
          <w:b/>
          <w:i/>
          <w:szCs w:val="20"/>
        </w:rPr>
        <w:t xml:space="preserve"> </w:t>
      </w:r>
      <w:r w:rsidRPr="00C621ED">
        <w:rPr>
          <w:szCs w:val="20"/>
        </w:rPr>
        <w:t>176</w:t>
      </w:r>
      <w:r w:rsidRPr="00C621ED">
        <w:rPr>
          <w:b/>
          <w:szCs w:val="20"/>
        </w:rPr>
        <w:t xml:space="preserve"> </w:t>
      </w:r>
      <w:r w:rsidRPr="00C621ED">
        <w:rPr>
          <w:szCs w:val="20"/>
        </w:rPr>
        <w:t>(4), 804-841.</w:t>
      </w:r>
    </w:p>
  </w:endnote>
  <w:endnote w:id="6">
    <w:p w14:paraId="6B1ABC6C" w14:textId="23008BBC" w:rsidR="00B52E45" w:rsidRPr="00C621ED" w:rsidRDefault="00B52E45" w:rsidP="00C621ED">
      <w:pPr>
        <w:pStyle w:val="EndNoteBibliography"/>
        <w:spacing w:before="0" w:after="0"/>
        <w:ind w:left="720" w:hanging="720"/>
        <w:rPr>
          <w:szCs w:val="20"/>
        </w:rPr>
      </w:pPr>
      <w:r w:rsidRPr="00C621ED">
        <w:rPr>
          <w:rStyle w:val="EndnoteReference"/>
          <w:szCs w:val="20"/>
        </w:rPr>
        <w:endnoteRef/>
      </w:r>
      <w:r w:rsidRPr="00C621ED">
        <w:rPr>
          <w:szCs w:val="20"/>
        </w:rPr>
        <w:t xml:space="preserve"> Darras, B. T., Urion, D. K. &amp; Ghosh, P. S. (2018). </w:t>
      </w:r>
      <w:r w:rsidRPr="00C621ED">
        <w:rPr>
          <w:i/>
          <w:szCs w:val="20"/>
        </w:rPr>
        <w:t xml:space="preserve">Dystrophinopathies </w:t>
      </w:r>
      <w:r w:rsidRPr="00C621ED">
        <w:rPr>
          <w:szCs w:val="20"/>
        </w:rPr>
        <w:t xml:space="preserve">[Internet]. University of Washington. Retreived 19/09/2019, from: https://www.ncbi.nlm.nih.gov/books/NBK1119/ </w:t>
      </w:r>
    </w:p>
  </w:endnote>
  <w:endnote w:id="7">
    <w:p w14:paraId="1A856E5B" w14:textId="4841F3CC" w:rsidR="00B52E45" w:rsidRPr="00C621ED" w:rsidRDefault="00B52E45" w:rsidP="00C621ED">
      <w:pPr>
        <w:pStyle w:val="EndNoteBibliography"/>
        <w:spacing w:before="0" w:after="0"/>
        <w:ind w:left="720" w:hanging="720"/>
        <w:rPr>
          <w:szCs w:val="20"/>
        </w:rPr>
      </w:pPr>
      <w:r w:rsidRPr="00C621ED">
        <w:rPr>
          <w:rStyle w:val="EndnoteReference"/>
          <w:szCs w:val="20"/>
        </w:rPr>
        <w:endnoteRef/>
      </w:r>
      <w:r w:rsidRPr="00C621ED">
        <w:rPr>
          <w:szCs w:val="20"/>
        </w:rPr>
        <w:t xml:space="preserve"> Laing, N. G. (2012). 'Genetics of neuromuscular disorders', </w:t>
      </w:r>
      <w:r w:rsidRPr="00C621ED">
        <w:rPr>
          <w:i/>
          <w:szCs w:val="20"/>
        </w:rPr>
        <w:t>Crit Rev Clin Lab Sci,</w:t>
      </w:r>
      <w:r w:rsidRPr="00C621ED">
        <w:rPr>
          <w:b/>
          <w:i/>
          <w:szCs w:val="20"/>
        </w:rPr>
        <w:t xml:space="preserve"> </w:t>
      </w:r>
      <w:r w:rsidRPr="00C621ED">
        <w:rPr>
          <w:szCs w:val="20"/>
        </w:rPr>
        <w:t>49</w:t>
      </w:r>
      <w:r w:rsidRPr="00C621ED">
        <w:rPr>
          <w:b/>
          <w:szCs w:val="20"/>
        </w:rPr>
        <w:t xml:space="preserve"> </w:t>
      </w:r>
      <w:r w:rsidRPr="00C621ED">
        <w:rPr>
          <w:szCs w:val="20"/>
        </w:rPr>
        <w:t>(2), 33-48.</w:t>
      </w:r>
    </w:p>
  </w:endnote>
  <w:endnote w:id="8">
    <w:p w14:paraId="4DD7FC32" w14:textId="54E07183" w:rsidR="00B52E45" w:rsidRPr="00C621ED" w:rsidRDefault="00B52E45" w:rsidP="00C621ED">
      <w:pPr>
        <w:pStyle w:val="EndnoteText"/>
        <w:ind w:left="720" w:hanging="720"/>
      </w:pPr>
      <w:r w:rsidRPr="00C621ED">
        <w:rPr>
          <w:rStyle w:val="EndnoteReference"/>
        </w:rPr>
        <w:endnoteRef/>
      </w:r>
      <w:r w:rsidRPr="00C621ED">
        <w:t xml:space="preserve"> Fattahi, Z., Kalhor, Z. et al (2017). 'Improved diagnostic yield of neuromuscular disorders applying clinical exome sequencing in patients arising from a consanguineous population', </w:t>
      </w:r>
      <w:r w:rsidRPr="00C621ED">
        <w:rPr>
          <w:i/>
        </w:rPr>
        <w:t>Clin Genet,</w:t>
      </w:r>
      <w:r w:rsidRPr="00C621ED">
        <w:rPr>
          <w:b/>
          <w:i/>
        </w:rPr>
        <w:t xml:space="preserve"> </w:t>
      </w:r>
      <w:r w:rsidRPr="00C621ED">
        <w:t>91</w:t>
      </w:r>
      <w:r w:rsidRPr="00C621ED">
        <w:rPr>
          <w:b/>
        </w:rPr>
        <w:t xml:space="preserve"> </w:t>
      </w:r>
      <w:r w:rsidRPr="00C621ED">
        <w:t>(3), 386-402.</w:t>
      </w:r>
    </w:p>
  </w:endnote>
  <w:endnote w:id="9">
    <w:p w14:paraId="440E8DF6" w14:textId="77777777" w:rsidR="00B52E45" w:rsidRPr="00C621ED" w:rsidRDefault="00B52E45" w:rsidP="00C621ED">
      <w:pPr>
        <w:pStyle w:val="EndnoteText"/>
        <w:ind w:left="720" w:hanging="720"/>
      </w:pPr>
      <w:r w:rsidRPr="00C621ED">
        <w:rPr>
          <w:rStyle w:val="EndnoteReference"/>
        </w:rPr>
        <w:endnoteRef/>
      </w:r>
      <w:r w:rsidRPr="00C621ED">
        <w:t xml:space="preserve"> Muscular Dystrophy Foundation Australia. (2016). "What is MD?"   Retrieved 19/09/2019, from https://mdaustralia.org.au/neuromuscular-condition/what-is-md/.</w:t>
      </w:r>
    </w:p>
  </w:endnote>
  <w:endnote w:id="10">
    <w:p w14:paraId="04F883EC" w14:textId="690871BA" w:rsidR="00B52E45" w:rsidRPr="00C621ED" w:rsidRDefault="00B52E45" w:rsidP="00C621ED">
      <w:pPr>
        <w:pStyle w:val="EndnoteText"/>
        <w:ind w:left="720" w:hanging="720"/>
      </w:pPr>
      <w:r w:rsidRPr="00C621ED">
        <w:rPr>
          <w:rStyle w:val="EndnoteReference"/>
        </w:rPr>
        <w:endnoteRef/>
      </w:r>
      <w:r w:rsidRPr="00C621ED">
        <w:t xml:space="preserve"> </w:t>
      </w:r>
      <w:r w:rsidRPr="00C621ED">
        <w:rPr>
          <w:rFonts w:asciiTheme="minorHAnsi" w:hAnsiTheme="minorHAnsi" w:cs="Arial"/>
          <w:shd w:val="clear" w:color="auto" w:fill="FFFFFF"/>
        </w:rPr>
        <w:t>Centers for Disease Control and Prevention. (2009). Prevalence of Duchenne/Becker muscular dystrophy among males aged 5-24 years—four states, 2007. </w:t>
      </w:r>
      <w:r w:rsidRPr="00C621ED">
        <w:rPr>
          <w:rStyle w:val="Emphasis"/>
          <w:rFonts w:asciiTheme="minorHAnsi" w:hAnsiTheme="minorHAnsi" w:cs="Arial"/>
          <w:shd w:val="clear" w:color="auto" w:fill="FFFFFF"/>
        </w:rPr>
        <w:t>MMWR Morbidity and Mortality Weekly Report,</w:t>
      </w:r>
      <w:r w:rsidRPr="00C621ED">
        <w:rPr>
          <w:rFonts w:asciiTheme="minorHAnsi" w:hAnsiTheme="minorHAnsi" w:cs="Arial"/>
          <w:shd w:val="clear" w:color="auto" w:fill="FFFFFF"/>
        </w:rPr>
        <w:t> 58, 1119-1122. Retrieved 08/10/2019, from </w:t>
      </w:r>
      <w:r w:rsidRPr="00C621ED">
        <w:rPr>
          <w:rFonts w:asciiTheme="minorHAnsi" w:hAnsiTheme="minorHAnsi"/>
        </w:rPr>
        <w:t>http://www.cdc.gov/mmwr/preview/mmwrhtml/mm5840a1.htm</w:t>
      </w:r>
    </w:p>
  </w:endnote>
  <w:endnote w:id="11">
    <w:p w14:paraId="168181C7" w14:textId="4A31820F" w:rsidR="00B52E45" w:rsidRPr="00C621ED" w:rsidRDefault="00B52E45" w:rsidP="00C621ED">
      <w:pPr>
        <w:pStyle w:val="EndnoteText"/>
        <w:ind w:left="720" w:hanging="720"/>
      </w:pPr>
      <w:r w:rsidRPr="00C621ED">
        <w:rPr>
          <w:rStyle w:val="EndnoteReference"/>
        </w:rPr>
        <w:endnoteRef/>
      </w:r>
      <w:r w:rsidRPr="00C621ED">
        <w:t xml:space="preserve"> </w:t>
      </w:r>
      <w:r w:rsidRPr="00C621ED">
        <w:rPr>
          <w:rFonts w:asciiTheme="minorHAnsi" w:hAnsiTheme="minorHAnsi"/>
          <w:color w:val="333333"/>
          <w:shd w:val="clear" w:color="auto" w:fill="FFFFFF"/>
        </w:rPr>
        <w:t>Kurtzke JF: Neuroepidemiology. Ann Neurol 1984;16:265-277</w:t>
      </w:r>
    </w:p>
  </w:endnote>
  <w:endnote w:id="12">
    <w:p w14:paraId="7D68E364" w14:textId="77777777" w:rsidR="00B52E45" w:rsidRPr="00C621ED" w:rsidRDefault="00B52E45" w:rsidP="00C621ED">
      <w:pPr>
        <w:pStyle w:val="EndnoteText"/>
        <w:ind w:left="720" w:hanging="720"/>
      </w:pPr>
      <w:r w:rsidRPr="00C621ED">
        <w:rPr>
          <w:rStyle w:val="EndnoteReference"/>
        </w:rPr>
        <w:endnoteRef/>
      </w:r>
      <w:r w:rsidRPr="00C621ED">
        <w:t xml:space="preserve"> Muscular Dystrophy Foundation Australia. “What is MD?” Retrieved 25/09/2019, from https://mdaustralia.org.au/neuromuscular-condition/what-is-md/</w:t>
      </w:r>
    </w:p>
  </w:endnote>
  <w:endnote w:id="13">
    <w:p w14:paraId="1744E6B7" w14:textId="52DC9838" w:rsidR="00B52E45" w:rsidRPr="00C621ED" w:rsidRDefault="00B52E45" w:rsidP="00C621ED">
      <w:pPr>
        <w:pStyle w:val="ListParagraph"/>
        <w:spacing w:after="0" w:line="240" w:lineRule="auto"/>
        <w:ind w:hanging="720"/>
        <w:rPr>
          <w:sz w:val="20"/>
          <w:szCs w:val="20"/>
        </w:rPr>
      </w:pPr>
      <w:r w:rsidRPr="00C621ED">
        <w:rPr>
          <w:rStyle w:val="EndnoteReference"/>
          <w:sz w:val="20"/>
          <w:szCs w:val="20"/>
        </w:rPr>
        <w:endnoteRef/>
      </w:r>
      <w:r w:rsidRPr="00C621ED">
        <w:rPr>
          <w:sz w:val="20"/>
          <w:szCs w:val="20"/>
        </w:rPr>
        <w:t xml:space="preserve"> It should be noted that for this calculation we have assumed a 100% detection rate; implying no need for re-testing)  Published estimates for the detection rates for disorders such as spinal muscular atrophy (SMA) range from 71% to 95%, although it is also acknowledged that other studies have reported much lower rates of identification for causal genetic variants (some estimates have reported that the causative genes were only identified in 45.2% of cases using next gen sequencing).  It is therefore likely that some individuals would require re-testing at a later date, either due to incomplete detection or re-testing when the number of genes tested for is expanded to include additional conditions.</w:t>
      </w:r>
    </w:p>
  </w:endnote>
  <w:endnote w:id="14">
    <w:p w14:paraId="66224D38" w14:textId="1AF20CAA" w:rsidR="00B52E45" w:rsidRPr="00C621ED" w:rsidRDefault="00B52E45" w:rsidP="00C621ED">
      <w:pPr>
        <w:pStyle w:val="EndnoteText"/>
        <w:ind w:left="720" w:hanging="720"/>
      </w:pPr>
      <w:r w:rsidRPr="00C621ED">
        <w:rPr>
          <w:rStyle w:val="EndnoteReference"/>
        </w:rPr>
        <w:endnoteRef/>
      </w:r>
      <w:r w:rsidRPr="00C621ED">
        <w:t xml:space="preserve"> It was assumed that the increase observed from 2017 to 2018 largely relates to improved detection as well as increases in clinical uptake and referral rather than an increase in incidence rates.</w:t>
      </w:r>
    </w:p>
  </w:endnote>
  <w:endnote w:id="15">
    <w:p w14:paraId="7A975A46" w14:textId="18696A29" w:rsidR="00B52E45" w:rsidRPr="00C621ED" w:rsidRDefault="00B52E45" w:rsidP="00C621ED">
      <w:pPr>
        <w:pStyle w:val="EndnoteText"/>
        <w:ind w:left="720" w:hanging="720"/>
      </w:pPr>
      <w:r w:rsidRPr="00C621ED">
        <w:rPr>
          <w:rStyle w:val="EndnoteReference"/>
        </w:rPr>
        <w:endnoteRef/>
      </w:r>
      <w:r w:rsidRPr="00C621ED">
        <w:t xml:space="preserve"> The assumption is based on calculations assuming Harvey-Weinberg equilibrium.</w:t>
      </w:r>
    </w:p>
  </w:endnote>
  <w:endnote w:id="16">
    <w:p w14:paraId="3BE8690B" w14:textId="476865BD" w:rsidR="00B52E45" w:rsidRPr="00C621ED" w:rsidRDefault="00B52E45" w:rsidP="00C621ED">
      <w:pPr>
        <w:pStyle w:val="Heading1"/>
        <w:shd w:val="clear" w:color="auto" w:fill="FFFFFF"/>
        <w:spacing w:before="0" w:line="240" w:lineRule="auto"/>
        <w:ind w:left="720" w:hanging="720"/>
        <w:rPr>
          <w:rFonts w:asciiTheme="minorHAnsi" w:hAnsiTheme="minorHAnsi" w:cs="Arial"/>
          <w:b w:val="0"/>
          <w:bCs w:val="0"/>
          <w:color w:val="000000"/>
          <w:sz w:val="20"/>
          <w:szCs w:val="20"/>
        </w:rPr>
      </w:pPr>
      <w:r w:rsidRPr="00C621ED">
        <w:rPr>
          <w:rStyle w:val="EndnoteReference"/>
          <w:color w:val="auto"/>
          <w:sz w:val="20"/>
          <w:szCs w:val="20"/>
        </w:rPr>
        <w:endnoteRef/>
      </w:r>
      <w:r w:rsidRPr="00C621ED">
        <w:rPr>
          <w:rFonts w:asciiTheme="minorHAnsi" w:hAnsiTheme="minorHAnsi" w:cs="Arial"/>
          <w:b w:val="0"/>
          <w:bCs w:val="0"/>
          <w:color w:val="auto"/>
          <w:sz w:val="20"/>
          <w:szCs w:val="20"/>
          <w:shd w:val="clear" w:color="auto" w:fill="FFFFFF"/>
        </w:rPr>
        <w:t xml:space="preserve">Sugarman EA, </w:t>
      </w:r>
      <w:hyperlink r:id="rId1" w:history="1">
        <w:r w:rsidRPr="00C621ED">
          <w:rPr>
            <w:rStyle w:val="Hyperlink"/>
            <w:rFonts w:asciiTheme="minorHAnsi" w:hAnsiTheme="minorHAnsi" w:cs="Arial"/>
            <w:b w:val="0"/>
            <w:bCs w:val="0"/>
            <w:color w:val="auto"/>
            <w:sz w:val="20"/>
            <w:szCs w:val="20"/>
            <w:u w:val="none"/>
            <w:shd w:val="clear" w:color="auto" w:fill="FFFFFF"/>
          </w:rPr>
          <w:t>Nagan N</w:t>
        </w:r>
      </w:hyperlink>
      <w:r w:rsidRPr="00C621ED">
        <w:rPr>
          <w:rFonts w:asciiTheme="minorHAnsi" w:hAnsiTheme="minorHAnsi" w:cs="Arial"/>
          <w:b w:val="0"/>
          <w:bCs w:val="0"/>
          <w:color w:val="auto"/>
          <w:sz w:val="20"/>
          <w:szCs w:val="20"/>
          <w:shd w:val="clear" w:color="auto" w:fill="FFFFFF"/>
        </w:rPr>
        <w:t>, </w:t>
      </w:r>
      <w:hyperlink r:id="rId2" w:history="1">
        <w:r w:rsidRPr="00C621ED">
          <w:rPr>
            <w:rStyle w:val="Hyperlink"/>
            <w:rFonts w:asciiTheme="minorHAnsi" w:hAnsiTheme="minorHAnsi" w:cs="Arial"/>
            <w:b w:val="0"/>
            <w:bCs w:val="0"/>
            <w:color w:val="auto"/>
            <w:sz w:val="20"/>
            <w:szCs w:val="20"/>
            <w:u w:val="none"/>
            <w:shd w:val="clear" w:color="auto" w:fill="FFFFFF"/>
          </w:rPr>
          <w:t>Zhu H</w:t>
        </w:r>
      </w:hyperlink>
      <w:r w:rsidRPr="00C621ED">
        <w:rPr>
          <w:rFonts w:asciiTheme="minorHAnsi" w:hAnsiTheme="minorHAnsi" w:cs="Arial"/>
          <w:b w:val="0"/>
          <w:bCs w:val="0"/>
          <w:color w:val="auto"/>
          <w:sz w:val="20"/>
          <w:szCs w:val="20"/>
          <w:shd w:val="clear" w:color="auto" w:fill="FFFFFF"/>
        </w:rPr>
        <w:t xml:space="preserve">, </w:t>
      </w:r>
      <w:hyperlink r:id="rId3" w:history="1">
        <w:r w:rsidRPr="00C621ED">
          <w:rPr>
            <w:rStyle w:val="Hyperlink"/>
            <w:rFonts w:asciiTheme="minorHAnsi" w:hAnsiTheme="minorHAnsi" w:cs="Arial"/>
            <w:b w:val="0"/>
            <w:bCs w:val="0"/>
            <w:color w:val="auto"/>
            <w:sz w:val="20"/>
            <w:szCs w:val="20"/>
            <w:u w:val="none"/>
            <w:shd w:val="clear" w:color="auto" w:fill="FFFFFF"/>
          </w:rPr>
          <w:t>Akmaev VR</w:t>
        </w:r>
      </w:hyperlink>
      <w:r w:rsidRPr="00C621ED">
        <w:rPr>
          <w:rFonts w:asciiTheme="minorHAnsi" w:hAnsiTheme="minorHAnsi" w:cs="Arial"/>
          <w:b w:val="0"/>
          <w:bCs w:val="0"/>
          <w:color w:val="auto"/>
          <w:sz w:val="20"/>
          <w:szCs w:val="20"/>
          <w:shd w:val="clear" w:color="auto" w:fill="FFFFFF"/>
        </w:rPr>
        <w:t xml:space="preserve">, </w:t>
      </w:r>
      <w:hyperlink r:id="rId4" w:history="1">
        <w:r w:rsidRPr="00C621ED">
          <w:rPr>
            <w:rStyle w:val="Hyperlink"/>
            <w:rFonts w:asciiTheme="minorHAnsi" w:hAnsiTheme="minorHAnsi" w:cs="Arial"/>
            <w:b w:val="0"/>
            <w:bCs w:val="0"/>
            <w:color w:val="auto"/>
            <w:sz w:val="20"/>
            <w:szCs w:val="20"/>
            <w:u w:val="none"/>
            <w:shd w:val="clear" w:color="auto" w:fill="FFFFFF"/>
          </w:rPr>
          <w:t>Zhou Z</w:t>
        </w:r>
      </w:hyperlink>
      <w:r w:rsidRPr="00C621ED">
        <w:rPr>
          <w:rFonts w:asciiTheme="minorHAnsi" w:hAnsiTheme="minorHAnsi" w:cs="Arial"/>
          <w:b w:val="0"/>
          <w:bCs w:val="0"/>
          <w:color w:val="auto"/>
          <w:sz w:val="20"/>
          <w:szCs w:val="20"/>
          <w:shd w:val="clear" w:color="auto" w:fill="FFFFFF"/>
        </w:rPr>
        <w:t xml:space="preserve">, </w:t>
      </w:r>
      <w:hyperlink r:id="rId5" w:history="1">
        <w:r w:rsidRPr="00C621ED">
          <w:rPr>
            <w:rStyle w:val="Hyperlink"/>
            <w:rFonts w:asciiTheme="minorHAnsi" w:hAnsiTheme="minorHAnsi" w:cs="Arial"/>
            <w:b w:val="0"/>
            <w:bCs w:val="0"/>
            <w:color w:val="auto"/>
            <w:sz w:val="20"/>
            <w:szCs w:val="20"/>
            <w:u w:val="none"/>
            <w:shd w:val="clear" w:color="auto" w:fill="FFFFFF"/>
          </w:rPr>
          <w:t>Rohlfs EM</w:t>
        </w:r>
      </w:hyperlink>
      <w:r w:rsidRPr="00C621ED">
        <w:rPr>
          <w:rFonts w:asciiTheme="minorHAnsi" w:hAnsiTheme="minorHAnsi" w:cs="Arial"/>
          <w:b w:val="0"/>
          <w:bCs w:val="0"/>
          <w:color w:val="auto"/>
          <w:sz w:val="20"/>
          <w:szCs w:val="20"/>
          <w:shd w:val="clear" w:color="auto" w:fill="FFFFFF"/>
        </w:rPr>
        <w:t xml:space="preserve">, </w:t>
      </w:r>
      <w:hyperlink r:id="rId6" w:history="1">
        <w:r w:rsidRPr="00C621ED">
          <w:rPr>
            <w:rStyle w:val="Hyperlink"/>
            <w:rFonts w:asciiTheme="minorHAnsi" w:hAnsiTheme="minorHAnsi" w:cs="Arial"/>
            <w:b w:val="0"/>
            <w:bCs w:val="0"/>
            <w:color w:val="auto"/>
            <w:sz w:val="20"/>
            <w:szCs w:val="20"/>
            <w:u w:val="none"/>
            <w:shd w:val="clear" w:color="auto" w:fill="FFFFFF"/>
          </w:rPr>
          <w:t>Flynn K</w:t>
        </w:r>
      </w:hyperlink>
      <w:r w:rsidRPr="00C621ED">
        <w:rPr>
          <w:rFonts w:asciiTheme="minorHAnsi" w:hAnsiTheme="minorHAnsi" w:cs="Arial"/>
          <w:b w:val="0"/>
          <w:bCs w:val="0"/>
          <w:color w:val="auto"/>
          <w:sz w:val="20"/>
          <w:szCs w:val="20"/>
          <w:shd w:val="clear" w:color="auto" w:fill="FFFFFF"/>
        </w:rPr>
        <w:t xml:space="preserve">, </w:t>
      </w:r>
      <w:hyperlink r:id="rId7" w:history="1">
        <w:r w:rsidRPr="00C621ED">
          <w:rPr>
            <w:rStyle w:val="Hyperlink"/>
            <w:rFonts w:asciiTheme="minorHAnsi" w:hAnsiTheme="minorHAnsi" w:cs="Arial"/>
            <w:b w:val="0"/>
            <w:bCs w:val="0"/>
            <w:color w:val="auto"/>
            <w:sz w:val="20"/>
            <w:szCs w:val="20"/>
            <w:u w:val="none"/>
            <w:shd w:val="clear" w:color="auto" w:fill="FFFFFF"/>
          </w:rPr>
          <w:t>Hendrickson BC</w:t>
        </w:r>
      </w:hyperlink>
      <w:r w:rsidRPr="00C621ED">
        <w:rPr>
          <w:rFonts w:asciiTheme="minorHAnsi" w:hAnsiTheme="minorHAnsi" w:cs="Arial"/>
          <w:b w:val="0"/>
          <w:bCs w:val="0"/>
          <w:color w:val="auto"/>
          <w:sz w:val="20"/>
          <w:szCs w:val="20"/>
          <w:shd w:val="clear" w:color="auto" w:fill="FFFFFF"/>
        </w:rPr>
        <w:t xml:space="preserve">, </w:t>
      </w:r>
      <w:hyperlink r:id="rId8" w:history="1">
        <w:r w:rsidRPr="00C621ED">
          <w:rPr>
            <w:rStyle w:val="Hyperlink"/>
            <w:rFonts w:asciiTheme="minorHAnsi" w:hAnsiTheme="minorHAnsi" w:cs="Arial"/>
            <w:b w:val="0"/>
            <w:bCs w:val="0"/>
            <w:color w:val="auto"/>
            <w:sz w:val="20"/>
            <w:szCs w:val="20"/>
            <w:u w:val="none"/>
            <w:shd w:val="clear" w:color="auto" w:fill="FFFFFF"/>
          </w:rPr>
          <w:t>Scholl T</w:t>
        </w:r>
      </w:hyperlink>
      <w:r w:rsidRPr="00C621ED">
        <w:rPr>
          <w:rFonts w:asciiTheme="minorHAnsi" w:hAnsiTheme="minorHAnsi" w:cs="Arial"/>
          <w:b w:val="0"/>
          <w:bCs w:val="0"/>
          <w:color w:val="auto"/>
          <w:sz w:val="20"/>
          <w:szCs w:val="20"/>
          <w:shd w:val="clear" w:color="auto" w:fill="FFFFFF"/>
        </w:rPr>
        <w:t xml:space="preserve">, </w:t>
      </w:r>
      <w:hyperlink r:id="rId9" w:history="1">
        <w:r w:rsidRPr="00C621ED">
          <w:rPr>
            <w:rStyle w:val="Hyperlink"/>
            <w:rFonts w:asciiTheme="minorHAnsi" w:hAnsiTheme="minorHAnsi" w:cs="Arial"/>
            <w:b w:val="0"/>
            <w:bCs w:val="0"/>
            <w:color w:val="auto"/>
            <w:sz w:val="20"/>
            <w:szCs w:val="20"/>
            <w:u w:val="none"/>
            <w:shd w:val="clear" w:color="auto" w:fill="FFFFFF"/>
          </w:rPr>
          <w:t>Sirko-Osadsa DA</w:t>
        </w:r>
      </w:hyperlink>
      <w:r w:rsidRPr="00C621ED">
        <w:rPr>
          <w:rFonts w:asciiTheme="minorHAnsi" w:hAnsiTheme="minorHAnsi" w:cs="Arial"/>
          <w:b w:val="0"/>
          <w:bCs w:val="0"/>
          <w:color w:val="auto"/>
          <w:sz w:val="20"/>
          <w:szCs w:val="20"/>
          <w:shd w:val="clear" w:color="auto" w:fill="FFFFFF"/>
        </w:rPr>
        <w:t xml:space="preserve">, </w:t>
      </w:r>
      <w:hyperlink r:id="rId10" w:history="1">
        <w:r w:rsidRPr="00C621ED">
          <w:rPr>
            <w:rStyle w:val="Hyperlink"/>
            <w:rFonts w:asciiTheme="minorHAnsi" w:hAnsiTheme="minorHAnsi" w:cs="Arial"/>
            <w:b w:val="0"/>
            <w:bCs w:val="0"/>
            <w:color w:val="auto"/>
            <w:sz w:val="20"/>
            <w:szCs w:val="20"/>
            <w:u w:val="none"/>
            <w:shd w:val="clear" w:color="auto" w:fill="FFFFFF"/>
          </w:rPr>
          <w:t>Allitto BA</w:t>
        </w:r>
      </w:hyperlink>
      <w:r w:rsidRPr="00C621ED">
        <w:rPr>
          <w:rFonts w:asciiTheme="minorHAnsi" w:hAnsiTheme="minorHAnsi" w:cs="Arial"/>
          <w:b w:val="0"/>
          <w:bCs w:val="0"/>
          <w:color w:val="auto"/>
          <w:sz w:val="20"/>
          <w:szCs w:val="20"/>
          <w:shd w:val="clear" w:color="auto" w:fill="FFFFFF"/>
        </w:rPr>
        <w:t>.</w:t>
      </w:r>
      <w:r w:rsidRPr="00C621ED">
        <w:rPr>
          <w:rFonts w:asciiTheme="minorHAnsi" w:hAnsiTheme="minorHAnsi" w:cs="Arial"/>
          <w:b w:val="0"/>
          <w:bCs w:val="0"/>
          <w:color w:val="000000"/>
          <w:sz w:val="20"/>
          <w:szCs w:val="20"/>
        </w:rPr>
        <w:t xml:space="preserve"> Pan-ethnic carrier screening and prenatal diagnosis for spinal muscular atrophy: clinical laboratory analysis of &gt;72,400 specimens. </w:t>
      </w:r>
      <w:r w:rsidRPr="00C621ED">
        <w:rPr>
          <w:rFonts w:asciiTheme="minorHAnsi" w:hAnsiTheme="minorHAnsi" w:cs="Arial"/>
          <w:b w:val="0"/>
          <w:bCs w:val="0"/>
          <w:color w:val="000000"/>
          <w:sz w:val="20"/>
          <w:szCs w:val="20"/>
          <w:shd w:val="clear" w:color="auto" w:fill="FFFFFF"/>
        </w:rPr>
        <w:t>Eur J Hum Genet. 2012 Jan;20(1):27-32.</w:t>
      </w:r>
    </w:p>
  </w:endnote>
  <w:endnote w:id="17">
    <w:p w14:paraId="0909A6AE" w14:textId="77777777" w:rsidR="00B52E45" w:rsidRPr="00C621ED" w:rsidRDefault="00B52E45" w:rsidP="00C621ED">
      <w:pPr>
        <w:pStyle w:val="EndnoteText"/>
        <w:ind w:left="720" w:hanging="720"/>
      </w:pPr>
      <w:r w:rsidRPr="00C621ED">
        <w:rPr>
          <w:rStyle w:val="EndnoteReference"/>
        </w:rPr>
        <w:endnoteRef/>
      </w:r>
      <w:r w:rsidRPr="00C621ED">
        <w:t xml:space="preserve"> Australian Government Department of Health. "MBS Online: Medicare Benefits Schedule."   Retrieved 20/09/2019, from http://www9.health.gov.au/mbs/search.cfm.</w:t>
      </w:r>
    </w:p>
  </w:endnote>
  <w:endnote w:id="18">
    <w:p w14:paraId="524C17C2" w14:textId="77777777" w:rsidR="00B52E45" w:rsidRPr="00C621ED" w:rsidRDefault="00B52E45" w:rsidP="00C621ED">
      <w:pPr>
        <w:pStyle w:val="EndnoteText"/>
        <w:ind w:left="720" w:hanging="720"/>
      </w:pPr>
      <w:r w:rsidRPr="00C621ED">
        <w:rPr>
          <w:rStyle w:val="EndnoteReference"/>
        </w:rPr>
        <w:endnoteRef/>
      </w:r>
      <w:r w:rsidRPr="00C621ED">
        <w:t xml:space="preserve"> The Department of Health and Human Services. (2014). "Neuromuscular Disorders."   Retrieved 20/09/2019, from https://www.betterhealth.vic.gov.au/health/ConditionsAndTreatments/neuromuscular-disorders.</w:t>
      </w:r>
    </w:p>
  </w:endnote>
  <w:endnote w:id="19">
    <w:p w14:paraId="4C38504E" w14:textId="77777777" w:rsidR="00B52E45" w:rsidRPr="00C621ED" w:rsidRDefault="00B52E45" w:rsidP="00C621ED">
      <w:pPr>
        <w:pStyle w:val="EndnoteText"/>
        <w:ind w:left="720" w:hanging="720"/>
      </w:pPr>
      <w:r w:rsidRPr="00C621ED">
        <w:rPr>
          <w:rStyle w:val="EndnoteReference"/>
        </w:rPr>
        <w:endnoteRef/>
      </w:r>
      <w:r w:rsidRPr="00C621ED">
        <w:t xml:space="preserve"> Tian, X., W.-C. Liang, Y. Feng, J. Wang, V. W. Zhang, C.-H. Chou, H.-D. Huang, C. W. Lam, Y.-Y. Hsu, T.-S. Lin, W.-T. Chen, L.-J. Wong and Y.-J. Jong (2015). "Expanding genotype/phenotype of neuromuscular diseases by comprehensive target capture/NGS." Neurology Genetics 1(2): e14.</w:t>
      </w:r>
    </w:p>
  </w:endnote>
  <w:endnote w:id="20">
    <w:p w14:paraId="7CF557C8" w14:textId="49F269A2" w:rsidR="00B52E45" w:rsidRPr="00C621ED" w:rsidRDefault="00B52E45" w:rsidP="00C621ED">
      <w:pPr>
        <w:pStyle w:val="EndnoteText"/>
        <w:ind w:left="720" w:hanging="720"/>
      </w:pPr>
      <w:r w:rsidRPr="00C621ED">
        <w:rPr>
          <w:rStyle w:val="EndnoteReference"/>
        </w:rPr>
        <w:endnoteRef/>
      </w:r>
      <w:r w:rsidRPr="00C621ED">
        <w:t xml:space="preserve"> Analytical validity: the reproducibility and repeatability of the assay, that is, the ability of the test to measure gene expression accurately and reliably.</w:t>
      </w:r>
    </w:p>
  </w:endnote>
  <w:endnote w:id="21">
    <w:p w14:paraId="75E1E506" w14:textId="2E8F8118" w:rsidR="00B52E45" w:rsidRPr="00C621ED" w:rsidRDefault="00B52E45" w:rsidP="00C621ED">
      <w:pPr>
        <w:pStyle w:val="EndnoteText"/>
        <w:ind w:left="720" w:hanging="720"/>
      </w:pPr>
      <w:r w:rsidRPr="00C621ED">
        <w:rPr>
          <w:rStyle w:val="EndnoteReference"/>
        </w:rPr>
        <w:endnoteRef/>
      </w:r>
      <w:r w:rsidRPr="00C621ED">
        <w:t xml:space="preserve"> Clinical validity: measures the test’s ability to predict the presence or absence of disease, that is, the sensitivity, specificity, and positive and negative predictive values, in this case.</w:t>
      </w:r>
    </w:p>
  </w:endnote>
  <w:endnote w:id="22">
    <w:p w14:paraId="5607F2AB" w14:textId="392D7AEE" w:rsidR="00B52E45" w:rsidRDefault="00B52E45" w:rsidP="00C621ED">
      <w:pPr>
        <w:pStyle w:val="EndnoteText"/>
        <w:ind w:left="720" w:hanging="720"/>
      </w:pPr>
      <w:r w:rsidRPr="00C621ED">
        <w:rPr>
          <w:rStyle w:val="EndnoteReference"/>
        </w:rPr>
        <w:endnoteRef/>
      </w:r>
      <w:r w:rsidRPr="00C621ED">
        <w:t xml:space="preserve"> Schofield, D., K. Alam, L. Douglas, R. Shrestha, D. G. MacArthur, M. Davis, N. G. Laing, N. F. Clarke, J. Burns, S. T. Cooper, K. N. North, S. A. Sandaradura and G. O'Grady (2017). "Cost-effectiveness of massively parallel sequencing for diagnosis of paediatric muscle diseases." npj Genomic Medicine 2(4).</w:t>
      </w:r>
    </w:p>
    <w:p w14:paraId="20D1E06B" w14:textId="4C15D4A8" w:rsidR="00B52E45" w:rsidRDefault="00B52E45" w:rsidP="00C621ED">
      <w:pPr>
        <w:pStyle w:val="EndnoteText"/>
        <w:ind w:left="720" w:hanging="720"/>
      </w:pPr>
    </w:p>
    <w:p w14:paraId="7C8C0E9D" w14:textId="77777777" w:rsidR="00B52E45" w:rsidRDefault="00B52E45" w:rsidP="00C621ED">
      <w:pPr>
        <w:pStyle w:val="EndnoteText"/>
        <w:ind w:left="720" w:hanging="720"/>
      </w:pPr>
    </w:p>
    <w:p w14:paraId="7FCED15F" w14:textId="77777777" w:rsidR="00B52E45" w:rsidRDefault="00B52E45" w:rsidP="00C621ED">
      <w:pPr>
        <w:pStyle w:val="EndnoteText"/>
        <w:ind w:left="720" w:hanging="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Condense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334266065"/>
      <w:docPartObj>
        <w:docPartGallery w:val="Page Numbers (Bottom of Page)"/>
        <w:docPartUnique/>
      </w:docPartObj>
    </w:sdtPr>
    <w:sdtEndPr>
      <w:rPr>
        <w:color w:val="808080" w:themeColor="background1" w:themeShade="80"/>
        <w:spacing w:val="60"/>
      </w:rPr>
    </w:sdtEndPr>
    <w:sdtContent>
      <w:p w14:paraId="5D3A3011" w14:textId="1175A03F" w:rsidR="00B52E45" w:rsidRDefault="00B52E45" w:rsidP="00417B87">
        <w:pPr>
          <w:pStyle w:val="Footer"/>
          <w:pBdr>
            <w:top w:val="single" w:sz="4" w:space="1" w:color="D9D9D9" w:themeColor="background1" w:themeShade="D9"/>
          </w:pBd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0A0537" w:rsidRPr="000A0537">
          <w:rPr>
            <w:b/>
            <w:bCs/>
            <w:noProof/>
            <w:sz w:val="18"/>
            <w:szCs w:val="18"/>
          </w:rPr>
          <w:t>19</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RATIFIED PICO – JUNE 2020</w:t>
        </w:r>
        <w:r>
          <w:rPr>
            <w:color w:val="808080" w:themeColor="background1" w:themeShade="80"/>
            <w:spacing w:val="60"/>
            <w:sz w:val="18"/>
            <w:szCs w:val="18"/>
          </w:rPr>
          <w:br/>
          <w:t>Application 1585: Genomic testing for the diagnosis of neuromuscular disorders</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61E7342E" w14:textId="6807EE1D" w:rsidR="000F2EC1" w:rsidRDefault="00B52E45" w:rsidP="00417B87">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0A0537" w:rsidRPr="000A0537">
          <w:rPr>
            <w:b/>
            <w:bCs/>
            <w:noProof/>
            <w:sz w:val="18"/>
            <w:szCs w:val="18"/>
          </w:rPr>
          <w:t>21</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sidR="00B13CF6">
          <w:rPr>
            <w:color w:val="808080" w:themeColor="background1" w:themeShade="80"/>
            <w:spacing w:val="60"/>
            <w:sz w:val="18"/>
            <w:szCs w:val="18"/>
          </w:rPr>
          <w:t>Pre-RATIFIED</w:t>
        </w:r>
        <w:r>
          <w:rPr>
            <w:color w:val="808080" w:themeColor="background1" w:themeShade="80"/>
            <w:spacing w:val="60"/>
            <w:sz w:val="18"/>
            <w:szCs w:val="18"/>
          </w:rPr>
          <w:t xml:space="preserve"> PICO –</w:t>
        </w:r>
        <w:r w:rsidR="00B13CF6">
          <w:rPr>
            <w:color w:val="808080" w:themeColor="background1" w:themeShade="80"/>
            <w:spacing w:val="60"/>
            <w:sz w:val="18"/>
            <w:szCs w:val="18"/>
          </w:rPr>
          <w:t>JUNE</w:t>
        </w:r>
        <w:r>
          <w:rPr>
            <w:color w:val="808080" w:themeColor="background1" w:themeShade="80"/>
            <w:spacing w:val="60"/>
            <w:sz w:val="18"/>
            <w:szCs w:val="18"/>
          </w:rPr>
          <w:t xml:space="preserve"> 2020</w:t>
        </w:r>
      </w:p>
      <w:p w14:paraId="74C6E8F3" w14:textId="3DEE1F4E" w:rsidR="00B52E45" w:rsidRDefault="00B52E45" w:rsidP="000F2EC1">
        <w:pPr>
          <w:pStyle w:val="Footer"/>
          <w:pBdr>
            <w:top w:val="single" w:sz="4" w:space="1" w:color="D9D9D9" w:themeColor="background1" w:themeShade="D9"/>
          </w:pBdr>
          <w:jc w:val="center"/>
        </w:pPr>
        <w:r>
          <w:rPr>
            <w:color w:val="808080" w:themeColor="background1" w:themeShade="80"/>
            <w:spacing w:val="60"/>
            <w:sz w:val="18"/>
            <w:szCs w:val="18"/>
          </w:rPr>
          <w:t>Application 1585: Genomic testing for the diagnosis of neuromuscular disorders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8BDCD" w14:textId="77777777" w:rsidR="00B52E45" w:rsidRDefault="00B52E45" w:rsidP="003D699E">
      <w:pPr>
        <w:spacing w:after="0" w:line="240" w:lineRule="auto"/>
      </w:pPr>
      <w:r>
        <w:separator/>
      </w:r>
    </w:p>
  </w:footnote>
  <w:footnote w:type="continuationSeparator" w:id="0">
    <w:p w14:paraId="4DA21C83" w14:textId="77777777" w:rsidR="00B52E45" w:rsidRDefault="00B52E45" w:rsidP="003D699E">
      <w:pPr>
        <w:spacing w:after="0" w:line="240" w:lineRule="auto"/>
      </w:pPr>
      <w:r>
        <w:continuationSeparator/>
      </w:r>
    </w:p>
  </w:footnote>
  <w:footnote w:id="1">
    <w:p w14:paraId="42661176" w14:textId="3513EA5C" w:rsidR="00B52E45" w:rsidRPr="009502F8" w:rsidRDefault="00B52E45" w:rsidP="009502F8">
      <w:pPr>
        <w:autoSpaceDE w:val="0"/>
        <w:autoSpaceDN w:val="0"/>
        <w:adjustRightInd w:val="0"/>
        <w:spacing w:after="0" w:line="240" w:lineRule="auto"/>
        <w:jc w:val="both"/>
        <w:rPr>
          <w:rFonts w:ascii="Helvetica-Condensed" w:eastAsiaTheme="minorHAnsi" w:hAnsi="Helvetica-Condensed" w:cs="Helvetica-Condensed"/>
          <w:color w:val="000000"/>
          <w:sz w:val="16"/>
          <w:szCs w:val="16"/>
        </w:rPr>
      </w:pPr>
      <w:r>
        <w:rPr>
          <w:rStyle w:val="FootnoteReference"/>
        </w:rPr>
        <w:footnoteRef/>
      </w:r>
      <w:r>
        <w:t xml:space="preserve"> </w:t>
      </w:r>
      <w:r>
        <w:rPr>
          <w:rFonts w:ascii="Helvetica-Condensed" w:eastAsiaTheme="minorHAnsi" w:hAnsi="Helvetica-Condensed" w:cs="Helvetica-Condensed"/>
          <w:color w:val="000000"/>
          <w:sz w:val="16"/>
          <w:szCs w:val="16"/>
        </w:rPr>
        <w:t xml:space="preserve">Rose L, McKim D, Leasa D, Nonoyama M, Tandon A, Bai YQ, et al. (2019) Trends in incidence, prevalence, and mortality of neuromuscular disease in Ontario, Canada: A population-based retrospective cohort study (2003-2014). PLoS ONE 14(3): e0210574. </w:t>
      </w:r>
      <w:r>
        <w:rPr>
          <w:rFonts w:ascii="Helvetica-Condensed" w:eastAsiaTheme="minorHAnsi" w:hAnsi="Helvetica-Condensed" w:cs="Helvetica-Condensed"/>
          <w:color w:val="2C5CFB"/>
          <w:sz w:val="16"/>
          <w:szCs w:val="16"/>
        </w:rPr>
        <w:t>https:// doi.org/10.1371/journal.pone.0210574</w:t>
      </w:r>
    </w:p>
  </w:footnote>
  <w:footnote w:id="2">
    <w:p w14:paraId="368E718A" w14:textId="3C55F71C" w:rsidR="00B52E45" w:rsidRDefault="00B52E45">
      <w:pPr>
        <w:pStyle w:val="FootnoteText"/>
      </w:pPr>
      <w:r>
        <w:rPr>
          <w:rStyle w:val="FootnoteReference"/>
        </w:rPr>
        <w:footnoteRef/>
      </w:r>
      <w:r>
        <w:t xml:space="preserve"> </w:t>
      </w:r>
      <w:r w:rsidRPr="009502F8">
        <w:rPr>
          <w:rFonts w:ascii="Helvetica-Condensed" w:eastAsiaTheme="minorHAnsi" w:hAnsi="Helvetica-Condensed" w:cs="Helvetica-Condensed"/>
          <w:color w:val="000000"/>
          <w:sz w:val="16"/>
          <w:szCs w:val="16"/>
        </w:rPr>
        <w:t>Bargiela, D., Yu-Wai-Man, P., Keogh, M., Horvath, R., &amp; Chinnery, P. F. (2015). Prevalence of neurogenetic disorders in the North of England. Neurology, 10-1212.</w:t>
      </w:r>
    </w:p>
  </w:footnote>
  <w:footnote w:id="3">
    <w:p w14:paraId="4D43AF46" w14:textId="4F17D43D" w:rsidR="00B52E45" w:rsidRDefault="00B52E45">
      <w:pPr>
        <w:pStyle w:val="FootnoteText"/>
      </w:pPr>
      <w:r>
        <w:rPr>
          <w:rStyle w:val="FootnoteReference"/>
        </w:rPr>
        <w:footnoteRef/>
      </w:r>
      <w:r>
        <w:t xml:space="preserve"> </w:t>
      </w:r>
      <w:r w:rsidRPr="009502F8">
        <w:rPr>
          <w:rFonts w:ascii="Helvetica-Condensed" w:eastAsiaTheme="minorHAnsi" w:hAnsi="Helvetica-Condensed" w:cs="Helvetica-Condensed"/>
          <w:color w:val="000000"/>
          <w:sz w:val="16"/>
          <w:szCs w:val="16"/>
        </w:rPr>
        <w:t>Theadom, A., Rodrigues, M., Poke, G., O’Grady, G., Love, D., Hammond-Tooke, G., ... &amp; Te Ao, B. (2019). A Nationwide, population-based prevalence study of genetic muscle disorders. Neuroepidemiology, 52(3-4), 128-135.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F96BE" w14:textId="77777777" w:rsidR="00B52E45" w:rsidRDefault="00B52E45">
    <w:pPr>
      <w:pStyle w:val="Header"/>
    </w:pPr>
    <w:r>
      <w:rPr>
        <w:noProof/>
        <w:lang w:eastAsia="en-AU"/>
      </w:rPr>
      <mc:AlternateContent>
        <mc:Choice Requires="wps">
          <w:drawing>
            <wp:anchor distT="0" distB="0" distL="114300" distR="114300" simplePos="0" relativeHeight="251657728" behindDoc="1" locked="0" layoutInCell="0" allowOverlap="1" wp14:anchorId="7DBE5607" wp14:editId="09F74E92">
              <wp:simplePos x="0" y="0"/>
              <wp:positionH relativeFrom="margin">
                <wp:align>center</wp:align>
              </wp:positionH>
              <wp:positionV relativeFrom="margin">
                <wp:align>center</wp:align>
              </wp:positionV>
              <wp:extent cx="7458710" cy="621030"/>
              <wp:effectExtent l="0" t="2486025" r="0" b="242697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D5DB3F" w14:textId="77777777" w:rsidR="00B52E45" w:rsidRDefault="00B52E45" w:rsidP="00A918F1">
                          <w:pPr>
                            <w:jc w:val="center"/>
                            <w:rPr>
                              <w:sz w:val="24"/>
                              <w:szCs w:val="24"/>
                            </w:rP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BE5607"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" o:allowincell="f" filled="f" stroked="f">
              <v:stroke joinstyle="round"/>
              <o:lock v:ext="edit" shapetype="t"/>
              <v:textbox style="mso-fit-shape-to-text:t">
                <w:txbxContent>
                  <w:p w14:paraId="31D5DB3F" w14:textId="77777777" w:rsidR="00B52E45" w:rsidRDefault="00B52E45" w:rsidP="00A918F1">
                    <w:pPr>
                      <w:jc w:val="center"/>
                      <w:rPr>
                        <w:sz w:val="24"/>
                        <w:szCs w:val="24"/>
                      </w:rP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861A" w14:textId="313EE197" w:rsidR="00B52E45" w:rsidRDefault="00B52E45">
    <w:pPr>
      <w:pStyle w:val="Header"/>
    </w:pPr>
    <w:r>
      <w:rPr>
        <w:noProof/>
        <w:lang w:eastAsia="en-AU"/>
      </w:rPr>
      <mc:AlternateContent>
        <mc:Choice Requires="wps">
          <w:drawing>
            <wp:anchor distT="0" distB="0" distL="114300" distR="114300" simplePos="0" relativeHeight="251666944" behindDoc="1" locked="0" layoutInCell="0" allowOverlap="1" wp14:anchorId="7DBE5607" wp14:editId="09F74E92">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94B79A" w14:textId="77777777" w:rsidR="00B52E45" w:rsidRDefault="00B52E45" w:rsidP="00A918F1">
                          <w:pPr>
                            <w:jc w:val="center"/>
                            <w:rPr>
                              <w:sz w:val="24"/>
                              <w:szCs w:val="24"/>
                            </w:rP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BE5607" id="_x0000_t202" coordsize="21600,21600" o:spt="202" path="m,l,21600r21600,l21600,xe">
              <v:stroke joinstyle="miter"/>
              <v:path gradientshapeok="t" o:connecttype="rect"/>
            </v:shapetype>
            <v:shape id="_x0000_s1027" type="#_x0000_t202" style="position:absolute;margin-left:0;margin-top:0;width:587.3pt;height:48.9pt;rotation:-45;z-index:-2516495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2diAIAAAIF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" o:allowincell="f" filled="f" stroked="f">
              <v:stroke joinstyle="round"/>
              <o:lock v:ext="edit" shapetype="t"/>
              <v:textbox style="mso-fit-shape-to-text:t">
                <w:txbxContent>
                  <w:p w14:paraId="4E94B79A" w14:textId="77777777" w:rsidR="00B52E45" w:rsidRDefault="00B52E45" w:rsidP="00A918F1">
                    <w:pPr>
                      <w:jc w:val="center"/>
                      <w:rPr>
                        <w:sz w:val="24"/>
                        <w:szCs w:val="24"/>
                      </w:rP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3FAA"/>
    <w:multiLevelType w:val="hybridMultilevel"/>
    <w:tmpl w:val="2C1477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232503"/>
    <w:multiLevelType w:val="hybridMultilevel"/>
    <w:tmpl w:val="7658A0D8"/>
    <w:lvl w:ilvl="0" w:tplc="F190D7A0">
      <w:start w:val="1"/>
      <w:numFmt w:val="decimal"/>
      <w:lvlText w:val="%1."/>
      <w:lvlJc w:val="left"/>
      <w:pPr>
        <w:ind w:left="720" w:hanging="360"/>
      </w:pPr>
      <w:rPr>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B15E64"/>
    <w:multiLevelType w:val="hybridMultilevel"/>
    <w:tmpl w:val="C6BA6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41420E"/>
    <w:multiLevelType w:val="hybridMultilevel"/>
    <w:tmpl w:val="407403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E101DB"/>
    <w:multiLevelType w:val="hybridMultilevel"/>
    <w:tmpl w:val="C466F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FB6EEB"/>
    <w:multiLevelType w:val="hybridMultilevel"/>
    <w:tmpl w:val="BCB28556"/>
    <w:lvl w:ilvl="0" w:tplc="0C090001">
      <w:start w:val="1"/>
      <w:numFmt w:val="bullet"/>
      <w:lvlText w:val=""/>
      <w:lvlJc w:val="left"/>
      <w:pPr>
        <w:ind w:left="720" w:hanging="360"/>
      </w:pPr>
      <w:rPr>
        <w:rFonts w:ascii="Symbol" w:hAnsi="Symbol" w:hint="default"/>
      </w:rPr>
    </w:lvl>
    <w:lvl w:ilvl="1" w:tplc="BECC47B8">
      <w:start w:val="1"/>
      <w:numFmt w:val="decimal"/>
      <w:lvlText w:val="%2."/>
      <w:lvlJc w:val="left"/>
      <w:pPr>
        <w:ind w:left="1440" w:hanging="360"/>
      </w:pPr>
      <w:rPr>
        <w:rFonts w:hint="default"/>
        <w:sz w:val="22"/>
        <w:szCs w:val="22"/>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21184E"/>
    <w:multiLevelType w:val="hybridMultilevel"/>
    <w:tmpl w:val="2954D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E912C4"/>
    <w:multiLevelType w:val="hybridMultilevel"/>
    <w:tmpl w:val="2F0C3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D445DC"/>
    <w:multiLevelType w:val="hybridMultilevel"/>
    <w:tmpl w:val="81C83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2B61C1"/>
    <w:multiLevelType w:val="hybridMultilevel"/>
    <w:tmpl w:val="968289B6"/>
    <w:lvl w:ilvl="0" w:tplc="91863C2C">
      <w:start w:val="1"/>
      <w:numFmt w:val="bullet"/>
      <w:lvlText w:val=""/>
      <w:lvlJc w:val="left"/>
      <w:pPr>
        <w:ind w:left="2898" w:hanging="360"/>
      </w:pPr>
      <w:rPr>
        <w:rFonts w:ascii="Symbol" w:hAnsi="Symbol" w:hint="default"/>
        <w:sz w:val="22"/>
        <w:szCs w:val="22"/>
      </w:rPr>
    </w:lvl>
    <w:lvl w:ilvl="1" w:tplc="0C090003" w:tentative="1">
      <w:start w:val="1"/>
      <w:numFmt w:val="bullet"/>
      <w:lvlText w:val="o"/>
      <w:lvlJc w:val="left"/>
      <w:pPr>
        <w:ind w:left="3618" w:hanging="360"/>
      </w:pPr>
      <w:rPr>
        <w:rFonts w:ascii="Courier New" w:hAnsi="Courier New" w:cs="Courier New" w:hint="default"/>
      </w:rPr>
    </w:lvl>
    <w:lvl w:ilvl="2" w:tplc="0C090005" w:tentative="1">
      <w:start w:val="1"/>
      <w:numFmt w:val="bullet"/>
      <w:lvlText w:val=""/>
      <w:lvlJc w:val="left"/>
      <w:pPr>
        <w:ind w:left="4338" w:hanging="360"/>
      </w:pPr>
      <w:rPr>
        <w:rFonts w:ascii="Wingdings" w:hAnsi="Wingdings" w:hint="default"/>
      </w:rPr>
    </w:lvl>
    <w:lvl w:ilvl="3" w:tplc="0C090001" w:tentative="1">
      <w:start w:val="1"/>
      <w:numFmt w:val="bullet"/>
      <w:lvlText w:val=""/>
      <w:lvlJc w:val="left"/>
      <w:pPr>
        <w:ind w:left="5058" w:hanging="360"/>
      </w:pPr>
      <w:rPr>
        <w:rFonts w:ascii="Symbol" w:hAnsi="Symbol" w:hint="default"/>
      </w:rPr>
    </w:lvl>
    <w:lvl w:ilvl="4" w:tplc="0C090003" w:tentative="1">
      <w:start w:val="1"/>
      <w:numFmt w:val="bullet"/>
      <w:lvlText w:val="o"/>
      <w:lvlJc w:val="left"/>
      <w:pPr>
        <w:ind w:left="5778" w:hanging="360"/>
      </w:pPr>
      <w:rPr>
        <w:rFonts w:ascii="Courier New" w:hAnsi="Courier New" w:cs="Courier New" w:hint="default"/>
      </w:rPr>
    </w:lvl>
    <w:lvl w:ilvl="5" w:tplc="0C090005" w:tentative="1">
      <w:start w:val="1"/>
      <w:numFmt w:val="bullet"/>
      <w:lvlText w:val=""/>
      <w:lvlJc w:val="left"/>
      <w:pPr>
        <w:ind w:left="6498" w:hanging="360"/>
      </w:pPr>
      <w:rPr>
        <w:rFonts w:ascii="Wingdings" w:hAnsi="Wingdings" w:hint="default"/>
      </w:rPr>
    </w:lvl>
    <w:lvl w:ilvl="6" w:tplc="0C090001" w:tentative="1">
      <w:start w:val="1"/>
      <w:numFmt w:val="bullet"/>
      <w:lvlText w:val=""/>
      <w:lvlJc w:val="left"/>
      <w:pPr>
        <w:ind w:left="7218" w:hanging="360"/>
      </w:pPr>
      <w:rPr>
        <w:rFonts w:ascii="Symbol" w:hAnsi="Symbol" w:hint="default"/>
      </w:rPr>
    </w:lvl>
    <w:lvl w:ilvl="7" w:tplc="0C090003" w:tentative="1">
      <w:start w:val="1"/>
      <w:numFmt w:val="bullet"/>
      <w:lvlText w:val="o"/>
      <w:lvlJc w:val="left"/>
      <w:pPr>
        <w:ind w:left="7938" w:hanging="360"/>
      </w:pPr>
      <w:rPr>
        <w:rFonts w:ascii="Courier New" w:hAnsi="Courier New" w:cs="Courier New" w:hint="default"/>
      </w:rPr>
    </w:lvl>
    <w:lvl w:ilvl="8" w:tplc="0C090005" w:tentative="1">
      <w:start w:val="1"/>
      <w:numFmt w:val="bullet"/>
      <w:lvlText w:val=""/>
      <w:lvlJc w:val="left"/>
      <w:pPr>
        <w:ind w:left="8658" w:hanging="360"/>
      </w:pPr>
      <w:rPr>
        <w:rFonts w:ascii="Wingdings" w:hAnsi="Wingdings" w:hint="default"/>
      </w:rPr>
    </w:lvl>
  </w:abstractNum>
  <w:abstractNum w:abstractNumId="10" w15:restartNumberingAfterBreak="0">
    <w:nsid w:val="21B95DD7"/>
    <w:multiLevelType w:val="hybridMultilevel"/>
    <w:tmpl w:val="527CEFBC"/>
    <w:lvl w:ilvl="0" w:tplc="BBF2AFA0">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3D5AB7"/>
    <w:multiLevelType w:val="hybridMultilevel"/>
    <w:tmpl w:val="FB4653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EA19EB"/>
    <w:multiLevelType w:val="hybridMultilevel"/>
    <w:tmpl w:val="802C9D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8933031"/>
    <w:multiLevelType w:val="hybridMultilevel"/>
    <w:tmpl w:val="14009D4E"/>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D46B9A"/>
    <w:multiLevelType w:val="hybridMultilevel"/>
    <w:tmpl w:val="74A0A9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12D7BFD"/>
    <w:multiLevelType w:val="hybridMultilevel"/>
    <w:tmpl w:val="83BC3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13B79A1"/>
    <w:multiLevelType w:val="hybridMultilevel"/>
    <w:tmpl w:val="B1744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6D4380"/>
    <w:multiLevelType w:val="hybridMultilevel"/>
    <w:tmpl w:val="E58CEBCE"/>
    <w:lvl w:ilvl="0" w:tplc="FB36E4F2">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CD30D7"/>
    <w:multiLevelType w:val="hybridMultilevel"/>
    <w:tmpl w:val="DC728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56D0277"/>
    <w:multiLevelType w:val="hybridMultilevel"/>
    <w:tmpl w:val="596E5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2B9298A"/>
    <w:multiLevelType w:val="hybridMultilevel"/>
    <w:tmpl w:val="9C226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1033C1"/>
    <w:multiLevelType w:val="hybridMultilevel"/>
    <w:tmpl w:val="63B6934C"/>
    <w:lvl w:ilvl="0" w:tplc="44746180">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2459AA"/>
    <w:multiLevelType w:val="hybridMultilevel"/>
    <w:tmpl w:val="27ECD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E46182"/>
    <w:multiLevelType w:val="hybridMultilevel"/>
    <w:tmpl w:val="6792A3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E03216"/>
    <w:multiLevelType w:val="hybridMultilevel"/>
    <w:tmpl w:val="6C349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6"/>
  </w:num>
  <w:num w:numId="4">
    <w:abstractNumId w:val="4"/>
  </w:num>
  <w:num w:numId="5">
    <w:abstractNumId w:val="6"/>
  </w:num>
  <w:num w:numId="6">
    <w:abstractNumId w:val="22"/>
  </w:num>
  <w:num w:numId="7">
    <w:abstractNumId w:val="17"/>
  </w:num>
  <w:num w:numId="8">
    <w:abstractNumId w:val="7"/>
  </w:num>
  <w:num w:numId="9">
    <w:abstractNumId w:val="24"/>
  </w:num>
  <w:num w:numId="10">
    <w:abstractNumId w:val="2"/>
  </w:num>
  <w:num w:numId="11">
    <w:abstractNumId w:val="8"/>
  </w:num>
  <w:num w:numId="12">
    <w:abstractNumId w:val="20"/>
  </w:num>
  <w:num w:numId="13">
    <w:abstractNumId w:val="21"/>
  </w:num>
  <w:num w:numId="14">
    <w:abstractNumId w:val="0"/>
  </w:num>
  <w:num w:numId="15">
    <w:abstractNumId w:val="14"/>
  </w:num>
  <w:num w:numId="16">
    <w:abstractNumId w:val="19"/>
  </w:num>
  <w:num w:numId="17">
    <w:abstractNumId w:val="15"/>
  </w:num>
  <w:num w:numId="18">
    <w:abstractNumId w:val="18"/>
  </w:num>
  <w:num w:numId="19">
    <w:abstractNumId w:val="11"/>
  </w:num>
  <w:num w:numId="20">
    <w:abstractNumId w:val="13"/>
  </w:num>
  <w:num w:numId="21">
    <w:abstractNumId w:val="5"/>
  </w:num>
  <w:num w:numId="22">
    <w:abstractNumId w:val="9"/>
  </w:num>
  <w:num w:numId="23">
    <w:abstractNumId w:val="10"/>
  </w:num>
  <w:num w:numId="24">
    <w:abstractNumId w:val="12"/>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6625"/>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5D"/>
    <w:rsid w:val="00002118"/>
    <w:rsid w:val="00002F1F"/>
    <w:rsid w:val="00003956"/>
    <w:rsid w:val="00004548"/>
    <w:rsid w:val="00004F6D"/>
    <w:rsid w:val="00005A25"/>
    <w:rsid w:val="00006557"/>
    <w:rsid w:val="00006CD1"/>
    <w:rsid w:val="00010026"/>
    <w:rsid w:val="00011083"/>
    <w:rsid w:val="00013B41"/>
    <w:rsid w:val="00014375"/>
    <w:rsid w:val="000228C8"/>
    <w:rsid w:val="00023E88"/>
    <w:rsid w:val="00023FC7"/>
    <w:rsid w:val="00024237"/>
    <w:rsid w:val="00024A62"/>
    <w:rsid w:val="00025B0F"/>
    <w:rsid w:val="00025C45"/>
    <w:rsid w:val="0003068E"/>
    <w:rsid w:val="00032806"/>
    <w:rsid w:val="00032F32"/>
    <w:rsid w:val="00034226"/>
    <w:rsid w:val="00035626"/>
    <w:rsid w:val="00045DC3"/>
    <w:rsid w:val="00046303"/>
    <w:rsid w:val="00046E6E"/>
    <w:rsid w:val="00051CF3"/>
    <w:rsid w:val="00057693"/>
    <w:rsid w:val="0005772E"/>
    <w:rsid w:val="00063610"/>
    <w:rsid w:val="00063AC8"/>
    <w:rsid w:val="00064934"/>
    <w:rsid w:val="00071969"/>
    <w:rsid w:val="000727AE"/>
    <w:rsid w:val="00073C8A"/>
    <w:rsid w:val="00074FA3"/>
    <w:rsid w:val="0007612D"/>
    <w:rsid w:val="00076E4A"/>
    <w:rsid w:val="0008045B"/>
    <w:rsid w:val="00080547"/>
    <w:rsid w:val="00081502"/>
    <w:rsid w:val="00084971"/>
    <w:rsid w:val="00084DF9"/>
    <w:rsid w:val="000855CA"/>
    <w:rsid w:val="000858B5"/>
    <w:rsid w:val="000858EE"/>
    <w:rsid w:val="000860BB"/>
    <w:rsid w:val="00090703"/>
    <w:rsid w:val="00091A88"/>
    <w:rsid w:val="00092FE4"/>
    <w:rsid w:val="000936A7"/>
    <w:rsid w:val="00094D18"/>
    <w:rsid w:val="00096132"/>
    <w:rsid w:val="0009772D"/>
    <w:rsid w:val="00097C98"/>
    <w:rsid w:val="000A0537"/>
    <w:rsid w:val="000A0CAD"/>
    <w:rsid w:val="000A0FBA"/>
    <w:rsid w:val="000A3541"/>
    <w:rsid w:val="000A6494"/>
    <w:rsid w:val="000A64D1"/>
    <w:rsid w:val="000A707A"/>
    <w:rsid w:val="000A7F1D"/>
    <w:rsid w:val="000B131E"/>
    <w:rsid w:val="000B412F"/>
    <w:rsid w:val="000B4B5E"/>
    <w:rsid w:val="000B519A"/>
    <w:rsid w:val="000C05EC"/>
    <w:rsid w:val="000C1282"/>
    <w:rsid w:val="000C22AD"/>
    <w:rsid w:val="000C48B3"/>
    <w:rsid w:val="000C76A8"/>
    <w:rsid w:val="000D0C7F"/>
    <w:rsid w:val="000D0D5D"/>
    <w:rsid w:val="000D289A"/>
    <w:rsid w:val="000D498B"/>
    <w:rsid w:val="000D4FA7"/>
    <w:rsid w:val="000D5C86"/>
    <w:rsid w:val="000D6162"/>
    <w:rsid w:val="000D7F8E"/>
    <w:rsid w:val="000E5DDF"/>
    <w:rsid w:val="000E6DE2"/>
    <w:rsid w:val="000E7E5C"/>
    <w:rsid w:val="000F1DF6"/>
    <w:rsid w:val="000F2EC1"/>
    <w:rsid w:val="000F4B80"/>
    <w:rsid w:val="00100BCF"/>
    <w:rsid w:val="00103078"/>
    <w:rsid w:val="00106700"/>
    <w:rsid w:val="001074F9"/>
    <w:rsid w:val="00107D33"/>
    <w:rsid w:val="001148A9"/>
    <w:rsid w:val="00120772"/>
    <w:rsid w:val="00121418"/>
    <w:rsid w:val="00125E9D"/>
    <w:rsid w:val="00125EA8"/>
    <w:rsid w:val="0012744F"/>
    <w:rsid w:val="00127A23"/>
    <w:rsid w:val="00132568"/>
    <w:rsid w:val="00132A28"/>
    <w:rsid w:val="00134AA1"/>
    <w:rsid w:val="0014003A"/>
    <w:rsid w:val="0014012F"/>
    <w:rsid w:val="00140770"/>
    <w:rsid w:val="001425AB"/>
    <w:rsid w:val="001455EC"/>
    <w:rsid w:val="001530D1"/>
    <w:rsid w:val="00153418"/>
    <w:rsid w:val="00153C32"/>
    <w:rsid w:val="001541C1"/>
    <w:rsid w:val="00154351"/>
    <w:rsid w:val="0015558D"/>
    <w:rsid w:val="00156D6D"/>
    <w:rsid w:val="00157892"/>
    <w:rsid w:val="00160A5C"/>
    <w:rsid w:val="00162863"/>
    <w:rsid w:val="00164759"/>
    <w:rsid w:val="00164A3C"/>
    <w:rsid w:val="00166063"/>
    <w:rsid w:val="00166A0D"/>
    <w:rsid w:val="001676CF"/>
    <w:rsid w:val="001716A6"/>
    <w:rsid w:val="00172703"/>
    <w:rsid w:val="00172A86"/>
    <w:rsid w:val="00173763"/>
    <w:rsid w:val="001747FC"/>
    <w:rsid w:val="00174942"/>
    <w:rsid w:val="00175CC4"/>
    <w:rsid w:val="00176166"/>
    <w:rsid w:val="00181A04"/>
    <w:rsid w:val="0018364B"/>
    <w:rsid w:val="00184D86"/>
    <w:rsid w:val="00185189"/>
    <w:rsid w:val="00185A78"/>
    <w:rsid w:val="00185C83"/>
    <w:rsid w:val="00186439"/>
    <w:rsid w:val="0019112E"/>
    <w:rsid w:val="00191E53"/>
    <w:rsid w:val="00192AB3"/>
    <w:rsid w:val="001959F5"/>
    <w:rsid w:val="00197879"/>
    <w:rsid w:val="001A16CD"/>
    <w:rsid w:val="001A1738"/>
    <w:rsid w:val="001A1D8F"/>
    <w:rsid w:val="001A2E7C"/>
    <w:rsid w:val="001A36EE"/>
    <w:rsid w:val="001A6A12"/>
    <w:rsid w:val="001A78EF"/>
    <w:rsid w:val="001B3E72"/>
    <w:rsid w:val="001B43D2"/>
    <w:rsid w:val="001B4FFE"/>
    <w:rsid w:val="001B706B"/>
    <w:rsid w:val="001C06CB"/>
    <w:rsid w:val="001C16DF"/>
    <w:rsid w:val="001C2DF7"/>
    <w:rsid w:val="001C3EE5"/>
    <w:rsid w:val="001C4C34"/>
    <w:rsid w:val="001C4CC9"/>
    <w:rsid w:val="001D03E2"/>
    <w:rsid w:val="001D32DD"/>
    <w:rsid w:val="001D41B3"/>
    <w:rsid w:val="001D5024"/>
    <w:rsid w:val="001D52EB"/>
    <w:rsid w:val="001D6477"/>
    <w:rsid w:val="001D7246"/>
    <w:rsid w:val="001D73EE"/>
    <w:rsid w:val="001E01D6"/>
    <w:rsid w:val="001E0599"/>
    <w:rsid w:val="001E07BD"/>
    <w:rsid w:val="001E1E63"/>
    <w:rsid w:val="001E39C3"/>
    <w:rsid w:val="001E656D"/>
    <w:rsid w:val="001E6C7A"/>
    <w:rsid w:val="001F08BC"/>
    <w:rsid w:val="001F1F5E"/>
    <w:rsid w:val="001F2A5C"/>
    <w:rsid w:val="001F3959"/>
    <w:rsid w:val="001F5C11"/>
    <w:rsid w:val="001F6F9C"/>
    <w:rsid w:val="001F7C08"/>
    <w:rsid w:val="00200143"/>
    <w:rsid w:val="0020140B"/>
    <w:rsid w:val="002017DF"/>
    <w:rsid w:val="00202CA6"/>
    <w:rsid w:val="002037D9"/>
    <w:rsid w:val="00206331"/>
    <w:rsid w:val="0020769F"/>
    <w:rsid w:val="002129FC"/>
    <w:rsid w:val="0022326A"/>
    <w:rsid w:val="00226245"/>
    <w:rsid w:val="00227F3A"/>
    <w:rsid w:val="002316E1"/>
    <w:rsid w:val="0023308D"/>
    <w:rsid w:val="00236B86"/>
    <w:rsid w:val="0024064D"/>
    <w:rsid w:val="00241751"/>
    <w:rsid w:val="00242559"/>
    <w:rsid w:val="00242F43"/>
    <w:rsid w:val="00243D2A"/>
    <w:rsid w:val="002455AB"/>
    <w:rsid w:val="002466C0"/>
    <w:rsid w:val="00246EBA"/>
    <w:rsid w:val="00251211"/>
    <w:rsid w:val="00252960"/>
    <w:rsid w:val="00255A38"/>
    <w:rsid w:val="00255B39"/>
    <w:rsid w:val="00257E6E"/>
    <w:rsid w:val="00261342"/>
    <w:rsid w:val="002716CD"/>
    <w:rsid w:val="00273421"/>
    <w:rsid w:val="002740AC"/>
    <w:rsid w:val="002751FA"/>
    <w:rsid w:val="00276A8F"/>
    <w:rsid w:val="00276CAC"/>
    <w:rsid w:val="002777DE"/>
    <w:rsid w:val="00282B7B"/>
    <w:rsid w:val="00282DDD"/>
    <w:rsid w:val="0028308A"/>
    <w:rsid w:val="002851BC"/>
    <w:rsid w:val="002853B5"/>
    <w:rsid w:val="00286344"/>
    <w:rsid w:val="00287B0E"/>
    <w:rsid w:val="00290ED1"/>
    <w:rsid w:val="0029166D"/>
    <w:rsid w:val="00291E8C"/>
    <w:rsid w:val="00291F09"/>
    <w:rsid w:val="00292DE9"/>
    <w:rsid w:val="002967A6"/>
    <w:rsid w:val="00297C54"/>
    <w:rsid w:val="002A03CE"/>
    <w:rsid w:val="002A270A"/>
    <w:rsid w:val="002A2E61"/>
    <w:rsid w:val="002A358B"/>
    <w:rsid w:val="002A35F8"/>
    <w:rsid w:val="002A38D6"/>
    <w:rsid w:val="002A3F51"/>
    <w:rsid w:val="002A43F8"/>
    <w:rsid w:val="002A4909"/>
    <w:rsid w:val="002A66BD"/>
    <w:rsid w:val="002A6C09"/>
    <w:rsid w:val="002B0375"/>
    <w:rsid w:val="002B226C"/>
    <w:rsid w:val="002B24E3"/>
    <w:rsid w:val="002B3338"/>
    <w:rsid w:val="002B456D"/>
    <w:rsid w:val="002B47AC"/>
    <w:rsid w:val="002B4928"/>
    <w:rsid w:val="002B68D0"/>
    <w:rsid w:val="002B7287"/>
    <w:rsid w:val="002C17FF"/>
    <w:rsid w:val="002C1DE7"/>
    <w:rsid w:val="002C3123"/>
    <w:rsid w:val="002C35A8"/>
    <w:rsid w:val="002C6735"/>
    <w:rsid w:val="002C69B0"/>
    <w:rsid w:val="002C7BB9"/>
    <w:rsid w:val="002D163E"/>
    <w:rsid w:val="002D785F"/>
    <w:rsid w:val="002E1B33"/>
    <w:rsid w:val="002E2B62"/>
    <w:rsid w:val="002E2FA9"/>
    <w:rsid w:val="002E459A"/>
    <w:rsid w:val="002E7759"/>
    <w:rsid w:val="002F22A7"/>
    <w:rsid w:val="002F3788"/>
    <w:rsid w:val="002F456D"/>
    <w:rsid w:val="002F6744"/>
    <w:rsid w:val="002F7B68"/>
    <w:rsid w:val="00303C94"/>
    <w:rsid w:val="00303CA9"/>
    <w:rsid w:val="00304267"/>
    <w:rsid w:val="003057B0"/>
    <w:rsid w:val="00305C01"/>
    <w:rsid w:val="00305E03"/>
    <w:rsid w:val="00306D33"/>
    <w:rsid w:val="00307646"/>
    <w:rsid w:val="00310579"/>
    <w:rsid w:val="003157AA"/>
    <w:rsid w:val="003162E0"/>
    <w:rsid w:val="00316FA5"/>
    <w:rsid w:val="00320063"/>
    <w:rsid w:val="003230C9"/>
    <w:rsid w:val="00323A2E"/>
    <w:rsid w:val="00325054"/>
    <w:rsid w:val="00325230"/>
    <w:rsid w:val="003255C2"/>
    <w:rsid w:val="00326CEA"/>
    <w:rsid w:val="00332258"/>
    <w:rsid w:val="0033539D"/>
    <w:rsid w:val="00335930"/>
    <w:rsid w:val="003366C1"/>
    <w:rsid w:val="00336B15"/>
    <w:rsid w:val="0034011E"/>
    <w:rsid w:val="003417CE"/>
    <w:rsid w:val="00346256"/>
    <w:rsid w:val="0034693F"/>
    <w:rsid w:val="00347A0A"/>
    <w:rsid w:val="00350CD6"/>
    <w:rsid w:val="0035214E"/>
    <w:rsid w:val="0035250D"/>
    <w:rsid w:val="00353843"/>
    <w:rsid w:val="00355290"/>
    <w:rsid w:val="003578CD"/>
    <w:rsid w:val="00357EFA"/>
    <w:rsid w:val="003621B9"/>
    <w:rsid w:val="00362776"/>
    <w:rsid w:val="00362BD1"/>
    <w:rsid w:val="00362F9D"/>
    <w:rsid w:val="00363B4B"/>
    <w:rsid w:val="00364986"/>
    <w:rsid w:val="00364B8A"/>
    <w:rsid w:val="003700B8"/>
    <w:rsid w:val="0037070C"/>
    <w:rsid w:val="003708D6"/>
    <w:rsid w:val="00370ACA"/>
    <w:rsid w:val="00370F44"/>
    <w:rsid w:val="003722D2"/>
    <w:rsid w:val="003752F9"/>
    <w:rsid w:val="00380E83"/>
    <w:rsid w:val="00382875"/>
    <w:rsid w:val="00384A15"/>
    <w:rsid w:val="00386651"/>
    <w:rsid w:val="003920DD"/>
    <w:rsid w:val="00394258"/>
    <w:rsid w:val="0039534F"/>
    <w:rsid w:val="0039786A"/>
    <w:rsid w:val="003A198F"/>
    <w:rsid w:val="003A4C55"/>
    <w:rsid w:val="003A513E"/>
    <w:rsid w:val="003A594D"/>
    <w:rsid w:val="003A5D43"/>
    <w:rsid w:val="003B104E"/>
    <w:rsid w:val="003B1CE5"/>
    <w:rsid w:val="003B2A6A"/>
    <w:rsid w:val="003B4198"/>
    <w:rsid w:val="003B443D"/>
    <w:rsid w:val="003B47DD"/>
    <w:rsid w:val="003B7610"/>
    <w:rsid w:val="003B7BBF"/>
    <w:rsid w:val="003C0E02"/>
    <w:rsid w:val="003D0792"/>
    <w:rsid w:val="003D1BA7"/>
    <w:rsid w:val="003D4B55"/>
    <w:rsid w:val="003D699E"/>
    <w:rsid w:val="003D6EDB"/>
    <w:rsid w:val="003D7263"/>
    <w:rsid w:val="003D7320"/>
    <w:rsid w:val="003D7D61"/>
    <w:rsid w:val="003E0382"/>
    <w:rsid w:val="003E0CCB"/>
    <w:rsid w:val="003E0CE2"/>
    <w:rsid w:val="003E1F6B"/>
    <w:rsid w:val="003E40A0"/>
    <w:rsid w:val="003E55EB"/>
    <w:rsid w:val="003E60C8"/>
    <w:rsid w:val="003E64C2"/>
    <w:rsid w:val="003F025A"/>
    <w:rsid w:val="003F0816"/>
    <w:rsid w:val="003F6848"/>
    <w:rsid w:val="003F71BE"/>
    <w:rsid w:val="00400D67"/>
    <w:rsid w:val="00401B4B"/>
    <w:rsid w:val="004030F5"/>
    <w:rsid w:val="004046BB"/>
    <w:rsid w:val="004113DF"/>
    <w:rsid w:val="00411511"/>
    <w:rsid w:val="004151EE"/>
    <w:rsid w:val="00415725"/>
    <w:rsid w:val="00416ECD"/>
    <w:rsid w:val="00416F53"/>
    <w:rsid w:val="0041773B"/>
    <w:rsid w:val="00417B87"/>
    <w:rsid w:val="00420A57"/>
    <w:rsid w:val="004213B2"/>
    <w:rsid w:val="00422405"/>
    <w:rsid w:val="0042483F"/>
    <w:rsid w:val="004253DA"/>
    <w:rsid w:val="004272DE"/>
    <w:rsid w:val="0043185A"/>
    <w:rsid w:val="00431CFB"/>
    <w:rsid w:val="00434EC0"/>
    <w:rsid w:val="00435228"/>
    <w:rsid w:val="00436E84"/>
    <w:rsid w:val="00437046"/>
    <w:rsid w:val="00437107"/>
    <w:rsid w:val="00440228"/>
    <w:rsid w:val="00442C4C"/>
    <w:rsid w:val="00444BE6"/>
    <w:rsid w:val="00444FD1"/>
    <w:rsid w:val="00445E04"/>
    <w:rsid w:val="0044715D"/>
    <w:rsid w:val="0045186B"/>
    <w:rsid w:val="00452197"/>
    <w:rsid w:val="00452395"/>
    <w:rsid w:val="0045303E"/>
    <w:rsid w:val="004534D0"/>
    <w:rsid w:val="004546B5"/>
    <w:rsid w:val="004553F5"/>
    <w:rsid w:val="004562E0"/>
    <w:rsid w:val="00461277"/>
    <w:rsid w:val="0046153D"/>
    <w:rsid w:val="00461F6B"/>
    <w:rsid w:val="00462B3E"/>
    <w:rsid w:val="00464BAF"/>
    <w:rsid w:val="004660B5"/>
    <w:rsid w:val="004664E3"/>
    <w:rsid w:val="00467654"/>
    <w:rsid w:val="00467839"/>
    <w:rsid w:val="0047235E"/>
    <w:rsid w:val="0047314B"/>
    <w:rsid w:val="0047361B"/>
    <w:rsid w:val="00473C45"/>
    <w:rsid w:val="0047514D"/>
    <w:rsid w:val="00480F65"/>
    <w:rsid w:val="00482447"/>
    <w:rsid w:val="00483EBA"/>
    <w:rsid w:val="00484251"/>
    <w:rsid w:val="00485622"/>
    <w:rsid w:val="0048629D"/>
    <w:rsid w:val="004874F5"/>
    <w:rsid w:val="00487A30"/>
    <w:rsid w:val="00487AA9"/>
    <w:rsid w:val="00490055"/>
    <w:rsid w:val="0049239C"/>
    <w:rsid w:val="0049268B"/>
    <w:rsid w:val="004952AC"/>
    <w:rsid w:val="004969EA"/>
    <w:rsid w:val="004A14D4"/>
    <w:rsid w:val="004A187C"/>
    <w:rsid w:val="004A1D93"/>
    <w:rsid w:val="004B00D9"/>
    <w:rsid w:val="004B3356"/>
    <w:rsid w:val="004B446F"/>
    <w:rsid w:val="004B4FD2"/>
    <w:rsid w:val="004B64AD"/>
    <w:rsid w:val="004B6844"/>
    <w:rsid w:val="004C0D8E"/>
    <w:rsid w:val="004C1FA9"/>
    <w:rsid w:val="004C2C45"/>
    <w:rsid w:val="004C5A86"/>
    <w:rsid w:val="004D1D41"/>
    <w:rsid w:val="004E1C1E"/>
    <w:rsid w:val="004E2B54"/>
    <w:rsid w:val="004E5453"/>
    <w:rsid w:val="004E60B4"/>
    <w:rsid w:val="004E6D80"/>
    <w:rsid w:val="004F1D4B"/>
    <w:rsid w:val="004F2C30"/>
    <w:rsid w:val="004F6A55"/>
    <w:rsid w:val="00501125"/>
    <w:rsid w:val="005014E1"/>
    <w:rsid w:val="00502800"/>
    <w:rsid w:val="0050345E"/>
    <w:rsid w:val="00504B6A"/>
    <w:rsid w:val="00506623"/>
    <w:rsid w:val="00506C49"/>
    <w:rsid w:val="005103D9"/>
    <w:rsid w:val="00511872"/>
    <w:rsid w:val="00511D5D"/>
    <w:rsid w:val="00515FE4"/>
    <w:rsid w:val="00516EF7"/>
    <w:rsid w:val="00520C38"/>
    <w:rsid w:val="00525757"/>
    <w:rsid w:val="00527B72"/>
    <w:rsid w:val="00527D76"/>
    <w:rsid w:val="00530772"/>
    <w:rsid w:val="00531ABC"/>
    <w:rsid w:val="00532BBF"/>
    <w:rsid w:val="005359B8"/>
    <w:rsid w:val="0053662A"/>
    <w:rsid w:val="00536749"/>
    <w:rsid w:val="00537183"/>
    <w:rsid w:val="00540914"/>
    <w:rsid w:val="00541686"/>
    <w:rsid w:val="005430FA"/>
    <w:rsid w:val="00543A25"/>
    <w:rsid w:val="00547EA1"/>
    <w:rsid w:val="00552862"/>
    <w:rsid w:val="00554027"/>
    <w:rsid w:val="005554A0"/>
    <w:rsid w:val="005640CC"/>
    <w:rsid w:val="00564F5D"/>
    <w:rsid w:val="005671AC"/>
    <w:rsid w:val="00567B95"/>
    <w:rsid w:val="0057019B"/>
    <w:rsid w:val="00572C22"/>
    <w:rsid w:val="00573587"/>
    <w:rsid w:val="00574A42"/>
    <w:rsid w:val="0057735C"/>
    <w:rsid w:val="00580113"/>
    <w:rsid w:val="005807C3"/>
    <w:rsid w:val="00581E2A"/>
    <w:rsid w:val="0058399D"/>
    <w:rsid w:val="00586B56"/>
    <w:rsid w:val="00586CBD"/>
    <w:rsid w:val="00587F87"/>
    <w:rsid w:val="00595624"/>
    <w:rsid w:val="00596513"/>
    <w:rsid w:val="00597441"/>
    <w:rsid w:val="005A02EE"/>
    <w:rsid w:val="005A1A44"/>
    <w:rsid w:val="005A6C81"/>
    <w:rsid w:val="005B0BC9"/>
    <w:rsid w:val="005B1DE8"/>
    <w:rsid w:val="005B2B52"/>
    <w:rsid w:val="005B3124"/>
    <w:rsid w:val="005B5317"/>
    <w:rsid w:val="005B601B"/>
    <w:rsid w:val="005B6F52"/>
    <w:rsid w:val="005B70FB"/>
    <w:rsid w:val="005B7A60"/>
    <w:rsid w:val="005B7D35"/>
    <w:rsid w:val="005B7FF8"/>
    <w:rsid w:val="005C26A7"/>
    <w:rsid w:val="005C7B58"/>
    <w:rsid w:val="005D092C"/>
    <w:rsid w:val="005D0C06"/>
    <w:rsid w:val="005D2017"/>
    <w:rsid w:val="005D2E7C"/>
    <w:rsid w:val="005E18C5"/>
    <w:rsid w:val="005E3310"/>
    <w:rsid w:val="005E40FF"/>
    <w:rsid w:val="005E5A49"/>
    <w:rsid w:val="005E5FFE"/>
    <w:rsid w:val="005E73A1"/>
    <w:rsid w:val="005F0209"/>
    <w:rsid w:val="005F1500"/>
    <w:rsid w:val="005F18EE"/>
    <w:rsid w:val="005F3C94"/>
    <w:rsid w:val="005F4628"/>
    <w:rsid w:val="005F4D2F"/>
    <w:rsid w:val="005F4EBB"/>
    <w:rsid w:val="005F4F1A"/>
    <w:rsid w:val="005F6992"/>
    <w:rsid w:val="0060085F"/>
    <w:rsid w:val="006008CE"/>
    <w:rsid w:val="0060173E"/>
    <w:rsid w:val="00602996"/>
    <w:rsid w:val="00604758"/>
    <w:rsid w:val="0060494A"/>
    <w:rsid w:val="00607AD0"/>
    <w:rsid w:val="00613385"/>
    <w:rsid w:val="00614A6E"/>
    <w:rsid w:val="0061613F"/>
    <w:rsid w:val="006171CE"/>
    <w:rsid w:val="00620BDF"/>
    <w:rsid w:val="00621340"/>
    <w:rsid w:val="006247EA"/>
    <w:rsid w:val="006263D8"/>
    <w:rsid w:val="00627612"/>
    <w:rsid w:val="00627B5C"/>
    <w:rsid w:val="00630003"/>
    <w:rsid w:val="00630EA1"/>
    <w:rsid w:val="006362CB"/>
    <w:rsid w:val="00643437"/>
    <w:rsid w:val="006441FC"/>
    <w:rsid w:val="00644920"/>
    <w:rsid w:val="00644921"/>
    <w:rsid w:val="00645726"/>
    <w:rsid w:val="0065008C"/>
    <w:rsid w:val="006549D7"/>
    <w:rsid w:val="00655327"/>
    <w:rsid w:val="00655C99"/>
    <w:rsid w:val="006566E4"/>
    <w:rsid w:val="00656BE7"/>
    <w:rsid w:val="006706CF"/>
    <w:rsid w:val="00670EA7"/>
    <w:rsid w:val="00671AD8"/>
    <w:rsid w:val="006723BE"/>
    <w:rsid w:val="00677891"/>
    <w:rsid w:val="0068306B"/>
    <w:rsid w:val="006845B0"/>
    <w:rsid w:val="00687198"/>
    <w:rsid w:val="00687227"/>
    <w:rsid w:val="00692CD5"/>
    <w:rsid w:val="00695880"/>
    <w:rsid w:val="00696472"/>
    <w:rsid w:val="006A008D"/>
    <w:rsid w:val="006A476A"/>
    <w:rsid w:val="006A4CDD"/>
    <w:rsid w:val="006A4D1A"/>
    <w:rsid w:val="006A66C6"/>
    <w:rsid w:val="006B2E4F"/>
    <w:rsid w:val="006B33CF"/>
    <w:rsid w:val="006B42A7"/>
    <w:rsid w:val="006B6204"/>
    <w:rsid w:val="006B6E4F"/>
    <w:rsid w:val="006C0D1E"/>
    <w:rsid w:val="006C42D0"/>
    <w:rsid w:val="006C605B"/>
    <w:rsid w:val="006C68C4"/>
    <w:rsid w:val="006D0424"/>
    <w:rsid w:val="006D1643"/>
    <w:rsid w:val="006D28FD"/>
    <w:rsid w:val="006D5AAF"/>
    <w:rsid w:val="006E0D80"/>
    <w:rsid w:val="006E3FFF"/>
    <w:rsid w:val="006E50B6"/>
    <w:rsid w:val="006E5364"/>
    <w:rsid w:val="006F053B"/>
    <w:rsid w:val="006F1461"/>
    <w:rsid w:val="006F2ACD"/>
    <w:rsid w:val="006F4124"/>
    <w:rsid w:val="006F5ECD"/>
    <w:rsid w:val="006F707F"/>
    <w:rsid w:val="006F7B0A"/>
    <w:rsid w:val="0070084E"/>
    <w:rsid w:val="00701B16"/>
    <w:rsid w:val="00710494"/>
    <w:rsid w:val="00710D39"/>
    <w:rsid w:val="00714DC9"/>
    <w:rsid w:val="00715DD8"/>
    <w:rsid w:val="00715F5A"/>
    <w:rsid w:val="007164CF"/>
    <w:rsid w:val="00720102"/>
    <w:rsid w:val="0072179C"/>
    <w:rsid w:val="00724D1D"/>
    <w:rsid w:val="007278DB"/>
    <w:rsid w:val="0073042F"/>
    <w:rsid w:val="007304C5"/>
    <w:rsid w:val="00731435"/>
    <w:rsid w:val="00731E5F"/>
    <w:rsid w:val="00732657"/>
    <w:rsid w:val="00734826"/>
    <w:rsid w:val="00734F81"/>
    <w:rsid w:val="007364A0"/>
    <w:rsid w:val="0073683B"/>
    <w:rsid w:val="0073757B"/>
    <w:rsid w:val="00737CA9"/>
    <w:rsid w:val="007418EC"/>
    <w:rsid w:val="0074294E"/>
    <w:rsid w:val="007452EA"/>
    <w:rsid w:val="0074703E"/>
    <w:rsid w:val="007470C3"/>
    <w:rsid w:val="00751006"/>
    <w:rsid w:val="00752491"/>
    <w:rsid w:val="00754D4E"/>
    <w:rsid w:val="00754F1F"/>
    <w:rsid w:val="00755144"/>
    <w:rsid w:val="007552C7"/>
    <w:rsid w:val="007606D7"/>
    <w:rsid w:val="007618C5"/>
    <w:rsid w:val="00762374"/>
    <w:rsid w:val="00764900"/>
    <w:rsid w:val="00766927"/>
    <w:rsid w:val="007724BA"/>
    <w:rsid w:val="007724E1"/>
    <w:rsid w:val="0077430F"/>
    <w:rsid w:val="00775370"/>
    <w:rsid w:val="00780B01"/>
    <w:rsid w:val="00782321"/>
    <w:rsid w:val="0078466A"/>
    <w:rsid w:val="007847CF"/>
    <w:rsid w:val="0078617C"/>
    <w:rsid w:val="0078655D"/>
    <w:rsid w:val="007870FE"/>
    <w:rsid w:val="00787637"/>
    <w:rsid w:val="00787DC1"/>
    <w:rsid w:val="00790656"/>
    <w:rsid w:val="00791B98"/>
    <w:rsid w:val="00791FCE"/>
    <w:rsid w:val="00794323"/>
    <w:rsid w:val="0079610E"/>
    <w:rsid w:val="007968E9"/>
    <w:rsid w:val="007A012E"/>
    <w:rsid w:val="007A0AB4"/>
    <w:rsid w:val="007A0C4C"/>
    <w:rsid w:val="007A1B5B"/>
    <w:rsid w:val="007A2D99"/>
    <w:rsid w:val="007A5EBE"/>
    <w:rsid w:val="007A65CF"/>
    <w:rsid w:val="007A7288"/>
    <w:rsid w:val="007A77E8"/>
    <w:rsid w:val="007B221A"/>
    <w:rsid w:val="007B22D8"/>
    <w:rsid w:val="007B3EE4"/>
    <w:rsid w:val="007B4EB5"/>
    <w:rsid w:val="007B6EF9"/>
    <w:rsid w:val="007C03C9"/>
    <w:rsid w:val="007C07CD"/>
    <w:rsid w:val="007C100A"/>
    <w:rsid w:val="007C24C0"/>
    <w:rsid w:val="007C3F5D"/>
    <w:rsid w:val="007C5407"/>
    <w:rsid w:val="007C6B91"/>
    <w:rsid w:val="007D037A"/>
    <w:rsid w:val="007D15AB"/>
    <w:rsid w:val="007D1851"/>
    <w:rsid w:val="007D1F8C"/>
    <w:rsid w:val="007D2A57"/>
    <w:rsid w:val="007D32E7"/>
    <w:rsid w:val="007D3648"/>
    <w:rsid w:val="007D48F6"/>
    <w:rsid w:val="007D4A88"/>
    <w:rsid w:val="007D653E"/>
    <w:rsid w:val="007D6D72"/>
    <w:rsid w:val="007E13EE"/>
    <w:rsid w:val="007E5018"/>
    <w:rsid w:val="007E5D79"/>
    <w:rsid w:val="007E5DDC"/>
    <w:rsid w:val="007E7E23"/>
    <w:rsid w:val="007F3BAA"/>
    <w:rsid w:val="007F4331"/>
    <w:rsid w:val="007F4CE6"/>
    <w:rsid w:val="007F4E20"/>
    <w:rsid w:val="0080052C"/>
    <w:rsid w:val="008005C1"/>
    <w:rsid w:val="00801706"/>
    <w:rsid w:val="00802748"/>
    <w:rsid w:val="0080282C"/>
    <w:rsid w:val="008033FD"/>
    <w:rsid w:val="00803BDD"/>
    <w:rsid w:val="00804862"/>
    <w:rsid w:val="00815AD7"/>
    <w:rsid w:val="008160E4"/>
    <w:rsid w:val="008313DE"/>
    <w:rsid w:val="00831CA9"/>
    <w:rsid w:val="00832A80"/>
    <w:rsid w:val="00833158"/>
    <w:rsid w:val="00833F0A"/>
    <w:rsid w:val="00837827"/>
    <w:rsid w:val="00837BC0"/>
    <w:rsid w:val="00840DC1"/>
    <w:rsid w:val="00841363"/>
    <w:rsid w:val="008425D2"/>
    <w:rsid w:val="00843376"/>
    <w:rsid w:val="008446E0"/>
    <w:rsid w:val="00850788"/>
    <w:rsid w:val="00852D30"/>
    <w:rsid w:val="008531C6"/>
    <w:rsid w:val="008534F6"/>
    <w:rsid w:val="0085408C"/>
    <w:rsid w:val="008558F7"/>
    <w:rsid w:val="00856C1A"/>
    <w:rsid w:val="00856E2F"/>
    <w:rsid w:val="00857E46"/>
    <w:rsid w:val="00860619"/>
    <w:rsid w:val="00863103"/>
    <w:rsid w:val="00870120"/>
    <w:rsid w:val="00870245"/>
    <w:rsid w:val="008705A7"/>
    <w:rsid w:val="008706D6"/>
    <w:rsid w:val="00870C23"/>
    <w:rsid w:val="00871D13"/>
    <w:rsid w:val="008741EA"/>
    <w:rsid w:val="0087449F"/>
    <w:rsid w:val="00874542"/>
    <w:rsid w:val="0087476E"/>
    <w:rsid w:val="00874BA7"/>
    <w:rsid w:val="008757BF"/>
    <w:rsid w:val="00875B06"/>
    <w:rsid w:val="008805E0"/>
    <w:rsid w:val="008817F7"/>
    <w:rsid w:val="00881A48"/>
    <w:rsid w:val="00882ED3"/>
    <w:rsid w:val="008856B9"/>
    <w:rsid w:val="00886DA2"/>
    <w:rsid w:val="008907F6"/>
    <w:rsid w:val="00891FA2"/>
    <w:rsid w:val="00892AC6"/>
    <w:rsid w:val="00893262"/>
    <w:rsid w:val="00895BCC"/>
    <w:rsid w:val="00896845"/>
    <w:rsid w:val="008A08E2"/>
    <w:rsid w:val="008A0FD8"/>
    <w:rsid w:val="008A4385"/>
    <w:rsid w:val="008A4A4D"/>
    <w:rsid w:val="008A5D2E"/>
    <w:rsid w:val="008B015E"/>
    <w:rsid w:val="008B1E9E"/>
    <w:rsid w:val="008B2BAF"/>
    <w:rsid w:val="008B438C"/>
    <w:rsid w:val="008B49C9"/>
    <w:rsid w:val="008B7C95"/>
    <w:rsid w:val="008C118E"/>
    <w:rsid w:val="008C3942"/>
    <w:rsid w:val="008C3E5E"/>
    <w:rsid w:val="008C43C5"/>
    <w:rsid w:val="008C43D7"/>
    <w:rsid w:val="008D0E01"/>
    <w:rsid w:val="008D1126"/>
    <w:rsid w:val="008D1BE1"/>
    <w:rsid w:val="008D4234"/>
    <w:rsid w:val="008E0EA3"/>
    <w:rsid w:val="008E234F"/>
    <w:rsid w:val="008E31B4"/>
    <w:rsid w:val="008E341D"/>
    <w:rsid w:val="008E44A2"/>
    <w:rsid w:val="008F12C1"/>
    <w:rsid w:val="008F4D9F"/>
    <w:rsid w:val="008F7D3F"/>
    <w:rsid w:val="0090158D"/>
    <w:rsid w:val="00902D7E"/>
    <w:rsid w:val="00906351"/>
    <w:rsid w:val="0091033D"/>
    <w:rsid w:val="009118F9"/>
    <w:rsid w:val="00912AD6"/>
    <w:rsid w:val="00913579"/>
    <w:rsid w:val="00914508"/>
    <w:rsid w:val="00915AAE"/>
    <w:rsid w:val="00921154"/>
    <w:rsid w:val="009224BB"/>
    <w:rsid w:val="00922667"/>
    <w:rsid w:val="00923BFA"/>
    <w:rsid w:val="0092711A"/>
    <w:rsid w:val="00930FF6"/>
    <w:rsid w:val="009335E4"/>
    <w:rsid w:val="0093484D"/>
    <w:rsid w:val="0093693A"/>
    <w:rsid w:val="00936D16"/>
    <w:rsid w:val="0094049B"/>
    <w:rsid w:val="0094084B"/>
    <w:rsid w:val="00941B21"/>
    <w:rsid w:val="00944283"/>
    <w:rsid w:val="00946338"/>
    <w:rsid w:val="00946B21"/>
    <w:rsid w:val="00946D0C"/>
    <w:rsid w:val="009502F8"/>
    <w:rsid w:val="009517BD"/>
    <w:rsid w:val="00952431"/>
    <w:rsid w:val="00953ED7"/>
    <w:rsid w:val="00957AF2"/>
    <w:rsid w:val="00960902"/>
    <w:rsid w:val="00960DB0"/>
    <w:rsid w:val="00960E61"/>
    <w:rsid w:val="00964D2F"/>
    <w:rsid w:val="0096547D"/>
    <w:rsid w:val="00972390"/>
    <w:rsid w:val="00976022"/>
    <w:rsid w:val="00977C31"/>
    <w:rsid w:val="009805A2"/>
    <w:rsid w:val="009815BE"/>
    <w:rsid w:val="00982974"/>
    <w:rsid w:val="00984E5C"/>
    <w:rsid w:val="009906C2"/>
    <w:rsid w:val="00995E8F"/>
    <w:rsid w:val="00997C43"/>
    <w:rsid w:val="009A2AD8"/>
    <w:rsid w:val="009B01CC"/>
    <w:rsid w:val="009B0374"/>
    <w:rsid w:val="009B069A"/>
    <w:rsid w:val="009B0A0B"/>
    <w:rsid w:val="009B431C"/>
    <w:rsid w:val="009B4E00"/>
    <w:rsid w:val="009B51A0"/>
    <w:rsid w:val="009C2501"/>
    <w:rsid w:val="009C3D6B"/>
    <w:rsid w:val="009D34BE"/>
    <w:rsid w:val="009D3631"/>
    <w:rsid w:val="009D3DFA"/>
    <w:rsid w:val="009D4190"/>
    <w:rsid w:val="009D59CD"/>
    <w:rsid w:val="009D634C"/>
    <w:rsid w:val="009D6757"/>
    <w:rsid w:val="009E50A6"/>
    <w:rsid w:val="009E5295"/>
    <w:rsid w:val="009E79D8"/>
    <w:rsid w:val="009F36CD"/>
    <w:rsid w:val="009F5640"/>
    <w:rsid w:val="009F6C8D"/>
    <w:rsid w:val="00A005B7"/>
    <w:rsid w:val="00A02D32"/>
    <w:rsid w:val="00A04F65"/>
    <w:rsid w:val="00A15CF2"/>
    <w:rsid w:val="00A16850"/>
    <w:rsid w:val="00A17F6C"/>
    <w:rsid w:val="00A20F90"/>
    <w:rsid w:val="00A230F3"/>
    <w:rsid w:val="00A238E3"/>
    <w:rsid w:val="00A259C5"/>
    <w:rsid w:val="00A27F07"/>
    <w:rsid w:val="00A30165"/>
    <w:rsid w:val="00A35ADE"/>
    <w:rsid w:val="00A35DCB"/>
    <w:rsid w:val="00A36671"/>
    <w:rsid w:val="00A36731"/>
    <w:rsid w:val="00A37CDF"/>
    <w:rsid w:val="00A423AA"/>
    <w:rsid w:val="00A42401"/>
    <w:rsid w:val="00A42EFD"/>
    <w:rsid w:val="00A46059"/>
    <w:rsid w:val="00A475B4"/>
    <w:rsid w:val="00A50177"/>
    <w:rsid w:val="00A51A33"/>
    <w:rsid w:val="00A520C4"/>
    <w:rsid w:val="00A52569"/>
    <w:rsid w:val="00A52E2A"/>
    <w:rsid w:val="00A5468B"/>
    <w:rsid w:val="00A56210"/>
    <w:rsid w:val="00A57377"/>
    <w:rsid w:val="00A574B9"/>
    <w:rsid w:val="00A601AC"/>
    <w:rsid w:val="00A62A13"/>
    <w:rsid w:val="00A65854"/>
    <w:rsid w:val="00A66E94"/>
    <w:rsid w:val="00A66EC9"/>
    <w:rsid w:val="00A70FAA"/>
    <w:rsid w:val="00A71692"/>
    <w:rsid w:val="00A81699"/>
    <w:rsid w:val="00A8305D"/>
    <w:rsid w:val="00A84A56"/>
    <w:rsid w:val="00A87764"/>
    <w:rsid w:val="00A916DC"/>
    <w:rsid w:val="00A918F1"/>
    <w:rsid w:val="00AA1925"/>
    <w:rsid w:val="00AA28A6"/>
    <w:rsid w:val="00AA2994"/>
    <w:rsid w:val="00AA50C3"/>
    <w:rsid w:val="00AA60EC"/>
    <w:rsid w:val="00AA649B"/>
    <w:rsid w:val="00AA7DA1"/>
    <w:rsid w:val="00AB1891"/>
    <w:rsid w:val="00AB1F47"/>
    <w:rsid w:val="00AB374E"/>
    <w:rsid w:val="00AB614A"/>
    <w:rsid w:val="00AC1B0D"/>
    <w:rsid w:val="00AC304C"/>
    <w:rsid w:val="00AC3C8E"/>
    <w:rsid w:val="00AD0482"/>
    <w:rsid w:val="00AD1EF8"/>
    <w:rsid w:val="00AD2ACC"/>
    <w:rsid w:val="00AD53BB"/>
    <w:rsid w:val="00AD69C2"/>
    <w:rsid w:val="00AE0040"/>
    <w:rsid w:val="00AE2270"/>
    <w:rsid w:val="00AE3015"/>
    <w:rsid w:val="00AE392C"/>
    <w:rsid w:val="00AE4562"/>
    <w:rsid w:val="00AE5C10"/>
    <w:rsid w:val="00AF0C88"/>
    <w:rsid w:val="00AF3196"/>
    <w:rsid w:val="00AF513D"/>
    <w:rsid w:val="00AF798E"/>
    <w:rsid w:val="00B067F8"/>
    <w:rsid w:val="00B1019A"/>
    <w:rsid w:val="00B13BEA"/>
    <w:rsid w:val="00B13CF6"/>
    <w:rsid w:val="00B14607"/>
    <w:rsid w:val="00B16451"/>
    <w:rsid w:val="00B21D38"/>
    <w:rsid w:val="00B23944"/>
    <w:rsid w:val="00B26E79"/>
    <w:rsid w:val="00B315E3"/>
    <w:rsid w:val="00B33103"/>
    <w:rsid w:val="00B33ED1"/>
    <w:rsid w:val="00B35CEE"/>
    <w:rsid w:val="00B36AE6"/>
    <w:rsid w:val="00B36C1F"/>
    <w:rsid w:val="00B403D3"/>
    <w:rsid w:val="00B40EE0"/>
    <w:rsid w:val="00B416A6"/>
    <w:rsid w:val="00B430E3"/>
    <w:rsid w:val="00B45971"/>
    <w:rsid w:val="00B45C54"/>
    <w:rsid w:val="00B46A0A"/>
    <w:rsid w:val="00B47FBC"/>
    <w:rsid w:val="00B5240E"/>
    <w:rsid w:val="00B52E45"/>
    <w:rsid w:val="00B544B6"/>
    <w:rsid w:val="00B5578D"/>
    <w:rsid w:val="00B5661B"/>
    <w:rsid w:val="00B572EF"/>
    <w:rsid w:val="00B57719"/>
    <w:rsid w:val="00B57AF4"/>
    <w:rsid w:val="00B600C7"/>
    <w:rsid w:val="00B66C02"/>
    <w:rsid w:val="00B6711E"/>
    <w:rsid w:val="00B67C3D"/>
    <w:rsid w:val="00B748E1"/>
    <w:rsid w:val="00B74B4D"/>
    <w:rsid w:val="00B75BB1"/>
    <w:rsid w:val="00B806ED"/>
    <w:rsid w:val="00B81D3C"/>
    <w:rsid w:val="00B82279"/>
    <w:rsid w:val="00B8265A"/>
    <w:rsid w:val="00B83C0D"/>
    <w:rsid w:val="00B846E5"/>
    <w:rsid w:val="00B85D39"/>
    <w:rsid w:val="00B862D8"/>
    <w:rsid w:val="00B868A0"/>
    <w:rsid w:val="00B9119A"/>
    <w:rsid w:val="00B912F6"/>
    <w:rsid w:val="00B91C67"/>
    <w:rsid w:val="00B92F7E"/>
    <w:rsid w:val="00B93750"/>
    <w:rsid w:val="00B93C42"/>
    <w:rsid w:val="00BA1336"/>
    <w:rsid w:val="00BA19EF"/>
    <w:rsid w:val="00BA2882"/>
    <w:rsid w:val="00BA63AA"/>
    <w:rsid w:val="00BB0675"/>
    <w:rsid w:val="00BB1DC6"/>
    <w:rsid w:val="00BB3760"/>
    <w:rsid w:val="00BB3D14"/>
    <w:rsid w:val="00BB5577"/>
    <w:rsid w:val="00BB612E"/>
    <w:rsid w:val="00BB7B4F"/>
    <w:rsid w:val="00BC085B"/>
    <w:rsid w:val="00BC2F1A"/>
    <w:rsid w:val="00BC47B5"/>
    <w:rsid w:val="00BC5430"/>
    <w:rsid w:val="00BD0150"/>
    <w:rsid w:val="00BD50C9"/>
    <w:rsid w:val="00BD574D"/>
    <w:rsid w:val="00BD648E"/>
    <w:rsid w:val="00BE139D"/>
    <w:rsid w:val="00BE1480"/>
    <w:rsid w:val="00BE2217"/>
    <w:rsid w:val="00BE391C"/>
    <w:rsid w:val="00BE7CE1"/>
    <w:rsid w:val="00BF0222"/>
    <w:rsid w:val="00BF0828"/>
    <w:rsid w:val="00BF5A3D"/>
    <w:rsid w:val="00BF6745"/>
    <w:rsid w:val="00C026B7"/>
    <w:rsid w:val="00C06F0C"/>
    <w:rsid w:val="00C105DD"/>
    <w:rsid w:val="00C13EB0"/>
    <w:rsid w:val="00C143C5"/>
    <w:rsid w:val="00C1670E"/>
    <w:rsid w:val="00C16979"/>
    <w:rsid w:val="00C177E5"/>
    <w:rsid w:val="00C2193C"/>
    <w:rsid w:val="00C21B66"/>
    <w:rsid w:val="00C21D68"/>
    <w:rsid w:val="00C23363"/>
    <w:rsid w:val="00C239CD"/>
    <w:rsid w:val="00C269ED"/>
    <w:rsid w:val="00C27122"/>
    <w:rsid w:val="00C27D00"/>
    <w:rsid w:val="00C31749"/>
    <w:rsid w:val="00C31C31"/>
    <w:rsid w:val="00C339BB"/>
    <w:rsid w:val="00C34606"/>
    <w:rsid w:val="00C376C8"/>
    <w:rsid w:val="00C413AA"/>
    <w:rsid w:val="00C42E4D"/>
    <w:rsid w:val="00C437FE"/>
    <w:rsid w:val="00C442AE"/>
    <w:rsid w:val="00C44A44"/>
    <w:rsid w:val="00C44EE1"/>
    <w:rsid w:val="00C45C3B"/>
    <w:rsid w:val="00C46532"/>
    <w:rsid w:val="00C504CD"/>
    <w:rsid w:val="00C517C9"/>
    <w:rsid w:val="00C52943"/>
    <w:rsid w:val="00C52FB3"/>
    <w:rsid w:val="00C5302B"/>
    <w:rsid w:val="00C532F3"/>
    <w:rsid w:val="00C54663"/>
    <w:rsid w:val="00C54994"/>
    <w:rsid w:val="00C5630F"/>
    <w:rsid w:val="00C56453"/>
    <w:rsid w:val="00C61965"/>
    <w:rsid w:val="00C61B0C"/>
    <w:rsid w:val="00C621ED"/>
    <w:rsid w:val="00C63A94"/>
    <w:rsid w:val="00C64242"/>
    <w:rsid w:val="00C64ABF"/>
    <w:rsid w:val="00C75008"/>
    <w:rsid w:val="00C76B6D"/>
    <w:rsid w:val="00C80887"/>
    <w:rsid w:val="00C80965"/>
    <w:rsid w:val="00C8176E"/>
    <w:rsid w:val="00C82A06"/>
    <w:rsid w:val="00C852E8"/>
    <w:rsid w:val="00C87514"/>
    <w:rsid w:val="00C87719"/>
    <w:rsid w:val="00C879DA"/>
    <w:rsid w:val="00C944AC"/>
    <w:rsid w:val="00C94528"/>
    <w:rsid w:val="00C95438"/>
    <w:rsid w:val="00C9630A"/>
    <w:rsid w:val="00C9725E"/>
    <w:rsid w:val="00CA1F94"/>
    <w:rsid w:val="00CA3C67"/>
    <w:rsid w:val="00CA400D"/>
    <w:rsid w:val="00CA4B91"/>
    <w:rsid w:val="00CA7011"/>
    <w:rsid w:val="00CA70CC"/>
    <w:rsid w:val="00CB2BCC"/>
    <w:rsid w:val="00CB4504"/>
    <w:rsid w:val="00CB5D99"/>
    <w:rsid w:val="00CB7212"/>
    <w:rsid w:val="00CB73EA"/>
    <w:rsid w:val="00CC10CD"/>
    <w:rsid w:val="00CC2B59"/>
    <w:rsid w:val="00CC54AD"/>
    <w:rsid w:val="00CC60B0"/>
    <w:rsid w:val="00CC6F16"/>
    <w:rsid w:val="00CD4107"/>
    <w:rsid w:val="00CD4680"/>
    <w:rsid w:val="00CD47A1"/>
    <w:rsid w:val="00CD5654"/>
    <w:rsid w:val="00CD5EF8"/>
    <w:rsid w:val="00CD6FA1"/>
    <w:rsid w:val="00CD77ED"/>
    <w:rsid w:val="00CE21BF"/>
    <w:rsid w:val="00CE288C"/>
    <w:rsid w:val="00CE4690"/>
    <w:rsid w:val="00CE5A5C"/>
    <w:rsid w:val="00CE7D90"/>
    <w:rsid w:val="00CF1758"/>
    <w:rsid w:val="00CF1B86"/>
    <w:rsid w:val="00CF4193"/>
    <w:rsid w:val="00CF72B6"/>
    <w:rsid w:val="00D01DB7"/>
    <w:rsid w:val="00D01E02"/>
    <w:rsid w:val="00D02A46"/>
    <w:rsid w:val="00D02A9E"/>
    <w:rsid w:val="00D0493A"/>
    <w:rsid w:val="00D06555"/>
    <w:rsid w:val="00D06572"/>
    <w:rsid w:val="00D068A5"/>
    <w:rsid w:val="00D06AFE"/>
    <w:rsid w:val="00D076A6"/>
    <w:rsid w:val="00D076C9"/>
    <w:rsid w:val="00D10282"/>
    <w:rsid w:val="00D11329"/>
    <w:rsid w:val="00D12152"/>
    <w:rsid w:val="00D147DD"/>
    <w:rsid w:val="00D17C5F"/>
    <w:rsid w:val="00D210BC"/>
    <w:rsid w:val="00D24271"/>
    <w:rsid w:val="00D24B00"/>
    <w:rsid w:val="00D26848"/>
    <w:rsid w:val="00D26F28"/>
    <w:rsid w:val="00D31DAC"/>
    <w:rsid w:val="00D33067"/>
    <w:rsid w:val="00D332D6"/>
    <w:rsid w:val="00D33CC1"/>
    <w:rsid w:val="00D341DC"/>
    <w:rsid w:val="00D424B4"/>
    <w:rsid w:val="00D45AB9"/>
    <w:rsid w:val="00D46C89"/>
    <w:rsid w:val="00D46E67"/>
    <w:rsid w:val="00D470D8"/>
    <w:rsid w:val="00D54366"/>
    <w:rsid w:val="00D545BF"/>
    <w:rsid w:val="00D60499"/>
    <w:rsid w:val="00D61A31"/>
    <w:rsid w:val="00D6358B"/>
    <w:rsid w:val="00D63E1E"/>
    <w:rsid w:val="00D6497D"/>
    <w:rsid w:val="00D64A29"/>
    <w:rsid w:val="00D66CCF"/>
    <w:rsid w:val="00D70538"/>
    <w:rsid w:val="00D733A2"/>
    <w:rsid w:val="00D75BA4"/>
    <w:rsid w:val="00D805A7"/>
    <w:rsid w:val="00D812B2"/>
    <w:rsid w:val="00D81631"/>
    <w:rsid w:val="00D8268B"/>
    <w:rsid w:val="00D85DCF"/>
    <w:rsid w:val="00D86FCA"/>
    <w:rsid w:val="00D92B11"/>
    <w:rsid w:val="00D930FC"/>
    <w:rsid w:val="00D93414"/>
    <w:rsid w:val="00D95527"/>
    <w:rsid w:val="00D9579F"/>
    <w:rsid w:val="00D97284"/>
    <w:rsid w:val="00DA0D2B"/>
    <w:rsid w:val="00DA2514"/>
    <w:rsid w:val="00DB07BD"/>
    <w:rsid w:val="00DB193B"/>
    <w:rsid w:val="00DB3617"/>
    <w:rsid w:val="00DB3976"/>
    <w:rsid w:val="00DB3CD9"/>
    <w:rsid w:val="00DB4647"/>
    <w:rsid w:val="00DB4F62"/>
    <w:rsid w:val="00DC1962"/>
    <w:rsid w:val="00DC2262"/>
    <w:rsid w:val="00DC2268"/>
    <w:rsid w:val="00DC2B91"/>
    <w:rsid w:val="00DC31A0"/>
    <w:rsid w:val="00DC3C35"/>
    <w:rsid w:val="00DC4C8F"/>
    <w:rsid w:val="00DC6844"/>
    <w:rsid w:val="00DD3977"/>
    <w:rsid w:val="00DD3EC8"/>
    <w:rsid w:val="00DD456A"/>
    <w:rsid w:val="00DE226F"/>
    <w:rsid w:val="00DE26F7"/>
    <w:rsid w:val="00DE27B3"/>
    <w:rsid w:val="00DE3D6C"/>
    <w:rsid w:val="00DE4A02"/>
    <w:rsid w:val="00DE53C1"/>
    <w:rsid w:val="00DE727D"/>
    <w:rsid w:val="00DE7839"/>
    <w:rsid w:val="00DF5CA9"/>
    <w:rsid w:val="00E017C8"/>
    <w:rsid w:val="00E05DC9"/>
    <w:rsid w:val="00E07E29"/>
    <w:rsid w:val="00E15387"/>
    <w:rsid w:val="00E17CBE"/>
    <w:rsid w:val="00E20165"/>
    <w:rsid w:val="00E20BFB"/>
    <w:rsid w:val="00E23462"/>
    <w:rsid w:val="00E243CF"/>
    <w:rsid w:val="00E253C7"/>
    <w:rsid w:val="00E2578B"/>
    <w:rsid w:val="00E30232"/>
    <w:rsid w:val="00E33EEB"/>
    <w:rsid w:val="00E35226"/>
    <w:rsid w:val="00E360AB"/>
    <w:rsid w:val="00E36243"/>
    <w:rsid w:val="00E364F7"/>
    <w:rsid w:val="00E4012D"/>
    <w:rsid w:val="00E442D9"/>
    <w:rsid w:val="00E44EF1"/>
    <w:rsid w:val="00E45CDB"/>
    <w:rsid w:val="00E46B27"/>
    <w:rsid w:val="00E46C0B"/>
    <w:rsid w:val="00E478D7"/>
    <w:rsid w:val="00E5074B"/>
    <w:rsid w:val="00E51BEF"/>
    <w:rsid w:val="00E51D66"/>
    <w:rsid w:val="00E5248E"/>
    <w:rsid w:val="00E53B2A"/>
    <w:rsid w:val="00E57A62"/>
    <w:rsid w:val="00E612CE"/>
    <w:rsid w:val="00E616D7"/>
    <w:rsid w:val="00E620B8"/>
    <w:rsid w:val="00E63EF1"/>
    <w:rsid w:val="00E66321"/>
    <w:rsid w:val="00E66948"/>
    <w:rsid w:val="00E71509"/>
    <w:rsid w:val="00E718E4"/>
    <w:rsid w:val="00E72B58"/>
    <w:rsid w:val="00E73F73"/>
    <w:rsid w:val="00E7527D"/>
    <w:rsid w:val="00E7542E"/>
    <w:rsid w:val="00E76E0F"/>
    <w:rsid w:val="00E77F5A"/>
    <w:rsid w:val="00E83EA4"/>
    <w:rsid w:val="00E86E22"/>
    <w:rsid w:val="00E919BF"/>
    <w:rsid w:val="00E91B51"/>
    <w:rsid w:val="00E9240A"/>
    <w:rsid w:val="00E92FEE"/>
    <w:rsid w:val="00E93443"/>
    <w:rsid w:val="00E95A41"/>
    <w:rsid w:val="00E968F6"/>
    <w:rsid w:val="00E96ED0"/>
    <w:rsid w:val="00E97D52"/>
    <w:rsid w:val="00E97EFC"/>
    <w:rsid w:val="00E97F81"/>
    <w:rsid w:val="00EA1775"/>
    <w:rsid w:val="00EA2103"/>
    <w:rsid w:val="00EA3C95"/>
    <w:rsid w:val="00EA3D7E"/>
    <w:rsid w:val="00EA3F0F"/>
    <w:rsid w:val="00EA4D05"/>
    <w:rsid w:val="00EA51D2"/>
    <w:rsid w:val="00EA6CCE"/>
    <w:rsid w:val="00EB3CDD"/>
    <w:rsid w:val="00EC156B"/>
    <w:rsid w:val="00EC36F3"/>
    <w:rsid w:val="00EC64F6"/>
    <w:rsid w:val="00EC68DB"/>
    <w:rsid w:val="00EC755B"/>
    <w:rsid w:val="00ED052C"/>
    <w:rsid w:val="00ED0A9D"/>
    <w:rsid w:val="00ED2C2F"/>
    <w:rsid w:val="00ED2C8B"/>
    <w:rsid w:val="00ED5C73"/>
    <w:rsid w:val="00EE027D"/>
    <w:rsid w:val="00EE0A51"/>
    <w:rsid w:val="00EE2CE0"/>
    <w:rsid w:val="00EE3284"/>
    <w:rsid w:val="00EE4518"/>
    <w:rsid w:val="00EE4F69"/>
    <w:rsid w:val="00EE534C"/>
    <w:rsid w:val="00EE5624"/>
    <w:rsid w:val="00EE5859"/>
    <w:rsid w:val="00EE6418"/>
    <w:rsid w:val="00EE6F35"/>
    <w:rsid w:val="00EE745A"/>
    <w:rsid w:val="00EE77BF"/>
    <w:rsid w:val="00EE7857"/>
    <w:rsid w:val="00EE7A1F"/>
    <w:rsid w:val="00EF0136"/>
    <w:rsid w:val="00EF07E2"/>
    <w:rsid w:val="00EF0E0F"/>
    <w:rsid w:val="00EF2A75"/>
    <w:rsid w:val="00EF2DB9"/>
    <w:rsid w:val="00EF5580"/>
    <w:rsid w:val="00EF6479"/>
    <w:rsid w:val="00EF6FC1"/>
    <w:rsid w:val="00EF7127"/>
    <w:rsid w:val="00F003FC"/>
    <w:rsid w:val="00F00576"/>
    <w:rsid w:val="00F00CA7"/>
    <w:rsid w:val="00F00D35"/>
    <w:rsid w:val="00F00E84"/>
    <w:rsid w:val="00F0186F"/>
    <w:rsid w:val="00F023C2"/>
    <w:rsid w:val="00F02A46"/>
    <w:rsid w:val="00F02D3A"/>
    <w:rsid w:val="00F03E90"/>
    <w:rsid w:val="00F04917"/>
    <w:rsid w:val="00F04F1D"/>
    <w:rsid w:val="00F05127"/>
    <w:rsid w:val="00F05799"/>
    <w:rsid w:val="00F071EF"/>
    <w:rsid w:val="00F07C62"/>
    <w:rsid w:val="00F103DC"/>
    <w:rsid w:val="00F105BC"/>
    <w:rsid w:val="00F10925"/>
    <w:rsid w:val="00F12E59"/>
    <w:rsid w:val="00F138C7"/>
    <w:rsid w:val="00F170D2"/>
    <w:rsid w:val="00F17282"/>
    <w:rsid w:val="00F176AF"/>
    <w:rsid w:val="00F20291"/>
    <w:rsid w:val="00F23850"/>
    <w:rsid w:val="00F2508E"/>
    <w:rsid w:val="00F2685E"/>
    <w:rsid w:val="00F27CAB"/>
    <w:rsid w:val="00F301BE"/>
    <w:rsid w:val="00F3149E"/>
    <w:rsid w:val="00F32355"/>
    <w:rsid w:val="00F3464E"/>
    <w:rsid w:val="00F369EF"/>
    <w:rsid w:val="00F372E0"/>
    <w:rsid w:val="00F37F1E"/>
    <w:rsid w:val="00F40FCD"/>
    <w:rsid w:val="00F415E4"/>
    <w:rsid w:val="00F42679"/>
    <w:rsid w:val="00F432BE"/>
    <w:rsid w:val="00F457AA"/>
    <w:rsid w:val="00F4622B"/>
    <w:rsid w:val="00F52C35"/>
    <w:rsid w:val="00F52E25"/>
    <w:rsid w:val="00F55867"/>
    <w:rsid w:val="00F566FE"/>
    <w:rsid w:val="00F57CFD"/>
    <w:rsid w:val="00F6202F"/>
    <w:rsid w:val="00F64E40"/>
    <w:rsid w:val="00F656E0"/>
    <w:rsid w:val="00F661BD"/>
    <w:rsid w:val="00F66C65"/>
    <w:rsid w:val="00F712E9"/>
    <w:rsid w:val="00F72EF9"/>
    <w:rsid w:val="00F74DAA"/>
    <w:rsid w:val="00F74E9E"/>
    <w:rsid w:val="00F77064"/>
    <w:rsid w:val="00F820E9"/>
    <w:rsid w:val="00F82294"/>
    <w:rsid w:val="00F828FA"/>
    <w:rsid w:val="00F82F41"/>
    <w:rsid w:val="00F83207"/>
    <w:rsid w:val="00F84793"/>
    <w:rsid w:val="00F85F91"/>
    <w:rsid w:val="00F86E92"/>
    <w:rsid w:val="00F91B03"/>
    <w:rsid w:val="00F922EF"/>
    <w:rsid w:val="00F925DB"/>
    <w:rsid w:val="00F94A72"/>
    <w:rsid w:val="00F955C9"/>
    <w:rsid w:val="00FA1BA0"/>
    <w:rsid w:val="00FA1E15"/>
    <w:rsid w:val="00FA3977"/>
    <w:rsid w:val="00FA522E"/>
    <w:rsid w:val="00FA56C0"/>
    <w:rsid w:val="00FA6E98"/>
    <w:rsid w:val="00FB33BE"/>
    <w:rsid w:val="00FB37F3"/>
    <w:rsid w:val="00FC0D51"/>
    <w:rsid w:val="00FC2C74"/>
    <w:rsid w:val="00FC3F20"/>
    <w:rsid w:val="00FC404D"/>
    <w:rsid w:val="00FC752E"/>
    <w:rsid w:val="00FC757D"/>
    <w:rsid w:val="00FD0772"/>
    <w:rsid w:val="00FD0FA5"/>
    <w:rsid w:val="00FD3904"/>
    <w:rsid w:val="00FD6D36"/>
    <w:rsid w:val="00FD6EF1"/>
    <w:rsid w:val="00FE2437"/>
    <w:rsid w:val="00FE4E8E"/>
    <w:rsid w:val="00FE4F2F"/>
    <w:rsid w:val="00FE5DE9"/>
    <w:rsid w:val="00FE6372"/>
    <w:rsid w:val="00FF26E2"/>
    <w:rsid w:val="00FF274B"/>
    <w:rsid w:val="00FF5347"/>
    <w:rsid w:val="00FF68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C2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D6B"/>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AE45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263D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9005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FootnoteText">
    <w:name w:val="footnote text"/>
    <w:basedOn w:val="Normal"/>
    <w:link w:val="FootnoteTextChar"/>
    <w:uiPriority w:val="99"/>
    <w:semiHidden/>
    <w:unhideWhenUsed/>
    <w:rsid w:val="003942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25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94258"/>
    <w:rPr>
      <w:vertAlign w:val="superscript"/>
    </w:rPr>
  </w:style>
  <w:style w:type="character" w:styleId="Strong">
    <w:name w:val="Strong"/>
    <w:uiPriority w:val="22"/>
    <w:qFormat/>
    <w:rsid w:val="00400D67"/>
    <w:rPr>
      <w:rFonts w:ascii="Calibri" w:eastAsia="Calibri" w:hAnsi="Calibri" w:cs="Times New Roman"/>
      <w:b/>
    </w:rPr>
  </w:style>
  <w:style w:type="paragraph" w:customStyle="1" w:styleId="TableText">
    <w:name w:val="Table Text"/>
    <w:basedOn w:val="Normal"/>
    <w:link w:val="TableTextChar"/>
    <w:uiPriority w:val="99"/>
    <w:rsid w:val="00400D67"/>
    <w:pPr>
      <w:keepNext/>
      <w:spacing w:before="40" w:after="40" w:line="288" w:lineRule="auto"/>
    </w:pPr>
    <w:rPr>
      <w:rFonts w:eastAsia="Times New Roman"/>
      <w:sz w:val="20"/>
      <w:szCs w:val="20"/>
    </w:rPr>
  </w:style>
  <w:style w:type="character" w:customStyle="1" w:styleId="TableTextChar">
    <w:name w:val="Table Text Char"/>
    <w:link w:val="TableText"/>
    <w:uiPriority w:val="99"/>
    <w:locked/>
    <w:rsid w:val="00400D67"/>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AE4562"/>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rsid w:val="006263D8"/>
    <w:rPr>
      <w:rFonts w:asciiTheme="majorHAnsi" w:eastAsiaTheme="majorEastAsia" w:hAnsiTheme="majorHAnsi" w:cstheme="majorBidi"/>
      <w:i/>
      <w:iCs/>
      <w:color w:val="365F91" w:themeColor="accent1" w:themeShade="BF"/>
      <w:sz w:val="22"/>
    </w:rPr>
  </w:style>
  <w:style w:type="character" w:customStyle="1" w:styleId="UnresolvedMention1">
    <w:name w:val="Unresolved Mention1"/>
    <w:basedOn w:val="DefaultParagraphFont"/>
    <w:uiPriority w:val="99"/>
    <w:semiHidden/>
    <w:unhideWhenUsed/>
    <w:rsid w:val="001A1D8F"/>
    <w:rPr>
      <w:color w:val="605E5C"/>
      <w:shd w:val="clear" w:color="auto" w:fill="E1DFDD"/>
    </w:rPr>
  </w:style>
  <w:style w:type="paragraph" w:customStyle="1" w:styleId="TableText0">
    <w:name w:val="TableText"/>
    <w:basedOn w:val="Normal"/>
    <w:uiPriority w:val="99"/>
    <w:rsid w:val="00035626"/>
    <w:pPr>
      <w:keepNext/>
      <w:spacing w:before="40" w:after="40" w:line="288" w:lineRule="auto"/>
    </w:pPr>
    <w:rPr>
      <w:rFonts w:ascii="Arial Narrow" w:eastAsia="Times New Roman" w:hAnsi="Arial Narrow"/>
      <w:sz w:val="18"/>
      <w:szCs w:val="20"/>
    </w:rPr>
  </w:style>
  <w:style w:type="paragraph" w:styleId="Revision">
    <w:name w:val="Revision"/>
    <w:hidden/>
    <w:uiPriority w:val="99"/>
    <w:semiHidden/>
    <w:rsid w:val="00CB2BCC"/>
    <w:pPr>
      <w:spacing w:after="0" w:line="240" w:lineRule="auto"/>
    </w:pPr>
    <w:rPr>
      <w:rFonts w:ascii="Calibri" w:eastAsia="Calibri" w:hAnsi="Calibri" w:cs="Times New Roman"/>
      <w:sz w:val="22"/>
    </w:rPr>
  </w:style>
  <w:style w:type="character" w:customStyle="1" w:styleId="Heading5Char">
    <w:name w:val="Heading 5 Char"/>
    <w:basedOn w:val="DefaultParagraphFont"/>
    <w:link w:val="Heading5"/>
    <w:uiPriority w:val="9"/>
    <w:rsid w:val="00490055"/>
    <w:rPr>
      <w:rFonts w:asciiTheme="majorHAnsi" w:eastAsiaTheme="majorEastAsia" w:hAnsiTheme="majorHAnsi" w:cstheme="majorBidi"/>
      <w:color w:val="365F91" w:themeColor="accent1" w:themeShade="BF"/>
      <w:sz w:val="22"/>
    </w:rPr>
  </w:style>
  <w:style w:type="paragraph" w:customStyle="1" w:styleId="EndNoteBibliography">
    <w:name w:val="EndNote Bibliography"/>
    <w:basedOn w:val="Normal"/>
    <w:link w:val="EndNoteBibliographyChar"/>
    <w:rsid w:val="00BE391C"/>
    <w:pPr>
      <w:spacing w:before="120" w:after="120" w:line="240" w:lineRule="auto"/>
    </w:pPr>
    <w:rPr>
      <w:rFonts w:eastAsia="Batang" w:cs="Calibri"/>
      <w:noProof/>
      <w:sz w:val="20"/>
      <w:lang w:val="en-US"/>
    </w:rPr>
  </w:style>
  <w:style w:type="character" w:customStyle="1" w:styleId="EndNoteBibliographyChar">
    <w:name w:val="EndNote Bibliography Char"/>
    <w:basedOn w:val="DefaultParagraphFont"/>
    <w:link w:val="EndNoteBibliography"/>
    <w:rsid w:val="00BE391C"/>
    <w:rPr>
      <w:rFonts w:ascii="Calibri" w:eastAsia="Batang" w:hAnsi="Calibri" w:cs="Calibri"/>
      <w:noProof/>
      <w:sz w:val="20"/>
      <w:lang w:val="en-US"/>
    </w:rPr>
  </w:style>
  <w:style w:type="character" w:styleId="Emphasis">
    <w:name w:val="Emphasis"/>
    <w:basedOn w:val="DefaultParagraphFont"/>
    <w:uiPriority w:val="20"/>
    <w:qFormat/>
    <w:rsid w:val="0087449F"/>
    <w:rPr>
      <w:i/>
      <w:iCs/>
    </w:rPr>
  </w:style>
  <w:style w:type="character" w:customStyle="1" w:styleId="highlight">
    <w:name w:val="highlight"/>
    <w:basedOn w:val="DefaultParagraphFont"/>
    <w:rsid w:val="00D076A6"/>
  </w:style>
  <w:style w:type="paragraph" w:styleId="EndnoteText">
    <w:name w:val="endnote text"/>
    <w:basedOn w:val="Normal"/>
    <w:link w:val="EndnoteTextChar"/>
    <w:uiPriority w:val="99"/>
    <w:semiHidden/>
    <w:unhideWhenUsed/>
    <w:rsid w:val="00C621E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21E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C621ED"/>
    <w:rPr>
      <w:vertAlign w:val="superscript"/>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F42679"/>
    <w:rPr>
      <w:rFonts w:ascii="Calibri" w:eastAsia="Calibri" w:hAnsi="Calibri" w:cs="Times New Roman"/>
      <w:sz w:val="22"/>
    </w:rPr>
  </w:style>
  <w:style w:type="paragraph" w:styleId="NoSpacing">
    <w:name w:val="No Spacing"/>
    <w:uiPriority w:val="1"/>
    <w:qFormat/>
    <w:rsid w:val="00C82A06"/>
    <w:pPr>
      <w:spacing w:after="0" w:line="240" w:lineRule="auto"/>
    </w:pPr>
    <w:rPr>
      <w:rFonts w:ascii="Calibri" w:eastAsia="Calibri" w:hAnsi="Calibri" w:cs="Times New Roman"/>
      <w:sz w:val="22"/>
    </w:rPr>
  </w:style>
  <w:style w:type="table" w:customStyle="1" w:styleId="TableGrid2">
    <w:name w:val="Table Grid2"/>
    <w:basedOn w:val="TableNormal"/>
    <w:next w:val="TableGrid"/>
    <w:uiPriority w:val="59"/>
    <w:rsid w:val="00CF1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9630">
      <w:bodyDiv w:val="1"/>
      <w:marLeft w:val="0"/>
      <w:marRight w:val="0"/>
      <w:marTop w:val="0"/>
      <w:marBottom w:val="0"/>
      <w:divBdr>
        <w:top w:val="none" w:sz="0" w:space="0" w:color="auto"/>
        <w:left w:val="none" w:sz="0" w:space="0" w:color="auto"/>
        <w:bottom w:val="none" w:sz="0" w:space="0" w:color="auto"/>
        <w:right w:val="none" w:sz="0" w:space="0" w:color="auto"/>
      </w:divBdr>
    </w:div>
    <w:div w:id="291711833">
      <w:bodyDiv w:val="1"/>
      <w:marLeft w:val="0"/>
      <w:marRight w:val="0"/>
      <w:marTop w:val="0"/>
      <w:marBottom w:val="0"/>
      <w:divBdr>
        <w:top w:val="none" w:sz="0" w:space="0" w:color="auto"/>
        <w:left w:val="none" w:sz="0" w:space="0" w:color="auto"/>
        <w:bottom w:val="none" w:sz="0" w:space="0" w:color="auto"/>
        <w:right w:val="none" w:sz="0" w:space="0" w:color="auto"/>
      </w:divBdr>
      <w:divsChild>
        <w:div w:id="1128016404">
          <w:marLeft w:val="288"/>
          <w:marRight w:val="0"/>
          <w:marTop w:val="115"/>
          <w:marBottom w:val="0"/>
          <w:divBdr>
            <w:top w:val="none" w:sz="0" w:space="0" w:color="auto"/>
            <w:left w:val="none" w:sz="0" w:space="0" w:color="auto"/>
            <w:bottom w:val="none" w:sz="0" w:space="0" w:color="auto"/>
            <w:right w:val="none" w:sz="0" w:space="0" w:color="auto"/>
          </w:divBdr>
        </w:div>
        <w:div w:id="395248790">
          <w:marLeft w:val="288"/>
          <w:marRight w:val="0"/>
          <w:marTop w:val="115"/>
          <w:marBottom w:val="0"/>
          <w:divBdr>
            <w:top w:val="none" w:sz="0" w:space="0" w:color="auto"/>
            <w:left w:val="none" w:sz="0" w:space="0" w:color="auto"/>
            <w:bottom w:val="none" w:sz="0" w:space="0" w:color="auto"/>
            <w:right w:val="none" w:sz="0" w:space="0" w:color="auto"/>
          </w:divBdr>
        </w:div>
        <w:div w:id="790243991">
          <w:marLeft w:val="288"/>
          <w:marRight w:val="0"/>
          <w:marTop w:val="115"/>
          <w:marBottom w:val="0"/>
          <w:divBdr>
            <w:top w:val="none" w:sz="0" w:space="0" w:color="auto"/>
            <w:left w:val="none" w:sz="0" w:space="0" w:color="auto"/>
            <w:bottom w:val="none" w:sz="0" w:space="0" w:color="auto"/>
            <w:right w:val="none" w:sz="0" w:space="0" w:color="auto"/>
          </w:divBdr>
        </w:div>
        <w:div w:id="1415472439">
          <w:marLeft w:val="288"/>
          <w:marRight w:val="0"/>
          <w:marTop w:val="115"/>
          <w:marBottom w:val="0"/>
          <w:divBdr>
            <w:top w:val="none" w:sz="0" w:space="0" w:color="auto"/>
            <w:left w:val="none" w:sz="0" w:space="0" w:color="auto"/>
            <w:bottom w:val="none" w:sz="0" w:space="0" w:color="auto"/>
            <w:right w:val="none" w:sz="0" w:space="0" w:color="auto"/>
          </w:divBdr>
        </w:div>
      </w:divsChild>
    </w:div>
    <w:div w:id="345136792">
      <w:bodyDiv w:val="1"/>
      <w:marLeft w:val="0"/>
      <w:marRight w:val="0"/>
      <w:marTop w:val="0"/>
      <w:marBottom w:val="0"/>
      <w:divBdr>
        <w:top w:val="none" w:sz="0" w:space="0" w:color="auto"/>
        <w:left w:val="none" w:sz="0" w:space="0" w:color="auto"/>
        <w:bottom w:val="none" w:sz="0" w:space="0" w:color="auto"/>
        <w:right w:val="none" w:sz="0" w:space="0" w:color="auto"/>
      </w:divBdr>
    </w:div>
    <w:div w:id="364141037">
      <w:bodyDiv w:val="1"/>
      <w:marLeft w:val="0"/>
      <w:marRight w:val="0"/>
      <w:marTop w:val="0"/>
      <w:marBottom w:val="0"/>
      <w:divBdr>
        <w:top w:val="none" w:sz="0" w:space="0" w:color="auto"/>
        <w:left w:val="none" w:sz="0" w:space="0" w:color="auto"/>
        <w:bottom w:val="none" w:sz="0" w:space="0" w:color="auto"/>
        <w:right w:val="none" w:sz="0" w:space="0" w:color="auto"/>
      </w:divBdr>
      <w:divsChild>
        <w:div w:id="1505589536">
          <w:marLeft w:val="288"/>
          <w:marRight w:val="0"/>
          <w:marTop w:val="115"/>
          <w:marBottom w:val="0"/>
          <w:divBdr>
            <w:top w:val="none" w:sz="0" w:space="0" w:color="auto"/>
            <w:left w:val="none" w:sz="0" w:space="0" w:color="auto"/>
            <w:bottom w:val="none" w:sz="0" w:space="0" w:color="auto"/>
            <w:right w:val="none" w:sz="0" w:space="0" w:color="auto"/>
          </w:divBdr>
        </w:div>
        <w:div w:id="1243374309">
          <w:marLeft w:val="288"/>
          <w:marRight w:val="0"/>
          <w:marTop w:val="115"/>
          <w:marBottom w:val="0"/>
          <w:divBdr>
            <w:top w:val="none" w:sz="0" w:space="0" w:color="auto"/>
            <w:left w:val="none" w:sz="0" w:space="0" w:color="auto"/>
            <w:bottom w:val="none" w:sz="0" w:space="0" w:color="auto"/>
            <w:right w:val="none" w:sz="0" w:space="0" w:color="auto"/>
          </w:divBdr>
        </w:div>
      </w:divsChild>
    </w:div>
    <w:div w:id="511265788">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836531696">
      <w:bodyDiv w:val="1"/>
      <w:marLeft w:val="0"/>
      <w:marRight w:val="0"/>
      <w:marTop w:val="0"/>
      <w:marBottom w:val="0"/>
      <w:divBdr>
        <w:top w:val="none" w:sz="0" w:space="0" w:color="auto"/>
        <w:left w:val="none" w:sz="0" w:space="0" w:color="auto"/>
        <w:bottom w:val="none" w:sz="0" w:space="0" w:color="auto"/>
        <w:right w:val="none" w:sz="0" w:space="0" w:color="auto"/>
      </w:divBdr>
      <w:divsChild>
        <w:div w:id="1682513424">
          <w:marLeft w:val="288"/>
          <w:marRight w:val="0"/>
          <w:marTop w:val="115"/>
          <w:marBottom w:val="0"/>
          <w:divBdr>
            <w:top w:val="none" w:sz="0" w:space="0" w:color="auto"/>
            <w:left w:val="none" w:sz="0" w:space="0" w:color="auto"/>
            <w:bottom w:val="none" w:sz="0" w:space="0" w:color="auto"/>
            <w:right w:val="none" w:sz="0" w:space="0" w:color="auto"/>
          </w:divBdr>
        </w:div>
        <w:div w:id="125003382">
          <w:marLeft w:val="288"/>
          <w:marRight w:val="0"/>
          <w:marTop w:val="115"/>
          <w:marBottom w:val="0"/>
          <w:divBdr>
            <w:top w:val="none" w:sz="0" w:space="0" w:color="auto"/>
            <w:left w:val="none" w:sz="0" w:space="0" w:color="auto"/>
            <w:bottom w:val="none" w:sz="0" w:space="0" w:color="auto"/>
            <w:right w:val="none" w:sz="0" w:space="0" w:color="auto"/>
          </w:divBdr>
        </w:div>
        <w:div w:id="423495942">
          <w:marLeft w:val="288"/>
          <w:marRight w:val="0"/>
          <w:marTop w:val="115"/>
          <w:marBottom w:val="0"/>
          <w:divBdr>
            <w:top w:val="none" w:sz="0" w:space="0" w:color="auto"/>
            <w:left w:val="none" w:sz="0" w:space="0" w:color="auto"/>
            <w:bottom w:val="none" w:sz="0" w:space="0" w:color="auto"/>
            <w:right w:val="none" w:sz="0" w:space="0" w:color="auto"/>
          </w:divBdr>
        </w:div>
      </w:divsChild>
    </w:div>
    <w:div w:id="1025403451">
      <w:bodyDiv w:val="1"/>
      <w:marLeft w:val="0"/>
      <w:marRight w:val="0"/>
      <w:marTop w:val="0"/>
      <w:marBottom w:val="0"/>
      <w:divBdr>
        <w:top w:val="none" w:sz="0" w:space="0" w:color="auto"/>
        <w:left w:val="none" w:sz="0" w:space="0" w:color="auto"/>
        <w:bottom w:val="none" w:sz="0" w:space="0" w:color="auto"/>
        <w:right w:val="none" w:sz="0" w:space="0" w:color="auto"/>
      </w:divBdr>
    </w:div>
    <w:div w:id="127062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817992684">
      <w:bodyDiv w:val="1"/>
      <w:marLeft w:val="0"/>
      <w:marRight w:val="0"/>
      <w:marTop w:val="0"/>
      <w:marBottom w:val="0"/>
      <w:divBdr>
        <w:top w:val="none" w:sz="0" w:space="0" w:color="auto"/>
        <w:left w:val="none" w:sz="0" w:space="0" w:color="auto"/>
        <w:bottom w:val="none" w:sz="0" w:space="0" w:color="auto"/>
        <w:right w:val="none" w:sz="0" w:space="0" w:color="auto"/>
      </w:divBdr>
    </w:div>
    <w:div w:id="1838616004">
      <w:bodyDiv w:val="1"/>
      <w:marLeft w:val="0"/>
      <w:marRight w:val="0"/>
      <w:marTop w:val="0"/>
      <w:marBottom w:val="0"/>
      <w:divBdr>
        <w:top w:val="none" w:sz="0" w:space="0" w:color="auto"/>
        <w:left w:val="none" w:sz="0" w:space="0" w:color="auto"/>
        <w:bottom w:val="none" w:sz="0" w:space="0" w:color="auto"/>
        <w:right w:val="none" w:sz="0" w:space="0" w:color="auto"/>
      </w:divBdr>
    </w:div>
    <w:div w:id="2011056786">
      <w:bodyDiv w:val="1"/>
      <w:marLeft w:val="0"/>
      <w:marRight w:val="0"/>
      <w:marTop w:val="0"/>
      <w:marBottom w:val="0"/>
      <w:divBdr>
        <w:top w:val="none" w:sz="0" w:space="0" w:color="auto"/>
        <w:left w:val="none" w:sz="0" w:space="0" w:color="auto"/>
        <w:bottom w:val="none" w:sz="0" w:space="0" w:color="auto"/>
        <w:right w:val="none" w:sz="0" w:space="0" w:color="auto"/>
      </w:divBdr>
    </w:div>
    <w:div w:id="2110082195">
      <w:bodyDiv w:val="1"/>
      <w:marLeft w:val="0"/>
      <w:marRight w:val="0"/>
      <w:marTop w:val="0"/>
      <w:marBottom w:val="0"/>
      <w:divBdr>
        <w:top w:val="none" w:sz="0" w:space="0" w:color="auto"/>
        <w:left w:val="none" w:sz="0" w:space="0" w:color="auto"/>
        <w:bottom w:val="none" w:sz="0" w:space="0" w:color="auto"/>
        <w:right w:val="none" w:sz="0" w:space="0" w:color="auto"/>
      </w:divBdr>
      <w:divsChild>
        <w:div w:id="1676959843">
          <w:marLeft w:val="288"/>
          <w:marRight w:val="0"/>
          <w:marTop w:val="115"/>
          <w:marBottom w:val="0"/>
          <w:divBdr>
            <w:top w:val="none" w:sz="0" w:space="0" w:color="auto"/>
            <w:left w:val="none" w:sz="0" w:space="0" w:color="auto"/>
            <w:bottom w:val="none" w:sz="0" w:space="0" w:color="auto"/>
            <w:right w:val="none" w:sz="0" w:space="0" w:color="auto"/>
          </w:divBdr>
        </w:div>
        <w:div w:id="1246842338">
          <w:marLeft w:val="288"/>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usclegenetable.fr" TargetMode="External"/><Relationship Id="rId14" Type="http://schemas.openxmlformats.org/officeDocument/2006/relationships/image" Target="media/image4.png"/></Relationships>
</file>

<file path=word/_rels/endnotes.xml.rels><?xml version="1.0" encoding="UTF-8" standalone="yes"?>
<Relationships xmlns="http://schemas.openxmlformats.org/package/2006/relationships"><Relationship Id="rId8" Type="http://schemas.openxmlformats.org/officeDocument/2006/relationships/hyperlink" Target="https://www.ncbi.nlm.nih.gov/pubmed/?term=Scholl%20T%5BAuthor%5D&amp;cauthor=true&amp;cauthor_uid=21811307" TargetMode="External"/><Relationship Id="rId3" Type="http://schemas.openxmlformats.org/officeDocument/2006/relationships/hyperlink" Target="https://www.ncbi.nlm.nih.gov/pubmed/?term=Akmaev%20VR%5BAuthor%5D&amp;cauthor=true&amp;cauthor_uid=21811307" TargetMode="External"/><Relationship Id="rId7" Type="http://schemas.openxmlformats.org/officeDocument/2006/relationships/hyperlink" Target="https://www.ncbi.nlm.nih.gov/pubmed/?term=Hendrickson%20BC%5BAuthor%5D&amp;cauthor=true&amp;cauthor_uid=21811307" TargetMode="External"/><Relationship Id="rId2" Type="http://schemas.openxmlformats.org/officeDocument/2006/relationships/hyperlink" Target="https://www.ncbi.nlm.nih.gov/pubmed/?term=Zhu%20H%5BAuthor%5D&amp;cauthor=true&amp;cauthor_uid=21811307" TargetMode="External"/><Relationship Id="rId1" Type="http://schemas.openxmlformats.org/officeDocument/2006/relationships/hyperlink" Target="https://www.ncbi.nlm.nih.gov/pubmed/?term=Nagan%20N%5BAuthor%5D&amp;cauthor=true&amp;cauthor_uid=21811307" TargetMode="External"/><Relationship Id="rId6" Type="http://schemas.openxmlformats.org/officeDocument/2006/relationships/hyperlink" Target="https://www.ncbi.nlm.nih.gov/pubmed/?term=Flynn%20K%5BAuthor%5D&amp;cauthor=true&amp;cauthor_uid=21811307" TargetMode="External"/><Relationship Id="rId5" Type="http://schemas.openxmlformats.org/officeDocument/2006/relationships/hyperlink" Target="https://www.ncbi.nlm.nih.gov/pubmed/?term=Rohlfs%20EM%5BAuthor%5D&amp;cauthor=true&amp;cauthor_uid=21811307" TargetMode="External"/><Relationship Id="rId10" Type="http://schemas.openxmlformats.org/officeDocument/2006/relationships/hyperlink" Target="https://www.ncbi.nlm.nih.gov/pubmed/?term=Allitto%20BA%5BAuthor%5D&amp;cauthor=true&amp;cauthor_uid=21811307" TargetMode="External"/><Relationship Id="rId4" Type="http://schemas.openxmlformats.org/officeDocument/2006/relationships/hyperlink" Target="https://www.ncbi.nlm.nih.gov/pubmed/?term=Zhou%20Z%5BAuthor%5D&amp;cauthor=true&amp;cauthor_uid=21811307" TargetMode="External"/><Relationship Id="rId9" Type="http://schemas.openxmlformats.org/officeDocument/2006/relationships/hyperlink" Target="https://www.ncbi.nlm.nih.gov/pubmed/?term=Sirko-Osadsa%20DA%5BAuthor%5D&amp;cauthor=true&amp;cauthor_uid=21811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D1FA1-07C8-4637-A4C9-F3E7E31C1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9498</Words>
  <Characters>54143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2020-06-26T01:09:00Z</dcterms:created>
  <dcterms:modified xsi:type="dcterms:W3CDTF">2020-06-30T07:09:00Z</dcterms:modified>
</cp:coreProperties>
</file>