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AB9D" w14:textId="77777777" w:rsidR="00003F5A" w:rsidRPr="00707064" w:rsidRDefault="00003F5A" w:rsidP="00003F5A">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7D0E8C8" wp14:editId="047F361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D9683F6" w14:textId="77777777" w:rsidR="00003F5A" w:rsidRPr="00F715D1" w:rsidRDefault="00003F5A" w:rsidP="00003F5A">
      <w:pPr>
        <w:pStyle w:val="Title"/>
        <w:tabs>
          <w:tab w:val="left" w:pos="1926"/>
          <w:tab w:val="center" w:pos="4513"/>
        </w:tabs>
        <w:jc w:val="left"/>
      </w:pPr>
      <w:r>
        <w:tab/>
      </w:r>
      <w:r>
        <w:tab/>
      </w:r>
      <w:r w:rsidRPr="00F715D1">
        <w:t>Public Summary Document</w:t>
      </w:r>
    </w:p>
    <w:p w14:paraId="62512EF6" w14:textId="3CA2143A" w:rsidR="00003F5A" w:rsidRPr="00F715D1" w:rsidRDefault="00003F5A" w:rsidP="00003F5A">
      <w:pPr>
        <w:pStyle w:val="Subtitle"/>
      </w:pPr>
      <w:r w:rsidRPr="00F715D1">
        <w:t xml:space="preserve">Application No. </w:t>
      </w:r>
      <w:r>
        <w:t>1466</w:t>
      </w:r>
      <w:r w:rsidRPr="00F715D1">
        <w:t xml:space="preserve"> – </w:t>
      </w:r>
      <w:r>
        <w:rPr>
          <w:rFonts w:cs="Helvetica"/>
        </w:rPr>
        <w:t>Vertebroplasty for severely painful osteoporotic vertebral fractures</w:t>
      </w:r>
    </w:p>
    <w:p w14:paraId="5F836EDA" w14:textId="50D3DE6E" w:rsidR="00003F5A" w:rsidRPr="00F715D1" w:rsidRDefault="00003F5A" w:rsidP="00003F5A">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Interventional Radiology Society of Australasia</w:t>
      </w:r>
    </w:p>
    <w:p w14:paraId="50409914" w14:textId="2DE5894E" w:rsidR="00003F5A" w:rsidRPr="00F715D1" w:rsidRDefault="00003F5A" w:rsidP="00003F5A">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593D8615" w14:textId="77777777" w:rsidR="00003F5A" w:rsidRPr="00B03EAB" w:rsidRDefault="00003F5A" w:rsidP="00003F5A">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284DAA19" w14:textId="6CEF84F7" w:rsidR="00003F5A" w:rsidRPr="00F715D1" w:rsidRDefault="00C21D88" w:rsidP="00003F5A">
      <w:pPr>
        <w:pStyle w:val="Heading1"/>
      </w:pPr>
      <w:r>
        <w:t>Purpose of application</w:t>
      </w:r>
    </w:p>
    <w:p w14:paraId="46834C16" w14:textId="7C02D0EF" w:rsidR="005423C9" w:rsidRDefault="005442FD" w:rsidP="005423C9">
      <w:r>
        <w:t>The Department of Health received a revised</w:t>
      </w:r>
      <w:r w:rsidR="005423C9">
        <w:t xml:space="preserve"> application </w:t>
      </w:r>
      <w:r w:rsidR="005423C9" w:rsidRPr="00562DC1">
        <w:t xml:space="preserve">from </w:t>
      </w:r>
      <w:r w:rsidR="005423C9" w:rsidRPr="00B71C0E">
        <w:t xml:space="preserve">Interventional Radiology Society of Australasia </w:t>
      </w:r>
      <w:r w:rsidR="005423C9">
        <w:t xml:space="preserve">(IRSA) to request </w:t>
      </w:r>
      <w:r w:rsidR="005423C9" w:rsidRPr="00562DC1">
        <w:t xml:space="preserve">Medicare Benefits Schedule (MBS) </w:t>
      </w:r>
      <w:r w:rsidR="005423C9">
        <w:t>re</w:t>
      </w:r>
      <w:r w:rsidR="005423C9" w:rsidRPr="00562DC1">
        <w:t xml:space="preserve">listing of </w:t>
      </w:r>
      <w:r w:rsidR="005423C9">
        <w:t>vertebroplasty</w:t>
      </w:r>
      <w:r w:rsidR="005423C9" w:rsidRPr="00562DC1">
        <w:t xml:space="preserve"> for</w:t>
      </w:r>
      <w:r w:rsidR="005423C9" w:rsidRPr="00562DC1">
        <w:rPr>
          <w:rFonts w:cs="Helvetica"/>
        </w:rPr>
        <w:t xml:space="preserve"> </w:t>
      </w:r>
      <w:r w:rsidR="005423C9">
        <w:rPr>
          <w:rFonts w:cs="Helvetica"/>
        </w:rPr>
        <w:t xml:space="preserve">severely painful osteoporotic thoracolumbar vertebral fractures of </w:t>
      </w:r>
      <w:r w:rsidR="00131E42">
        <w:rPr>
          <w:rFonts w:cs="Helvetica"/>
        </w:rPr>
        <w:t>3 </w:t>
      </w:r>
      <w:r w:rsidR="005423C9">
        <w:rPr>
          <w:rFonts w:cs="Helvetica"/>
        </w:rPr>
        <w:t>weeks duration</w:t>
      </w:r>
      <w:r w:rsidR="006143F2">
        <w:rPr>
          <w:rFonts w:cs="Helvetica"/>
        </w:rPr>
        <w:t xml:space="preserve"> or less</w:t>
      </w:r>
      <w:r w:rsidR="005423C9" w:rsidRPr="00562DC1">
        <w:t>.</w:t>
      </w:r>
    </w:p>
    <w:p w14:paraId="360ABB03" w14:textId="77777777" w:rsidR="005423C9" w:rsidRDefault="005423C9" w:rsidP="005423C9"/>
    <w:p w14:paraId="54B545D2" w14:textId="67D4A537" w:rsidR="005423C9" w:rsidRPr="00562DC1" w:rsidRDefault="005442FD" w:rsidP="005423C9">
      <w:r>
        <w:t>The revised application</w:t>
      </w:r>
      <w:r w:rsidR="005423C9">
        <w:t xml:space="preserve"> was based on additional information provided by the applicant following the June 2019 MSAC Stakeholder Meeting for vertebroplasty.</w:t>
      </w:r>
    </w:p>
    <w:p w14:paraId="49445A10" w14:textId="77777777" w:rsidR="00003F5A" w:rsidRPr="00F715D1" w:rsidRDefault="00003F5A" w:rsidP="00003F5A">
      <w:pPr>
        <w:pStyle w:val="Heading1"/>
      </w:pPr>
      <w:r w:rsidRPr="00F715D1">
        <w:t>MSAC’s advice to the Minister</w:t>
      </w:r>
    </w:p>
    <w:p w14:paraId="5FA5B7FD" w14:textId="5E55871D" w:rsidR="00003F5A" w:rsidRDefault="00003F5A" w:rsidP="00D66ADD">
      <w:pPr>
        <w:pStyle w:val="Default"/>
        <w:spacing w:after="240"/>
      </w:pPr>
      <w:r w:rsidRPr="00D66ADD">
        <w:rPr>
          <w:color w:val="auto"/>
        </w:rPr>
        <w:t xml:space="preserve">After considering the strength of the available evidence in relation to </w:t>
      </w:r>
      <w:r w:rsidR="00D66ADD" w:rsidRPr="00D66ADD">
        <w:rPr>
          <w:color w:val="auto"/>
        </w:rPr>
        <w:t>its</w:t>
      </w:r>
      <w:r w:rsidRPr="00D66ADD">
        <w:rPr>
          <w:color w:val="auto"/>
        </w:rPr>
        <w:t xml:space="preserve"> safety, clinical effectiv</w:t>
      </w:r>
      <w:r w:rsidR="00D66ADD" w:rsidRPr="00D66ADD">
        <w:rPr>
          <w:color w:val="auto"/>
        </w:rPr>
        <w:t xml:space="preserve">eness and cost-effectiveness, </w:t>
      </w:r>
      <w:r w:rsidR="00D66ADD" w:rsidRPr="00AA42B7">
        <w:t>MSAC supported</w:t>
      </w:r>
      <w:r w:rsidR="00D66ADD">
        <w:t xml:space="preserve"> public funding for vertebroplasty for severely painful thoracolumbar osteoporo</w:t>
      </w:r>
      <w:r w:rsidR="00131E42">
        <w:t>tic fracture of 3 </w:t>
      </w:r>
      <w:r w:rsidR="00D66ADD">
        <w:t xml:space="preserve">weeks duration </w:t>
      </w:r>
      <w:r w:rsidR="00A76C5D">
        <w:t xml:space="preserve">or less </w:t>
      </w:r>
      <w:r w:rsidR="00D66ADD">
        <w:t>as suggested during the MSAC Stakeholder Meeting on Vertebroplasty held on 7 June 2019. MSAC also advised that a prospective registry be developed to monitor this listing</w:t>
      </w:r>
      <w:r w:rsidR="00100522">
        <w:t>.</w:t>
      </w:r>
      <w:r w:rsidR="00D66ADD">
        <w:t xml:space="preserve"> This should include reporting on the centre and state where each procedure was performed, whether the patient was hospitalised or not at the time the decision to perform the procedure was made, the length of hospital stay if hospitalised, and any associated adverse events requiring further medical or hospital attention.</w:t>
      </w:r>
    </w:p>
    <w:p w14:paraId="2AA8268D" w14:textId="77777777" w:rsidR="00B405D2" w:rsidRDefault="00D66ADD" w:rsidP="00D66ADD">
      <w:pPr>
        <w:pStyle w:val="Default"/>
        <w:rPr>
          <w:color w:val="auto"/>
        </w:rPr>
      </w:pPr>
      <w:r w:rsidRPr="00F81EA1">
        <w:rPr>
          <w:color w:val="auto"/>
        </w:rPr>
        <w:t>The MSAC-supp</w:t>
      </w:r>
      <w:r>
        <w:rPr>
          <w:color w:val="auto"/>
        </w:rPr>
        <w:t>o</w:t>
      </w:r>
      <w:r w:rsidRPr="00F81EA1">
        <w:rPr>
          <w:color w:val="auto"/>
        </w:rPr>
        <w:t>rted descriptor was:</w:t>
      </w:r>
      <w:r>
        <w:rPr>
          <w:color w:val="auto"/>
        </w:rPr>
        <w:t xml:space="preserve"> </w:t>
      </w:r>
    </w:p>
    <w:p w14:paraId="051ED6F3" w14:textId="1667E425" w:rsidR="00D66ADD" w:rsidRPr="00D66ADD" w:rsidRDefault="00D66ADD" w:rsidP="00B405D2">
      <w:pPr>
        <w:pStyle w:val="Default"/>
        <w:spacing w:before="120"/>
        <w:rPr>
          <w:i/>
          <w:color w:val="auto"/>
        </w:rPr>
      </w:pPr>
      <w:r w:rsidRPr="00D66ADD">
        <w:rPr>
          <w:i/>
          <w:color w:val="auto"/>
        </w:rPr>
        <w:t>VERTEBROPLASTY, performed by an interventional radiologist, for the treatment of a painful osteoporotic thoracolumbar vertebral compression fracture, where</w:t>
      </w:r>
      <w:r w:rsidR="00A76C5D">
        <w:rPr>
          <w:i/>
          <w:color w:val="auto"/>
        </w:rPr>
        <w:t>:</w:t>
      </w:r>
    </w:p>
    <w:p w14:paraId="0B28EBF1" w14:textId="77777777" w:rsidR="00D66ADD" w:rsidRPr="00D66ADD" w:rsidRDefault="00D66ADD" w:rsidP="00D66ADD">
      <w:pPr>
        <w:pStyle w:val="Default"/>
        <w:rPr>
          <w:i/>
          <w:color w:val="auto"/>
        </w:rPr>
      </w:pPr>
      <w:r w:rsidRPr="00D66ADD">
        <w:rPr>
          <w:i/>
          <w:color w:val="auto"/>
        </w:rPr>
        <w:t>a)</w:t>
      </w:r>
      <w:r w:rsidRPr="00D66ADD">
        <w:rPr>
          <w:i/>
          <w:color w:val="auto"/>
        </w:rPr>
        <w:tab/>
        <w:t>pain is severe (numeric rated pain score ≥7 out of 10);</w:t>
      </w:r>
    </w:p>
    <w:p w14:paraId="3BF030DA" w14:textId="77777777" w:rsidR="00D66ADD" w:rsidRPr="00D66ADD" w:rsidRDefault="00D66ADD" w:rsidP="00D66ADD">
      <w:pPr>
        <w:pStyle w:val="Default"/>
        <w:rPr>
          <w:i/>
          <w:color w:val="auto"/>
        </w:rPr>
      </w:pPr>
      <w:r w:rsidRPr="00D66ADD">
        <w:rPr>
          <w:i/>
          <w:color w:val="auto"/>
        </w:rPr>
        <w:t>b)</w:t>
      </w:r>
      <w:r w:rsidRPr="00D66ADD">
        <w:rPr>
          <w:i/>
          <w:color w:val="auto"/>
        </w:rPr>
        <w:tab/>
        <w:t>symptoms are poorly controlled by analgesic therapy, namely opiates;</w:t>
      </w:r>
    </w:p>
    <w:p w14:paraId="088EECCC" w14:textId="07422EA7" w:rsidR="00D66ADD" w:rsidRPr="00D66ADD" w:rsidRDefault="00D66ADD" w:rsidP="00D66ADD">
      <w:pPr>
        <w:pStyle w:val="Default"/>
        <w:rPr>
          <w:i/>
          <w:color w:val="auto"/>
        </w:rPr>
      </w:pPr>
      <w:r w:rsidRPr="00D66ADD">
        <w:rPr>
          <w:i/>
          <w:color w:val="auto"/>
        </w:rPr>
        <w:t>c)</w:t>
      </w:r>
      <w:r w:rsidRPr="00D66ADD">
        <w:rPr>
          <w:i/>
          <w:color w:val="auto"/>
        </w:rPr>
        <w:tab/>
      </w:r>
      <w:r>
        <w:rPr>
          <w:i/>
          <w:color w:val="auto"/>
        </w:rPr>
        <w:t>fracture</w:t>
      </w:r>
      <w:r w:rsidRPr="00D66ADD">
        <w:rPr>
          <w:i/>
          <w:color w:val="auto"/>
        </w:rPr>
        <w:t xml:space="preserve"> duration is ≤3 weeks; and</w:t>
      </w:r>
    </w:p>
    <w:p w14:paraId="6E1EFA2A" w14:textId="77777777" w:rsidR="00D66ADD" w:rsidRPr="00D66ADD" w:rsidRDefault="00D66ADD" w:rsidP="00D66ADD">
      <w:pPr>
        <w:pStyle w:val="Default"/>
        <w:spacing w:after="240"/>
        <w:rPr>
          <w:i/>
          <w:color w:val="auto"/>
        </w:rPr>
      </w:pPr>
      <w:r w:rsidRPr="00D66ADD">
        <w:rPr>
          <w:i/>
          <w:color w:val="auto"/>
        </w:rPr>
        <w:t>d)</w:t>
      </w:r>
      <w:r w:rsidRPr="00D66ADD">
        <w:rPr>
          <w:i/>
          <w:color w:val="auto"/>
        </w:rPr>
        <w:tab/>
        <w:t>there is MRI (or SPECT-CT if MRI unavailable) evidence of acute vertebral fracture.</w:t>
      </w:r>
    </w:p>
    <w:p w14:paraId="1C7ADA25" w14:textId="6B825749" w:rsidR="00D66ADD" w:rsidRDefault="00D66ADD" w:rsidP="00D66ADD">
      <w:pPr>
        <w:pStyle w:val="Default"/>
        <w:spacing w:after="240"/>
        <w:rPr>
          <w:i/>
          <w:color w:val="auto"/>
        </w:rPr>
      </w:pPr>
      <w:r w:rsidRPr="00D66ADD">
        <w:rPr>
          <w:i/>
          <w:color w:val="auto"/>
        </w:rPr>
        <w:lastRenderedPageBreak/>
        <w:t>Not to be performed more than once on the same fracture</w:t>
      </w:r>
      <w:r w:rsidR="00643DE7">
        <w:rPr>
          <w:i/>
          <w:color w:val="auto"/>
        </w:rPr>
        <w:t>, but may be repeated for a</w:t>
      </w:r>
      <w:r w:rsidR="00821410">
        <w:rPr>
          <w:i/>
          <w:color w:val="auto"/>
        </w:rPr>
        <w:t xml:space="preserve"> new</w:t>
      </w:r>
      <w:r w:rsidR="00643DE7">
        <w:rPr>
          <w:i/>
          <w:color w:val="auto"/>
        </w:rPr>
        <w:t xml:space="preserve"> fracture of the same vertebra if the subsequent fracture meets the above criteria and vertebroplasty is medically indicated</w:t>
      </w:r>
      <w:r w:rsidRPr="00D66ADD">
        <w:rPr>
          <w:i/>
          <w:color w:val="auto"/>
        </w:rPr>
        <w:t>.</w:t>
      </w:r>
    </w:p>
    <w:p w14:paraId="54A24D7D" w14:textId="0DDC0479" w:rsidR="00643DE7" w:rsidRPr="00D66ADD" w:rsidRDefault="00643DE7" w:rsidP="00D66ADD">
      <w:pPr>
        <w:pStyle w:val="Default"/>
        <w:spacing w:after="240"/>
        <w:rPr>
          <w:i/>
          <w:color w:val="auto"/>
        </w:rPr>
      </w:pPr>
      <w:r>
        <w:rPr>
          <w:i/>
          <w:color w:val="auto"/>
        </w:rPr>
        <w:t>The same fee is payable for a single procedure involving one or more vertebra.</w:t>
      </w:r>
    </w:p>
    <w:tbl>
      <w:tblPr>
        <w:tblStyle w:val="TableGrid"/>
        <w:tblW w:w="0" w:type="auto"/>
        <w:tblLook w:val="04A0" w:firstRow="1" w:lastRow="0" w:firstColumn="1" w:lastColumn="0" w:noHBand="0" w:noVBand="1"/>
        <w:tblDescription w:val="Consumer summary of MSAC consideration"/>
      </w:tblPr>
      <w:tblGrid>
        <w:gridCol w:w="9016"/>
      </w:tblGrid>
      <w:tr w:rsidR="00003F5A" w14:paraId="274156A5" w14:textId="77777777" w:rsidTr="005E6705">
        <w:trPr>
          <w:tblHeader/>
        </w:trPr>
        <w:tc>
          <w:tcPr>
            <w:tcW w:w="9016" w:type="dxa"/>
          </w:tcPr>
          <w:p w14:paraId="0361B3C8" w14:textId="5DA455BB" w:rsidR="00003F5A" w:rsidRDefault="00003F5A" w:rsidP="005A266B">
            <w:pPr>
              <w:pStyle w:val="Default"/>
              <w:spacing w:before="120"/>
              <w:rPr>
                <w:b/>
                <w:color w:val="auto"/>
                <w:sz w:val="24"/>
                <w:szCs w:val="24"/>
              </w:rPr>
            </w:pPr>
            <w:r w:rsidRPr="005A266B">
              <w:rPr>
                <w:b/>
                <w:color w:val="auto"/>
                <w:sz w:val="24"/>
                <w:szCs w:val="24"/>
              </w:rPr>
              <w:t>Consumer summary</w:t>
            </w:r>
          </w:p>
          <w:p w14:paraId="38C8D5C5" w14:textId="1052E42F" w:rsidR="005A266B" w:rsidRPr="005A266B" w:rsidRDefault="005A266B" w:rsidP="005A266B">
            <w:pPr>
              <w:pStyle w:val="Default"/>
              <w:spacing w:before="120" w:after="240"/>
              <w:rPr>
                <w:color w:val="auto"/>
                <w:sz w:val="24"/>
                <w:szCs w:val="24"/>
              </w:rPr>
            </w:pPr>
            <w:r w:rsidRPr="005A266B">
              <w:rPr>
                <w:color w:val="auto"/>
                <w:sz w:val="24"/>
                <w:szCs w:val="24"/>
              </w:rPr>
              <w:t xml:space="preserve">The Interventional Radiology Society of Australasia applied for public funding through the Medicare Benefits Schedule (MBS) for vertebroplasty </w:t>
            </w:r>
            <w:r w:rsidR="002004EB">
              <w:rPr>
                <w:color w:val="auto"/>
                <w:sz w:val="24"/>
                <w:szCs w:val="24"/>
              </w:rPr>
              <w:t>to treat</w:t>
            </w:r>
            <w:r w:rsidRPr="005A266B">
              <w:rPr>
                <w:color w:val="auto"/>
                <w:sz w:val="24"/>
                <w:szCs w:val="24"/>
              </w:rPr>
              <w:t xml:space="preserve"> patients with severely painful osteoporotic thoracolumbar vertebral fractures of 3 weeks duration</w:t>
            </w:r>
            <w:r w:rsidR="002004EB">
              <w:rPr>
                <w:color w:val="auto"/>
                <w:sz w:val="24"/>
                <w:szCs w:val="24"/>
              </w:rPr>
              <w:t xml:space="preserve"> </w:t>
            </w:r>
            <w:r w:rsidR="002004EB">
              <w:t>or less</w:t>
            </w:r>
            <w:r w:rsidR="002004EB">
              <w:rPr>
                <w:color w:val="auto"/>
                <w:sz w:val="24"/>
                <w:szCs w:val="24"/>
              </w:rPr>
              <w:t>.</w:t>
            </w:r>
          </w:p>
          <w:p w14:paraId="0BBDB88B" w14:textId="7D778CDF" w:rsidR="005A266B" w:rsidRPr="005A266B" w:rsidRDefault="005A266B" w:rsidP="005A266B">
            <w:pPr>
              <w:pStyle w:val="Default"/>
              <w:spacing w:before="120" w:after="240"/>
              <w:rPr>
                <w:color w:val="auto"/>
                <w:sz w:val="24"/>
                <w:szCs w:val="24"/>
              </w:rPr>
            </w:pPr>
            <w:r w:rsidRPr="005A266B">
              <w:rPr>
                <w:color w:val="auto"/>
                <w:sz w:val="24"/>
                <w:szCs w:val="24"/>
              </w:rPr>
              <w:t xml:space="preserve">Vertebroplasty is a procedure in which acrylic cement is injected into </w:t>
            </w:r>
            <w:r w:rsidR="002004EB">
              <w:rPr>
                <w:color w:val="auto"/>
                <w:sz w:val="24"/>
                <w:szCs w:val="24"/>
              </w:rPr>
              <w:t xml:space="preserve">a bone </w:t>
            </w:r>
            <w:r w:rsidRPr="005A266B">
              <w:rPr>
                <w:color w:val="auto"/>
                <w:sz w:val="24"/>
                <w:szCs w:val="24"/>
              </w:rPr>
              <w:t xml:space="preserve">of the spine to treat </w:t>
            </w:r>
            <w:r w:rsidR="002004EB">
              <w:rPr>
                <w:color w:val="auto"/>
                <w:sz w:val="24"/>
                <w:szCs w:val="24"/>
              </w:rPr>
              <w:t>a</w:t>
            </w:r>
            <w:r w:rsidR="008248D1">
              <w:rPr>
                <w:color w:val="auto"/>
                <w:sz w:val="24"/>
                <w:szCs w:val="24"/>
              </w:rPr>
              <w:t xml:space="preserve"> break </w:t>
            </w:r>
            <w:r w:rsidR="003E52F1">
              <w:rPr>
                <w:color w:val="auto"/>
                <w:sz w:val="24"/>
                <w:szCs w:val="24"/>
              </w:rPr>
              <w:t xml:space="preserve">(fracture) </w:t>
            </w:r>
            <w:r w:rsidR="008248D1">
              <w:rPr>
                <w:color w:val="auto"/>
                <w:sz w:val="24"/>
                <w:szCs w:val="24"/>
              </w:rPr>
              <w:t>where the bone was already weakened</w:t>
            </w:r>
            <w:r w:rsidR="003E52F1">
              <w:rPr>
                <w:color w:val="auto"/>
                <w:sz w:val="24"/>
                <w:szCs w:val="24"/>
              </w:rPr>
              <w:t xml:space="preserve"> due to </w:t>
            </w:r>
            <w:r w:rsidRPr="005A266B">
              <w:rPr>
                <w:color w:val="auto"/>
                <w:sz w:val="24"/>
                <w:szCs w:val="24"/>
              </w:rPr>
              <w:t>osteoporo</w:t>
            </w:r>
            <w:r w:rsidR="003E52F1">
              <w:rPr>
                <w:color w:val="auto"/>
                <w:sz w:val="24"/>
                <w:szCs w:val="24"/>
              </w:rPr>
              <w:t>sis, and where the break has</w:t>
            </w:r>
            <w:r w:rsidRPr="005A266B">
              <w:rPr>
                <w:color w:val="auto"/>
                <w:sz w:val="24"/>
                <w:szCs w:val="24"/>
              </w:rPr>
              <w:t xml:space="preserve"> result</w:t>
            </w:r>
            <w:r w:rsidR="003E52F1">
              <w:rPr>
                <w:color w:val="auto"/>
                <w:sz w:val="24"/>
                <w:szCs w:val="24"/>
              </w:rPr>
              <w:t>ed</w:t>
            </w:r>
            <w:r w:rsidRPr="005A266B">
              <w:rPr>
                <w:color w:val="auto"/>
                <w:sz w:val="24"/>
                <w:szCs w:val="24"/>
              </w:rPr>
              <w:t xml:space="preserve"> in pain and limited mobility affect</w:t>
            </w:r>
            <w:r w:rsidR="002004EB">
              <w:rPr>
                <w:color w:val="auto"/>
                <w:sz w:val="24"/>
                <w:szCs w:val="24"/>
              </w:rPr>
              <w:t>ing</w:t>
            </w:r>
            <w:r w:rsidRPr="005A266B">
              <w:rPr>
                <w:color w:val="auto"/>
                <w:sz w:val="24"/>
                <w:szCs w:val="24"/>
              </w:rPr>
              <w:t xml:space="preserve"> quality of life.</w:t>
            </w:r>
          </w:p>
          <w:p w14:paraId="0479C92B" w14:textId="4338D6B5" w:rsidR="005A266B" w:rsidRPr="005A266B" w:rsidRDefault="005A266B" w:rsidP="005A266B">
            <w:pPr>
              <w:pStyle w:val="Default"/>
              <w:spacing w:before="120" w:after="240"/>
              <w:rPr>
                <w:color w:val="auto"/>
                <w:sz w:val="24"/>
                <w:szCs w:val="24"/>
              </w:rPr>
            </w:pPr>
            <w:r w:rsidRPr="005A266B">
              <w:rPr>
                <w:color w:val="auto"/>
                <w:sz w:val="24"/>
                <w:szCs w:val="24"/>
              </w:rPr>
              <w:t xml:space="preserve">MSAC accepted that vertebroplasty has a benefit in a small population of patients by helping them regain their mobility sooner and reducing pain in the short term. However, MSAC noted that the cost-effectiveness of vertebroplasty is uncertain. MSAC also considered that the procedure might be used in patients for whom there is no evidence of any benefit. Therefore, MSAC </w:t>
            </w:r>
            <w:r w:rsidR="003E52F1">
              <w:rPr>
                <w:color w:val="auto"/>
                <w:sz w:val="24"/>
                <w:szCs w:val="24"/>
              </w:rPr>
              <w:t xml:space="preserve">advised </w:t>
            </w:r>
            <w:r w:rsidRPr="005A266B">
              <w:rPr>
                <w:color w:val="auto"/>
                <w:sz w:val="24"/>
                <w:szCs w:val="24"/>
              </w:rPr>
              <w:t xml:space="preserve">that the use of vertebroplasty </w:t>
            </w:r>
            <w:r w:rsidR="003E52F1">
              <w:rPr>
                <w:color w:val="auto"/>
                <w:sz w:val="24"/>
                <w:szCs w:val="24"/>
              </w:rPr>
              <w:t>be limited to those patients with recent a</w:t>
            </w:r>
            <w:r w:rsidR="00191EB6">
              <w:rPr>
                <w:color w:val="auto"/>
                <w:sz w:val="24"/>
                <w:szCs w:val="24"/>
              </w:rPr>
              <w:t>nd severely painful fractures of</w:t>
            </w:r>
            <w:r w:rsidR="003E52F1">
              <w:rPr>
                <w:color w:val="auto"/>
                <w:sz w:val="24"/>
                <w:szCs w:val="24"/>
              </w:rPr>
              <w:t xml:space="preserve"> a certain type and location. The Committee also suggested that this use </w:t>
            </w:r>
            <w:r w:rsidRPr="005A266B">
              <w:rPr>
                <w:color w:val="auto"/>
                <w:sz w:val="24"/>
                <w:szCs w:val="24"/>
              </w:rPr>
              <w:t xml:space="preserve">is monitored </w:t>
            </w:r>
            <w:r w:rsidR="003E52F1">
              <w:rPr>
                <w:color w:val="auto"/>
                <w:sz w:val="24"/>
                <w:szCs w:val="24"/>
              </w:rPr>
              <w:t xml:space="preserve">through a registry for at least two years, </w:t>
            </w:r>
            <w:r w:rsidRPr="005A266B">
              <w:rPr>
                <w:color w:val="auto"/>
                <w:sz w:val="24"/>
                <w:szCs w:val="24"/>
              </w:rPr>
              <w:t>so that information can be collected about who is receiving the treatment and the costs associated with that treatment. This will provide data that MSAC can review in the future to ensure that the procedure is being used appropriately</w:t>
            </w:r>
            <w:r w:rsidR="00E50BC7">
              <w:rPr>
                <w:color w:val="auto"/>
                <w:sz w:val="24"/>
                <w:szCs w:val="24"/>
              </w:rPr>
              <w:t xml:space="preserve"> according to these </w:t>
            </w:r>
            <w:r w:rsidR="0079797C">
              <w:rPr>
                <w:color w:val="auto"/>
                <w:sz w:val="24"/>
                <w:szCs w:val="24"/>
              </w:rPr>
              <w:t xml:space="preserve">specified </w:t>
            </w:r>
            <w:r w:rsidR="00E50BC7">
              <w:rPr>
                <w:color w:val="auto"/>
                <w:sz w:val="24"/>
                <w:szCs w:val="24"/>
              </w:rPr>
              <w:t>criteria</w:t>
            </w:r>
            <w:r w:rsidR="0079797C">
              <w:rPr>
                <w:color w:val="auto"/>
                <w:sz w:val="24"/>
                <w:szCs w:val="24"/>
              </w:rPr>
              <w:t>.</w:t>
            </w:r>
          </w:p>
          <w:p w14:paraId="1068548E" w14:textId="34E10C9B" w:rsidR="00003F5A" w:rsidRDefault="00003F5A" w:rsidP="005A266B">
            <w:pPr>
              <w:pStyle w:val="Default"/>
              <w:spacing w:after="120"/>
              <w:rPr>
                <w:b/>
                <w:color w:val="auto"/>
                <w:sz w:val="24"/>
                <w:szCs w:val="24"/>
              </w:rPr>
            </w:pPr>
            <w:r w:rsidRPr="005A266B">
              <w:rPr>
                <w:b/>
                <w:color w:val="auto"/>
                <w:sz w:val="24"/>
                <w:szCs w:val="24"/>
              </w:rPr>
              <w:t xml:space="preserve">MSAC’s advice to the Commonwealth Minister </w:t>
            </w:r>
            <w:r w:rsidR="004417D9">
              <w:rPr>
                <w:b/>
                <w:color w:val="auto"/>
                <w:sz w:val="24"/>
                <w:szCs w:val="24"/>
              </w:rPr>
              <w:t>for</w:t>
            </w:r>
            <w:r w:rsidRPr="005A266B">
              <w:rPr>
                <w:b/>
                <w:color w:val="auto"/>
                <w:sz w:val="24"/>
                <w:szCs w:val="24"/>
              </w:rPr>
              <w:t xml:space="preserve"> Health</w:t>
            </w:r>
          </w:p>
          <w:p w14:paraId="563AC26B" w14:textId="6AA047FF" w:rsidR="005A266B" w:rsidRPr="005A266B" w:rsidRDefault="005A266B" w:rsidP="002004EB">
            <w:pPr>
              <w:pStyle w:val="Default"/>
              <w:spacing w:after="240"/>
              <w:rPr>
                <w:color w:val="auto"/>
                <w:sz w:val="24"/>
                <w:szCs w:val="24"/>
              </w:rPr>
            </w:pPr>
            <w:r w:rsidRPr="005A266B">
              <w:rPr>
                <w:color w:val="auto"/>
                <w:sz w:val="24"/>
                <w:szCs w:val="24"/>
              </w:rPr>
              <w:t xml:space="preserve">MSAC supported </w:t>
            </w:r>
            <w:r>
              <w:rPr>
                <w:color w:val="auto"/>
                <w:sz w:val="24"/>
                <w:szCs w:val="24"/>
              </w:rPr>
              <w:t>the</w:t>
            </w:r>
            <w:r w:rsidRPr="005A266B">
              <w:rPr>
                <w:color w:val="auto"/>
                <w:sz w:val="24"/>
                <w:szCs w:val="24"/>
              </w:rPr>
              <w:t xml:space="preserve"> relisting</w:t>
            </w:r>
            <w:r>
              <w:rPr>
                <w:color w:val="auto"/>
                <w:sz w:val="24"/>
                <w:szCs w:val="24"/>
              </w:rPr>
              <w:t xml:space="preserve"> of</w:t>
            </w:r>
            <w:r w:rsidRPr="005A266B">
              <w:rPr>
                <w:color w:val="auto"/>
                <w:sz w:val="24"/>
                <w:szCs w:val="24"/>
              </w:rPr>
              <w:t xml:space="preserve"> vertebroplasty on the MBS</w:t>
            </w:r>
            <w:r w:rsidR="002004EB">
              <w:rPr>
                <w:color w:val="auto"/>
                <w:sz w:val="24"/>
                <w:szCs w:val="24"/>
              </w:rPr>
              <w:t>,</w:t>
            </w:r>
            <w:r w:rsidRPr="005A266B">
              <w:rPr>
                <w:color w:val="auto"/>
                <w:sz w:val="24"/>
                <w:szCs w:val="24"/>
              </w:rPr>
              <w:t xml:space="preserve"> but only for patients with </w:t>
            </w:r>
            <w:r w:rsidR="002004EB" w:rsidRPr="005A266B">
              <w:rPr>
                <w:color w:val="auto"/>
                <w:sz w:val="24"/>
                <w:szCs w:val="24"/>
              </w:rPr>
              <w:t xml:space="preserve">severely painful osteoporotic thoracolumbar vertebral </w:t>
            </w:r>
            <w:r w:rsidRPr="005A266B">
              <w:rPr>
                <w:color w:val="auto"/>
                <w:sz w:val="24"/>
                <w:szCs w:val="24"/>
              </w:rPr>
              <w:t xml:space="preserve">fractures </w:t>
            </w:r>
            <w:r w:rsidR="0079797C">
              <w:rPr>
                <w:color w:val="auto"/>
                <w:sz w:val="24"/>
                <w:szCs w:val="24"/>
              </w:rPr>
              <w:t>of a duration of</w:t>
            </w:r>
            <w:r w:rsidR="0079797C" w:rsidRPr="005A266B">
              <w:rPr>
                <w:color w:val="auto"/>
                <w:sz w:val="24"/>
                <w:szCs w:val="24"/>
              </w:rPr>
              <w:t xml:space="preserve"> </w:t>
            </w:r>
            <w:r>
              <w:rPr>
                <w:color w:val="auto"/>
                <w:sz w:val="24"/>
                <w:szCs w:val="24"/>
              </w:rPr>
              <w:t>3 weeks or less.</w:t>
            </w:r>
          </w:p>
        </w:tc>
      </w:tr>
    </w:tbl>
    <w:p w14:paraId="10A5AE45" w14:textId="402C444D" w:rsidR="00003F5A" w:rsidRPr="00F715D1" w:rsidRDefault="00003F5A" w:rsidP="00003F5A">
      <w:pPr>
        <w:pStyle w:val="Heading1"/>
      </w:pPr>
      <w:r w:rsidRPr="00F715D1">
        <w:t xml:space="preserve">Summary of consideration </w:t>
      </w:r>
      <w:r w:rsidR="00FA7597">
        <w:t>and rationale for MSAC’s advice</w:t>
      </w:r>
    </w:p>
    <w:p w14:paraId="6E935697" w14:textId="400DF507" w:rsidR="005A266B" w:rsidRDefault="005A266B" w:rsidP="005A266B">
      <w:bookmarkStart w:id="1" w:name="_Hlk37889774"/>
      <w:r>
        <w:t>MSAC noted that this was a re</w:t>
      </w:r>
      <w:r w:rsidR="002004EB">
        <w:t xml:space="preserve">consideration of </w:t>
      </w:r>
      <w:r>
        <w:t xml:space="preserve">vertebroplasty. </w:t>
      </w:r>
      <w:r w:rsidRPr="000972FE">
        <w:t>Vertebroplasty was previously listed on the MBS as an interim-funded service (items 35400 and 35402) from 2005 to 2011. MSAC reviewed this service in April 2011 and did not support continued public funding based on two randomised controlled trials (RCTs) that did not appear to support vertebroplasty. MSAC considered th</w:t>
      </w:r>
      <w:r>
        <w:t>is</w:t>
      </w:r>
      <w:r w:rsidRPr="000972FE">
        <w:t xml:space="preserve"> application </w:t>
      </w:r>
      <w:r w:rsidR="002004EB">
        <w:t xml:space="preserve">for relisting vertebroplasty </w:t>
      </w:r>
      <w:r w:rsidRPr="000972FE">
        <w:t xml:space="preserve">in November 2018 </w:t>
      </w:r>
      <w:r>
        <w:t xml:space="preserve">and in March 2019, </w:t>
      </w:r>
      <w:r w:rsidRPr="000972FE">
        <w:t>but did not su</w:t>
      </w:r>
      <w:r w:rsidR="002004EB">
        <w:t>pport MBS funding at that time.</w:t>
      </w:r>
    </w:p>
    <w:bookmarkEnd w:id="1"/>
    <w:p w14:paraId="7E47AB57" w14:textId="762442C3" w:rsidR="005A266B" w:rsidRDefault="005A266B" w:rsidP="005A266B">
      <w:pPr>
        <w:spacing w:before="240"/>
      </w:pPr>
      <w:r>
        <w:t xml:space="preserve">MSAC agreed </w:t>
      </w:r>
      <w:r w:rsidR="0026639B">
        <w:t xml:space="preserve">with the applicant </w:t>
      </w:r>
      <w:r>
        <w:t xml:space="preserve">that the </w:t>
      </w:r>
      <w:r w:rsidR="00260102">
        <w:t xml:space="preserve">eligible </w:t>
      </w:r>
      <w:r>
        <w:t xml:space="preserve">population </w:t>
      </w:r>
      <w:r w:rsidR="00260102">
        <w:t xml:space="preserve">for vertebroplasty </w:t>
      </w:r>
      <w:r>
        <w:t xml:space="preserve">should be people with </w:t>
      </w:r>
      <w:r w:rsidR="00C24BBF">
        <w:t>a</w:t>
      </w:r>
      <w:r w:rsidR="00260102">
        <w:t xml:space="preserve"> severely painful</w:t>
      </w:r>
      <w:r w:rsidR="00C24BBF">
        <w:t xml:space="preserve"> osteoporotic </w:t>
      </w:r>
      <w:r w:rsidR="001E349A">
        <w:t xml:space="preserve">thoracolumbar </w:t>
      </w:r>
      <w:r w:rsidR="00C24BBF">
        <w:t xml:space="preserve">vertebral </w:t>
      </w:r>
      <w:r>
        <w:t xml:space="preserve">fracture </w:t>
      </w:r>
      <w:r w:rsidR="00260102">
        <w:t xml:space="preserve">of </w:t>
      </w:r>
      <w:r>
        <w:t xml:space="preserve">3 weeks duration </w:t>
      </w:r>
      <w:r w:rsidR="00C24BBF">
        <w:t xml:space="preserve">or less </w:t>
      </w:r>
      <w:r>
        <w:t>rather than 6 weeks</w:t>
      </w:r>
      <w:r w:rsidR="00C24BBF">
        <w:t xml:space="preserve"> or less</w:t>
      </w:r>
      <w:r>
        <w:t xml:space="preserve">, and that this period should refer to the duration of the fracture rather than the duration of pain. MSAC noted that many </w:t>
      </w:r>
      <w:r w:rsidR="00260102">
        <w:t xml:space="preserve">such </w:t>
      </w:r>
      <w:r>
        <w:t xml:space="preserve">patients </w:t>
      </w:r>
      <w:r w:rsidRPr="002A0A59">
        <w:t xml:space="preserve">will have poor prognosis and </w:t>
      </w:r>
      <w:r w:rsidR="0026639B">
        <w:t xml:space="preserve">considered that </w:t>
      </w:r>
      <w:r>
        <w:t>the long-term data</w:t>
      </w:r>
      <w:r w:rsidRPr="002A0A59">
        <w:t xml:space="preserve"> </w:t>
      </w:r>
      <w:r w:rsidR="0026639B">
        <w:t xml:space="preserve">for vertebroplasty </w:t>
      </w:r>
      <w:r>
        <w:t xml:space="preserve">have not </w:t>
      </w:r>
      <w:r w:rsidRPr="002A0A59">
        <w:t>been adjust</w:t>
      </w:r>
      <w:r>
        <w:t>ed</w:t>
      </w:r>
      <w:r w:rsidRPr="002A0A59">
        <w:t xml:space="preserve"> fo</w:t>
      </w:r>
      <w:r>
        <w:t>r</w:t>
      </w:r>
      <w:r w:rsidRPr="002A0A59">
        <w:t xml:space="preserve"> competing risk of death.</w:t>
      </w:r>
      <w:r>
        <w:t xml:space="preserve"> In addition,</w:t>
      </w:r>
      <w:r w:rsidRPr="002A0A59">
        <w:t xml:space="preserve"> </w:t>
      </w:r>
      <w:r>
        <w:t>it is</w:t>
      </w:r>
      <w:r w:rsidRPr="002A0A59">
        <w:t xml:space="preserve"> know</w:t>
      </w:r>
      <w:r>
        <w:t>n</w:t>
      </w:r>
      <w:r w:rsidRPr="002A0A59">
        <w:t xml:space="preserve"> that</w:t>
      </w:r>
      <w:r w:rsidR="00F81E72">
        <w:t>, due to the nature of the condition, the</w:t>
      </w:r>
      <w:r w:rsidRPr="002A0A59">
        <w:t xml:space="preserve"> </w:t>
      </w:r>
      <w:r>
        <w:t xml:space="preserve">pain </w:t>
      </w:r>
      <w:r w:rsidR="00C24BBF">
        <w:t xml:space="preserve">experienced by </w:t>
      </w:r>
      <w:r w:rsidR="00260102">
        <w:t xml:space="preserve">such </w:t>
      </w:r>
      <w:r w:rsidR="00C24BBF">
        <w:t xml:space="preserve">patients who do not receive vertebroplasty </w:t>
      </w:r>
      <w:r w:rsidRPr="002A0A59">
        <w:t xml:space="preserve">will </w:t>
      </w:r>
      <w:r w:rsidR="00260102">
        <w:t xml:space="preserve">also </w:t>
      </w:r>
      <w:r w:rsidR="00C24BBF">
        <w:t xml:space="preserve">reduce </w:t>
      </w:r>
      <w:r w:rsidR="00260102">
        <w:t xml:space="preserve">over time </w:t>
      </w:r>
      <w:r w:rsidR="00C24BBF">
        <w:t xml:space="preserve">to </w:t>
      </w:r>
      <w:r w:rsidRPr="002A0A59">
        <w:t xml:space="preserve">converge </w:t>
      </w:r>
      <w:r w:rsidR="00C24BBF">
        <w:t>towards the earlier pain reductions experienced following vertebroplasty</w:t>
      </w:r>
      <w:r w:rsidRPr="002A0A59">
        <w:t xml:space="preserve">. </w:t>
      </w:r>
      <w:r>
        <w:t xml:space="preserve">Therefore, this intervention should be viewed as acute </w:t>
      </w:r>
      <w:r w:rsidR="00260102">
        <w:t xml:space="preserve">pain </w:t>
      </w:r>
      <w:r>
        <w:t xml:space="preserve">relief for </w:t>
      </w:r>
      <w:r w:rsidR="00260102">
        <w:t xml:space="preserve">early </w:t>
      </w:r>
      <w:r>
        <w:t>mobility purposes rather than long-term pain relief.</w:t>
      </w:r>
    </w:p>
    <w:p w14:paraId="4923829F" w14:textId="60D5D843" w:rsidR="00C80CE2" w:rsidRDefault="00BD4136" w:rsidP="005A266B">
      <w:pPr>
        <w:spacing w:before="240"/>
      </w:pPr>
      <w:r>
        <w:lastRenderedPageBreak/>
        <w:t xml:space="preserve">MSAC considered that the additional materials from the applicant since its previous consideration, including the pre-MSAC response, largely recapitulated previously documented information and opinion. </w:t>
      </w:r>
      <w:r w:rsidR="00C80CE2">
        <w:t xml:space="preserve">MSAC </w:t>
      </w:r>
      <w:r>
        <w:t xml:space="preserve">also </w:t>
      </w:r>
      <w:r w:rsidR="00C80CE2">
        <w:t xml:space="preserve">noted that its previous requests for more informative analyses of existing data could not be fulfilled. Accordingly, MSAC </w:t>
      </w:r>
      <w:r w:rsidR="00D21C56">
        <w:t xml:space="preserve">was satisfied that it had appropriately exhausted all avenues to improve the evidence base to inform its advice, and thus </w:t>
      </w:r>
      <w:r w:rsidR="00C80CE2">
        <w:t xml:space="preserve">retained moderate confidence that vertebroplasty has a benefit </w:t>
      </w:r>
      <w:r w:rsidR="00D21C56">
        <w:t xml:space="preserve">of likely clinical importance </w:t>
      </w:r>
      <w:r w:rsidR="00C80CE2">
        <w:t>in a small population of patients with clearly identifiable clinical need.</w:t>
      </w:r>
    </w:p>
    <w:p w14:paraId="1E852357" w14:textId="30AB62ED" w:rsidR="005A266B" w:rsidRDefault="005A266B" w:rsidP="005A266B">
      <w:pPr>
        <w:spacing w:before="240"/>
      </w:pPr>
      <w:r>
        <w:t xml:space="preserve">MSAC </w:t>
      </w:r>
      <w:r w:rsidR="00C80CE2">
        <w:t>remained of the view</w:t>
      </w:r>
      <w:r>
        <w:t xml:space="preserve">, that </w:t>
      </w:r>
      <w:r w:rsidR="00C80CE2">
        <w:t>consistently across the VAPOUR trial and the Cochrane Review</w:t>
      </w:r>
      <w:r>
        <w:t>, there is evidence that vertebroplasty results in a reduction in pain and improved disability and disease-specific quality of life</w:t>
      </w:r>
      <w:r w:rsidR="00C80CE2">
        <w:t xml:space="preserve"> compared with placebo</w:t>
      </w:r>
      <w:r>
        <w:t xml:space="preserve">. In addition, there </w:t>
      </w:r>
      <w:r w:rsidR="0026639B">
        <w:t>are</w:t>
      </w:r>
      <w:r>
        <w:t xml:space="preserve"> i</w:t>
      </w:r>
      <w:r w:rsidRPr="002A0A59">
        <w:t>mprecise estimate</w:t>
      </w:r>
      <w:r w:rsidR="0026639B">
        <w:t>s</w:t>
      </w:r>
      <w:r w:rsidRPr="002A0A59">
        <w:t xml:space="preserve"> of the magnitude of the</w:t>
      </w:r>
      <w:r w:rsidR="00C24BBF">
        <w:t>se</w:t>
      </w:r>
      <w:r w:rsidRPr="002A0A59">
        <w:t xml:space="preserve"> benefit</w:t>
      </w:r>
      <w:r w:rsidR="00C24BBF">
        <w:t>s</w:t>
      </w:r>
      <w:r w:rsidRPr="002A0A59">
        <w:t xml:space="preserve"> due to </w:t>
      </w:r>
      <w:r w:rsidR="00C80CE2">
        <w:t xml:space="preserve">the </w:t>
      </w:r>
      <w:r w:rsidRPr="002A0A59">
        <w:t xml:space="preserve">small </w:t>
      </w:r>
      <w:r w:rsidR="00C80CE2">
        <w:t xml:space="preserve">size of the </w:t>
      </w:r>
      <w:r w:rsidRPr="002A0A59">
        <w:t xml:space="preserve">studies and </w:t>
      </w:r>
      <w:r w:rsidR="00C80CE2">
        <w:t xml:space="preserve">the </w:t>
      </w:r>
      <w:r w:rsidRPr="002A0A59">
        <w:t>nature of the outcome</w:t>
      </w:r>
      <w:r w:rsidR="00C80CE2">
        <w:t>s</w:t>
      </w:r>
      <w:r w:rsidRPr="002A0A59">
        <w:t xml:space="preserve"> assessed</w:t>
      </w:r>
      <w:r>
        <w:t>.</w:t>
      </w:r>
    </w:p>
    <w:p w14:paraId="387EC59D" w14:textId="79698424" w:rsidR="00BD4136" w:rsidRDefault="00BD4136" w:rsidP="005A266B">
      <w:pPr>
        <w:spacing w:before="240"/>
      </w:pPr>
      <w:r>
        <w:t>MSAC also re</w:t>
      </w:r>
      <w:r w:rsidR="00D21C56">
        <w:t>t</w:t>
      </w:r>
      <w:r>
        <w:t xml:space="preserve">ained </w:t>
      </w:r>
      <w:r w:rsidR="00D21C56">
        <w:t>its</w:t>
      </w:r>
      <w:r>
        <w:t xml:space="preserve"> </w:t>
      </w:r>
      <w:r w:rsidR="00D21C56">
        <w:t>conclusion</w:t>
      </w:r>
      <w:r>
        <w:t xml:space="preserve"> that there </w:t>
      </w:r>
      <w:r w:rsidR="00D21C56">
        <w:t>is</w:t>
      </w:r>
      <w:r>
        <w:t xml:space="preserve"> weak evidence to support the </w:t>
      </w:r>
      <w:r w:rsidR="00D21C56">
        <w:t xml:space="preserve">applicant’s </w:t>
      </w:r>
      <w:r>
        <w:t xml:space="preserve">claims of improved benefit of vertebroplasty in patients with osteoporotic thoracolumbar fractures and/or fractures of three weeks duration or less, as they primarily relied on subgroup analyses performed in the VAPOUR trial. In this regard, MSAC noted that, in the conclusions of the Diamond 2020 paper (re-presenting in more detail the VAPOUR subgroup analysis in patients with osteoporotic fractures of three weeks duration or less), the VAPOUR investigators </w:t>
      </w:r>
      <w:r w:rsidR="00D21C56">
        <w:t xml:space="preserve">also </w:t>
      </w:r>
      <w:r>
        <w:t>acknowledged that these results were “</w:t>
      </w:r>
      <w:r w:rsidRPr="00BD4136">
        <w:t>limited by being an exploratory sub-group analysis</w:t>
      </w:r>
      <w:r>
        <w:t>”.</w:t>
      </w:r>
    </w:p>
    <w:p w14:paraId="105DECBA" w14:textId="45B10D4B" w:rsidR="0026639B" w:rsidRDefault="0026639B" w:rsidP="0085728C">
      <w:pPr>
        <w:spacing w:before="240"/>
      </w:pPr>
      <w:r>
        <w:t xml:space="preserve">MSAC </w:t>
      </w:r>
      <w:r w:rsidR="00E20445">
        <w:t xml:space="preserve">considered </w:t>
      </w:r>
      <w:r>
        <w:t xml:space="preserve">that the results of Hsieh et al. (2019) </w:t>
      </w:r>
      <w:r w:rsidR="00E20445">
        <w:t>suggested important signals in relation to the safety of vertebroplasty. Leakage of the cement used in the procedure occurred commonly (66.7%). Although this rarely led to severe consequences of local neurological impingement and pulmonary embolism, the risk of pulmonary embolism increas</w:t>
      </w:r>
      <w:r w:rsidR="00467CF1">
        <w:t>ed</w:t>
      </w:r>
      <w:r w:rsidR="00E20445">
        <w:t xml:space="preserve"> with increasing volume of cement injected into the vertebra. The latter is an important signal because there has been a trend</w:t>
      </w:r>
      <w:r w:rsidR="00D21C56">
        <w:t xml:space="preserve"> over time</w:t>
      </w:r>
      <w:r w:rsidR="00E20445">
        <w:t xml:space="preserve"> towards increasing volume of cement injected in vertebroplasty procedures.</w:t>
      </w:r>
    </w:p>
    <w:p w14:paraId="74A98875" w14:textId="066ED8DF" w:rsidR="005A266B" w:rsidRDefault="005A266B" w:rsidP="0085728C">
      <w:pPr>
        <w:spacing w:before="240"/>
      </w:pPr>
      <w:r>
        <w:t xml:space="preserve">MSAC noted that the </w:t>
      </w:r>
      <w:r w:rsidR="00BD4136">
        <w:t xml:space="preserve">comparative </w:t>
      </w:r>
      <w:r>
        <w:t xml:space="preserve">cost-effectiveness </w:t>
      </w:r>
      <w:r w:rsidR="00BD4136">
        <w:t>of vertebroplasty</w:t>
      </w:r>
      <w:r w:rsidR="00B3795E">
        <w:t xml:space="preserve"> was not formally estimated </w:t>
      </w:r>
      <w:r>
        <w:t xml:space="preserve">because no </w:t>
      </w:r>
      <w:r w:rsidR="00B3795E">
        <w:t xml:space="preserve">revised </w:t>
      </w:r>
      <w:r>
        <w:t xml:space="preserve">economic evaluation was provided that reflects the </w:t>
      </w:r>
      <w:r w:rsidR="0085728C">
        <w:t xml:space="preserve">revised circumstances of the </w:t>
      </w:r>
      <w:r>
        <w:t>reques</w:t>
      </w:r>
      <w:r w:rsidR="0085728C">
        <w:t>t</w:t>
      </w:r>
      <w:r w:rsidR="00B3795E">
        <w:t xml:space="preserve"> and its concerns with the previous economic evaluation had not been addressed</w:t>
      </w:r>
      <w:r w:rsidR="0085728C">
        <w:t>.</w:t>
      </w:r>
      <w:r w:rsidR="00B3795E">
        <w:t xml:space="preserve"> However, the economic evaluation did suggest that the cost-effectiveness </w:t>
      </w:r>
      <w:r w:rsidR="00F81E72">
        <w:t xml:space="preserve">of vertebroplasty was largely driven by claims for later cost off-sets and </w:t>
      </w:r>
      <w:r w:rsidR="00B3795E">
        <w:t xml:space="preserve">would be more favourable if only hospitalised patients were eligible for vertebroplasty. MSAC considered this to be useful information, because it suggested that the most cost-effective population had already been identified, and to add this further requirement to an MBS item descriptor </w:t>
      </w:r>
      <w:r w:rsidR="00D21C56">
        <w:t>c</w:t>
      </w:r>
      <w:r w:rsidR="00B3795E">
        <w:t>ould instead have the perverse incentive of hospitalising more patients for the sole purpose of receiving vertebroplasty.</w:t>
      </w:r>
    </w:p>
    <w:p w14:paraId="390FB4C6" w14:textId="21F6F780" w:rsidR="005A266B" w:rsidRDefault="005A266B" w:rsidP="005A266B">
      <w:pPr>
        <w:spacing w:before="240"/>
      </w:pPr>
      <w:r>
        <w:t xml:space="preserve">MSAC </w:t>
      </w:r>
      <w:r w:rsidR="00B3795E">
        <w:t>considered</w:t>
      </w:r>
      <w:r>
        <w:t xml:space="preserve"> that, despite th</w:t>
      </w:r>
      <w:r w:rsidR="00B3795E">
        <w:t>is</w:t>
      </w:r>
      <w:r>
        <w:t xml:space="preserve"> uncertain cost-effectiveness, the financial impact is small because of the small population. At the individual patient level, there are </w:t>
      </w:r>
      <w:r w:rsidR="0085728C">
        <w:t xml:space="preserve">discernible </w:t>
      </w:r>
      <w:r>
        <w:t xml:space="preserve">benefits </w:t>
      </w:r>
      <w:r w:rsidR="00B3795E">
        <w:t xml:space="preserve">for some patients </w:t>
      </w:r>
      <w:r>
        <w:t xml:space="preserve">in terms of improved mobility and reduced pain in the short term. Currently this procedure is available, but patients have to pay out of their own pocket, thus making </w:t>
      </w:r>
      <w:r w:rsidR="006143F2">
        <w:t>access</w:t>
      </w:r>
      <w:r>
        <w:t xml:space="preserve"> an equity issue</w:t>
      </w:r>
      <w:r w:rsidR="00F81E72">
        <w:t>, recognising that the fee proposed is consistent with other similar procedures</w:t>
      </w:r>
      <w:r>
        <w:t xml:space="preserve">. Therefore, MSAC recommended listing with </w:t>
      </w:r>
      <w:r w:rsidR="00005761">
        <w:t xml:space="preserve">the following </w:t>
      </w:r>
      <w:r>
        <w:t xml:space="preserve">restrictions: </w:t>
      </w:r>
      <w:r w:rsidRPr="005F07F7">
        <w:t xml:space="preserve">one </w:t>
      </w:r>
      <w:r w:rsidR="00821410">
        <w:t xml:space="preserve">MBS </w:t>
      </w:r>
      <w:r w:rsidRPr="005F07F7">
        <w:t xml:space="preserve">item per patient per </w:t>
      </w:r>
      <w:r w:rsidR="00643DE7">
        <w:t>procedure</w:t>
      </w:r>
      <w:r w:rsidRPr="005F07F7">
        <w:t xml:space="preserve"> </w:t>
      </w:r>
      <w:r>
        <w:t>(</w:t>
      </w:r>
      <w:r w:rsidRPr="005F07F7">
        <w:t xml:space="preserve">not one for each fracture), </w:t>
      </w:r>
      <w:r>
        <w:t xml:space="preserve">limited to </w:t>
      </w:r>
      <w:r w:rsidR="006143F2" w:rsidRPr="005A266B">
        <w:rPr>
          <w:szCs w:val="24"/>
        </w:rPr>
        <w:t xml:space="preserve">severely painful osteoporotic </w:t>
      </w:r>
      <w:r w:rsidRPr="005F07F7">
        <w:t xml:space="preserve">thoracolumbar </w:t>
      </w:r>
      <w:r w:rsidR="006143F2" w:rsidRPr="005A266B">
        <w:rPr>
          <w:szCs w:val="24"/>
        </w:rPr>
        <w:t xml:space="preserve">vertebral </w:t>
      </w:r>
      <w:r w:rsidRPr="005F07F7">
        <w:t xml:space="preserve">fracture </w:t>
      </w:r>
      <w:r w:rsidR="006143F2">
        <w:rPr>
          <w:szCs w:val="24"/>
        </w:rPr>
        <w:t xml:space="preserve">with a </w:t>
      </w:r>
      <w:r w:rsidRPr="005F07F7">
        <w:t xml:space="preserve">duration </w:t>
      </w:r>
      <w:r>
        <w:t xml:space="preserve">of </w:t>
      </w:r>
      <w:r w:rsidR="006143F2">
        <w:t>≤3 </w:t>
      </w:r>
      <w:r w:rsidRPr="005F07F7">
        <w:t>weeks</w:t>
      </w:r>
      <w:r w:rsidR="00BF0BF8">
        <w:t xml:space="preserve">, but allowing for treatment of a </w:t>
      </w:r>
      <w:r w:rsidR="00821410">
        <w:t>subsequent</w:t>
      </w:r>
      <w:r w:rsidR="00BF0BF8">
        <w:t xml:space="preserve"> fracture in the same vertebra where </w:t>
      </w:r>
      <w:r w:rsidR="00821410">
        <w:t xml:space="preserve">eligible and </w:t>
      </w:r>
      <w:r w:rsidR="00BF0BF8">
        <w:t>appropriate</w:t>
      </w:r>
      <w:r>
        <w:t>.</w:t>
      </w:r>
    </w:p>
    <w:p w14:paraId="064D4614" w14:textId="2DE96342" w:rsidR="00003F5A" w:rsidRPr="005A266B" w:rsidRDefault="005A266B" w:rsidP="005A266B">
      <w:pPr>
        <w:spacing w:before="240"/>
      </w:pPr>
      <w:r>
        <w:lastRenderedPageBreak/>
        <w:t>Because of the remaining uncertainty, and to reduce the likelihood of leakage</w:t>
      </w:r>
      <w:r w:rsidR="001E349A">
        <w:t xml:space="preserve"> beyond the proposed </w:t>
      </w:r>
      <w:r w:rsidR="005435FA">
        <w:t>MBS-eligible population</w:t>
      </w:r>
      <w:r>
        <w:t xml:space="preserve">, </w:t>
      </w:r>
      <w:r w:rsidR="00100522">
        <w:t>MSAC also advised that a prospective registry be developed to monitor this listing. This should include reporting on the centre and state where each procedure was performed, whether the patient was hospitalised or not at the time the decision to perform the procedure was made, the length of hospital stay if hospitalised, and any associated adverse events requiring further medical or hospital attention.</w:t>
      </w:r>
    </w:p>
    <w:p w14:paraId="33058381" w14:textId="5CCAD731" w:rsidR="005A266B" w:rsidRDefault="00003F5A" w:rsidP="005A266B">
      <w:pPr>
        <w:pStyle w:val="Heading1"/>
      </w:pPr>
      <w:r w:rsidRPr="00F715D1">
        <w:t>Background</w:t>
      </w:r>
    </w:p>
    <w:p w14:paraId="7EF33B90" w14:textId="31E4D67F" w:rsidR="005423C9" w:rsidRPr="00037875" w:rsidRDefault="005423C9" w:rsidP="005A266B">
      <w:pPr>
        <w:tabs>
          <w:tab w:val="left" w:pos="720"/>
          <w:tab w:val="left" w:pos="1140"/>
        </w:tabs>
        <w:spacing w:before="240"/>
        <w:rPr>
          <w:color w:val="000000"/>
          <w:szCs w:val="27"/>
        </w:rPr>
      </w:pPr>
      <w:r w:rsidRPr="00DE6E8A">
        <w:t xml:space="preserve">Vertebroplasty was previously listed on the MBS as an interim funded service (items 35400 and 35402) from 2005 to 2011. MSAC reviewed this service in April 2011 and did not support continued public funding. </w:t>
      </w:r>
      <w:r>
        <w:t>The interim listings were</w:t>
      </w:r>
      <w:r w:rsidRPr="009F7733">
        <w:t xml:space="preserve"> removed from the MBS in 2011.</w:t>
      </w:r>
    </w:p>
    <w:p w14:paraId="5440ED43" w14:textId="77777777" w:rsidR="005423C9" w:rsidRDefault="005423C9" w:rsidP="005423C9"/>
    <w:p w14:paraId="59DAF72F" w14:textId="6D919F75" w:rsidR="005423C9" w:rsidRDefault="005423C9" w:rsidP="005423C9">
      <w:pPr>
        <w:rPr>
          <w:u w:val="single"/>
        </w:rPr>
      </w:pPr>
      <w:r>
        <w:t>An application for relisting v</w:t>
      </w:r>
      <w:r w:rsidRPr="00B64F0B">
        <w:t>ertebroplasty for severely painful osteoporotic ver</w:t>
      </w:r>
      <w:r w:rsidR="00131E42">
        <w:t>tebral fractures of less than 6 </w:t>
      </w:r>
      <w:r w:rsidRPr="00B64F0B">
        <w:t>weeks duration</w:t>
      </w:r>
      <w:r>
        <w:t xml:space="preserve"> on the MBS</w:t>
      </w:r>
      <w:r w:rsidRPr="00EB6DC0">
        <w:t xml:space="preserve"> was submitted </w:t>
      </w:r>
      <w:r>
        <w:t>to MSAC after</w:t>
      </w:r>
      <w:r w:rsidRPr="00EB6DC0">
        <w:t xml:space="preserve"> </w:t>
      </w:r>
      <w:r w:rsidR="00C21D88">
        <w:t xml:space="preserve">publication in October 2016 </w:t>
      </w:r>
      <w:r w:rsidRPr="00EB6DC0">
        <w:t xml:space="preserve">of a </w:t>
      </w:r>
      <w:r>
        <w:t xml:space="preserve">randomised controlled </w:t>
      </w:r>
      <w:r w:rsidRPr="00EB6DC0">
        <w:t xml:space="preserve">trial (VAPOUR) </w:t>
      </w:r>
      <w:r w:rsidR="00E21509" w:rsidRPr="00DE6E8A">
        <w:t xml:space="preserve">conducted </w:t>
      </w:r>
      <w:r w:rsidR="00E21509">
        <w:t>in Australia</w:t>
      </w:r>
      <w:r w:rsidRPr="00EB6DC0">
        <w:t>.</w:t>
      </w:r>
      <w:r>
        <w:t xml:space="preserve"> The request for MBS listing has since been updated by the applicant </w:t>
      </w:r>
      <w:r w:rsidR="00C21D88">
        <w:t xml:space="preserve">as being </w:t>
      </w:r>
      <w:r>
        <w:t xml:space="preserve">for vertebroplasty for severely painful osteoporotic </w:t>
      </w:r>
      <w:r w:rsidRPr="0059471A">
        <w:rPr>
          <w:iCs/>
          <w:u w:val="single"/>
        </w:rPr>
        <w:t>thoracolumbar</w:t>
      </w:r>
      <w:r>
        <w:t xml:space="preserve"> vertebral fractures of </w:t>
      </w:r>
      <w:r w:rsidR="00131E42">
        <w:rPr>
          <w:u w:val="single"/>
        </w:rPr>
        <w:t>3 </w:t>
      </w:r>
      <w:r>
        <w:rPr>
          <w:u w:val="single"/>
        </w:rPr>
        <w:t>weeks</w:t>
      </w:r>
      <w:r w:rsidRPr="00A76C5D">
        <w:t xml:space="preserve"> duration</w:t>
      </w:r>
      <w:r w:rsidR="0085728C">
        <w:t xml:space="preserve"> or less</w:t>
      </w:r>
      <w:r w:rsidRPr="00DB5FDC">
        <w:t>.</w:t>
      </w:r>
    </w:p>
    <w:p w14:paraId="4049A9BB" w14:textId="77777777" w:rsidR="005423C9" w:rsidRPr="00DB5FDC" w:rsidRDefault="005423C9" w:rsidP="005423C9">
      <w:pPr>
        <w:rPr>
          <w:highlight w:val="cyan"/>
        </w:rPr>
      </w:pPr>
    </w:p>
    <w:p w14:paraId="127735BC" w14:textId="77777777" w:rsidR="005423C9" w:rsidRDefault="005423C9" w:rsidP="005423C9">
      <w:r w:rsidRPr="001F2E6F">
        <w:t xml:space="preserve">At its </w:t>
      </w:r>
      <w:r>
        <w:t>November</w:t>
      </w:r>
      <w:r w:rsidRPr="001F2E6F">
        <w:t xml:space="preserve"> 2018 meeting, MSAC did </w:t>
      </w:r>
      <w:r>
        <w:t>not support public funding for vertebroplasty</w:t>
      </w:r>
      <w:r w:rsidR="00D04C4D">
        <w:t xml:space="preserve"> </w:t>
      </w:r>
      <w:r w:rsidR="00D04C4D" w:rsidRPr="00904413">
        <w:t>for severely painful osteoporotic ver</w:t>
      </w:r>
      <w:r w:rsidR="00D04C4D">
        <w:t>tebral fractures of less than either 3 or 6 </w:t>
      </w:r>
      <w:r w:rsidR="00D04C4D" w:rsidRPr="00904413">
        <w:t>weeks duration</w:t>
      </w:r>
      <w:r w:rsidRPr="001F2E6F">
        <w:t xml:space="preserve">. </w:t>
      </w:r>
      <w:r w:rsidRPr="00436C4F">
        <w:t>MSAC considered that there may be a small clinical benefit</w:t>
      </w:r>
      <w:r>
        <w:t>,</w:t>
      </w:r>
      <w:r w:rsidRPr="00436C4F">
        <w:t xml:space="preserve"> but was uncertain of its clinical significance, and </w:t>
      </w:r>
      <w:r>
        <w:t xml:space="preserve">so considered </w:t>
      </w:r>
      <w:r w:rsidRPr="00436C4F">
        <w:t>that the cost-effectiveness is highly uncertain with substantial risk of use beyond the proposed patient population</w:t>
      </w:r>
      <w:r>
        <w:t>.</w:t>
      </w:r>
    </w:p>
    <w:p w14:paraId="02553828" w14:textId="77777777" w:rsidR="005423C9" w:rsidRDefault="005423C9" w:rsidP="005423C9"/>
    <w:p w14:paraId="33A565BC" w14:textId="2A3213D0" w:rsidR="005423C9" w:rsidRDefault="00D04C4D" w:rsidP="005423C9">
      <w:r>
        <w:t>At its March 2019 meeting,</w:t>
      </w:r>
      <w:r w:rsidR="00C21D88">
        <w:t xml:space="preserve"> </w:t>
      </w:r>
      <w:r w:rsidR="005423C9">
        <w:t xml:space="preserve">MSAC </w:t>
      </w:r>
      <w:r w:rsidR="0088741D">
        <w:t>reconsidered the application</w:t>
      </w:r>
      <w:r w:rsidR="005423C9">
        <w:t xml:space="preserve"> </w:t>
      </w:r>
      <w:r>
        <w:t>and</w:t>
      </w:r>
      <w:r w:rsidR="005423C9">
        <w:t xml:space="preserve"> deferred its advice regarding public funding of vertebroplasty. MSAC considered that a stakeholder meeting, to provide a broader clinical perspective and patient input, could inform the uncertainties in the application.</w:t>
      </w:r>
      <w:r w:rsidR="00442D6F">
        <w:t xml:space="preserve"> </w:t>
      </w:r>
      <w:r w:rsidR="005423C9">
        <w:t xml:space="preserve">MSAC also considered that an independent meta-analysis of the individual patient data (IPD) from all relevant randomised trials would be informative to further address uncertainties, particularly to clarify any consequences of the identified clinical heterogeneity across these trials on the observed effects of vertebroplasty (see </w:t>
      </w:r>
      <w:hyperlink r:id="rId9" w:tooltip="Link to MSAC website page for application 1466" w:history="1">
        <w:r w:rsidR="005423C9" w:rsidRPr="009B17D0">
          <w:rPr>
            <w:rStyle w:val="Hyperlink"/>
          </w:rPr>
          <w:t>Public Summary Document (PSD) Applica</w:t>
        </w:r>
        <w:r w:rsidR="005423C9">
          <w:rPr>
            <w:rStyle w:val="Hyperlink"/>
          </w:rPr>
          <w:t>tion</w:t>
        </w:r>
        <w:r w:rsidR="005423C9" w:rsidRPr="009B17D0">
          <w:rPr>
            <w:rStyle w:val="Hyperlink"/>
          </w:rPr>
          <w:t xml:space="preserve"> No. 1466</w:t>
        </w:r>
      </w:hyperlink>
      <w:r w:rsidR="005423C9">
        <w:t>, Nov 2018/March 2019).</w:t>
      </w:r>
    </w:p>
    <w:p w14:paraId="6B3CADC4" w14:textId="77777777" w:rsidR="005423C9" w:rsidRDefault="005423C9" w:rsidP="005423C9">
      <w:pPr>
        <w:rPr>
          <w:i/>
          <w:highlight w:val="cyan"/>
        </w:rPr>
      </w:pPr>
    </w:p>
    <w:p w14:paraId="17A304DD" w14:textId="77E9E3EA" w:rsidR="005423C9" w:rsidRDefault="005423C9" w:rsidP="00C21D88">
      <w:pPr>
        <w:pStyle w:val="NormalBeforeBullet"/>
        <w:keepNext w:val="0"/>
        <w:spacing w:after="0"/>
        <w:rPr>
          <w:lang w:val="en-US"/>
        </w:rPr>
      </w:pPr>
      <w:r>
        <w:t>The MSAC Stakeholder Meeting for vertebroplasty was held on 7 June 2019</w:t>
      </w:r>
      <w:r w:rsidR="00793E9B">
        <w:t xml:space="preserve"> and the</w:t>
      </w:r>
      <w:r>
        <w:rPr>
          <w:lang w:val="en-US"/>
        </w:rPr>
        <w:t xml:space="preserve"> minutes have been published on the MSAC website</w:t>
      </w:r>
      <w:r w:rsidR="00793E9B">
        <w:rPr>
          <w:lang w:val="en-US"/>
        </w:rPr>
        <w:t xml:space="preserve"> (</w:t>
      </w:r>
      <w:r w:rsidR="00793E9B">
        <w:t xml:space="preserve">see </w:t>
      </w:r>
      <w:hyperlink r:id="rId10" w:tooltip="Link to MSAC website page for application 1466" w:history="1">
        <w:r w:rsidR="00793E9B">
          <w:rPr>
            <w:rStyle w:val="Hyperlink"/>
          </w:rPr>
          <w:t>Fina</w:t>
        </w:r>
        <w:r w:rsidR="00793E9B">
          <w:rPr>
            <w:rStyle w:val="Hyperlink"/>
          </w:rPr>
          <w:t>l</w:t>
        </w:r>
        <w:r w:rsidR="00793E9B">
          <w:rPr>
            <w:rStyle w:val="Hyperlink"/>
          </w:rPr>
          <w:t xml:space="preserve"> Stakeholder Meeting Minutes</w:t>
        </w:r>
        <w:r w:rsidR="00793E9B" w:rsidRPr="009B17D0">
          <w:rPr>
            <w:rStyle w:val="Hyperlink"/>
          </w:rPr>
          <w:t xml:space="preserve"> Applica</w:t>
        </w:r>
        <w:r w:rsidR="00793E9B">
          <w:rPr>
            <w:rStyle w:val="Hyperlink"/>
          </w:rPr>
          <w:t>tion</w:t>
        </w:r>
        <w:r w:rsidR="00793E9B" w:rsidRPr="009B17D0">
          <w:rPr>
            <w:rStyle w:val="Hyperlink"/>
          </w:rPr>
          <w:t xml:space="preserve"> No. 1466</w:t>
        </w:r>
      </w:hyperlink>
      <w:r w:rsidR="00F316C0">
        <w:t xml:space="preserve">, </w:t>
      </w:r>
      <w:r w:rsidR="00793E9B">
        <w:t>June 2019)</w:t>
      </w:r>
      <w:r>
        <w:rPr>
          <w:lang w:val="en-US"/>
        </w:rPr>
        <w:t>.</w:t>
      </w:r>
    </w:p>
    <w:p w14:paraId="63FE5E43" w14:textId="77777777" w:rsidR="00003F5A" w:rsidRPr="00F715D1" w:rsidRDefault="00003F5A" w:rsidP="00003F5A">
      <w:pPr>
        <w:pStyle w:val="Heading1"/>
      </w:pPr>
      <w:r w:rsidRPr="00F715D1">
        <w:t>Prerequisites to implementation of any funding advice</w:t>
      </w:r>
    </w:p>
    <w:p w14:paraId="30731139" w14:textId="13AE1235" w:rsidR="005423C9" w:rsidRPr="00B02E35" w:rsidRDefault="005423C9" w:rsidP="005423C9">
      <w:pPr>
        <w:spacing w:after="240"/>
      </w:pPr>
      <w:r>
        <w:t xml:space="preserve">No new information has been provided on this aspect. As such this remains unchanged; see </w:t>
      </w:r>
      <w:hyperlink r:id="rId11" w:tooltip="Link to MSAC website page for application 1466" w:history="1">
        <w:r w:rsidRPr="009B17D0">
          <w:rPr>
            <w:rStyle w:val="Hyperlink"/>
          </w:rPr>
          <w:t>PSD Applica</w:t>
        </w:r>
        <w:r>
          <w:rPr>
            <w:rStyle w:val="Hyperlink"/>
          </w:rPr>
          <w:t>tion</w:t>
        </w:r>
        <w:r w:rsidRPr="009B17D0">
          <w:rPr>
            <w:rStyle w:val="Hyperlink"/>
          </w:rPr>
          <w:t xml:space="preserve"> No. 1466</w:t>
        </w:r>
      </w:hyperlink>
      <w:r>
        <w:t>, Nov 2018/March 2019 p9</w:t>
      </w:r>
      <w:r w:rsidRPr="00393C51">
        <w:t>.</w:t>
      </w:r>
    </w:p>
    <w:p w14:paraId="49688C3A" w14:textId="77777777" w:rsidR="00003F5A" w:rsidRPr="00F715D1" w:rsidRDefault="00003F5A" w:rsidP="00003F5A">
      <w:pPr>
        <w:pStyle w:val="Heading1"/>
      </w:pPr>
      <w:r w:rsidRPr="00F715D1">
        <w:t>Proposal for public funding</w:t>
      </w:r>
    </w:p>
    <w:p w14:paraId="4AD862B7" w14:textId="437EA919" w:rsidR="00C87CCA" w:rsidRDefault="00C87CCA" w:rsidP="00C87CCA">
      <w:r>
        <w:t xml:space="preserve">The applicant proposed </w:t>
      </w:r>
      <w:r w:rsidR="00585E64">
        <w:t xml:space="preserve">amending the </w:t>
      </w:r>
      <w:r>
        <w:t>item descriptor</w:t>
      </w:r>
      <w:r w:rsidR="00585E64">
        <w:t xml:space="preserve"> to </w:t>
      </w:r>
      <w:r w:rsidR="00C21D88">
        <w:t xml:space="preserve">further </w:t>
      </w:r>
      <w:r w:rsidR="00585E64">
        <w:t>restri</w:t>
      </w:r>
      <w:r w:rsidR="00C21D88">
        <w:t>c</w:t>
      </w:r>
      <w:r w:rsidR="00585E64">
        <w:t>t</w:t>
      </w:r>
      <w:r>
        <w:t xml:space="preserve"> </w:t>
      </w:r>
      <w:r w:rsidRPr="0099165B">
        <w:rPr>
          <w:rFonts w:cstheme="minorHAnsi"/>
        </w:rPr>
        <w:t xml:space="preserve">the </w:t>
      </w:r>
      <w:r>
        <w:rPr>
          <w:rFonts w:cstheme="minorHAnsi"/>
        </w:rPr>
        <w:t xml:space="preserve">proposed </w:t>
      </w:r>
      <w:r w:rsidRPr="0099165B">
        <w:rPr>
          <w:rFonts w:cstheme="minorHAnsi"/>
        </w:rPr>
        <w:t xml:space="preserve">population to </w:t>
      </w:r>
      <w:r>
        <w:rPr>
          <w:rFonts w:cstheme="minorHAnsi"/>
        </w:rPr>
        <w:t>patients with severe pain from a fracture</w:t>
      </w:r>
      <w:r w:rsidR="00131E42">
        <w:rPr>
          <w:rFonts w:cstheme="minorHAnsi"/>
        </w:rPr>
        <w:t xml:space="preserve"> of 3 </w:t>
      </w:r>
      <w:r w:rsidRPr="0099165B">
        <w:rPr>
          <w:rFonts w:cstheme="minorHAnsi"/>
        </w:rPr>
        <w:t>weeks duration or less</w:t>
      </w:r>
      <w:r>
        <w:t xml:space="preserve"> (</w:t>
      </w:r>
      <w:r>
        <w:fldChar w:fldCharType="begin"/>
      </w:r>
      <w:r>
        <w:instrText xml:space="preserve"> REF _Ref522543765 \h </w:instrText>
      </w:r>
      <w:r>
        <w:fldChar w:fldCharType="separate"/>
      </w:r>
      <w:r>
        <w:t xml:space="preserve">Table </w:t>
      </w:r>
      <w:r>
        <w:rPr>
          <w:noProof/>
        </w:rPr>
        <w:t>1</w:t>
      </w:r>
      <w:r>
        <w:fldChar w:fldCharType="end"/>
      </w:r>
      <w:r>
        <w:t xml:space="preserve">). This has changed from the initial submission, which was for </w:t>
      </w:r>
      <w:r w:rsidR="00131E42">
        <w:t>fractures of less than 6 </w:t>
      </w:r>
      <w:r w:rsidRPr="004C1CE4">
        <w:t>weeks duration</w:t>
      </w:r>
      <w:r>
        <w:t>.</w:t>
      </w:r>
    </w:p>
    <w:p w14:paraId="6A4FD18E" w14:textId="77777777" w:rsidR="00C87CCA" w:rsidRDefault="00C87CCA" w:rsidP="00C87CCA"/>
    <w:p w14:paraId="132734F1" w14:textId="00EDB93C" w:rsidR="00C87CCA" w:rsidRDefault="00C87CCA" w:rsidP="00C87CCA">
      <w:pPr>
        <w:rPr>
          <w:iCs/>
        </w:rPr>
      </w:pPr>
      <w:r w:rsidRPr="00B93DE3">
        <w:rPr>
          <w:iCs/>
        </w:rPr>
        <w:t xml:space="preserve">The </w:t>
      </w:r>
      <w:r>
        <w:rPr>
          <w:iCs/>
        </w:rPr>
        <w:t xml:space="preserve">February 2020 Departmental </w:t>
      </w:r>
      <w:r w:rsidRPr="00B93DE3">
        <w:rPr>
          <w:iCs/>
        </w:rPr>
        <w:t>Overview note</w:t>
      </w:r>
      <w:r>
        <w:rPr>
          <w:iCs/>
        </w:rPr>
        <w:t>d</w:t>
      </w:r>
      <w:r w:rsidRPr="00B93DE3">
        <w:rPr>
          <w:iCs/>
        </w:rPr>
        <w:t xml:space="preserve"> that the </w:t>
      </w:r>
      <w:r>
        <w:rPr>
          <w:iCs/>
        </w:rPr>
        <w:t xml:space="preserve">applicant’s </w:t>
      </w:r>
      <w:r w:rsidR="00265FF6">
        <w:rPr>
          <w:iCs/>
        </w:rPr>
        <w:t xml:space="preserve">requested </w:t>
      </w:r>
      <w:r w:rsidRPr="00B93DE3">
        <w:rPr>
          <w:iCs/>
        </w:rPr>
        <w:t>MBS item descriptor d</w:t>
      </w:r>
      <w:r w:rsidR="00C21D88">
        <w:rPr>
          <w:iCs/>
        </w:rPr>
        <w:t>id</w:t>
      </w:r>
      <w:r w:rsidRPr="00B93DE3">
        <w:rPr>
          <w:iCs/>
        </w:rPr>
        <w:t xml:space="preserve"> not specify that patients must have a </w:t>
      </w:r>
      <w:r w:rsidRPr="00C21D88">
        <w:rPr>
          <w:iCs/>
          <w:u w:val="single"/>
        </w:rPr>
        <w:t>thoracolumbar</w:t>
      </w:r>
      <w:r w:rsidRPr="00B93DE3">
        <w:rPr>
          <w:iCs/>
        </w:rPr>
        <w:t xml:space="preserve"> fracture, which </w:t>
      </w:r>
      <w:r w:rsidR="00C21D88">
        <w:rPr>
          <w:iCs/>
        </w:rPr>
        <w:t xml:space="preserve">would </w:t>
      </w:r>
      <w:r w:rsidR="00C21D88">
        <w:rPr>
          <w:iCs/>
        </w:rPr>
        <w:lastRenderedPageBreak/>
        <w:t>mean</w:t>
      </w:r>
      <w:r w:rsidRPr="00B93DE3">
        <w:rPr>
          <w:iCs/>
        </w:rPr>
        <w:t xml:space="preserve"> that patients with other</w:t>
      </w:r>
      <w:r w:rsidR="00131E42">
        <w:rPr>
          <w:iCs/>
        </w:rPr>
        <w:t xml:space="preserve"> types of </w:t>
      </w:r>
      <w:r w:rsidR="00C21D88">
        <w:rPr>
          <w:iCs/>
        </w:rPr>
        <w:t xml:space="preserve">vertebral </w:t>
      </w:r>
      <w:r w:rsidRPr="00B93DE3">
        <w:rPr>
          <w:iCs/>
        </w:rPr>
        <w:t xml:space="preserve">fracture would also be eligible </w:t>
      </w:r>
      <w:r w:rsidR="00131E42">
        <w:rPr>
          <w:iCs/>
        </w:rPr>
        <w:t>for</w:t>
      </w:r>
      <w:r w:rsidRPr="00B93DE3">
        <w:rPr>
          <w:iCs/>
        </w:rPr>
        <w:t xml:space="preserve"> vertebroplasty. </w:t>
      </w:r>
      <w:r>
        <w:rPr>
          <w:iCs/>
        </w:rPr>
        <w:t>The</w:t>
      </w:r>
      <w:r w:rsidRPr="00B93DE3">
        <w:rPr>
          <w:iCs/>
        </w:rPr>
        <w:t xml:space="preserve"> </w:t>
      </w:r>
      <w:r w:rsidR="00BD04F3">
        <w:rPr>
          <w:iCs/>
        </w:rPr>
        <w:t>Departmental</w:t>
      </w:r>
      <w:r>
        <w:rPr>
          <w:iCs/>
        </w:rPr>
        <w:t xml:space="preserve"> </w:t>
      </w:r>
      <w:r w:rsidRPr="00B93DE3">
        <w:rPr>
          <w:iCs/>
        </w:rPr>
        <w:t>Overview</w:t>
      </w:r>
      <w:r>
        <w:rPr>
          <w:iCs/>
        </w:rPr>
        <w:t xml:space="preserve"> </w:t>
      </w:r>
      <w:r w:rsidR="00FA7597">
        <w:rPr>
          <w:iCs/>
        </w:rPr>
        <w:t xml:space="preserve">therefore </w:t>
      </w:r>
      <w:r>
        <w:rPr>
          <w:iCs/>
        </w:rPr>
        <w:t xml:space="preserve">suggested insertion of the </w:t>
      </w:r>
      <w:r w:rsidRPr="00B93DE3">
        <w:rPr>
          <w:iCs/>
        </w:rPr>
        <w:t>word “thoracolumbar” before the first use of the word “vertebral” in the descriptor below to reinforce this intent</w:t>
      </w:r>
      <w:r w:rsidR="00C21D88">
        <w:rPr>
          <w:iCs/>
        </w:rPr>
        <w:t xml:space="preserve"> expressed </w:t>
      </w:r>
      <w:r w:rsidR="008E65E7">
        <w:rPr>
          <w:iCs/>
        </w:rPr>
        <w:t>during the Stakeholder meeting</w:t>
      </w:r>
      <w:r w:rsidRPr="00B93DE3">
        <w:rPr>
          <w:iCs/>
        </w:rPr>
        <w:t>.</w:t>
      </w:r>
    </w:p>
    <w:p w14:paraId="6226BACB" w14:textId="77777777" w:rsidR="00C87CCA" w:rsidRPr="00B93DE3" w:rsidRDefault="00C87CCA" w:rsidP="00C87CCA">
      <w:pPr>
        <w:rPr>
          <w:iCs/>
        </w:rPr>
      </w:pPr>
    </w:p>
    <w:p w14:paraId="02D8F543" w14:textId="2844EF36" w:rsidR="00C87CCA" w:rsidRPr="005E6705" w:rsidRDefault="00C87CCA" w:rsidP="005E6705">
      <w:pPr>
        <w:rPr>
          <w:rFonts w:ascii="Arial Narrow" w:hAnsi="Arial Narrow"/>
          <w:b/>
          <w:sz w:val="20"/>
        </w:rPr>
      </w:pPr>
      <w:bookmarkStart w:id="2" w:name="_Ref522543765"/>
      <w:bookmarkStart w:id="3" w:name="_Toc527050567"/>
      <w:r w:rsidRPr="005E6705">
        <w:rPr>
          <w:rFonts w:ascii="Arial Narrow" w:hAnsi="Arial Narrow"/>
          <w:b/>
          <w:sz w:val="20"/>
        </w:rPr>
        <w:t xml:space="preserve">Table </w:t>
      </w:r>
      <w:r w:rsidR="00723413" w:rsidRPr="005E6705">
        <w:rPr>
          <w:rFonts w:ascii="Arial Narrow" w:hAnsi="Arial Narrow"/>
          <w:b/>
          <w:sz w:val="20"/>
        </w:rPr>
        <w:fldChar w:fldCharType="begin"/>
      </w:r>
      <w:r w:rsidR="00723413" w:rsidRPr="005E6705">
        <w:rPr>
          <w:rFonts w:ascii="Arial Narrow" w:hAnsi="Arial Narrow"/>
          <w:b/>
          <w:sz w:val="20"/>
        </w:rPr>
        <w:instrText xml:space="preserve"> SEQ Table \* ARABIC </w:instrText>
      </w:r>
      <w:r w:rsidR="00723413" w:rsidRPr="005E6705">
        <w:rPr>
          <w:rFonts w:ascii="Arial Narrow" w:hAnsi="Arial Narrow"/>
          <w:b/>
          <w:sz w:val="20"/>
        </w:rPr>
        <w:fldChar w:fldCharType="separate"/>
      </w:r>
      <w:r w:rsidRPr="005E6705">
        <w:rPr>
          <w:rFonts w:ascii="Arial Narrow" w:hAnsi="Arial Narrow"/>
          <w:b/>
          <w:sz w:val="20"/>
        </w:rPr>
        <w:t>1</w:t>
      </w:r>
      <w:r w:rsidR="00723413" w:rsidRPr="005E6705">
        <w:rPr>
          <w:rFonts w:ascii="Arial Narrow" w:hAnsi="Arial Narrow"/>
          <w:b/>
          <w:sz w:val="20"/>
        </w:rPr>
        <w:fldChar w:fldCharType="end"/>
      </w:r>
      <w:bookmarkEnd w:id="2"/>
      <w:r w:rsidRPr="005E6705">
        <w:rPr>
          <w:rFonts w:ascii="Arial Narrow" w:hAnsi="Arial Narrow"/>
          <w:b/>
          <w:sz w:val="20"/>
        </w:rPr>
        <w:t xml:space="preserve"> </w:t>
      </w:r>
      <w:r w:rsidR="00467CF1" w:rsidRPr="005E6705">
        <w:rPr>
          <w:rFonts w:ascii="Arial Narrow" w:hAnsi="Arial Narrow"/>
          <w:b/>
          <w:sz w:val="20"/>
        </w:rPr>
        <w:t xml:space="preserve">Applicant revised requested </w:t>
      </w:r>
      <w:r w:rsidRPr="005E6705">
        <w:rPr>
          <w:rFonts w:ascii="Arial Narrow" w:hAnsi="Arial Narrow"/>
          <w:b/>
          <w:sz w:val="20"/>
        </w:rPr>
        <w:t>MBS item</w:t>
      </w:r>
      <w:bookmarkEnd w:id="3"/>
      <w:r w:rsidR="00467CF1" w:rsidRPr="005E6705">
        <w:rPr>
          <w:rFonts w:ascii="Arial Narrow" w:hAnsi="Arial Narrow"/>
          <w:b/>
          <w:sz w:val="20"/>
        </w:rPr>
        <w:t xml:space="preserve"> with Departmental Overview amendment</w:t>
      </w:r>
    </w:p>
    <w:tbl>
      <w:tblPr>
        <w:tblStyle w:val="TableGrid"/>
        <w:tblW w:w="0" w:type="auto"/>
        <w:tblLook w:val="04A0" w:firstRow="1" w:lastRow="0" w:firstColumn="1" w:lastColumn="0" w:noHBand="0" w:noVBand="1"/>
        <w:tblDescription w:val="Applicant revised requested MBS item with Departmental Overview amendment"/>
      </w:tblPr>
      <w:tblGrid>
        <w:gridCol w:w="9016"/>
      </w:tblGrid>
      <w:tr w:rsidR="00C87CCA" w:rsidRPr="0076327A" w14:paraId="05155C5B" w14:textId="77777777" w:rsidTr="005E6705">
        <w:trPr>
          <w:tblHeader/>
        </w:trPr>
        <w:tc>
          <w:tcPr>
            <w:tcW w:w="9016" w:type="dxa"/>
            <w:hideMark/>
          </w:tcPr>
          <w:p w14:paraId="5845B3F3" w14:textId="77777777" w:rsidR="00C87CCA" w:rsidRPr="0076327A" w:rsidRDefault="00C87CCA" w:rsidP="00BD04F3">
            <w:pPr>
              <w:spacing w:before="60" w:after="60"/>
              <w:rPr>
                <w:rFonts w:ascii="Arial Narrow" w:eastAsia="Calibri" w:hAnsi="Arial Narrow"/>
                <w:sz w:val="20"/>
                <w:lang w:eastAsia="en-US"/>
              </w:rPr>
            </w:pPr>
            <w:r w:rsidRPr="00347A70">
              <w:rPr>
                <w:rFonts w:ascii="Arial Narrow" w:eastAsia="Calibri" w:hAnsi="Arial Narrow"/>
                <w:b/>
                <w:sz w:val="20"/>
                <w:szCs w:val="22"/>
              </w:rPr>
              <w:t>Category 3—therapeutic procedures</w:t>
            </w:r>
          </w:p>
        </w:tc>
      </w:tr>
      <w:tr w:rsidR="00C87CCA" w:rsidRPr="0076327A" w14:paraId="7BC91B99" w14:textId="77777777" w:rsidTr="005E6705">
        <w:tc>
          <w:tcPr>
            <w:tcW w:w="9016" w:type="dxa"/>
          </w:tcPr>
          <w:p w14:paraId="1F84C8D5" w14:textId="080A4612" w:rsidR="00C87CCA" w:rsidRPr="00347A70" w:rsidRDefault="00C87CCA" w:rsidP="00BD04F3">
            <w:pPr>
              <w:widowControl w:val="0"/>
              <w:spacing w:before="60" w:after="60"/>
              <w:jc w:val="both"/>
              <w:rPr>
                <w:rFonts w:ascii="Arial Narrow" w:eastAsia="Calibri" w:hAnsi="Arial Narrow"/>
                <w:strike/>
                <w:sz w:val="20"/>
                <w:szCs w:val="22"/>
              </w:rPr>
            </w:pPr>
            <w:r w:rsidRPr="00347A70">
              <w:rPr>
                <w:rFonts w:ascii="Arial Narrow" w:eastAsia="Calibri" w:hAnsi="Arial Narrow"/>
                <w:sz w:val="20"/>
                <w:szCs w:val="22"/>
              </w:rPr>
              <w:t xml:space="preserve">VERTEBROPLASTY, performed by an interventional radiologist, for the treatment of a painful osteoporotic </w:t>
            </w:r>
            <w:r w:rsidR="00442D6F">
              <w:rPr>
                <w:rFonts w:ascii="Arial Narrow" w:eastAsia="Calibri" w:hAnsi="Arial Narrow"/>
                <w:sz w:val="20"/>
                <w:szCs w:val="22"/>
              </w:rPr>
              <w:t xml:space="preserve">thoracolumbar </w:t>
            </w:r>
            <w:r w:rsidRPr="00347A70">
              <w:rPr>
                <w:rFonts w:ascii="Arial Narrow" w:eastAsia="Calibri" w:hAnsi="Arial Narrow"/>
                <w:sz w:val="20"/>
                <w:szCs w:val="22"/>
              </w:rPr>
              <w:t>vertebral compression fracture, where</w:t>
            </w:r>
          </w:p>
          <w:p w14:paraId="44194894" w14:textId="77777777" w:rsidR="00C87CCA" w:rsidRPr="00347A70" w:rsidRDefault="00C87CCA" w:rsidP="00C87CCA">
            <w:pPr>
              <w:widowControl w:val="0"/>
              <w:numPr>
                <w:ilvl w:val="0"/>
                <w:numId w:val="5"/>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pain is severe (numeric rated pain score ≥7 out of 10);</w:t>
            </w:r>
          </w:p>
          <w:p w14:paraId="19022E42" w14:textId="77777777" w:rsidR="00C87CCA" w:rsidRPr="00347A70" w:rsidRDefault="00C87CCA" w:rsidP="00C87CCA">
            <w:pPr>
              <w:widowControl w:val="0"/>
              <w:numPr>
                <w:ilvl w:val="0"/>
                <w:numId w:val="5"/>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symptoms are poorly controlled by analgesic therapy, namely opiates;</w:t>
            </w:r>
          </w:p>
          <w:p w14:paraId="03B56150" w14:textId="77777777" w:rsidR="00C87CCA" w:rsidRPr="00347A70" w:rsidRDefault="00C87CCA" w:rsidP="00C87CCA">
            <w:pPr>
              <w:widowControl w:val="0"/>
              <w:numPr>
                <w:ilvl w:val="0"/>
                <w:numId w:val="5"/>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 xml:space="preserve">severe pain duration is </w:t>
            </w:r>
            <w:r w:rsidRPr="00C56239">
              <w:rPr>
                <w:rFonts w:ascii="Arial Narrow" w:eastAsia="Calibri" w:hAnsi="Arial Narrow"/>
                <w:sz w:val="20"/>
                <w:szCs w:val="22"/>
              </w:rPr>
              <w:t>≤3 weeks</w:t>
            </w:r>
            <w:r w:rsidRPr="00347A70">
              <w:rPr>
                <w:rFonts w:ascii="Arial Narrow" w:eastAsia="Calibri" w:hAnsi="Arial Narrow"/>
                <w:sz w:val="20"/>
                <w:szCs w:val="22"/>
              </w:rPr>
              <w:t>; and</w:t>
            </w:r>
          </w:p>
          <w:p w14:paraId="6062EA8A" w14:textId="77777777" w:rsidR="00C87CCA" w:rsidRPr="00347A70" w:rsidRDefault="00C87CCA" w:rsidP="00C87CCA">
            <w:pPr>
              <w:widowControl w:val="0"/>
              <w:numPr>
                <w:ilvl w:val="0"/>
                <w:numId w:val="5"/>
              </w:numPr>
              <w:spacing w:before="60" w:after="60" w:line="360" w:lineRule="auto"/>
              <w:jc w:val="both"/>
              <w:rPr>
                <w:rFonts w:ascii="Arial Narrow" w:eastAsia="Calibri" w:hAnsi="Arial Narrow"/>
                <w:sz w:val="20"/>
                <w:szCs w:val="22"/>
              </w:rPr>
            </w:pPr>
            <w:r w:rsidRPr="00347A70">
              <w:rPr>
                <w:rFonts w:ascii="Arial Narrow" w:eastAsia="Calibri" w:hAnsi="Arial Narrow"/>
                <w:sz w:val="20"/>
                <w:szCs w:val="22"/>
              </w:rPr>
              <w:t>there is MRI (or SPECT-CT if MRI unavailable) evidence of acute vertebral fracture</w:t>
            </w:r>
            <w:r>
              <w:rPr>
                <w:rFonts w:ascii="Arial Narrow" w:eastAsia="Calibri" w:hAnsi="Arial Narrow"/>
                <w:sz w:val="20"/>
                <w:szCs w:val="22"/>
              </w:rPr>
              <w:t>.</w:t>
            </w:r>
          </w:p>
          <w:p w14:paraId="4DCC9DFA" w14:textId="77777777" w:rsidR="00C87CCA" w:rsidRPr="00347A70" w:rsidRDefault="00C87CCA" w:rsidP="00BD04F3">
            <w:pPr>
              <w:widowControl w:val="0"/>
              <w:spacing w:before="60" w:after="60"/>
              <w:jc w:val="both"/>
              <w:rPr>
                <w:rFonts w:ascii="Arial Narrow" w:eastAsia="Calibri" w:hAnsi="Arial Narrow"/>
                <w:sz w:val="20"/>
                <w:szCs w:val="22"/>
              </w:rPr>
            </w:pPr>
            <w:r w:rsidRPr="00347A70">
              <w:rPr>
                <w:rFonts w:ascii="Arial Narrow" w:eastAsia="Calibri" w:hAnsi="Arial Narrow"/>
                <w:sz w:val="20"/>
                <w:szCs w:val="22"/>
              </w:rPr>
              <w:t>Not to be performed more</w:t>
            </w:r>
            <w:r>
              <w:rPr>
                <w:rFonts w:ascii="Arial Narrow" w:eastAsia="Calibri" w:hAnsi="Arial Narrow"/>
                <w:sz w:val="20"/>
                <w:szCs w:val="22"/>
              </w:rPr>
              <w:t xml:space="preserve"> than once on the same fracture.</w:t>
            </w:r>
          </w:p>
          <w:p w14:paraId="3DD56499" w14:textId="77777777" w:rsidR="00C87CCA" w:rsidRPr="00347A70" w:rsidRDefault="00C87CCA" w:rsidP="00BD04F3">
            <w:pPr>
              <w:widowControl w:val="0"/>
              <w:spacing w:before="60" w:after="60"/>
              <w:jc w:val="both"/>
              <w:rPr>
                <w:rFonts w:ascii="Arial Narrow" w:eastAsia="Calibri" w:hAnsi="Arial Narrow"/>
                <w:sz w:val="20"/>
                <w:szCs w:val="22"/>
              </w:rPr>
            </w:pPr>
            <w:r w:rsidRPr="00347A70">
              <w:rPr>
                <w:rFonts w:ascii="Arial Narrow" w:eastAsia="Calibri" w:hAnsi="Arial Narrow"/>
                <w:sz w:val="20"/>
                <w:szCs w:val="22"/>
              </w:rPr>
              <w:t>(Anaes.)</w:t>
            </w:r>
          </w:p>
          <w:p w14:paraId="3E81272F" w14:textId="77777777" w:rsidR="00C87CCA" w:rsidRPr="0076327A" w:rsidRDefault="00C87CCA" w:rsidP="00BD04F3">
            <w:pPr>
              <w:rPr>
                <w:rFonts w:ascii="Arial Narrow" w:eastAsia="Calibri" w:hAnsi="Arial Narrow"/>
                <w:sz w:val="20"/>
                <w:lang w:eastAsia="en-US"/>
              </w:rPr>
            </w:pPr>
            <w:r w:rsidRPr="00347A70">
              <w:rPr>
                <w:rFonts w:ascii="Arial Narrow" w:eastAsia="Calibri" w:hAnsi="Arial Narrow"/>
                <w:sz w:val="20"/>
                <w:szCs w:val="22"/>
              </w:rPr>
              <w:t>MBS Fee: $700</w:t>
            </w:r>
          </w:p>
        </w:tc>
      </w:tr>
    </w:tbl>
    <w:p w14:paraId="6D34C181" w14:textId="77777777" w:rsidR="00C87CCA" w:rsidRPr="00B0650B" w:rsidRDefault="00C87CCA" w:rsidP="00C87CCA">
      <w:pPr>
        <w:pStyle w:val="TablesTHEMA"/>
        <w:rPr>
          <w:rFonts w:ascii="Arial Narrow" w:hAnsi="Arial Narrow"/>
        </w:rPr>
      </w:pPr>
      <w:r>
        <w:rPr>
          <w:rFonts w:ascii="Arial Narrow" w:hAnsi="Arial Narrow"/>
        </w:rPr>
        <w:t xml:space="preserve">Source: Table 1, p3 of the February 2020 Departmental Overview </w:t>
      </w:r>
    </w:p>
    <w:p w14:paraId="1BF054B2" w14:textId="77777777" w:rsidR="00003F5A" w:rsidRPr="00F715D1" w:rsidRDefault="00003F5A" w:rsidP="00003F5A">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6DEDFA9E" w14:textId="182E57F6" w:rsidR="00C87CCA" w:rsidRDefault="00C87CCA" w:rsidP="00C87CCA">
      <w:pPr>
        <w:spacing w:after="240"/>
      </w:pPr>
      <w:r>
        <w:t>Twenty-three responses were previously received in the consultation feedback;</w:t>
      </w:r>
      <w:r w:rsidRPr="00E86FB9">
        <w:t xml:space="preserve"> </w:t>
      </w:r>
      <w:r>
        <w:t xml:space="preserve">see </w:t>
      </w:r>
      <w:hyperlink r:id="rId12" w:tooltip="Link to MSAC website page for application 1466" w:history="1">
        <w:r w:rsidRPr="009B17D0">
          <w:rPr>
            <w:rStyle w:val="Hyperlink"/>
          </w:rPr>
          <w:t>PSD Applica</w:t>
        </w:r>
        <w:r>
          <w:rPr>
            <w:rStyle w:val="Hyperlink"/>
          </w:rPr>
          <w:t>tion</w:t>
        </w:r>
        <w:r w:rsidRPr="009B17D0">
          <w:rPr>
            <w:rStyle w:val="Hyperlink"/>
          </w:rPr>
          <w:t xml:space="preserve"> No. 1466</w:t>
        </w:r>
      </w:hyperlink>
      <w:r>
        <w:t>, Nov 2018/March 2019 p10</w:t>
      </w:r>
      <w:r w:rsidRPr="00393C51">
        <w:t>.</w:t>
      </w:r>
    </w:p>
    <w:p w14:paraId="5DB463F3" w14:textId="2D6E9A93" w:rsidR="00C87CCA" w:rsidRDefault="00C87CCA" w:rsidP="00C87CCA">
      <w:r>
        <w:t xml:space="preserve">A MSAC Stakeholder Meeting for vertebroplasty was held on 7 June 2019 with </w:t>
      </w:r>
      <w:r w:rsidRPr="00E86FB9">
        <w:t>members of MSAC, clinicians with experience and expertise in geriatric medicine, interventional radiology and spinal surgery; representatives of the applicant; representatives from consumer organisations; and representatives from the Department of Health</w:t>
      </w:r>
      <w:r>
        <w:t xml:space="preserve">. See </w:t>
      </w:r>
      <w:hyperlink r:id="rId13" w:tooltip="Link to MSAC website page for application 1466" w:history="1">
        <w:r w:rsidRPr="00E86FB9">
          <w:rPr>
            <w:rStyle w:val="Hyperlink"/>
          </w:rPr>
          <w:t>Final Stakeholder Minutes Application No. 1466</w:t>
        </w:r>
      </w:hyperlink>
      <w:r>
        <w:t>, June 2019.</w:t>
      </w:r>
    </w:p>
    <w:p w14:paraId="6C6B587C" w14:textId="77777777" w:rsidR="00003F5A" w:rsidRPr="00F715D1" w:rsidRDefault="00003F5A" w:rsidP="00003F5A">
      <w:pPr>
        <w:pStyle w:val="Heading1"/>
      </w:pPr>
      <w:r w:rsidRPr="00F715D1">
        <w:t>Proposed intervention’s place in clinical management</w:t>
      </w:r>
    </w:p>
    <w:p w14:paraId="0E42207E" w14:textId="3B24D138" w:rsidR="00C87CCA" w:rsidRPr="00B02E35" w:rsidRDefault="00C87CCA" w:rsidP="00C87CCA">
      <w:pPr>
        <w:spacing w:after="240"/>
      </w:pPr>
      <w:r>
        <w:t>With the exception of further refining the eligible population, the clinical management algorithm for the proposed intervention remain</w:t>
      </w:r>
      <w:r w:rsidR="00442D6F">
        <w:t>ed</w:t>
      </w:r>
      <w:r>
        <w:t xml:space="preserve"> unchanged; see </w:t>
      </w:r>
      <w:hyperlink r:id="rId14" w:tooltip="Link to MSAC website page for application 1466" w:history="1">
        <w:r w:rsidRPr="009B17D0">
          <w:rPr>
            <w:rStyle w:val="Hyperlink"/>
          </w:rPr>
          <w:t>PSD Applica</w:t>
        </w:r>
        <w:r>
          <w:rPr>
            <w:rStyle w:val="Hyperlink"/>
          </w:rPr>
          <w:t>tion</w:t>
        </w:r>
        <w:r w:rsidRPr="009B17D0">
          <w:rPr>
            <w:rStyle w:val="Hyperlink"/>
          </w:rPr>
          <w:t xml:space="preserve"> No. 1466</w:t>
        </w:r>
      </w:hyperlink>
      <w:r>
        <w:t>, Nov 2018/March 2019 p10</w:t>
      </w:r>
      <w:r w:rsidRPr="00393C51">
        <w:t>.</w:t>
      </w:r>
    </w:p>
    <w:p w14:paraId="19E53567" w14:textId="24387C1C" w:rsidR="00003F5A" w:rsidRPr="00F715D1" w:rsidRDefault="00003F5A" w:rsidP="00003F5A">
      <w:pPr>
        <w:pStyle w:val="Heading1"/>
      </w:pPr>
      <w:r w:rsidRPr="00F715D1">
        <w:t>Co</w:t>
      </w:r>
      <w:r w:rsidR="00442D6F">
        <w:t>mparator</w:t>
      </w:r>
    </w:p>
    <w:p w14:paraId="093E69AB" w14:textId="152536E0" w:rsidR="00C87CCA" w:rsidRDefault="00C87CCA" w:rsidP="00C87CCA">
      <w:r w:rsidRPr="00301613">
        <w:t>The comparator remain</w:t>
      </w:r>
      <w:r w:rsidR="00442D6F">
        <w:t>ed</w:t>
      </w:r>
      <w:r w:rsidRPr="00301613">
        <w:t xml:space="preserve"> </w:t>
      </w:r>
      <w:r>
        <w:t>‘</w:t>
      </w:r>
      <w:r w:rsidRPr="00301613">
        <w:t>intensified and extended conservative medical therapy</w:t>
      </w:r>
      <w:r>
        <w:t>’</w:t>
      </w:r>
      <w:r w:rsidRPr="00301613">
        <w:t xml:space="preserve"> (represented by placebo/sham injection in the available clinical evidence).</w:t>
      </w:r>
    </w:p>
    <w:p w14:paraId="3A686FE8" w14:textId="77777777" w:rsidR="00003F5A" w:rsidRPr="00F715D1" w:rsidRDefault="00003F5A" w:rsidP="00003F5A">
      <w:pPr>
        <w:pStyle w:val="Heading1"/>
      </w:pPr>
      <w:r w:rsidRPr="00F715D1">
        <w:t>Comparative safety</w:t>
      </w:r>
    </w:p>
    <w:p w14:paraId="5399E641" w14:textId="77777777" w:rsidR="00C87CCA" w:rsidRPr="00C92A96" w:rsidRDefault="00C87CCA" w:rsidP="00C87CCA">
      <w:pPr>
        <w:pStyle w:val="Heading2"/>
      </w:pPr>
      <w:r w:rsidRPr="00C92A96">
        <w:t>Summary of new comparative safety data for consideration</w:t>
      </w:r>
    </w:p>
    <w:p w14:paraId="522336AF" w14:textId="0F9299FE" w:rsidR="00C87CCA" w:rsidRDefault="00C87CCA" w:rsidP="00C87CCA">
      <w:r>
        <w:t xml:space="preserve">New comparative evidence included a subgroup analysis of patients with </w:t>
      </w:r>
      <w:r w:rsidRPr="0051292F">
        <w:t xml:space="preserve">fracture duration </w:t>
      </w:r>
      <w:r>
        <w:t>≤</w:t>
      </w:r>
      <w:r w:rsidRPr="0051292F">
        <w:t>3</w:t>
      </w:r>
      <w:r>
        <w:t> </w:t>
      </w:r>
      <w:r w:rsidRPr="0051292F">
        <w:t xml:space="preserve">weeks from </w:t>
      </w:r>
      <w:r>
        <w:t xml:space="preserve">the VAPOUR trial (published manuscript Diamond et al. </w:t>
      </w:r>
      <w:r w:rsidRPr="00B25594">
        <w:t>20</w:t>
      </w:r>
      <w:r w:rsidR="00074048">
        <w:t>20</w:t>
      </w:r>
      <w:r>
        <w:t>), the</w:t>
      </w:r>
      <w:r w:rsidRPr="00993B36">
        <w:t xml:space="preserve"> American Society for Bone and Mineral Research (ASBMR) Task Force Report (Ebling</w:t>
      </w:r>
      <w:r>
        <w:t xml:space="preserve"> et al.</w:t>
      </w:r>
      <w:r w:rsidRPr="00993B36">
        <w:t xml:space="preserve"> 2019), </w:t>
      </w:r>
      <w:r>
        <w:t>and one meta-analysis (</w:t>
      </w:r>
      <w:r w:rsidRPr="00993B36">
        <w:t>Lou</w:t>
      </w:r>
      <w:r>
        <w:t xml:space="preserve"> et al.</w:t>
      </w:r>
      <w:r w:rsidRPr="00993B36">
        <w:t xml:space="preserve"> 2019).</w:t>
      </w:r>
      <w:r>
        <w:t xml:space="preserve"> The applicant’s “advice to ESC December 2019” also summarised the publication by Yang et al. (2016). </w:t>
      </w:r>
      <w:r w:rsidRPr="00CD62A6">
        <w:t xml:space="preserve">The </w:t>
      </w:r>
      <w:r>
        <w:t>February 2020</w:t>
      </w:r>
      <w:r w:rsidR="00464ED7">
        <w:t xml:space="preserve"> Departmental</w:t>
      </w:r>
      <w:r>
        <w:t xml:space="preserve"> Overview identified additional relevant evidence - one retrospective study (Hsieh et al. 2019), and one prospective study (Mazzantini et al. 2019</w:t>
      </w:r>
      <w:r w:rsidRPr="00CD62A6">
        <w:t>)</w:t>
      </w:r>
      <w:r>
        <w:t xml:space="preserve"> - although these additional studies do not provide direct evidence for comparative safety.</w:t>
      </w:r>
    </w:p>
    <w:p w14:paraId="2BF5C712" w14:textId="77777777" w:rsidR="00C87CCA" w:rsidRDefault="00C87CCA" w:rsidP="00C87CCA">
      <w:pPr>
        <w:tabs>
          <w:tab w:val="left" w:pos="720"/>
          <w:tab w:val="left" w:pos="1140"/>
        </w:tabs>
      </w:pPr>
    </w:p>
    <w:p w14:paraId="0EE2BBCF" w14:textId="3DD44DA8" w:rsidR="00C87CCA" w:rsidRDefault="00C87CCA" w:rsidP="00C87CCA">
      <w:pPr>
        <w:tabs>
          <w:tab w:val="left" w:pos="720"/>
          <w:tab w:val="left" w:pos="1140"/>
        </w:tabs>
      </w:pPr>
      <w:r>
        <w:t>The published manuscript by Diamond et al. (</w:t>
      </w:r>
      <w:r w:rsidRPr="00B25594">
        <w:t>20</w:t>
      </w:r>
      <w:r w:rsidR="00074048">
        <w:t>20</w:t>
      </w:r>
      <w:r>
        <w:t>) presents a subgroup analysis</w:t>
      </w:r>
      <w:r w:rsidRPr="00562BD6">
        <w:t xml:space="preserve"> of </w:t>
      </w:r>
      <w:r>
        <w:t>93</w:t>
      </w:r>
      <w:r w:rsidR="00074048">
        <w:t> </w:t>
      </w:r>
      <w:r w:rsidRPr="00562BD6">
        <w:t xml:space="preserve">patients with fracture duration </w:t>
      </w:r>
      <w:r>
        <w:t>≤</w:t>
      </w:r>
      <w:r w:rsidR="00131E42">
        <w:t>3 </w:t>
      </w:r>
      <w:r w:rsidRPr="00562BD6">
        <w:t>weeks from</w:t>
      </w:r>
      <w:r>
        <w:t xml:space="preserve"> the VAPOUR trial to support the claim that there was no difference in new fracture incidence on 60-month radiographs between the vertebroplasty (3/46 patients) and placebo (2/47 patients) groups.</w:t>
      </w:r>
    </w:p>
    <w:p w14:paraId="2B4BA581" w14:textId="77777777" w:rsidR="00C87CCA" w:rsidRDefault="00C87CCA" w:rsidP="00C87CCA">
      <w:pPr>
        <w:tabs>
          <w:tab w:val="left" w:pos="720"/>
          <w:tab w:val="left" w:pos="1140"/>
        </w:tabs>
      </w:pPr>
    </w:p>
    <w:p w14:paraId="10190D46" w14:textId="77777777" w:rsidR="00C87CCA" w:rsidRDefault="00C87CCA" w:rsidP="00C87CCA">
      <w:pPr>
        <w:tabs>
          <w:tab w:val="left" w:pos="720"/>
          <w:tab w:val="left" w:pos="1140"/>
        </w:tabs>
      </w:pPr>
      <w:r>
        <w:t xml:space="preserve">The authors of the ASBMR Task Force Report </w:t>
      </w:r>
      <w:r w:rsidRPr="00993B36">
        <w:t>(Eb</w:t>
      </w:r>
      <w:r>
        <w:t>e</w:t>
      </w:r>
      <w:r w:rsidRPr="00993B36">
        <w:t>ling</w:t>
      </w:r>
      <w:r>
        <w:t xml:space="preserve"> et al.</w:t>
      </w:r>
      <w:r w:rsidRPr="00993B36">
        <w:t xml:space="preserve"> 2019),</w:t>
      </w:r>
      <w:r>
        <w:t xml:space="preserve"> based on the evidence reviewed, were un</w:t>
      </w:r>
      <w:r w:rsidRPr="0044050E">
        <w:t>certain whether vertebroplasty increa</w:t>
      </w:r>
      <w:r>
        <w:t xml:space="preserve">sed the risk of new symptomatic/ radiographic </w:t>
      </w:r>
      <w:r w:rsidRPr="0044050E">
        <w:t>vertebral fractures</w:t>
      </w:r>
      <w:r>
        <w:t xml:space="preserve"> or related serious adverse events (AEs). S</w:t>
      </w:r>
      <w:r w:rsidRPr="0044050E">
        <w:t xml:space="preserve">erious AEs reported </w:t>
      </w:r>
      <w:r>
        <w:t xml:space="preserve">across the studies reviewed in the Report </w:t>
      </w:r>
      <w:r w:rsidRPr="0044050E">
        <w:t xml:space="preserve">included osteomyelitis requiring surgical drainage, rib and pedicle fractures, thecal sac injury, vasovagal reactions, acute asthma exacerbation, cord compression requiring immediate decompression, hypoxia and respiratory failure. Cement leakage was reported in up to 78% of cases, but </w:t>
      </w:r>
      <w:r>
        <w:t>the ASBMR Task Force Report</w:t>
      </w:r>
      <w:r w:rsidRPr="0044050E">
        <w:t xml:space="preserve"> was not </w:t>
      </w:r>
      <w:r>
        <w:t>able</w:t>
      </w:r>
      <w:r w:rsidRPr="0044050E">
        <w:t xml:space="preserve"> to determine the rate of significant sequelae </w:t>
      </w:r>
      <w:r>
        <w:t>as a consequence of</w:t>
      </w:r>
      <w:r w:rsidRPr="0044050E">
        <w:t xml:space="preserve"> cement leakage or embolism</w:t>
      </w:r>
      <w:r>
        <w:t>,</w:t>
      </w:r>
      <w:r w:rsidRPr="0044050E">
        <w:t xml:space="preserve"> due to the small number of </w:t>
      </w:r>
      <w:r>
        <w:t xml:space="preserve">these </w:t>
      </w:r>
      <w:r w:rsidRPr="0044050E">
        <w:t>events.</w:t>
      </w:r>
    </w:p>
    <w:p w14:paraId="2C1EEDE1" w14:textId="77777777" w:rsidR="00C87CCA" w:rsidRDefault="00C87CCA" w:rsidP="00C87CCA">
      <w:pPr>
        <w:tabs>
          <w:tab w:val="left" w:pos="720"/>
          <w:tab w:val="left" w:pos="1140"/>
        </w:tabs>
      </w:pPr>
    </w:p>
    <w:p w14:paraId="39989419" w14:textId="610E3C1D" w:rsidR="00C87CCA" w:rsidRDefault="00C87CCA" w:rsidP="00C87CCA">
      <w:pPr>
        <w:tabs>
          <w:tab w:val="left" w:pos="720"/>
          <w:tab w:val="left" w:pos="1140"/>
        </w:tabs>
      </w:pPr>
      <w:r>
        <w:t>The meta-analysis by Lou et al. (2019)</w:t>
      </w:r>
      <w:r w:rsidRPr="00F4551F">
        <w:t xml:space="preserve"> stated that slightly higher rates of new vertebral fractures were found in the vertebroplasty group (116 fractures in 706 patients [16.43%]) compared to the control group (111 fractures in 701 patients [15.83%]). The difference was not statistically significantly different (</w:t>
      </w:r>
      <w:r>
        <w:t>relative risk [</w:t>
      </w:r>
      <w:r w:rsidRPr="00F4551F">
        <w:t>RR</w:t>
      </w:r>
      <w:r>
        <w:t xml:space="preserve">] </w:t>
      </w:r>
      <w:r w:rsidRPr="00F4551F">
        <w:t>=</w:t>
      </w:r>
      <w:r>
        <w:t xml:space="preserve"> </w:t>
      </w:r>
      <w:r w:rsidRPr="00F4551F">
        <w:t xml:space="preserve">0.97; 95% </w:t>
      </w:r>
      <w:r>
        <w:t>confidence interval [</w:t>
      </w:r>
      <w:r w:rsidRPr="00F4551F">
        <w:t>CI</w:t>
      </w:r>
      <w:r>
        <w:t>]</w:t>
      </w:r>
      <w:r w:rsidRPr="00F4551F">
        <w:t>: 0.63, 1.49).</w:t>
      </w:r>
      <w:r>
        <w:t xml:space="preserve"> The November 2019 Department</w:t>
      </w:r>
      <w:r w:rsidR="00FA7597">
        <w:t>al</w:t>
      </w:r>
      <w:r>
        <w:t xml:space="preserve"> Overview noted that these results correspond with results</w:t>
      </w:r>
      <w:r w:rsidRPr="004D5954">
        <w:t xml:space="preserve"> observed in the 2018 Cochrane Review</w:t>
      </w:r>
      <w:r>
        <w:t xml:space="preserve"> (Buchbinder et al. 2018). A summary of the similarities and differences in the analyses and findings by Lou et al. 2019 and the 2018 Cochrane Review are shown below in </w:t>
      </w:r>
      <w:r>
        <w:fldChar w:fldCharType="begin"/>
      </w:r>
      <w:r>
        <w:instrText xml:space="preserve"> REF _Ref31192466 \h </w:instrText>
      </w:r>
      <w:r>
        <w:fldChar w:fldCharType="separate"/>
      </w:r>
      <w:r>
        <w:t xml:space="preserve">Table </w:t>
      </w:r>
      <w:r>
        <w:rPr>
          <w:noProof/>
        </w:rPr>
        <w:t>2</w:t>
      </w:r>
      <w:r>
        <w:fldChar w:fldCharType="end"/>
      </w:r>
      <w:r>
        <w:t>.</w:t>
      </w:r>
    </w:p>
    <w:p w14:paraId="2D76683D" w14:textId="77777777" w:rsidR="00C87CCA" w:rsidRDefault="00C87CCA" w:rsidP="00C87CCA">
      <w:pPr>
        <w:tabs>
          <w:tab w:val="left" w:pos="720"/>
          <w:tab w:val="left" w:pos="1140"/>
        </w:tabs>
      </w:pPr>
    </w:p>
    <w:p w14:paraId="3289A7E1" w14:textId="77777777" w:rsidR="00C87CCA" w:rsidRPr="005E6705" w:rsidRDefault="00C87CCA" w:rsidP="005E6705">
      <w:pPr>
        <w:rPr>
          <w:rFonts w:ascii="Arial Narrow" w:hAnsi="Arial Narrow"/>
          <w:b/>
          <w:sz w:val="20"/>
        </w:rPr>
      </w:pPr>
      <w:bookmarkStart w:id="4" w:name="_Ref31192466"/>
      <w:r w:rsidRPr="005E6705">
        <w:rPr>
          <w:rFonts w:ascii="Arial Narrow" w:hAnsi="Arial Narrow"/>
          <w:b/>
          <w:sz w:val="20"/>
        </w:rPr>
        <w:t xml:space="preserve">Table </w:t>
      </w:r>
      <w:r w:rsidR="00723413" w:rsidRPr="005E6705">
        <w:rPr>
          <w:rFonts w:ascii="Arial Narrow" w:hAnsi="Arial Narrow"/>
          <w:b/>
          <w:sz w:val="20"/>
        </w:rPr>
        <w:fldChar w:fldCharType="begin"/>
      </w:r>
      <w:r w:rsidR="00723413" w:rsidRPr="005E6705">
        <w:rPr>
          <w:rFonts w:ascii="Arial Narrow" w:hAnsi="Arial Narrow"/>
          <w:b/>
          <w:sz w:val="20"/>
        </w:rPr>
        <w:instrText xml:space="preserve"> SEQ Table \* ARABIC </w:instrText>
      </w:r>
      <w:r w:rsidR="00723413" w:rsidRPr="005E6705">
        <w:rPr>
          <w:rFonts w:ascii="Arial Narrow" w:hAnsi="Arial Narrow"/>
          <w:b/>
          <w:sz w:val="20"/>
        </w:rPr>
        <w:fldChar w:fldCharType="separate"/>
      </w:r>
      <w:r w:rsidRPr="005E6705">
        <w:rPr>
          <w:rFonts w:ascii="Arial Narrow" w:hAnsi="Arial Narrow"/>
          <w:b/>
          <w:sz w:val="20"/>
        </w:rPr>
        <w:t>2</w:t>
      </w:r>
      <w:r w:rsidR="00723413" w:rsidRPr="005E6705">
        <w:rPr>
          <w:rFonts w:ascii="Arial Narrow" w:hAnsi="Arial Narrow"/>
          <w:b/>
          <w:sz w:val="20"/>
        </w:rPr>
        <w:fldChar w:fldCharType="end"/>
      </w:r>
      <w:bookmarkEnd w:id="4"/>
      <w:r w:rsidRPr="005E6705">
        <w:rPr>
          <w:rFonts w:ascii="Arial Narrow" w:hAnsi="Arial Narrow"/>
          <w:b/>
          <w:sz w:val="20"/>
        </w:rPr>
        <w:t xml:space="preserve"> Similarities and differences between the meta-analyses in Lou et al. (2019) and the 2018 Cochrane Review – safety outcomes</w:t>
      </w:r>
    </w:p>
    <w:tbl>
      <w:tblPr>
        <w:tblStyle w:val="TableGrid"/>
        <w:tblW w:w="8926" w:type="dxa"/>
        <w:tblCellMar>
          <w:left w:w="28" w:type="dxa"/>
          <w:right w:w="28" w:type="dxa"/>
        </w:tblCellMar>
        <w:tblLook w:val="04A0" w:firstRow="1" w:lastRow="0" w:firstColumn="1" w:lastColumn="0" w:noHBand="0" w:noVBand="1"/>
        <w:tblDescription w:val="Similarities and differences between the meta-analyses in Lou et al. (2019) and the 2018 Cochrane Review – safety outcomes"/>
      </w:tblPr>
      <w:tblGrid>
        <w:gridCol w:w="964"/>
        <w:gridCol w:w="1583"/>
        <w:gridCol w:w="605"/>
        <w:gridCol w:w="686"/>
        <w:gridCol w:w="790"/>
        <w:gridCol w:w="1489"/>
        <w:gridCol w:w="429"/>
        <w:gridCol w:w="2380"/>
      </w:tblGrid>
      <w:tr w:rsidR="00C87CCA" w:rsidRPr="00962EEA" w14:paraId="0D2BBFE7" w14:textId="77777777" w:rsidTr="00BD04F3">
        <w:trPr>
          <w:tblHeader/>
        </w:trPr>
        <w:tc>
          <w:tcPr>
            <w:tcW w:w="964" w:type="dxa"/>
            <w:vMerge w:val="restart"/>
            <w:vAlign w:val="center"/>
          </w:tcPr>
          <w:p w14:paraId="65FA33A9" w14:textId="77777777" w:rsidR="00C87CCA" w:rsidRPr="00781998" w:rsidRDefault="00C87CCA" w:rsidP="00BD04F3">
            <w:pPr>
              <w:rPr>
                <w:rFonts w:ascii="Arial Narrow" w:hAnsi="Arial Narrow"/>
                <w:b/>
                <w:bCs/>
                <w:sz w:val="20"/>
              </w:rPr>
            </w:pPr>
          </w:p>
        </w:tc>
        <w:tc>
          <w:tcPr>
            <w:tcW w:w="1583" w:type="dxa"/>
            <w:vMerge w:val="restart"/>
            <w:vAlign w:val="center"/>
          </w:tcPr>
          <w:p w14:paraId="4A9CBAD4" w14:textId="77777777" w:rsidR="00C87CCA" w:rsidRPr="000516EE" w:rsidRDefault="00C87CCA" w:rsidP="00BD04F3">
            <w:pPr>
              <w:jc w:val="center"/>
              <w:rPr>
                <w:rFonts w:ascii="Arial Narrow" w:hAnsi="Arial Narrow"/>
                <w:b/>
                <w:bCs/>
                <w:sz w:val="20"/>
              </w:rPr>
            </w:pPr>
            <w:r w:rsidRPr="000516EE">
              <w:rPr>
                <w:rFonts w:ascii="Arial Narrow" w:hAnsi="Arial Narrow"/>
                <w:b/>
                <w:bCs/>
                <w:sz w:val="20"/>
              </w:rPr>
              <w:t>Fracture type</w:t>
            </w:r>
          </w:p>
        </w:tc>
        <w:tc>
          <w:tcPr>
            <w:tcW w:w="605" w:type="dxa"/>
            <w:vMerge w:val="restart"/>
            <w:vAlign w:val="center"/>
          </w:tcPr>
          <w:p w14:paraId="79B82816" w14:textId="77777777" w:rsidR="00C87CCA" w:rsidRDefault="00C87CCA" w:rsidP="00BD04F3">
            <w:pPr>
              <w:jc w:val="center"/>
              <w:rPr>
                <w:rFonts w:ascii="Arial Narrow" w:hAnsi="Arial Narrow"/>
                <w:b/>
                <w:bCs/>
                <w:sz w:val="20"/>
              </w:rPr>
            </w:pPr>
            <w:r>
              <w:rPr>
                <w:rFonts w:ascii="Arial Narrow" w:hAnsi="Arial Narrow"/>
                <w:b/>
                <w:bCs/>
                <w:sz w:val="20"/>
              </w:rPr>
              <w:t>Trial N</w:t>
            </w:r>
          </w:p>
        </w:tc>
        <w:tc>
          <w:tcPr>
            <w:tcW w:w="1476" w:type="dxa"/>
            <w:gridSpan w:val="2"/>
            <w:vAlign w:val="center"/>
          </w:tcPr>
          <w:p w14:paraId="28E6C25D" w14:textId="77777777" w:rsidR="00C87CCA" w:rsidRPr="00781998" w:rsidRDefault="00C87CCA" w:rsidP="00BD04F3">
            <w:pPr>
              <w:jc w:val="center"/>
              <w:rPr>
                <w:rFonts w:ascii="Arial Narrow" w:hAnsi="Arial Narrow"/>
                <w:b/>
                <w:bCs/>
                <w:sz w:val="20"/>
              </w:rPr>
            </w:pPr>
            <w:r w:rsidRPr="00EB24F0">
              <w:rPr>
                <w:rFonts w:ascii="Arial Narrow" w:hAnsi="Arial Narrow"/>
                <w:b/>
                <w:bCs/>
                <w:sz w:val="20"/>
              </w:rPr>
              <w:t>Patient N</w:t>
            </w:r>
          </w:p>
        </w:tc>
        <w:tc>
          <w:tcPr>
            <w:tcW w:w="1489" w:type="dxa"/>
            <w:vMerge w:val="restart"/>
            <w:vAlign w:val="center"/>
          </w:tcPr>
          <w:p w14:paraId="37BB32B1" w14:textId="77777777" w:rsidR="00C87CCA" w:rsidRPr="00781998" w:rsidRDefault="00C87CCA" w:rsidP="00BD04F3">
            <w:pPr>
              <w:jc w:val="center"/>
              <w:rPr>
                <w:rFonts w:ascii="Arial Narrow" w:hAnsi="Arial Narrow"/>
                <w:b/>
                <w:bCs/>
                <w:sz w:val="20"/>
              </w:rPr>
            </w:pPr>
            <w:r w:rsidRPr="00781998">
              <w:rPr>
                <w:rFonts w:ascii="Arial Narrow" w:hAnsi="Arial Narrow"/>
                <w:b/>
                <w:bCs/>
                <w:sz w:val="20"/>
              </w:rPr>
              <w:t>RR (95% CI)</w:t>
            </w:r>
          </w:p>
        </w:tc>
        <w:tc>
          <w:tcPr>
            <w:tcW w:w="429" w:type="dxa"/>
            <w:vMerge w:val="restart"/>
            <w:vAlign w:val="center"/>
          </w:tcPr>
          <w:p w14:paraId="23948007" w14:textId="77777777" w:rsidR="00C87CCA" w:rsidRPr="00781998" w:rsidRDefault="00C87CCA" w:rsidP="00BD04F3">
            <w:pPr>
              <w:jc w:val="center"/>
              <w:rPr>
                <w:rFonts w:ascii="Arial Narrow" w:hAnsi="Arial Narrow"/>
                <w:b/>
                <w:bCs/>
                <w:sz w:val="20"/>
              </w:rPr>
            </w:pPr>
            <w:r w:rsidRPr="00781998">
              <w:rPr>
                <w:rFonts w:ascii="Arial Narrow" w:hAnsi="Arial Narrow"/>
                <w:b/>
                <w:bCs/>
                <w:sz w:val="20"/>
              </w:rPr>
              <w:t>I</w:t>
            </w:r>
            <w:r w:rsidRPr="00781998">
              <w:rPr>
                <w:rFonts w:ascii="Arial Narrow" w:hAnsi="Arial Narrow"/>
                <w:b/>
                <w:bCs/>
                <w:sz w:val="20"/>
                <w:vertAlign w:val="superscript"/>
              </w:rPr>
              <w:t>2</w:t>
            </w:r>
          </w:p>
        </w:tc>
        <w:tc>
          <w:tcPr>
            <w:tcW w:w="2380" w:type="dxa"/>
            <w:vMerge w:val="restart"/>
            <w:vAlign w:val="center"/>
          </w:tcPr>
          <w:p w14:paraId="13004A36" w14:textId="77777777" w:rsidR="00C87CCA" w:rsidRDefault="00C87CCA" w:rsidP="00BD04F3">
            <w:pPr>
              <w:jc w:val="center"/>
              <w:rPr>
                <w:rFonts w:ascii="Arial Narrow" w:hAnsi="Arial Narrow"/>
                <w:b/>
                <w:bCs/>
                <w:sz w:val="20"/>
              </w:rPr>
            </w:pPr>
            <w:r>
              <w:rPr>
                <w:rFonts w:ascii="Arial Narrow" w:hAnsi="Arial Narrow"/>
                <w:b/>
                <w:bCs/>
                <w:sz w:val="20"/>
              </w:rPr>
              <w:t>Included trials</w:t>
            </w:r>
          </w:p>
        </w:tc>
      </w:tr>
      <w:tr w:rsidR="00C87CCA" w:rsidRPr="00962EEA" w14:paraId="4DC194B9" w14:textId="77777777" w:rsidTr="00BD04F3">
        <w:tc>
          <w:tcPr>
            <w:tcW w:w="964" w:type="dxa"/>
            <w:vMerge/>
            <w:vAlign w:val="center"/>
          </w:tcPr>
          <w:p w14:paraId="626DC2EE" w14:textId="77777777" w:rsidR="00C87CCA" w:rsidRPr="00781998" w:rsidRDefault="00C87CCA" w:rsidP="00BD04F3">
            <w:pPr>
              <w:rPr>
                <w:rFonts w:ascii="Arial Narrow" w:hAnsi="Arial Narrow"/>
                <w:b/>
                <w:bCs/>
                <w:sz w:val="20"/>
              </w:rPr>
            </w:pPr>
          </w:p>
        </w:tc>
        <w:tc>
          <w:tcPr>
            <w:tcW w:w="1583" w:type="dxa"/>
            <w:vMerge/>
            <w:vAlign w:val="center"/>
          </w:tcPr>
          <w:p w14:paraId="27DBFF47" w14:textId="77777777" w:rsidR="00C87CCA" w:rsidRDefault="00C87CCA" w:rsidP="00BD04F3">
            <w:pPr>
              <w:jc w:val="center"/>
              <w:rPr>
                <w:rFonts w:ascii="Arial Narrow" w:hAnsi="Arial Narrow"/>
                <w:sz w:val="20"/>
              </w:rPr>
            </w:pPr>
          </w:p>
        </w:tc>
        <w:tc>
          <w:tcPr>
            <w:tcW w:w="605" w:type="dxa"/>
            <w:vMerge/>
            <w:vAlign w:val="center"/>
          </w:tcPr>
          <w:p w14:paraId="3DDCFFF7" w14:textId="77777777" w:rsidR="00C87CCA" w:rsidRDefault="00C87CCA" w:rsidP="00BD04F3">
            <w:pPr>
              <w:jc w:val="center"/>
              <w:rPr>
                <w:rFonts w:ascii="Arial Narrow" w:hAnsi="Arial Narrow"/>
                <w:sz w:val="20"/>
              </w:rPr>
            </w:pPr>
          </w:p>
        </w:tc>
        <w:tc>
          <w:tcPr>
            <w:tcW w:w="686" w:type="dxa"/>
            <w:vAlign w:val="center"/>
          </w:tcPr>
          <w:p w14:paraId="625470E8" w14:textId="77777777" w:rsidR="00C87CCA" w:rsidRPr="00781998" w:rsidRDefault="00C87CCA" w:rsidP="00BD04F3">
            <w:pPr>
              <w:jc w:val="center"/>
              <w:rPr>
                <w:rFonts w:ascii="Arial Narrow" w:hAnsi="Arial Narrow"/>
                <w:b/>
                <w:bCs/>
                <w:sz w:val="20"/>
              </w:rPr>
            </w:pPr>
            <w:r w:rsidRPr="00781998">
              <w:rPr>
                <w:rFonts w:ascii="Arial Narrow" w:hAnsi="Arial Narrow"/>
                <w:b/>
                <w:bCs/>
                <w:sz w:val="20"/>
              </w:rPr>
              <w:t>Vert</w:t>
            </w:r>
          </w:p>
        </w:tc>
        <w:tc>
          <w:tcPr>
            <w:tcW w:w="790" w:type="dxa"/>
            <w:vAlign w:val="center"/>
          </w:tcPr>
          <w:p w14:paraId="5C7C6DBD" w14:textId="77777777" w:rsidR="00C87CCA" w:rsidRPr="00781998" w:rsidRDefault="00C87CCA" w:rsidP="00BD04F3">
            <w:pPr>
              <w:jc w:val="center"/>
              <w:rPr>
                <w:rFonts w:ascii="Arial Narrow" w:hAnsi="Arial Narrow"/>
                <w:b/>
                <w:bCs/>
                <w:sz w:val="20"/>
              </w:rPr>
            </w:pPr>
            <w:r w:rsidRPr="00781998">
              <w:rPr>
                <w:rFonts w:ascii="Arial Narrow" w:hAnsi="Arial Narrow"/>
                <w:b/>
                <w:bCs/>
                <w:sz w:val="20"/>
              </w:rPr>
              <w:t>Control</w:t>
            </w:r>
          </w:p>
        </w:tc>
        <w:tc>
          <w:tcPr>
            <w:tcW w:w="1489" w:type="dxa"/>
            <w:vMerge/>
            <w:vAlign w:val="center"/>
          </w:tcPr>
          <w:p w14:paraId="2C8AD65C" w14:textId="77777777" w:rsidR="00C87CCA" w:rsidRPr="00781998" w:rsidRDefault="00C87CCA" w:rsidP="00BD04F3">
            <w:pPr>
              <w:jc w:val="center"/>
              <w:rPr>
                <w:rFonts w:ascii="Arial Narrow" w:hAnsi="Arial Narrow"/>
                <w:b/>
                <w:bCs/>
                <w:sz w:val="20"/>
              </w:rPr>
            </w:pPr>
          </w:p>
        </w:tc>
        <w:tc>
          <w:tcPr>
            <w:tcW w:w="429" w:type="dxa"/>
            <w:vMerge/>
            <w:vAlign w:val="center"/>
          </w:tcPr>
          <w:p w14:paraId="654E5412" w14:textId="77777777" w:rsidR="00C87CCA" w:rsidRPr="00781998" w:rsidRDefault="00C87CCA" w:rsidP="00BD04F3">
            <w:pPr>
              <w:jc w:val="center"/>
              <w:rPr>
                <w:rFonts w:ascii="Arial Narrow" w:hAnsi="Arial Narrow"/>
                <w:b/>
                <w:bCs/>
                <w:sz w:val="20"/>
              </w:rPr>
            </w:pPr>
          </w:p>
        </w:tc>
        <w:tc>
          <w:tcPr>
            <w:tcW w:w="2380" w:type="dxa"/>
            <w:vMerge/>
            <w:vAlign w:val="center"/>
          </w:tcPr>
          <w:p w14:paraId="08FC2FC7" w14:textId="77777777" w:rsidR="00C87CCA" w:rsidRPr="00962EEA" w:rsidRDefault="00C87CCA" w:rsidP="00BD04F3">
            <w:pPr>
              <w:jc w:val="center"/>
              <w:rPr>
                <w:rFonts w:ascii="Arial Narrow" w:hAnsi="Arial Narrow"/>
                <w:sz w:val="20"/>
              </w:rPr>
            </w:pPr>
          </w:p>
        </w:tc>
      </w:tr>
      <w:tr w:rsidR="00C87CCA" w:rsidRPr="00962EEA" w14:paraId="61BF9A74" w14:textId="77777777" w:rsidTr="00BD04F3">
        <w:tc>
          <w:tcPr>
            <w:tcW w:w="8926" w:type="dxa"/>
            <w:gridSpan w:val="8"/>
            <w:vAlign w:val="center"/>
          </w:tcPr>
          <w:p w14:paraId="1673563A" w14:textId="77777777" w:rsidR="00C87CCA" w:rsidRDefault="00C87CCA" w:rsidP="00BD04F3">
            <w:pPr>
              <w:rPr>
                <w:rFonts w:ascii="Arial Narrow" w:hAnsi="Arial Narrow"/>
                <w:sz w:val="20"/>
              </w:rPr>
            </w:pPr>
            <w:r>
              <w:rPr>
                <w:rFonts w:ascii="Arial Narrow" w:hAnsi="Arial Narrow"/>
                <w:sz w:val="20"/>
              </w:rPr>
              <w:t>Occurrence of new vertebral fractures</w:t>
            </w:r>
          </w:p>
        </w:tc>
      </w:tr>
      <w:tr w:rsidR="00C87CCA" w:rsidRPr="00962EEA" w14:paraId="28163B9A" w14:textId="77777777" w:rsidTr="00BD04F3">
        <w:tc>
          <w:tcPr>
            <w:tcW w:w="964" w:type="dxa"/>
            <w:vAlign w:val="center"/>
          </w:tcPr>
          <w:p w14:paraId="0E953480" w14:textId="77777777" w:rsidR="00C87CCA" w:rsidRPr="00781998" w:rsidRDefault="00C87CCA" w:rsidP="00BD04F3">
            <w:pPr>
              <w:rPr>
                <w:rFonts w:ascii="Arial Narrow" w:hAnsi="Arial Narrow"/>
                <w:b/>
                <w:bCs/>
                <w:sz w:val="20"/>
              </w:rPr>
            </w:pPr>
            <w:r w:rsidRPr="00781998">
              <w:rPr>
                <w:rFonts w:ascii="Arial Narrow" w:hAnsi="Arial Narrow"/>
                <w:b/>
                <w:bCs/>
                <w:sz w:val="20"/>
              </w:rPr>
              <w:t xml:space="preserve">Lou </w:t>
            </w:r>
            <w:r>
              <w:rPr>
                <w:rFonts w:ascii="Arial Narrow" w:hAnsi="Arial Narrow"/>
                <w:b/>
                <w:bCs/>
                <w:sz w:val="20"/>
              </w:rPr>
              <w:t xml:space="preserve">et al. </w:t>
            </w:r>
            <w:r w:rsidRPr="00781998">
              <w:rPr>
                <w:rFonts w:ascii="Arial Narrow" w:hAnsi="Arial Narrow"/>
                <w:b/>
                <w:bCs/>
                <w:sz w:val="20"/>
              </w:rPr>
              <w:t>2019</w:t>
            </w:r>
          </w:p>
        </w:tc>
        <w:tc>
          <w:tcPr>
            <w:tcW w:w="1583" w:type="dxa"/>
            <w:tcBorders>
              <w:bottom w:val="single" w:sz="4" w:space="0" w:color="auto"/>
            </w:tcBorders>
            <w:vAlign w:val="center"/>
          </w:tcPr>
          <w:p w14:paraId="0D0BDC9C" w14:textId="77777777" w:rsidR="00C87CCA" w:rsidRPr="00962EEA" w:rsidRDefault="00C87CCA" w:rsidP="00BD04F3">
            <w:pPr>
              <w:jc w:val="center"/>
              <w:rPr>
                <w:rFonts w:ascii="Arial Narrow" w:hAnsi="Arial Narrow"/>
                <w:sz w:val="20"/>
              </w:rPr>
            </w:pPr>
            <w:r>
              <w:rPr>
                <w:rFonts w:ascii="Arial Narrow" w:hAnsi="Arial Narrow"/>
                <w:sz w:val="20"/>
              </w:rPr>
              <w:t>Clinical or radiographic</w:t>
            </w:r>
          </w:p>
        </w:tc>
        <w:tc>
          <w:tcPr>
            <w:tcW w:w="605" w:type="dxa"/>
            <w:tcBorders>
              <w:bottom w:val="single" w:sz="4" w:space="0" w:color="auto"/>
            </w:tcBorders>
            <w:vAlign w:val="center"/>
          </w:tcPr>
          <w:p w14:paraId="1B1AF270" w14:textId="77777777" w:rsidR="00C87CCA" w:rsidRPr="00962EEA" w:rsidRDefault="00C87CCA" w:rsidP="00BD04F3">
            <w:pPr>
              <w:jc w:val="center"/>
              <w:rPr>
                <w:rFonts w:ascii="Arial Narrow" w:hAnsi="Arial Narrow"/>
                <w:sz w:val="20"/>
              </w:rPr>
            </w:pPr>
            <w:r>
              <w:rPr>
                <w:rFonts w:ascii="Arial Narrow" w:hAnsi="Arial Narrow"/>
                <w:sz w:val="20"/>
              </w:rPr>
              <w:t>11</w:t>
            </w:r>
          </w:p>
        </w:tc>
        <w:tc>
          <w:tcPr>
            <w:tcW w:w="686" w:type="dxa"/>
            <w:tcBorders>
              <w:bottom w:val="single" w:sz="4" w:space="0" w:color="auto"/>
            </w:tcBorders>
            <w:vAlign w:val="center"/>
          </w:tcPr>
          <w:p w14:paraId="73D37B24" w14:textId="77777777" w:rsidR="00C87CCA" w:rsidRPr="00962EEA" w:rsidRDefault="00C87CCA" w:rsidP="00BD04F3">
            <w:pPr>
              <w:jc w:val="center"/>
              <w:rPr>
                <w:rFonts w:ascii="Arial Narrow" w:hAnsi="Arial Narrow"/>
                <w:sz w:val="20"/>
              </w:rPr>
            </w:pPr>
            <w:r>
              <w:rPr>
                <w:rFonts w:ascii="Arial Narrow" w:hAnsi="Arial Narrow"/>
                <w:sz w:val="20"/>
              </w:rPr>
              <w:t>706</w:t>
            </w:r>
          </w:p>
        </w:tc>
        <w:tc>
          <w:tcPr>
            <w:tcW w:w="790" w:type="dxa"/>
            <w:tcBorders>
              <w:bottom w:val="single" w:sz="4" w:space="0" w:color="auto"/>
            </w:tcBorders>
            <w:vAlign w:val="center"/>
          </w:tcPr>
          <w:p w14:paraId="132806B9" w14:textId="77777777" w:rsidR="00C87CCA" w:rsidRPr="00962EEA" w:rsidRDefault="00C87CCA" w:rsidP="00BD04F3">
            <w:pPr>
              <w:jc w:val="center"/>
              <w:rPr>
                <w:rFonts w:ascii="Arial Narrow" w:hAnsi="Arial Narrow"/>
                <w:sz w:val="20"/>
              </w:rPr>
            </w:pPr>
            <w:r>
              <w:rPr>
                <w:rFonts w:ascii="Arial Narrow" w:hAnsi="Arial Narrow"/>
                <w:sz w:val="20"/>
              </w:rPr>
              <w:t>701</w:t>
            </w:r>
          </w:p>
        </w:tc>
        <w:tc>
          <w:tcPr>
            <w:tcW w:w="1489" w:type="dxa"/>
            <w:tcBorders>
              <w:bottom w:val="single" w:sz="4" w:space="0" w:color="auto"/>
            </w:tcBorders>
            <w:vAlign w:val="center"/>
          </w:tcPr>
          <w:p w14:paraId="01969764" w14:textId="77777777" w:rsidR="00C87CCA" w:rsidRPr="00962EEA" w:rsidRDefault="00C87CCA" w:rsidP="00BD04F3">
            <w:pPr>
              <w:jc w:val="center"/>
              <w:rPr>
                <w:rFonts w:ascii="Arial Narrow" w:hAnsi="Arial Narrow"/>
                <w:sz w:val="20"/>
              </w:rPr>
            </w:pPr>
            <w:r>
              <w:rPr>
                <w:rFonts w:ascii="Arial Narrow" w:hAnsi="Arial Narrow"/>
                <w:sz w:val="20"/>
              </w:rPr>
              <w:t>0.97 (0.63, 1.49)</w:t>
            </w:r>
          </w:p>
        </w:tc>
        <w:tc>
          <w:tcPr>
            <w:tcW w:w="429" w:type="dxa"/>
            <w:tcBorders>
              <w:bottom w:val="single" w:sz="4" w:space="0" w:color="auto"/>
            </w:tcBorders>
            <w:vAlign w:val="center"/>
          </w:tcPr>
          <w:p w14:paraId="093A82F1" w14:textId="77777777" w:rsidR="00C87CCA" w:rsidRPr="00962EEA" w:rsidRDefault="00C87CCA" w:rsidP="00BD04F3">
            <w:pPr>
              <w:jc w:val="center"/>
              <w:rPr>
                <w:rFonts w:ascii="Arial Narrow" w:hAnsi="Arial Narrow"/>
                <w:sz w:val="20"/>
              </w:rPr>
            </w:pPr>
            <w:r>
              <w:rPr>
                <w:rFonts w:ascii="Arial Narrow" w:hAnsi="Arial Narrow"/>
                <w:sz w:val="20"/>
              </w:rPr>
              <w:t>NR</w:t>
            </w:r>
          </w:p>
        </w:tc>
        <w:tc>
          <w:tcPr>
            <w:tcW w:w="2380" w:type="dxa"/>
            <w:tcBorders>
              <w:bottom w:val="single" w:sz="4" w:space="0" w:color="auto"/>
            </w:tcBorders>
            <w:vAlign w:val="center"/>
          </w:tcPr>
          <w:p w14:paraId="24BE0017" w14:textId="77777777" w:rsidR="00C87CCA" w:rsidRPr="00962EEA" w:rsidRDefault="00C87CCA" w:rsidP="00442D6F">
            <w:pPr>
              <w:rPr>
                <w:rFonts w:ascii="Arial Narrow" w:hAnsi="Arial Narrow"/>
                <w:sz w:val="20"/>
              </w:rPr>
            </w:pPr>
            <w:r w:rsidRPr="00C613B1">
              <w:rPr>
                <w:rFonts w:ascii="Arial Narrow" w:hAnsi="Arial Narrow"/>
                <w:sz w:val="20"/>
              </w:rPr>
              <w:t>Firanescu 2018, Leali 2016, Clark 2016, Yang 2016, Hansen 2015, Chen 2014, Blasco 2012, Farrokhi 2011, Klazen 2010, Rousing 2009, Buchbinder 2009</w:t>
            </w:r>
          </w:p>
        </w:tc>
      </w:tr>
      <w:tr w:rsidR="00C87CCA" w:rsidRPr="00962EEA" w14:paraId="6E6654F1" w14:textId="77777777" w:rsidTr="00BD04F3">
        <w:tc>
          <w:tcPr>
            <w:tcW w:w="964" w:type="dxa"/>
            <w:vMerge w:val="restart"/>
            <w:vAlign w:val="center"/>
          </w:tcPr>
          <w:p w14:paraId="77F9387A" w14:textId="77777777" w:rsidR="00C87CCA" w:rsidRPr="00962EEA" w:rsidRDefault="00C87CCA" w:rsidP="00BD04F3">
            <w:pPr>
              <w:rPr>
                <w:rFonts w:ascii="Arial Narrow" w:hAnsi="Arial Narrow"/>
                <w:sz w:val="20"/>
              </w:rPr>
            </w:pPr>
            <w:r w:rsidRPr="00396FE1">
              <w:rPr>
                <w:rFonts w:ascii="Arial Narrow" w:hAnsi="Arial Narrow"/>
                <w:b/>
                <w:bCs/>
                <w:sz w:val="20"/>
              </w:rPr>
              <w:t>2018 Cochrane Review</w:t>
            </w:r>
          </w:p>
        </w:tc>
        <w:tc>
          <w:tcPr>
            <w:tcW w:w="1583" w:type="dxa"/>
            <w:tcBorders>
              <w:bottom w:val="nil"/>
            </w:tcBorders>
            <w:vAlign w:val="center"/>
          </w:tcPr>
          <w:p w14:paraId="2EF8AB5A" w14:textId="77777777" w:rsidR="00C87CCA" w:rsidRPr="00962EEA" w:rsidRDefault="00C87CCA" w:rsidP="00BD04F3">
            <w:pPr>
              <w:jc w:val="center"/>
              <w:rPr>
                <w:rFonts w:ascii="Arial Narrow" w:hAnsi="Arial Narrow"/>
                <w:sz w:val="20"/>
              </w:rPr>
            </w:pPr>
            <w:r>
              <w:rPr>
                <w:rFonts w:ascii="Arial Narrow" w:hAnsi="Arial Narrow"/>
                <w:sz w:val="20"/>
              </w:rPr>
              <w:t>Clinical</w:t>
            </w:r>
          </w:p>
        </w:tc>
        <w:tc>
          <w:tcPr>
            <w:tcW w:w="605" w:type="dxa"/>
            <w:tcBorders>
              <w:bottom w:val="nil"/>
            </w:tcBorders>
            <w:vAlign w:val="center"/>
          </w:tcPr>
          <w:p w14:paraId="14D263B4" w14:textId="77777777" w:rsidR="00C87CCA" w:rsidRPr="00962EEA" w:rsidRDefault="00C87CCA" w:rsidP="00BD04F3">
            <w:pPr>
              <w:jc w:val="center"/>
              <w:rPr>
                <w:rFonts w:ascii="Arial Narrow" w:hAnsi="Arial Narrow"/>
                <w:sz w:val="20"/>
              </w:rPr>
            </w:pPr>
            <w:r>
              <w:rPr>
                <w:rFonts w:ascii="Arial Narrow" w:hAnsi="Arial Narrow"/>
                <w:sz w:val="20"/>
              </w:rPr>
              <w:t>6</w:t>
            </w:r>
          </w:p>
        </w:tc>
        <w:tc>
          <w:tcPr>
            <w:tcW w:w="686" w:type="dxa"/>
            <w:tcBorders>
              <w:bottom w:val="nil"/>
            </w:tcBorders>
            <w:vAlign w:val="center"/>
          </w:tcPr>
          <w:p w14:paraId="6647B938" w14:textId="77777777" w:rsidR="00C87CCA" w:rsidRPr="00962EEA" w:rsidRDefault="00C87CCA" w:rsidP="00BD04F3">
            <w:pPr>
              <w:jc w:val="center"/>
              <w:rPr>
                <w:rFonts w:ascii="Arial Narrow" w:hAnsi="Arial Narrow"/>
                <w:sz w:val="20"/>
              </w:rPr>
            </w:pPr>
            <w:r>
              <w:rPr>
                <w:rFonts w:ascii="Arial Narrow" w:hAnsi="Arial Narrow"/>
                <w:sz w:val="20"/>
              </w:rPr>
              <w:t>418</w:t>
            </w:r>
          </w:p>
        </w:tc>
        <w:tc>
          <w:tcPr>
            <w:tcW w:w="790" w:type="dxa"/>
            <w:tcBorders>
              <w:bottom w:val="nil"/>
            </w:tcBorders>
            <w:vAlign w:val="center"/>
          </w:tcPr>
          <w:p w14:paraId="68998876" w14:textId="77777777" w:rsidR="00C87CCA" w:rsidRPr="00962EEA" w:rsidRDefault="00C87CCA" w:rsidP="00BD04F3">
            <w:pPr>
              <w:jc w:val="center"/>
              <w:rPr>
                <w:rFonts w:ascii="Arial Narrow" w:hAnsi="Arial Narrow"/>
                <w:sz w:val="20"/>
              </w:rPr>
            </w:pPr>
            <w:r>
              <w:rPr>
                <w:rFonts w:ascii="Arial Narrow" w:hAnsi="Arial Narrow"/>
                <w:sz w:val="20"/>
              </w:rPr>
              <w:t>422</w:t>
            </w:r>
          </w:p>
        </w:tc>
        <w:tc>
          <w:tcPr>
            <w:tcW w:w="1489" w:type="dxa"/>
            <w:tcBorders>
              <w:bottom w:val="nil"/>
            </w:tcBorders>
            <w:vAlign w:val="center"/>
          </w:tcPr>
          <w:p w14:paraId="6514FF04" w14:textId="77777777" w:rsidR="00C87CCA" w:rsidRPr="00962EEA" w:rsidRDefault="00C87CCA" w:rsidP="00BD04F3">
            <w:pPr>
              <w:jc w:val="center"/>
              <w:rPr>
                <w:rFonts w:ascii="Arial Narrow" w:hAnsi="Arial Narrow"/>
                <w:sz w:val="20"/>
              </w:rPr>
            </w:pPr>
            <w:r>
              <w:rPr>
                <w:rFonts w:ascii="Arial Narrow" w:hAnsi="Arial Narrow"/>
                <w:sz w:val="20"/>
              </w:rPr>
              <w:t>1.29 (0.46, 3.62)</w:t>
            </w:r>
          </w:p>
        </w:tc>
        <w:tc>
          <w:tcPr>
            <w:tcW w:w="429" w:type="dxa"/>
            <w:tcBorders>
              <w:bottom w:val="nil"/>
            </w:tcBorders>
            <w:vAlign w:val="center"/>
          </w:tcPr>
          <w:p w14:paraId="718828B9" w14:textId="77777777" w:rsidR="00C87CCA" w:rsidRPr="00962EEA" w:rsidRDefault="00C87CCA" w:rsidP="00BD04F3">
            <w:pPr>
              <w:jc w:val="center"/>
              <w:rPr>
                <w:rFonts w:ascii="Arial Narrow" w:hAnsi="Arial Narrow"/>
                <w:sz w:val="20"/>
              </w:rPr>
            </w:pPr>
            <w:r>
              <w:rPr>
                <w:rFonts w:ascii="Arial Narrow" w:hAnsi="Arial Narrow"/>
                <w:sz w:val="20"/>
              </w:rPr>
              <w:t>70%</w:t>
            </w:r>
          </w:p>
        </w:tc>
        <w:tc>
          <w:tcPr>
            <w:tcW w:w="2380" w:type="dxa"/>
            <w:tcBorders>
              <w:bottom w:val="nil"/>
            </w:tcBorders>
            <w:vAlign w:val="center"/>
          </w:tcPr>
          <w:p w14:paraId="0F8F2D1B" w14:textId="77777777" w:rsidR="00C87CCA" w:rsidRDefault="00C87CCA" w:rsidP="00BD04F3">
            <w:pPr>
              <w:rPr>
                <w:rFonts w:ascii="Arial Narrow" w:hAnsi="Arial Narrow"/>
                <w:sz w:val="20"/>
              </w:rPr>
            </w:pPr>
            <w:r w:rsidRPr="00E8177D">
              <w:rPr>
                <w:rFonts w:ascii="Arial Narrow" w:hAnsi="Arial Narrow"/>
                <w:sz w:val="20"/>
              </w:rPr>
              <w:t>Buchbinder 2009; Leali 2016; F</w:t>
            </w:r>
            <w:r>
              <w:rPr>
                <w:rFonts w:ascii="Arial Narrow" w:hAnsi="Arial Narrow"/>
                <w:sz w:val="20"/>
              </w:rPr>
              <w:t>arrokhi</w:t>
            </w:r>
            <w:r w:rsidRPr="00E8177D">
              <w:rPr>
                <w:rFonts w:ascii="Arial Narrow" w:hAnsi="Arial Narrow"/>
                <w:sz w:val="20"/>
              </w:rPr>
              <w:t xml:space="preserve"> 201</w:t>
            </w:r>
            <w:r>
              <w:rPr>
                <w:rFonts w:ascii="Arial Narrow" w:hAnsi="Arial Narrow"/>
                <w:sz w:val="20"/>
              </w:rPr>
              <w:t>1</w:t>
            </w:r>
            <w:r w:rsidRPr="00E8177D">
              <w:rPr>
                <w:rFonts w:ascii="Arial Narrow" w:hAnsi="Arial Narrow"/>
                <w:sz w:val="20"/>
              </w:rPr>
              <w:t>; Yang 2016; Chen 2014; Blasco 2012</w:t>
            </w:r>
          </w:p>
          <w:p w14:paraId="02C22DDE" w14:textId="77777777" w:rsidR="00C87CCA" w:rsidRPr="00E8177D" w:rsidRDefault="00C87CCA" w:rsidP="00BD04F3">
            <w:pPr>
              <w:rPr>
                <w:rFonts w:ascii="Arial Narrow" w:hAnsi="Arial Narrow"/>
                <w:sz w:val="20"/>
              </w:rPr>
            </w:pPr>
          </w:p>
        </w:tc>
      </w:tr>
      <w:tr w:rsidR="00C87CCA" w:rsidRPr="00962EEA" w14:paraId="79D5E44E" w14:textId="77777777" w:rsidTr="00BD04F3">
        <w:tc>
          <w:tcPr>
            <w:tcW w:w="964" w:type="dxa"/>
            <w:vMerge/>
            <w:vAlign w:val="center"/>
          </w:tcPr>
          <w:p w14:paraId="66D5A3B4" w14:textId="77777777" w:rsidR="00C87CCA" w:rsidRPr="00962EEA" w:rsidRDefault="00C87CCA" w:rsidP="00BD04F3">
            <w:pPr>
              <w:rPr>
                <w:rFonts w:ascii="Arial Narrow" w:hAnsi="Arial Narrow"/>
                <w:sz w:val="20"/>
              </w:rPr>
            </w:pPr>
          </w:p>
        </w:tc>
        <w:tc>
          <w:tcPr>
            <w:tcW w:w="1583" w:type="dxa"/>
            <w:tcBorders>
              <w:top w:val="nil"/>
            </w:tcBorders>
            <w:vAlign w:val="center"/>
          </w:tcPr>
          <w:p w14:paraId="2CF60E6D" w14:textId="77777777" w:rsidR="00C87CCA" w:rsidRPr="00962EEA" w:rsidRDefault="00C87CCA" w:rsidP="00BD04F3">
            <w:pPr>
              <w:jc w:val="center"/>
              <w:rPr>
                <w:rFonts w:ascii="Arial Narrow" w:hAnsi="Arial Narrow"/>
                <w:sz w:val="20"/>
              </w:rPr>
            </w:pPr>
            <w:r>
              <w:rPr>
                <w:rFonts w:ascii="Arial Narrow" w:hAnsi="Arial Narrow"/>
                <w:sz w:val="20"/>
              </w:rPr>
              <w:t>Radiographic</w:t>
            </w:r>
          </w:p>
        </w:tc>
        <w:tc>
          <w:tcPr>
            <w:tcW w:w="605" w:type="dxa"/>
            <w:tcBorders>
              <w:top w:val="nil"/>
            </w:tcBorders>
            <w:vAlign w:val="center"/>
          </w:tcPr>
          <w:p w14:paraId="769443DC" w14:textId="77777777" w:rsidR="00C87CCA" w:rsidRPr="00962EEA" w:rsidRDefault="00C87CCA" w:rsidP="00BD04F3">
            <w:pPr>
              <w:jc w:val="center"/>
              <w:rPr>
                <w:rFonts w:ascii="Arial Narrow" w:hAnsi="Arial Narrow"/>
                <w:sz w:val="20"/>
              </w:rPr>
            </w:pPr>
            <w:r>
              <w:rPr>
                <w:rFonts w:ascii="Arial Narrow" w:hAnsi="Arial Narrow"/>
                <w:sz w:val="20"/>
              </w:rPr>
              <w:t>8</w:t>
            </w:r>
          </w:p>
        </w:tc>
        <w:tc>
          <w:tcPr>
            <w:tcW w:w="686" w:type="dxa"/>
            <w:tcBorders>
              <w:top w:val="nil"/>
            </w:tcBorders>
            <w:vAlign w:val="center"/>
          </w:tcPr>
          <w:p w14:paraId="30FC4E14" w14:textId="77777777" w:rsidR="00C87CCA" w:rsidRPr="00962EEA" w:rsidRDefault="00C87CCA" w:rsidP="00BD04F3">
            <w:pPr>
              <w:jc w:val="center"/>
              <w:rPr>
                <w:rFonts w:ascii="Arial Narrow" w:hAnsi="Arial Narrow"/>
                <w:sz w:val="20"/>
              </w:rPr>
            </w:pPr>
            <w:r>
              <w:rPr>
                <w:rFonts w:ascii="Arial Narrow" w:hAnsi="Arial Narrow"/>
                <w:sz w:val="20"/>
              </w:rPr>
              <w:t>411</w:t>
            </w:r>
          </w:p>
        </w:tc>
        <w:tc>
          <w:tcPr>
            <w:tcW w:w="790" w:type="dxa"/>
            <w:tcBorders>
              <w:top w:val="nil"/>
            </w:tcBorders>
            <w:vAlign w:val="center"/>
          </w:tcPr>
          <w:p w14:paraId="5A4C122E" w14:textId="77777777" w:rsidR="00C87CCA" w:rsidRPr="00962EEA" w:rsidRDefault="00C87CCA" w:rsidP="00BD04F3">
            <w:pPr>
              <w:jc w:val="center"/>
              <w:rPr>
                <w:rFonts w:ascii="Arial Narrow" w:hAnsi="Arial Narrow"/>
                <w:sz w:val="20"/>
              </w:rPr>
            </w:pPr>
            <w:r>
              <w:rPr>
                <w:rFonts w:ascii="Arial Narrow" w:hAnsi="Arial Narrow"/>
                <w:sz w:val="20"/>
              </w:rPr>
              <w:t>393</w:t>
            </w:r>
          </w:p>
        </w:tc>
        <w:tc>
          <w:tcPr>
            <w:tcW w:w="1489" w:type="dxa"/>
            <w:tcBorders>
              <w:top w:val="nil"/>
            </w:tcBorders>
            <w:vAlign w:val="center"/>
          </w:tcPr>
          <w:p w14:paraId="33626267" w14:textId="77777777" w:rsidR="00C87CCA" w:rsidRPr="00962EEA" w:rsidRDefault="00C87CCA" w:rsidP="00BD04F3">
            <w:pPr>
              <w:jc w:val="center"/>
              <w:rPr>
                <w:rFonts w:ascii="Arial Narrow" w:hAnsi="Arial Narrow"/>
                <w:sz w:val="20"/>
              </w:rPr>
            </w:pPr>
            <w:r>
              <w:rPr>
                <w:rFonts w:ascii="Arial Narrow" w:hAnsi="Arial Narrow"/>
                <w:sz w:val="20"/>
              </w:rPr>
              <w:t>1.14 (0.71, 1.84)</w:t>
            </w:r>
          </w:p>
        </w:tc>
        <w:tc>
          <w:tcPr>
            <w:tcW w:w="429" w:type="dxa"/>
            <w:tcBorders>
              <w:top w:val="nil"/>
            </w:tcBorders>
            <w:vAlign w:val="center"/>
          </w:tcPr>
          <w:p w14:paraId="6065CE47" w14:textId="77777777" w:rsidR="00C87CCA" w:rsidRPr="00962EEA" w:rsidRDefault="00C87CCA" w:rsidP="00BD04F3">
            <w:pPr>
              <w:jc w:val="center"/>
              <w:rPr>
                <w:rFonts w:ascii="Arial Narrow" w:hAnsi="Arial Narrow"/>
                <w:sz w:val="20"/>
              </w:rPr>
            </w:pPr>
            <w:r>
              <w:rPr>
                <w:rFonts w:ascii="Arial Narrow" w:hAnsi="Arial Narrow"/>
                <w:sz w:val="20"/>
              </w:rPr>
              <w:t>67%</w:t>
            </w:r>
          </w:p>
        </w:tc>
        <w:tc>
          <w:tcPr>
            <w:tcW w:w="2380" w:type="dxa"/>
            <w:tcBorders>
              <w:top w:val="nil"/>
            </w:tcBorders>
            <w:vAlign w:val="center"/>
          </w:tcPr>
          <w:p w14:paraId="3CA750DC" w14:textId="77777777" w:rsidR="00C87CCA" w:rsidRPr="00E8177D" w:rsidRDefault="00C87CCA" w:rsidP="00BD04F3">
            <w:pPr>
              <w:rPr>
                <w:rFonts w:ascii="Arial Narrow" w:hAnsi="Arial Narrow"/>
                <w:sz w:val="20"/>
              </w:rPr>
            </w:pPr>
            <w:r w:rsidRPr="00E8177D">
              <w:rPr>
                <w:rFonts w:ascii="Arial Narrow" w:hAnsi="Arial Narrow"/>
                <w:sz w:val="20"/>
              </w:rPr>
              <w:t xml:space="preserve">Buchbinder 2009; Clark 2016; Yang 2016; Blasco 2012; Klazen 2010; Rousing 2009; </w:t>
            </w:r>
            <w:r>
              <w:rPr>
                <w:rFonts w:ascii="Arial Narrow" w:hAnsi="Arial Narrow"/>
                <w:sz w:val="20"/>
              </w:rPr>
              <w:t xml:space="preserve">Firanescu 2018; </w:t>
            </w:r>
            <w:r w:rsidRPr="00E8177D">
              <w:rPr>
                <w:rFonts w:ascii="Arial Narrow" w:hAnsi="Arial Narrow"/>
                <w:sz w:val="20"/>
              </w:rPr>
              <w:t xml:space="preserve">unpublished </w:t>
            </w:r>
            <w:r>
              <w:rPr>
                <w:rFonts w:ascii="Arial Narrow" w:hAnsi="Arial Narrow"/>
                <w:sz w:val="20"/>
              </w:rPr>
              <w:t xml:space="preserve">VOPE </w:t>
            </w:r>
            <w:r w:rsidRPr="00E8177D">
              <w:rPr>
                <w:rFonts w:ascii="Arial Narrow" w:hAnsi="Arial Narrow"/>
                <w:sz w:val="20"/>
              </w:rPr>
              <w:t>data from Hansen 2015</w:t>
            </w:r>
          </w:p>
        </w:tc>
      </w:tr>
      <w:tr w:rsidR="00C87CCA" w:rsidRPr="00962EEA" w14:paraId="6903AE71" w14:textId="77777777" w:rsidTr="00BD04F3">
        <w:tc>
          <w:tcPr>
            <w:tcW w:w="964" w:type="dxa"/>
            <w:vAlign w:val="center"/>
          </w:tcPr>
          <w:p w14:paraId="1DA4831E" w14:textId="77777777" w:rsidR="00C87CCA" w:rsidRPr="00962EEA" w:rsidRDefault="00C87CCA" w:rsidP="00BD04F3">
            <w:pPr>
              <w:rPr>
                <w:rFonts w:ascii="Arial Narrow" w:hAnsi="Arial Narrow"/>
                <w:sz w:val="20"/>
              </w:rPr>
            </w:pPr>
            <w:r w:rsidRPr="00A060D4">
              <w:rPr>
                <w:rFonts w:ascii="Arial Narrow" w:hAnsi="Arial Narrow"/>
                <w:b/>
                <w:bCs/>
                <w:sz w:val="20"/>
              </w:rPr>
              <w:t>Comment</w:t>
            </w:r>
          </w:p>
        </w:tc>
        <w:tc>
          <w:tcPr>
            <w:tcW w:w="7962" w:type="dxa"/>
            <w:gridSpan w:val="7"/>
            <w:vAlign w:val="center"/>
          </w:tcPr>
          <w:p w14:paraId="4B46D643" w14:textId="77777777" w:rsidR="00C87CCA" w:rsidRPr="00471026" w:rsidRDefault="00C87CCA" w:rsidP="00BD04F3">
            <w:pPr>
              <w:rPr>
                <w:rFonts w:ascii="Arial Narrow" w:hAnsi="Arial Narrow"/>
                <w:i/>
                <w:iCs/>
                <w:sz w:val="20"/>
              </w:rPr>
            </w:pPr>
            <w:r w:rsidRPr="00471026">
              <w:rPr>
                <w:rFonts w:ascii="Arial Narrow" w:hAnsi="Arial Narrow"/>
                <w:i/>
                <w:iCs/>
                <w:sz w:val="20"/>
              </w:rPr>
              <w:t xml:space="preserve">The Lou </w:t>
            </w:r>
            <w:r>
              <w:rPr>
                <w:rFonts w:ascii="Arial Narrow" w:hAnsi="Arial Narrow"/>
                <w:i/>
                <w:iCs/>
                <w:sz w:val="20"/>
              </w:rPr>
              <w:t xml:space="preserve">et al. </w:t>
            </w:r>
            <w:r w:rsidRPr="00471026">
              <w:rPr>
                <w:rFonts w:ascii="Arial Narrow" w:hAnsi="Arial Narrow"/>
                <w:i/>
                <w:iCs/>
                <w:sz w:val="20"/>
              </w:rPr>
              <w:t>(2019) analysis combined new clinical and radiographic fractures (11 trials), while the 2018 Cochrane Review considered these separately (</w:t>
            </w:r>
            <w:r>
              <w:rPr>
                <w:rFonts w:ascii="Arial Narrow" w:hAnsi="Arial Narrow"/>
                <w:i/>
                <w:iCs/>
                <w:sz w:val="20"/>
              </w:rPr>
              <w:t>6 and 8</w:t>
            </w:r>
            <w:r w:rsidRPr="00471026">
              <w:rPr>
                <w:rFonts w:ascii="Arial Narrow" w:hAnsi="Arial Narrow"/>
                <w:i/>
                <w:iCs/>
                <w:sz w:val="20"/>
              </w:rPr>
              <w:t xml:space="preserve"> trials</w:t>
            </w:r>
            <w:r>
              <w:rPr>
                <w:rFonts w:ascii="Arial Narrow" w:hAnsi="Arial Narrow"/>
                <w:i/>
                <w:iCs/>
                <w:sz w:val="20"/>
              </w:rPr>
              <w:t>, respectively</w:t>
            </w:r>
            <w:r w:rsidRPr="00471026">
              <w:rPr>
                <w:rFonts w:ascii="Arial Narrow" w:hAnsi="Arial Narrow"/>
                <w:i/>
                <w:iCs/>
                <w:sz w:val="20"/>
              </w:rPr>
              <w:t>).</w:t>
            </w:r>
          </w:p>
          <w:p w14:paraId="7796A34D" w14:textId="77777777" w:rsidR="00C87CCA" w:rsidRPr="00962EEA" w:rsidRDefault="00C87CCA" w:rsidP="00BD04F3">
            <w:pPr>
              <w:rPr>
                <w:rFonts w:ascii="Arial Narrow" w:hAnsi="Arial Narrow"/>
                <w:sz w:val="20"/>
              </w:rPr>
            </w:pPr>
            <w:r w:rsidRPr="00471026">
              <w:rPr>
                <w:rFonts w:ascii="Arial Narrow" w:hAnsi="Arial Narrow"/>
                <w:i/>
                <w:iCs/>
                <w:sz w:val="20"/>
              </w:rPr>
              <w:t>None of the analyses showed a statistically significant difference in the occurrence of new fractures with vertebroplasty of control (placebo or conservative/usual care).</w:t>
            </w:r>
          </w:p>
        </w:tc>
      </w:tr>
    </w:tbl>
    <w:p w14:paraId="4D480D6D" w14:textId="77777777" w:rsidR="00C87CCA" w:rsidRDefault="00C87CCA" w:rsidP="00C87CCA">
      <w:pPr>
        <w:rPr>
          <w:rFonts w:ascii="Arial Narrow" w:hAnsi="Arial Narrow"/>
          <w:sz w:val="18"/>
          <w:szCs w:val="18"/>
        </w:rPr>
      </w:pPr>
      <w:r w:rsidRPr="007E2DBE">
        <w:rPr>
          <w:rFonts w:ascii="Arial Narrow" w:hAnsi="Arial Narrow"/>
          <w:sz w:val="18"/>
          <w:szCs w:val="18"/>
        </w:rPr>
        <w:t xml:space="preserve">MD=mean difference; </w:t>
      </w:r>
      <w:r>
        <w:rPr>
          <w:rFonts w:ascii="Arial Narrow" w:hAnsi="Arial Narrow"/>
          <w:sz w:val="18"/>
          <w:szCs w:val="18"/>
        </w:rPr>
        <w:t xml:space="preserve">NA=not applicable; NR=not reported; </w:t>
      </w:r>
      <w:r w:rsidRPr="007E2DBE">
        <w:rPr>
          <w:rFonts w:ascii="Arial Narrow" w:hAnsi="Arial Narrow"/>
          <w:sz w:val="18"/>
          <w:szCs w:val="18"/>
        </w:rPr>
        <w:t>Vert=vertebroplasty</w:t>
      </w:r>
    </w:p>
    <w:p w14:paraId="6037E969" w14:textId="77777777" w:rsidR="00C87CCA" w:rsidRDefault="00C87CCA" w:rsidP="00C87CCA">
      <w:pPr>
        <w:rPr>
          <w:rFonts w:ascii="Arial Narrow" w:hAnsi="Arial Narrow"/>
          <w:sz w:val="18"/>
          <w:szCs w:val="18"/>
        </w:rPr>
      </w:pPr>
      <w:r>
        <w:rPr>
          <w:rFonts w:ascii="Arial Narrow" w:hAnsi="Arial Narrow"/>
          <w:sz w:val="18"/>
          <w:szCs w:val="18"/>
        </w:rPr>
        <w:t>Source: Figure 5, Lou et al. 2019; Analyses 5.1 and 5.2, 2018 Cochrane Review</w:t>
      </w:r>
    </w:p>
    <w:p w14:paraId="5C0240AD" w14:textId="77777777" w:rsidR="00C87CCA" w:rsidRDefault="00C87CCA" w:rsidP="00C87CCA">
      <w:pPr>
        <w:tabs>
          <w:tab w:val="left" w:pos="720"/>
          <w:tab w:val="left" w:pos="1140"/>
        </w:tabs>
      </w:pPr>
    </w:p>
    <w:p w14:paraId="5D781D63" w14:textId="77777777" w:rsidR="00C87CCA" w:rsidRDefault="00C87CCA" w:rsidP="00C87CCA">
      <w:pPr>
        <w:tabs>
          <w:tab w:val="left" w:pos="720"/>
          <w:tab w:val="left" w:pos="1140"/>
        </w:tabs>
      </w:pPr>
      <w:r>
        <w:t>Hsieh et al. (2019) retrospectively reviewed 3175 patients treated with vertebroplasty and analysed the clinically significant complications after cement leakage. Of the total 3812 vertebroplasty procedures performed, cement leakage was found in 2542 vertebrae (66.7%). Four of 26 patients with c</w:t>
      </w:r>
      <w:r w:rsidRPr="007D410A">
        <w:t>ement leakage into the spinal canal (type-C posterior)</w:t>
      </w:r>
      <w:r>
        <w:t xml:space="preserve"> </w:t>
      </w:r>
      <w:r w:rsidRPr="005A2040">
        <w:rPr>
          <w:color w:val="000000"/>
        </w:rPr>
        <w:t xml:space="preserve">needed </w:t>
      </w:r>
      <w:r w:rsidRPr="005A2040">
        <w:rPr>
          <w:color w:val="000000"/>
        </w:rPr>
        <w:lastRenderedPageBreak/>
        <w:t>surgical decompression</w:t>
      </w:r>
      <w:r>
        <w:t xml:space="preserve">. Nine of 153 patients with leakage via the segmental vein (type S leak) needed postoperative oxygen support due to pulmonary embolism. </w:t>
      </w:r>
      <w:r w:rsidRPr="007D410A">
        <w:t>The risk factor</w:t>
      </w:r>
      <w:r>
        <w:t xml:space="preserve"> for a</w:t>
      </w:r>
      <w:r w:rsidRPr="007D410A">
        <w:t xml:space="preserve"> pulmonary cement embolism was higher volume of </w:t>
      </w:r>
      <w:r>
        <w:t>p</w:t>
      </w:r>
      <w:r w:rsidRPr="00E46CAD">
        <w:t>olymethyl methacrylate (</w:t>
      </w:r>
      <w:r w:rsidRPr="007D410A">
        <w:t>PMMA</w:t>
      </w:r>
      <w:r>
        <w:t>)</w:t>
      </w:r>
      <w:r w:rsidRPr="007D410A">
        <w:t xml:space="preserve"> injected</w:t>
      </w:r>
      <w:r>
        <w:t>,</w:t>
      </w:r>
      <w:r w:rsidRPr="007D410A">
        <w:t xml:space="preserve"> and the risk factor </w:t>
      </w:r>
      <w:r>
        <w:t>for</w:t>
      </w:r>
      <w:r w:rsidRPr="007D410A">
        <w:t xml:space="preserve"> neurological deficit was type-C posterior cement leakage into the thoracic spine. The incidence of pulmonary cement embolism was significantly increased with increasing volume of PMMA injected (PMMA injection &lt; 3.5 cc: 0%; 3.5-7.0 cc: 0.11%; &gt; 7.0 cc: 0.9%; p&lt;0.01).</w:t>
      </w:r>
    </w:p>
    <w:p w14:paraId="640C586C" w14:textId="77777777" w:rsidR="00C87CCA" w:rsidRDefault="00C87CCA" w:rsidP="00C87CCA">
      <w:pPr>
        <w:tabs>
          <w:tab w:val="left" w:pos="720"/>
          <w:tab w:val="left" w:pos="1140"/>
        </w:tabs>
      </w:pPr>
    </w:p>
    <w:p w14:paraId="48A911EF" w14:textId="0C32EF2D" w:rsidR="00C87CCA" w:rsidRDefault="00C87CCA" w:rsidP="00C87CCA">
      <w:pPr>
        <w:tabs>
          <w:tab w:val="left" w:pos="720"/>
          <w:tab w:val="left" w:pos="1140"/>
        </w:tabs>
      </w:pPr>
      <w:r>
        <w:t xml:space="preserve">Mazzantini et al. (2019) prospectively studied the occurrence of vertebral fracture after vertebroplasty in 141 </w:t>
      </w:r>
      <w:r w:rsidRPr="006C1D36">
        <w:t>osteoporotic patients with vertebral fracture treate</w:t>
      </w:r>
      <w:r>
        <w:t>d with glucocorticoid therapy (n</w:t>
      </w:r>
      <w:r w:rsidRPr="006C1D36">
        <w:t>=70) or not treate</w:t>
      </w:r>
      <w:r>
        <w:t>d with glucocorticoid therapy (n</w:t>
      </w:r>
      <w:r w:rsidRPr="006C1D36">
        <w:t>=71).</w:t>
      </w:r>
      <w:r>
        <w:t xml:space="preserve"> </w:t>
      </w:r>
      <w:r w:rsidR="00EE49E5">
        <w:t>At 24 </w:t>
      </w:r>
      <w:r w:rsidRPr="00F9697A">
        <w:t xml:space="preserve">months, the proportion </w:t>
      </w:r>
      <w:r>
        <w:t xml:space="preserve">of patients </w:t>
      </w:r>
      <w:r w:rsidRPr="00F9697A">
        <w:t>with new vertebral fractures was 44.3% in the glucocorticoid group and 22.6% in the non-glucocorticoid group</w:t>
      </w:r>
      <w:r>
        <w:t xml:space="preserve"> (RR=1.96; 95% CI: 1.19, 3.26).</w:t>
      </w:r>
    </w:p>
    <w:p w14:paraId="1921CA7B" w14:textId="77777777" w:rsidR="00C87CCA" w:rsidRDefault="00C87CCA" w:rsidP="00C87CCA">
      <w:pPr>
        <w:tabs>
          <w:tab w:val="left" w:pos="720"/>
          <w:tab w:val="left" w:pos="1140"/>
        </w:tabs>
      </w:pPr>
    </w:p>
    <w:p w14:paraId="40617D31" w14:textId="30403067" w:rsidR="00C87CCA" w:rsidRDefault="00C87CCA" w:rsidP="00C87CCA">
      <w:pPr>
        <w:tabs>
          <w:tab w:val="left" w:pos="720"/>
          <w:tab w:val="left" w:pos="1140"/>
        </w:tabs>
      </w:pPr>
      <w:r>
        <w:t xml:space="preserve">Overall, the </w:t>
      </w:r>
      <w:r w:rsidR="00FA7597">
        <w:t xml:space="preserve">February 2020 </w:t>
      </w:r>
      <w:r>
        <w:t xml:space="preserve">Departmental Overview considered that both publications </w:t>
      </w:r>
      <w:r w:rsidRPr="005105F8">
        <w:t xml:space="preserve">demonstrate potential harms </w:t>
      </w:r>
      <w:r>
        <w:t xml:space="preserve">associated </w:t>
      </w:r>
      <w:r w:rsidRPr="005105F8">
        <w:t>with vertebroplasty</w:t>
      </w:r>
      <w:r>
        <w:t xml:space="preserve">; </w:t>
      </w:r>
      <w:r w:rsidRPr="00803A00">
        <w:t>the risk of pulmonary cement embolism</w:t>
      </w:r>
      <w:r>
        <w:t xml:space="preserve"> (Hsieh et al. 2019) and </w:t>
      </w:r>
      <w:r w:rsidRPr="00803A00">
        <w:t>the risk of new fractures in patients</w:t>
      </w:r>
      <w:r>
        <w:t xml:space="preserve"> also taking glucocorticoids (Mazzantini et al. 2019).</w:t>
      </w:r>
    </w:p>
    <w:p w14:paraId="770C9697" w14:textId="77777777" w:rsidR="00C87CCA" w:rsidRDefault="00C87CCA" w:rsidP="00C87CCA">
      <w:pPr>
        <w:tabs>
          <w:tab w:val="left" w:pos="720"/>
          <w:tab w:val="left" w:pos="1140"/>
        </w:tabs>
      </w:pPr>
    </w:p>
    <w:p w14:paraId="38FA1E3C" w14:textId="77777777" w:rsidR="00C87CCA" w:rsidRDefault="00C87CCA" w:rsidP="00C87CCA">
      <w:pPr>
        <w:tabs>
          <w:tab w:val="left" w:pos="720"/>
          <w:tab w:val="left" w:pos="1140"/>
        </w:tabs>
      </w:pPr>
      <w:r>
        <w:t xml:space="preserve">In its pre-ESC response to the February 2020 ESC meeting, the applicant </w:t>
      </w:r>
      <w:r w:rsidRPr="000D4A69">
        <w:t>claimed</w:t>
      </w:r>
      <w:r>
        <w:t xml:space="preserve"> that:</w:t>
      </w:r>
    </w:p>
    <w:p w14:paraId="6E66B58B" w14:textId="17AC826E" w:rsidR="00C87CCA" w:rsidRDefault="00C87CCA" w:rsidP="00C87CCA">
      <w:pPr>
        <w:pStyle w:val="ListParagraph"/>
        <w:numPr>
          <w:ilvl w:val="0"/>
          <w:numId w:val="6"/>
        </w:numPr>
        <w:tabs>
          <w:tab w:val="left" w:pos="720"/>
          <w:tab w:val="left" w:pos="1140"/>
        </w:tabs>
      </w:pPr>
      <w:r w:rsidRPr="000D4A69">
        <w:t>the publication by Hsieh et al. 2019 is not relevant to the application. The application note</w:t>
      </w:r>
      <w:r>
        <w:t>s</w:t>
      </w:r>
      <w:r w:rsidRPr="000D4A69">
        <w:t xml:space="preserve"> that 3175 patients</w:t>
      </w:r>
      <w:r>
        <w:t xml:space="preserve"> were</w:t>
      </w:r>
      <w:r w:rsidRPr="000D4A69">
        <w:t xml:space="preserve"> treated by orthopaedic surgeons from Taiwan between 2001 and 201</w:t>
      </w:r>
      <w:r w:rsidR="00EE49E5">
        <w:t>1 and that the publication is 8 </w:t>
      </w:r>
      <w:r w:rsidRPr="000D4A69">
        <w:t>years after this period. The applicant’s critical appraisal of the study claimed that the surgeons used inappropriate imaging, vertebroplasty technique, patient selection and the wrong PMMA</w:t>
      </w:r>
      <w:r>
        <w:t>.</w:t>
      </w:r>
    </w:p>
    <w:p w14:paraId="248C1A3E" w14:textId="120AE741" w:rsidR="001B2EFC" w:rsidRPr="00A85414" w:rsidRDefault="00C87CCA" w:rsidP="005A266B">
      <w:pPr>
        <w:pStyle w:val="ListParagraph"/>
        <w:numPr>
          <w:ilvl w:val="0"/>
          <w:numId w:val="6"/>
        </w:numPr>
        <w:tabs>
          <w:tab w:val="left" w:pos="720"/>
          <w:tab w:val="left" w:pos="1140"/>
        </w:tabs>
      </w:pPr>
      <w:r w:rsidRPr="000D4A69">
        <w:t>the publication by</w:t>
      </w:r>
      <w:r w:rsidRPr="00A85414">
        <w:t xml:space="preserve"> Mazzantini et al. (2019) is not randomised evidence and is not relevant. The study reported a higher incidence of vertebral fractures following corticosteroid therapy. The applicant stated it is well known that steroids increase the risk for incident osteoporotic fractures with or without v</w:t>
      </w:r>
      <w:r>
        <w:t>ertebroplasty.</w:t>
      </w:r>
    </w:p>
    <w:p w14:paraId="77168D92" w14:textId="77777777" w:rsidR="00003F5A" w:rsidRPr="00F715D1" w:rsidRDefault="00003F5A" w:rsidP="00003F5A">
      <w:pPr>
        <w:pStyle w:val="Heading1"/>
      </w:pPr>
      <w:r w:rsidRPr="00F715D1">
        <w:t>Comparative effectiveness</w:t>
      </w:r>
    </w:p>
    <w:p w14:paraId="3742094F" w14:textId="77777777" w:rsidR="00464ED7" w:rsidRPr="00CD62A6" w:rsidRDefault="00464ED7" w:rsidP="00464ED7">
      <w:pPr>
        <w:pStyle w:val="Heading2"/>
      </w:pPr>
      <w:r>
        <w:t>Summary of new comparative effectiveness data for consideration</w:t>
      </w:r>
    </w:p>
    <w:p w14:paraId="7B6BEB7F" w14:textId="76693DC9" w:rsidR="00B405D2" w:rsidRDefault="00464ED7" w:rsidP="00464ED7">
      <w:r>
        <w:t>The applicant provided a subgroup</w:t>
      </w:r>
      <w:r w:rsidRPr="003021C2">
        <w:t xml:space="preserve"> analysis of 93 patients with fracture duration </w:t>
      </w:r>
      <w:r>
        <w:t>≤</w:t>
      </w:r>
      <w:r w:rsidRPr="003021C2">
        <w:t>3</w:t>
      </w:r>
      <w:r w:rsidR="00131E42">
        <w:t> </w:t>
      </w:r>
      <w:r w:rsidRPr="003021C2">
        <w:t xml:space="preserve">weeks from the VAPOUR trial </w:t>
      </w:r>
      <w:r>
        <w:t xml:space="preserve">that reported </w:t>
      </w:r>
      <w:r w:rsidRPr="003021C2">
        <w:t xml:space="preserve">a statistically significant advantage for vertebroplasty over placebo at all time points, with the exception of difference in mean </w:t>
      </w:r>
      <w:r w:rsidRPr="00706BD9">
        <w:t xml:space="preserve">Roland-Morris Disability </w:t>
      </w:r>
      <w:r>
        <w:t>Questionnaire (</w:t>
      </w:r>
      <w:r w:rsidRPr="003021C2">
        <w:t>RDQ</w:t>
      </w:r>
      <w:r>
        <w:t>)</w:t>
      </w:r>
      <w:r w:rsidR="00EE49E5">
        <w:t xml:space="preserve"> score at 1 </w:t>
      </w:r>
      <w:r w:rsidRPr="003021C2">
        <w:t>month, which indicated an advantage for vertebroplasty that was not statistically significant</w:t>
      </w:r>
      <w:r>
        <w:t xml:space="preserve"> (published manuscript Diamond 20</w:t>
      </w:r>
      <w:r w:rsidR="00074048">
        <w:t>20</w:t>
      </w:r>
      <w:r>
        <w:t>)</w:t>
      </w:r>
      <w:r w:rsidRPr="003021C2">
        <w:t>.</w:t>
      </w:r>
      <w:r>
        <w:t xml:space="preserve"> These results are provided in </w:t>
      </w:r>
      <w:r>
        <w:fldChar w:fldCharType="begin"/>
      </w:r>
      <w:r>
        <w:instrText xml:space="preserve"> REF _Ref31910654 \h </w:instrText>
      </w:r>
      <w:r>
        <w:fldChar w:fldCharType="separate"/>
      </w:r>
      <w:r>
        <w:t xml:space="preserve">Table </w:t>
      </w:r>
      <w:r>
        <w:rPr>
          <w:noProof/>
        </w:rPr>
        <w:t>3</w:t>
      </w:r>
      <w:r>
        <w:fldChar w:fldCharType="end"/>
      </w:r>
      <w:r>
        <w:t>.</w:t>
      </w:r>
    </w:p>
    <w:p w14:paraId="6CE58205" w14:textId="77777777" w:rsidR="00B405D2" w:rsidRDefault="00B405D2">
      <w:pPr>
        <w:spacing w:after="160" w:line="259" w:lineRule="auto"/>
      </w:pPr>
      <w:r>
        <w:br w:type="page"/>
      </w:r>
    </w:p>
    <w:p w14:paraId="1CF9CAE1" w14:textId="77777777" w:rsidR="00464ED7" w:rsidRPr="005E6705" w:rsidRDefault="00464ED7" w:rsidP="005E6705">
      <w:pPr>
        <w:rPr>
          <w:rFonts w:ascii="Arial Narrow" w:hAnsi="Arial Narrow"/>
          <w:b/>
          <w:sz w:val="20"/>
        </w:rPr>
      </w:pPr>
      <w:bookmarkStart w:id="5" w:name="_Ref31910654"/>
      <w:r w:rsidRPr="005E6705">
        <w:rPr>
          <w:rFonts w:ascii="Arial Narrow" w:hAnsi="Arial Narrow"/>
          <w:b/>
          <w:sz w:val="20"/>
        </w:rPr>
        <w:lastRenderedPageBreak/>
        <w:t xml:space="preserve">Table </w:t>
      </w:r>
      <w:r w:rsidR="00723413" w:rsidRPr="005E6705">
        <w:rPr>
          <w:rFonts w:ascii="Arial Narrow" w:hAnsi="Arial Narrow"/>
          <w:b/>
          <w:sz w:val="20"/>
        </w:rPr>
        <w:fldChar w:fldCharType="begin"/>
      </w:r>
      <w:r w:rsidR="00723413" w:rsidRPr="005E6705">
        <w:rPr>
          <w:rFonts w:ascii="Arial Narrow" w:hAnsi="Arial Narrow"/>
          <w:b/>
          <w:sz w:val="20"/>
        </w:rPr>
        <w:instrText xml:space="preserve"> SEQ Table \* ARABIC </w:instrText>
      </w:r>
      <w:r w:rsidR="00723413" w:rsidRPr="005E6705">
        <w:rPr>
          <w:rFonts w:ascii="Arial Narrow" w:hAnsi="Arial Narrow"/>
          <w:b/>
          <w:sz w:val="20"/>
        </w:rPr>
        <w:fldChar w:fldCharType="separate"/>
      </w:r>
      <w:r w:rsidRPr="005E6705">
        <w:rPr>
          <w:rFonts w:ascii="Arial Narrow" w:hAnsi="Arial Narrow"/>
          <w:b/>
          <w:sz w:val="20"/>
        </w:rPr>
        <w:t>3</w:t>
      </w:r>
      <w:r w:rsidR="00723413" w:rsidRPr="005E6705">
        <w:rPr>
          <w:rFonts w:ascii="Arial Narrow" w:hAnsi="Arial Narrow"/>
          <w:b/>
          <w:sz w:val="20"/>
        </w:rPr>
        <w:fldChar w:fldCharType="end"/>
      </w:r>
      <w:bookmarkEnd w:id="5"/>
      <w:r w:rsidRPr="005E6705">
        <w:rPr>
          <w:rFonts w:ascii="Arial Narrow" w:hAnsi="Arial Narrow"/>
          <w:b/>
          <w:sz w:val="20"/>
        </w:rPr>
        <w:t xml:space="preserve"> Results for the subgroup with fracture duration ≤3 weeks from VAPOUR</w:t>
      </w:r>
    </w:p>
    <w:tbl>
      <w:tblPr>
        <w:tblW w:w="9204" w:type="dxa"/>
        <w:tblCellMar>
          <w:left w:w="0" w:type="dxa"/>
          <w:right w:w="0" w:type="dxa"/>
        </w:tblCellMar>
        <w:tblLook w:val="04A0" w:firstRow="1" w:lastRow="0" w:firstColumn="1" w:lastColumn="0" w:noHBand="0" w:noVBand="1"/>
        <w:tblDescription w:val="Results for the subgroup with fracture duration ≤3 weeks from VAPOUR"/>
      </w:tblPr>
      <w:tblGrid>
        <w:gridCol w:w="2117"/>
        <w:gridCol w:w="1418"/>
        <w:gridCol w:w="1417"/>
        <w:gridCol w:w="1418"/>
        <w:gridCol w:w="1417"/>
        <w:gridCol w:w="1417"/>
      </w:tblGrid>
      <w:tr w:rsidR="00464ED7" w:rsidRPr="0070102E" w14:paraId="3014E182" w14:textId="77777777" w:rsidTr="00BD04F3">
        <w:trPr>
          <w:tblHead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8DC33" w14:textId="77777777" w:rsidR="00464ED7" w:rsidRPr="00B0136E" w:rsidRDefault="00464ED7" w:rsidP="00BD04F3">
            <w:pPr>
              <w:pStyle w:val="TablesTHEMA"/>
              <w:keepNext w:val="0"/>
              <w:keepLines w:val="0"/>
              <w:widowControl w:val="0"/>
              <w:spacing w:after="0"/>
              <w:rPr>
                <w:rFonts w:ascii="Arial Narrow" w:hAnsi="Arial Narrow"/>
                <w:b/>
                <w:bCs/>
                <w:sz w:val="20"/>
                <w:szCs w:val="20"/>
              </w:rPr>
            </w:pPr>
            <w:r w:rsidRPr="00B0136E">
              <w:rPr>
                <w:rFonts w:ascii="Arial Narrow" w:hAnsi="Arial Narrow"/>
                <w:b/>
                <w:bCs/>
                <w:sz w:val="20"/>
                <w:szCs w:val="20"/>
              </w:rPr>
              <w:t>Follow-up</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46ECA" w14:textId="77777777" w:rsidR="00464ED7" w:rsidRPr="00B0136E" w:rsidRDefault="00464ED7" w:rsidP="00BD04F3">
            <w:pPr>
              <w:pStyle w:val="TablesTHEMA"/>
              <w:keepNext w:val="0"/>
              <w:keepLines w:val="0"/>
              <w:widowControl w:val="0"/>
              <w:spacing w:after="0"/>
              <w:jc w:val="center"/>
              <w:rPr>
                <w:rFonts w:ascii="Arial Narrow" w:hAnsi="Arial Narrow"/>
                <w:b/>
                <w:bCs/>
                <w:sz w:val="20"/>
                <w:szCs w:val="20"/>
              </w:rPr>
            </w:pPr>
            <w:r w:rsidRPr="00B0136E">
              <w:rPr>
                <w:rFonts w:ascii="Arial Narrow" w:hAnsi="Arial Narrow"/>
                <w:b/>
                <w:bCs/>
                <w:sz w:val="20"/>
                <w:szCs w:val="20"/>
              </w:rPr>
              <w:t>Day 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B0230" w14:textId="77777777" w:rsidR="00464ED7" w:rsidRPr="00B0136E" w:rsidRDefault="00464ED7" w:rsidP="00BD04F3">
            <w:pPr>
              <w:pStyle w:val="TablesTHEMA"/>
              <w:keepNext w:val="0"/>
              <w:keepLines w:val="0"/>
              <w:widowControl w:val="0"/>
              <w:spacing w:after="0"/>
              <w:jc w:val="center"/>
              <w:rPr>
                <w:rFonts w:ascii="Arial Narrow" w:hAnsi="Arial Narrow"/>
                <w:b/>
                <w:bCs/>
                <w:sz w:val="20"/>
                <w:szCs w:val="20"/>
              </w:rPr>
            </w:pPr>
            <w:r w:rsidRPr="00B0136E">
              <w:rPr>
                <w:rFonts w:ascii="Arial Narrow" w:hAnsi="Arial Narrow"/>
                <w:b/>
                <w:bCs/>
                <w:sz w:val="20"/>
                <w:szCs w:val="20"/>
              </w:rPr>
              <w:t>Day 14</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FFDE3B" w14:textId="77777777" w:rsidR="00464ED7" w:rsidRPr="00B0136E" w:rsidRDefault="00464ED7" w:rsidP="00BD04F3">
            <w:pPr>
              <w:pStyle w:val="TablesTHEMA"/>
              <w:keepNext w:val="0"/>
              <w:keepLines w:val="0"/>
              <w:widowControl w:val="0"/>
              <w:spacing w:after="0"/>
              <w:jc w:val="center"/>
              <w:rPr>
                <w:rFonts w:ascii="Arial Narrow" w:hAnsi="Arial Narrow"/>
                <w:b/>
                <w:bCs/>
                <w:sz w:val="20"/>
                <w:szCs w:val="20"/>
              </w:rPr>
            </w:pPr>
            <w:r w:rsidRPr="00B0136E">
              <w:rPr>
                <w:rFonts w:ascii="Arial Narrow" w:hAnsi="Arial Narrow"/>
                <w:b/>
                <w:bCs/>
                <w:sz w:val="20"/>
                <w:szCs w:val="20"/>
              </w:rPr>
              <w:t>Month 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D3B66" w14:textId="77777777" w:rsidR="00464ED7" w:rsidRPr="00B0136E" w:rsidRDefault="00464ED7" w:rsidP="00BD04F3">
            <w:pPr>
              <w:pStyle w:val="TablesTHEMA"/>
              <w:keepNext w:val="0"/>
              <w:keepLines w:val="0"/>
              <w:widowControl w:val="0"/>
              <w:spacing w:after="0"/>
              <w:jc w:val="center"/>
              <w:rPr>
                <w:rFonts w:ascii="Arial Narrow" w:hAnsi="Arial Narrow"/>
                <w:b/>
                <w:bCs/>
                <w:sz w:val="20"/>
                <w:szCs w:val="20"/>
              </w:rPr>
            </w:pPr>
            <w:r w:rsidRPr="00B0136E">
              <w:rPr>
                <w:rFonts w:ascii="Arial Narrow" w:hAnsi="Arial Narrow"/>
                <w:b/>
                <w:bCs/>
                <w:sz w:val="20"/>
                <w:szCs w:val="20"/>
              </w:rPr>
              <w:t>Month 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C9A36" w14:textId="77777777" w:rsidR="00464ED7" w:rsidRPr="00B0136E" w:rsidRDefault="00464ED7" w:rsidP="00BD04F3">
            <w:pPr>
              <w:pStyle w:val="TablesTHEMA"/>
              <w:keepNext w:val="0"/>
              <w:keepLines w:val="0"/>
              <w:widowControl w:val="0"/>
              <w:spacing w:after="0"/>
              <w:jc w:val="center"/>
              <w:rPr>
                <w:rFonts w:ascii="Arial Narrow" w:hAnsi="Arial Narrow"/>
                <w:b/>
                <w:bCs/>
                <w:sz w:val="20"/>
                <w:szCs w:val="20"/>
              </w:rPr>
            </w:pPr>
            <w:r w:rsidRPr="00B0136E">
              <w:rPr>
                <w:rFonts w:ascii="Arial Narrow" w:hAnsi="Arial Narrow"/>
                <w:b/>
                <w:bCs/>
                <w:sz w:val="20"/>
                <w:szCs w:val="20"/>
              </w:rPr>
              <w:t>Month 6</w:t>
            </w:r>
          </w:p>
        </w:tc>
      </w:tr>
      <w:tr w:rsidR="00464ED7" w:rsidRPr="0070102E" w14:paraId="4C4CC394"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148A" w14:textId="77777777" w:rsidR="00464ED7" w:rsidRPr="00B0136E" w:rsidRDefault="00464ED7" w:rsidP="00BD04F3">
            <w:pPr>
              <w:pStyle w:val="TablesTHEMA"/>
              <w:keepNext w:val="0"/>
              <w:keepLines w:val="0"/>
              <w:widowControl w:val="0"/>
              <w:spacing w:after="0"/>
              <w:rPr>
                <w:rFonts w:ascii="Arial Narrow" w:hAnsi="Arial Narrow"/>
                <w:b/>
                <w:bCs/>
                <w:sz w:val="20"/>
                <w:szCs w:val="20"/>
              </w:rPr>
            </w:pPr>
            <w:r w:rsidRPr="00B0136E">
              <w:rPr>
                <w:rFonts w:ascii="Arial Narrow" w:hAnsi="Arial Narrow"/>
                <w:b/>
                <w:bCs/>
                <w:sz w:val="20"/>
                <w:szCs w:val="20"/>
              </w:rPr>
              <w:t>Proportion of patients with NRS pain score &lt;4</w:t>
            </w:r>
          </w:p>
        </w:tc>
      </w:tr>
      <w:tr w:rsidR="00464ED7" w:rsidRPr="0070102E" w14:paraId="55D31871"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EF9D"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Vertebroplasty n/N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B034A0"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14/43 (33%)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BDFA8C1"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21/41 (51%)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E59CAA8"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22/40 (55%)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C06101"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21/39 (54%)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0563244"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28/38 (74%)</w:t>
            </w:r>
          </w:p>
        </w:tc>
      </w:tr>
      <w:tr w:rsidR="00464ED7" w:rsidRPr="0070102E" w14:paraId="29768BF1"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D9AAB"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Placebo n/N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8035004"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3/43 (7%)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2215E48"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9/45 (20%)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52AA5C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7/45 (16%)</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027ABC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12/41 (29%)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F5B6E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19/40 (48%)</w:t>
            </w:r>
          </w:p>
        </w:tc>
      </w:tr>
      <w:tr w:rsidR="00464ED7" w:rsidRPr="0070102E" w14:paraId="0A12C837"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37617" w14:textId="77777777" w:rsidR="00464ED7"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Difference (95% CI)</w:t>
            </w:r>
          </w:p>
          <w:p w14:paraId="08362C85"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156ADD4"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26 (10, 42)</w:t>
            </w:r>
          </w:p>
          <w:p w14:paraId="15576AB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0.0029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5A6D4DD"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31 (12, 50)</w:t>
            </w:r>
          </w:p>
          <w:p w14:paraId="7C40F3F4"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DBD764"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39 (21, 58)</w:t>
            </w:r>
          </w:p>
          <w:p w14:paraId="26E30BF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0.0001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F4FE1FE"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25 (4, 46)</w:t>
            </w:r>
          </w:p>
          <w:p w14:paraId="669DBB7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2EB21B"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26 (5, 47)</w:t>
            </w:r>
          </w:p>
          <w:p w14:paraId="36738DC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0.018</w:t>
            </w:r>
          </w:p>
        </w:tc>
      </w:tr>
      <w:tr w:rsidR="00464ED7" w:rsidRPr="0070102E" w14:paraId="0A06E4C7"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78CF2" w14:textId="77777777" w:rsidR="00464ED7" w:rsidRPr="00B0136E" w:rsidRDefault="00464ED7" w:rsidP="00BD04F3">
            <w:pPr>
              <w:pStyle w:val="TablesTHEMA"/>
              <w:keepNext w:val="0"/>
              <w:keepLines w:val="0"/>
              <w:widowControl w:val="0"/>
              <w:spacing w:after="0"/>
              <w:rPr>
                <w:rFonts w:ascii="Arial Narrow" w:hAnsi="Arial Narrow"/>
                <w:b/>
                <w:bCs/>
                <w:sz w:val="20"/>
                <w:szCs w:val="20"/>
              </w:rPr>
            </w:pPr>
            <w:r>
              <w:rPr>
                <w:rFonts w:ascii="Arial Narrow" w:hAnsi="Arial Narrow"/>
                <w:b/>
                <w:bCs/>
                <w:sz w:val="20"/>
                <w:szCs w:val="20"/>
              </w:rPr>
              <w:t>Mean</w:t>
            </w:r>
            <w:r w:rsidRPr="00B0136E">
              <w:rPr>
                <w:rFonts w:ascii="Arial Narrow" w:hAnsi="Arial Narrow"/>
                <w:b/>
                <w:bCs/>
                <w:sz w:val="20"/>
                <w:szCs w:val="20"/>
              </w:rPr>
              <w:t xml:space="preserve"> NRS pain score</w:t>
            </w:r>
          </w:p>
        </w:tc>
      </w:tr>
      <w:tr w:rsidR="00464ED7" w:rsidRPr="0070102E" w14:paraId="03F016C6"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356FF"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Vertebroplasty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AAD510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N=43; 4.8 (2.4)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0A2B98"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N=41; 3.8 (2.6)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F374CF3"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N=40; 3.7 (2.7)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8FBAE0"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N=39; 3.1 (3.1)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00110D8"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N=38; 2.1 (2.6)</w:t>
            </w:r>
          </w:p>
        </w:tc>
      </w:tr>
      <w:tr w:rsidR="00464ED7" w:rsidRPr="0070102E" w14:paraId="2482B20D"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576A"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Placebo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4743AC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N=43; 7.2 (2.0)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00944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N=45; 5.6 (2.8)</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3453E6A"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N=45; 5.5 (2.5)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781B1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N=41; 4.5 (3.0)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B3E5C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N=40; 3.5 (2.6)</w:t>
            </w:r>
          </w:p>
        </w:tc>
      </w:tr>
      <w:tr w:rsidR="00464ED7" w:rsidRPr="0070102E" w14:paraId="45BEBE77"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55D63" w14:textId="77777777" w:rsidR="00464ED7" w:rsidRDefault="00464ED7" w:rsidP="00BD04F3">
            <w:pPr>
              <w:pStyle w:val="TablesTHEMA"/>
              <w:keepNext w:val="0"/>
              <w:keepLines w:val="0"/>
              <w:widowControl w:val="0"/>
              <w:spacing w:after="0"/>
              <w:rPr>
                <w:rFonts w:ascii="Arial Narrow" w:hAnsi="Arial Narrow"/>
                <w:sz w:val="20"/>
                <w:szCs w:val="20"/>
              </w:rPr>
            </w:pPr>
            <w:r>
              <w:rPr>
                <w:rFonts w:ascii="Arial Narrow" w:hAnsi="Arial Narrow"/>
                <w:sz w:val="20"/>
                <w:szCs w:val="20"/>
              </w:rPr>
              <w:t>Difference (95% CI)</w:t>
            </w:r>
          </w:p>
          <w:p w14:paraId="140C6F71"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C1BF8AD"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2.4 (1.5, 3.4)</w:t>
            </w:r>
          </w:p>
          <w:p w14:paraId="181FC849"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&lt;0.0001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535E48"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1.9 (0.7, 3.0)</w:t>
            </w:r>
          </w:p>
          <w:p w14:paraId="1754A7C1"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0.0019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5B4686A"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1.9 (0.7, 3.0)</w:t>
            </w:r>
          </w:p>
          <w:p w14:paraId="1516610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0.0014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9638EB"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1.4 (0.1, 2.8)</w:t>
            </w:r>
          </w:p>
          <w:p w14:paraId="1C125941"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0.042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F6C9D7"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1.4 (0.3, 2.6)</w:t>
            </w:r>
          </w:p>
          <w:p w14:paraId="44A9EB90"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0.017</w:t>
            </w:r>
          </w:p>
        </w:tc>
      </w:tr>
      <w:tr w:rsidR="00464ED7" w:rsidRPr="0070102E" w14:paraId="5B4958EC"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DBC30" w14:textId="77777777" w:rsidR="00464ED7" w:rsidRPr="00B0136E" w:rsidRDefault="00464ED7" w:rsidP="00BD04F3">
            <w:pPr>
              <w:pStyle w:val="TablesTHEMA"/>
              <w:keepNext w:val="0"/>
              <w:keepLines w:val="0"/>
              <w:widowControl w:val="0"/>
              <w:spacing w:after="0"/>
              <w:rPr>
                <w:rFonts w:ascii="Arial Narrow" w:hAnsi="Arial Narrow"/>
                <w:b/>
                <w:bCs/>
                <w:sz w:val="20"/>
                <w:szCs w:val="20"/>
              </w:rPr>
            </w:pPr>
            <w:r>
              <w:rPr>
                <w:rFonts w:ascii="Arial Narrow" w:hAnsi="Arial Narrow"/>
                <w:b/>
                <w:bCs/>
                <w:sz w:val="20"/>
                <w:szCs w:val="20"/>
              </w:rPr>
              <w:t>Mean</w:t>
            </w:r>
            <w:r w:rsidRPr="00B0136E">
              <w:rPr>
                <w:rFonts w:ascii="Arial Narrow" w:hAnsi="Arial Narrow"/>
                <w:b/>
                <w:bCs/>
                <w:sz w:val="20"/>
                <w:szCs w:val="20"/>
              </w:rPr>
              <w:t xml:space="preserve"> RDQ score</w:t>
            </w:r>
          </w:p>
        </w:tc>
      </w:tr>
      <w:tr w:rsidR="00464ED7" w:rsidRPr="0070102E" w14:paraId="5D05654C"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54D9F"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Vertebroplasty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DF9837"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N=44; 14.0 (6.5)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6DF4C72"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N=39; 13.1 (6.2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F84A2C7"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N=40; 12.9 (5.9)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E65A5C0"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N=39; 10.2 (7.5)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94A186"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N=37; 9.0 (6.4)</w:t>
            </w:r>
          </w:p>
        </w:tc>
      </w:tr>
      <w:tr w:rsidR="00464ED7" w:rsidRPr="0070102E" w14:paraId="644749E6"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C09B9"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Placebo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FDDD45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N=39; 17.1 (4.2)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C293C5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N=44; 16.0 (6.3)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4FDC5BA"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N=43; 15.4 (5.9)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69759C5"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N=39; 13.6 (6.2)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75BB54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N=40; 12.5 (6.5)</w:t>
            </w:r>
          </w:p>
        </w:tc>
      </w:tr>
      <w:tr w:rsidR="00464ED7" w:rsidRPr="0070102E" w14:paraId="58027DED"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AF138" w14:textId="77777777" w:rsidR="00464ED7"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Difference (95% CI)</w:t>
            </w:r>
          </w:p>
          <w:p w14:paraId="5934C410" w14:textId="77777777" w:rsidR="00464ED7" w:rsidRPr="00B0136E" w:rsidRDefault="00464ED7" w:rsidP="00BD04F3">
            <w:pPr>
              <w:pStyle w:val="TablesTHEMA"/>
              <w:keepNext w:val="0"/>
              <w:keepLines w:val="0"/>
              <w:widowControl w:val="0"/>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8528808"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3.1 (0.7, 5.4)</w:t>
            </w:r>
          </w:p>
          <w:p w14:paraId="71397C29"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0.011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55D2841"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2.9 (0.2, 5.6)</w:t>
            </w:r>
          </w:p>
          <w:p w14:paraId="21DE2D17"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0.039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3749F46"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2.5 (-0.2, 5.1)</w:t>
            </w:r>
          </w:p>
          <w:p w14:paraId="0C0F2B0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0.057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F37DC5"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3.4 (0.3, 6.5)</w:t>
            </w:r>
          </w:p>
          <w:p w14:paraId="642CC58E"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0.034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A3D45F" w14:textId="77777777" w:rsidR="00464ED7"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3.4 (0.5, 6.4)</w:t>
            </w:r>
          </w:p>
          <w:p w14:paraId="3C16F6AF" w14:textId="77777777" w:rsidR="00464ED7" w:rsidRPr="00B0136E" w:rsidRDefault="00464ED7" w:rsidP="00BD04F3">
            <w:pPr>
              <w:pStyle w:val="TablesTHEMA"/>
              <w:keepNext w:val="0"/>
              <w:keepLines w:val="0"/>
              <w:widowControl w:val="0"/>
              <w:spacing w:after="0"/>
              <w:jc w:val="center"/>
              <w:rPr>
                <w:rFonts w:ascii="Arial Narrow" w:hAnsi="Arial Narrow"/>
                <w:sz w:val="20"/>
                <w:szCs w:val="20"/>
              </w:rPr>
            </w:pPr>
            <w:r>
              <w:rPr>
                <w:rFonts w:ascii="Arial Narrow" w:hAnsi="Arial Narrow"/>
                <w:sz w:val="20"/>
                <w:szCs w:val="20"/>
              </w:rPr>
              <w:t>0.022</w:t>
            </w:r>
          </w:p>
        </w:tc>
      </w:tr>
    </w:tbl>
    <w:p w14:paraId="72A5CB94" w14:textId="77777777" w:rsidR="00464ED7" w:rsidRDefault="00464ED7" w:rsidP="00464ED7">
      <w:pPr>
        <w:rPr>
          <w:rFonts w:ascii="Arial Narrow" w:hAnsi="Arial Narrow"/>
          <w:sz w:val="18"/>
          <w:szCs w:val="18"/>
        </w:rPr>
      </w:pPr>
      <w:r w:rsidRPr="007B5E40">
        <w:rPr>
          <w:rFonts w:ascii="Arial Narrow" w:hAnsi="Arial Narrow"/>
          <w:sz w:val="18"/>
          <w:szCs w:val="18"/>
        </w:rPr>
        <w:t>NRS=numeric rating scale; RDQ=Roland-Morris Disability Questionnaire</w:t>
      </w:r>
    </w:p>
    <w:p w14:paraId="5D7FEED7" w14:textId="77777777" w:rsidR="00464ED7" w:rsidRDefault="00464ED7" w:rsidP="00464ED7">
      <w:r>
        <w:rPr>
          <w:rFonts w:ascii="Arial Narrow" w:hAnsi="Arial Narrow"/>
          <w:sz w:val="18"/>
          <w:szCs w:val="18"/>
        </w:rPr>
        <w:t>Source:</w:t>
      </w:r>
      <w:r w:rsidRPr="00F00537">
        <w:rPr>
          <w:rFonts w:ascii="Arial Narrow" w:hAnsi="Arial Narrow"/>
          <w:sz w:val="18"/>
          <w:szCs w:val="18"/>
        </w:rPr>
        <w:t xml:space="preserve"> Table 6, p9 of Nov</w:t>
      </w:r>
      <w:r>
        <w:rPr>
          <w:rFonts w:ascii="Arial Narrow" w:hAnsi="Arial Narrow"/>
          <w:sz w:val="18"/>
          <w:szCs w:val="18"/>
        </w:rPr>
        <w:t>ember 2019 Departmental</w:t>
      </w:r>
      <w:r w:rsidRPr="00F00537">
        <w:rPr>
          <w:rFonts w:ascii="Arial Narrow" w:hAnsi="Arial Narrow"/>
          <w:sz w:val="18"/>
          <w:szCs w:val="18"/>
        </w:rPr>
        <w:t xml:space="preserve"> Overview</w:t>
      </w:r>
    </w:p>
    <w:p w14:paraId="0FFA9489" w14:textId="77777777" w:rsidR="00464ED7" w:rsidRDefault="00464ED7" w:rsidP="00464ED7">
      <w:pPr>
        <w:rPr>
          <w:u w:val="single"/>
        </w:rPr>
      </w:pPr>
    </w:p>
    <w:p w14:paraId="1B210ADD" w14:textId="03D2860A" w:rsidR="00464ED7" w:rsidRDefault="00464ED7" w:rsidP="00464ED7">
      <w:r>
        <w:t>The applicant also provided a subgroup</w:t>
      </w:r>
      <w:r w:rsidRPr="003021C2">
        <w:t xml:space="preserve"> analysis of </w:t>
      </w:r>
      <w:r>
        <w:t>5</w:t>
      </w:r>
      <w:r w:rsidRPr="003021C2">
        <w:t xml:space="preserve">3 patients with </w:t>
      </w:r>
      <w:r>
        <w:t>thoracolumbar fracture duration ≤</w:t>
      </w:r>
      <w:r w:rsidRPr="003021C2">
        <w:t>3</w:t>
      </w:r>
      <w:r w:rsidR="00131E42">
        <w:t> </w:t>
      </w:r>
      <w:r w:rsidRPr="003021C2">
        <w:t>weeks from the VAPOUR trial</w:t>
      </w:r>
      <w:r>
        <w:t xml:space="preserve"> reporting the same outcome measures (Table 4).</w:t>
      </w:r>
    </w:p>
    <w:p w14:paraId="5DAA7183" w14:textId="77777777" w:rsidR="00464ED7" w:rsidRDefault="00464ED7" w:rsidP="00464ED7">
      <w:pPr>
        <w:rPr>
          <w:u w:val="single"/>
        </w:rPr>
      </w:pPr>
    </w:p>
    <w:p w14:paraId="6ED19564" w14:textId="77777777" w:rsidR="00464ED7" w:rsidRPr="005E6705" w:rsidRDefault="00464ED7" w:rsidP="005E6705">
      <w:pPr>
        <w:rPr>
          <w:rFonts w:ascii="Arial Narrow" w:hAnsi="Arial Narrow"/>
          <w:b/>
          <w:sz w:val="20"/>
        </w:rPr>
      </w:pPr>
      <w:r w:rsidRPr="005E6705">
        <w:rPr>
          <w:rFonts w:ascii="Arial Narrow" w:hAnsi="Arial Narrow"/>
          <w:b/>
          <w:sz w:val="20"/>
        </w:rPr>
        <w:t>Table 4 Results for the thoracolumbar fractures ≤3 week subgroup from VAPOUR</w:t>
      </w:r>
    </w:p>
    <w:tbl>
      <w:tblPr>
        <w:tblW w:w="9204" w:type="dxa"/>
        <w:tblCellMar>
          <w:left w:w="0" w:type="dxa"/>
          <w:right w:w="0" w:type="dxa"/>
        </w:tblCellMar>
        <w:tblLook w:val="04A0" w:firstRow="1" w:lastRow="0" w:firstColumn="1" w:lastColumn="0" w:noHBand="0" w:noVBand="1"/>
        <w:tblDescription w:val="Results for the thoracolumbar fractures ≤3 week subgroup from VAPOUR"/>
      </w:tblPr>
      <w:tblGrid>
        <w:gridCol w:w="2117"/>
        <w:gridCol w:w="1418"/>
        <w:gridCol w:w="1417"/>
        <w:gridCol w:w="1418"/>
        <w:gridCol w:w="1417"/>
        <w:gridCol w:w="1417"/>
      </w:tblGrid>
      <w:tr w:rsidR="00464ED7" w:rsidRPr="0070102E" w14:paraId="7B25969A" w14:textId="77777777" w:rsidTr="00BD04F3">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5CFF42" w14:textId="77777777" w:rsidR="00464ED7" w:rsidRPr="00B0136E" w:rsidRDefault="00464ED7" w:rsidP="00BD04F3">
            <w:pPr>
              <w:pStyle w:val="TablesTHEMA"/>
              <w:spacing w:after="0"/>
              <w:rPr>
                <w:rFonts w:ascii="Arial Narrow" w:hAnsi="Arial Narrow"/>
                <w:b/>
                <w:bCs/>
                <w:sz w:val="20"/>
                <w:szCs w:val="20"/>
              </w:rPr>
            </w:pPr>
            <w:r w:rsidRPr="00B0136E">
              <w:rPr>
                <w:rFonts w:ascii="Arial Narrow" w:hAnsi="Arial Narrow"/>
                <w:b/>
                <w:bCs/>
                <w:sz w:val="20"/>
                <w:szCs w:val="20"/>
              </w:rPr>
              <w:t>Follow-up</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97066" w14:textId="77777777" w:rsidR="00464ED7" w:rsidRPr="00B0136E" w:rsidRDefault="00464ED7" w:rsidP="00BD04F3">
            <w:pPr>
              <w:pStyle w:val="TablesTHEMA"/>
              <w:spacing w:after="0"/>
              <w:jc w:val="center"/>
              <w:rPr>
                <w:rFonts w:ascii="Arial Narrow" w:hAnsi="Arial Narrow"/>
                <w:b/>
                <w:bCs/>
                <w:sz w:val="20"/>
                <w:szCs w:val="20"/>
              </w:rPr>
            </w:pPr>
            <w:r w:rsidRPr="00B0136E">
              <w:rPr>
                <w:rFonts w:ascii="Arial Narrow" w:hAnsi="Arial Narrow"/>
                <w:b/>
                <w:bCs/>
                <w:sz w:val="20"/>
                <w:szCs w:val="20"/>
              </w:rPr>
              <w:t>Day 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19E8C7" w14:textId="77777777" w:rsidR="00464ED7" w:rsidRPr="00B0136E" w:rsidRDefault="00464ED7" w:rsidP="00BD04F3">
            <w:pPr>
              <w:pStyle w:val="TablesTHEMA"/>
              <w:spacing w:after="0"/>
              <w:jc w:val="center"/>
              <w:rPr>
                <w:rFonts w:ascii="Arial Narrow" w:hAnsi="Arial Narrow"/>
                <w:b/>
                <w:bCs/>
                <w:sz w:val="20"/>
                <w:szCs w:val="20"/>
              </w:rPr>
            </w:pPr>
            <w:r w:rsidRPr="00B0136E">
              <w:rPr>
                <w:rFonts w:ascii="Arial Narrow" w:hAnsi="Arial Narrow"/>
                <w:b/>
                <w:bCs/>
                <w:sz w:val="20"/>
                <w:szCs w:val="20"/>
              </w:rPr>
              <w:t>Day 14</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3C72C" w14:textId="77777777" w:rsidR="00464ED7" w:rsidRPr="00B0136E" w:rsidRDefault="00464ED7" w:rsidP="00BD04F3">
            <w:pPr>
              <w:pStyle w:val="TablesTHEMA"/>
              <w:spacing w:after="0"/>
              <w:jc w:val="center"/>
              <w:rPr>
                <w:rFonts w:ascii="Arial Narrow" w:hAnsi="Arial Narrow"/>
                <w:b/>
                <w:bCs/>
                <w:sz w:val="20"/>
                <w:szCs w:val="20"/>
              </w:rPr>
            </w:pPr>
            <w:r w:rsidRPr="00B0136E">
              <w:rPr>
                <w:rFonts w:ascii="Arial Narrow" w:hAnsi="Arial Narrow"/>
                <w:b/>
                <w:bCs/>
                <w:sz w:val="20"/>
                <w:szCs w:val="20"/>
              </w:rPr>
              <w:t>Month 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CDB9E" w14:textId="77777777" w:rsidR="00464ED7" w:rsidRPr="00B0136E" w:rsidRDefault="00464ED7" w:rsidP="00BD04F3">
            <w:pPr>
              <w:pStyle w:val="TablesTHEMA"/>
              <w:spacing w:after="0"/>
              <w:jc w:val="center"/>
              <w:rPr>
                <w:rFonts w:ascii="Arial Narrow" w:hAnsi="Arial Narrow"/>
                <w:b/>
                <w:bCs/>
                <w:sz w:val="20"/>
                <w:szCs w:val="20"/>
              </w:rPr>
            </w:pPr>
            <w:r w:rsidRPr="00B0136E">
              <w:rPr>
                <w:rFonts w:ascii="Arial Narrow" w:hAnsi="Arial Narrow"/>
                <w:b/>
                <w:bCs/>
                <w:sz w:val="20"/>
                <w:szCs w:val="20"/>
              </w:rPr>
              <w:t>Month 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2272B" w14:textId="77777777" w:rsidR="00464ED7" w:rsidRPr="00B0136E" w:rsidRDefault="00464ED7" w:rsidP="00BD04F3">
            <w:pPr>
              <w:pStyle w:val="TablesTHEMA"/>
              <w:spacing w:after="0"/>
              <w:jc w:val="center"/>
              <w:rPr>
                <w:rFonts w:ascii="Arial Narrow" w:hAnsi="Arial Narrow"/>
                <w:b/>
                <w:bCs/>
                <w:sz w:val="20"/>
                <w:szCs w:val="20"/>
              </w:rPr>
            </w:pPr>
            <w:r w:rsidRPr="00B0136E">
              <w:rPr>
                <w:rFonts w:ascii="Arial Narrow" w:hAnsi="Arial Narrow"/>
                <w:b/>
                <w:bCs/>
                <w:sz w:val="20"/>
                <w:szCs w:val="20"/>
              </w:rPr>
              <w:t>Month 6</w:t>
            </w:r>
          </w:p>
        </w:tc>
      </w:tr>
      <w:tr w:rsidR="00464ED7" w:rsidRPr="0070102E" w14:paraId="2ABD20B1"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F870E" w14:textId="77777777" w:rsidR="00464ED7" w:rsidRPr="00B0136E" w:rsidRDefault="00464ED7" w:rsidP="00BD04F3">
            <w:pPr>
              <w:pStyle w:val="TablesTHEMA"/>
              <w:spacing w:after="0"/>
              <w:rPr>
                <w:rFonts w:ascii="Arial Narrow" w:hAnsi="Arial Narrow"/>
                <w:b/>
                <w:bCs/>
                <w:sz w:val="20"/>
                <w:szCs w:val="20"/>
              </w:rPr>
            </w:pPr>
            <w:r w:rsidRPr="00B0136E">
              <w:rPr>
                <w:rFonts w:ascii="Arial Narrow" w:hAnsi="Arial Narrow"/>
                <w:b/>
                <w:bCs/>
                <w:sz w:val="20"/>
                <w:szCs w:val="20"/>
              </w:rPr>
              <w:t>Proportion of patients with NRS pain score &lt;4</w:t>
            </w:r>
          </w:p>
        </w:tc>
      </w:tr>
      <w:tr w:rsidR="00464ED7" w:rsidRPr="0070102E" w14:paraId="20CB6854"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C02D7"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Vertebroplasty n/N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025B218"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12/29 (41%)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2E2135"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17/29 (59%)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1BCA39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17/27 (63%)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CDD315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15/26 (58%)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BBEEF8"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19/25 (76%)</w:t>
            </w:r>
          </w:p>
        </w:tc>
      </w:tr>
      <w:tr w:rsidR="00464ED7" w:rsidRPr="0070102E" w14:paraId="2C5E3215"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E15E3"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Placebo n/N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84A8839"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2/24 (8%)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E58B59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3/24 (13%)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3C501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1/25 (4%)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0D9F041"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5/24 (21%)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E2BC4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8/21 (38%)</w:t>
            </w:r>
          </w:p>
        </w:tc>
      </w:tr>
      <w:tr w:rsidR="00464ED7" w:rsidRPr="0070102E" w14:paraId="03E81875"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4293F" w14:textId="77777777" w:rsidR="00464ED7" w:rsidRDefault="00464ED7" w:rsidP="00BD04F3">
            <w:pPr>
              <w:pStyle w:val="TablesTHEMA"/>
              <w:spacing w:after="0"/>
              <w:rPr>
                <w:rFonts w:ascii="Arial Narrow" w:hAnsi="Arial Narrow"/>
                <w:sz w:val="20"/>
                <w:szCs w:val="20"/>
              </w:rPr>
            </w:pPr>
            <w:r w:rsidRPr="00B0136E">
              <w:rPr>
                <w:rFonts w:ascii="Arial Narrow" w:hAnsi="Arial Narrow"/>
                <w:sz w:val="20"/>
                <w:szCs w:val="20"/>
              </w:rPr>
              <w:t>Difference (95% CI)</w:t>
            </w:r>
          </w:p>
          <w:p w14:paraId="7E9F12A6"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79B766C"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33 (12, 54)</w:t>
            </w:r>
          </w:p>
          <w:p w14:paraId="621ADA7C"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B3CAB4D"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46 (24, 68)</w:t>
            </w:r>
          </w:p>
          <w:p w14:paraId="2184842A"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3CEF4E7"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59 (39, 79)</w:t>
            </w:r>
          </w:p>
          <w:p w14:paraId="65964437"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&lt;0.0001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C3ED63"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37 (12, 62)</w:t>
            </w:r>
          </w:p>
          <w:p w14:paraId="0776CF07"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F0EDC5"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38 (11, 65)</w:t>
            </w:r>
          </w:p>
          <w:p w14:paraId="7CDEA18A"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0.009</w:t>
            </w:r>
          </w:p>
        </w:tc>
      </w:tr>
      <w:tr w:rsidR="00464ED7" w:rsidRPr="0070102E" w14:paraId="44F9B4D2"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EF493" w14:textId="77777777" w:rsidR="00464ED7" w:rsidRPr="00B0136E" w:rsidRDefault="00464ED7" w:rsidP="00BD04F3">
            <w:pPr>
              <w:pStyle w:val="TablesTHEMA"/>
              <w:spacing w:after="0"/>
              <w:rPr>
                <w:rFonts w:ascii="Arial Narrow" w:hAnsi="Arial Narrow"/>
                <w:b/>
                <w:bCs/>
                <w:sz w:val="20"/>
                <w:szCs w:val="20"/>
              </w:rPr>
            </w:pPr>
            <w:r>
              <w:rPr>
                <w:rFonts w:ascii="Arial Narrow" w:hAnsi="Arial Narrow"/>
                <w:b/>
                <w:bCs/>
                <w:sz w:val="20"/>
                <w:szCs w:val="20"/>
              </w:rPr>
              <w:t>Mean</w:t>
            </w:r>
            <w:r w:rsidRPr="00B0136E">
              <w:rPr>
                <w:rFonts w:ascii="Arial Narrow" w:hAnsi="Arial Narrow"/>
                <w:b/>
                <w:bCs/>
                <w:sz w:val="20"/>
                <w:szCs w:val="20"/>
              </w:rPr>
              <w:t xml:space="preserve"> NRS pain score</w:t>
            </w:r>
          </w:p>
        </w:tc>
      </w:tr>
      <w:tr w:rsidR="00464ED7" w:rsidRPr="0070102E" w14:paraId="3591ABF9"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ABB39"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Vertebroplasty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D0D58DD"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N=29; 4.1 (2.3)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170A59"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N=29; 3.4 (2.7)</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4E008"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N=27; 3.3 (2.7)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437BB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N=26; 2.8 (3.1)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EE9332"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N=25; 1.9 (2.3)</w:t>
            </w:r>
          </w:p>
        </w:tc>
      </w:tr>
      <w:tr w:rsidR="00464ED7" w:rsidRPr="0070102E" w14:paraId="570EFEE9"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F3BE3"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Placebo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C29316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N=24; 7.3 (2.0)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5A2B1D"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N=24; 6.1 (2.5)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534F5CA"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N=25; 5.9 (1.7)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BC622C5"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N=24; 4.7 (2.5)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B30B7F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N=21; 4.1 (2.3)</w:t>
            </w:r>
          </w:p>
        </w:tc>
      </w:tr>
      <w:tr w:rsidR="00464ED7" w:rsidRPr="0070102E" w14:paraId="308C6953"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0B9B" w14:textId="08BA35C5" w:rsidR="00464ED7" w:rsidRDefault="00792414" w:rsidP="00BD04F3">
            <w:pPr>
              <w:pStyle w:val="TablesTHEMA"/>
              <w:spacing w:after="0"/>
              <w:rPr>
                <w:rFonts w:ascii="Arial Narrow" w:hAnsi="Arial Narrow"/>
                <w:sz w:val="20"/>
                <w:szCs w:val="20"/>
              </w:rPr>
            </w:pPr>
            <w:r>
              <w:rPr>
                <w:rFonts w:ascii="Arial Narrow" w:hAnsi="Arial Narrow"/>
                <w:sz w:val="20"/>
                <w:szCs w:val="20"/>
              </w:rPr>
              <w:t>Difference (95% CI)</w:t>
            </w:r>
          </w:p>
          <w:p w14:paraId="010826C8"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0C488AB"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3.2 (2.0, 4.4)</w:t>
            </w:r>
          </w:p>
          <w:p w14:paraId="7EBBE2E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&lt;0.0001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8FDD5DD"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2.7 (1.3, 4.2)</w:t>
            </w:r>
          </w:p>
          <w:p w14:paraId="0D0231DD"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0.0004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83FB611"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2.6 (1.3, 3.9)</w:t>
            </w:r>
          </w:p>
          <w:p w14:paraId="2F38684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0.0002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205CEFA"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1.8 (0.2, 3.4)</w:t>
            </w:r>
          </w:p>
          <w:p w14:paraId="53E21C78"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0.027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46B04A8"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2.2 (0.9, 3.6)</w:t>
            </w:r>
          </w:p>
          <w:p w14:paraId="389E6B70"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0.002</w:t>
            </w:r>
          </w:p>
        </w:tc>
      </w:tr>
      <w:tr w:rsidR="00464ED7" w:rsidRPr="0070102E" w14:paraId="53A8502F" w14:textId="77777777" w:rsidTr="00BD04F3">
        <w:tc>
          <w:tcPr>
            <w:tcW w:w="920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1737D" w14:textId="77777777" w:rsidR="00464ED7" w:rsidRPr="00B0136E" w:rsidRDefault="00464ED7" w:rsidP="00BD04F3">
            <w:pPr>
              <w:pStyle w:val="TablesTHEMA"/>
              <w:spacing w:after="0"/>
              <w:rPr>
                <w:rFonts w:ascii="Arial Narrow" w:hAnsi="Arial Narrow"/>
                <w:b/>
                <w:bCs/>
                <w:sz w:val="20"/>
                <w:szCs w:val="20"/>
              </w:rPr>
            </w:pPr>
            <w:r>
              <w:rPr>
                <w:rFonts w:ascii="Arial Narrow" w:hAnsi="Arial Narrow"/>
                <w:b/>
                <w:bCs/>
                <w:sz w:val="20"/>
                <w:szCs w:val="20"/>
              </w:rPr>
              <w:t>Mean</w:t>
            </w:r>
            <w:r w:rsidRPr="00B0136E">
              <w:rPr>
                <w:rFonts w:ascii="Arial Narrow" w:hAnsi="Arial Narrow"/>
                <w:b/>
                <w:bCs/>
                <w:sz w:val="20"/>
                <w:szCs w:val="20"/>
              </w:rPr>
              <w:t xml:space="preserve"> RDQ score</w:t>
            </w:r>
          </w:p>
        </w:tc>
      </w:tr>
      <w:tr w:rsidR="00464ED7" w:rsidRPr="0070102E" w14:paraId="32E891D2"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909BD"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Vertebroplasty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A97A2B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N=30; 12.2 (6.5)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64A9834"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N=27; 12.0 (6.6)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6BDEC8B"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N=27; 11.2 (6.0)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F284877"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N=26; 7.8 (7.1)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770F15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N=24; 7.8 (5.6)</w:t>
            </w:r>
          </w:p>
        </w:tc>
      </w:tr>
      <w:tr w:rsidR="00464ED7" w:rsidRPr="0070102E" w14:paraId="3A60B3AC"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EE3A2"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Placebo mean (SD)</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DF761F"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N=23; 17.4 (4.5)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BC36CE9"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N=23; 16.8 (6.1)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33604D4"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N=25; 15.7 (5.7)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A641F4C"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N=23; 14.7 (4.8)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E1157C3"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N=21; 13.3 (5.7)</w:t>
            </w:r>
          </w:p>
        </w:tc>
      </w:tr>
      <w:tr w:rsidR="00464ED7" w:rsidRPr="0070102E" w14:paraId="101D6FFD" w14:textId="77777777" w:rsidTr="00BD04F3">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9B38A" w14:textId="62F4E539" w:rsidR="00464ED7" w:rsidRDefault="00464ED7" w:rsidP="00BD04F3">
            <w:pPr>
              <w:pStyle w:val="TablesTHEMA"/>
              <w:spacing w:after="0"/>
              <w:rPr>
                <w:rFonts w:ascii="Arial Narrow" w:hAnsi="Arial Narrow"/>
                <w:sz w:val="20"/>
                <w:szCs w:val="20"/>
              </w:rPr>
            </w:pPr>
            <w:r w:rsidRPr="00B0136E">
              <w:rPr>
                <w:rFonts w:ascii="Arial Narrow" w:hAnsi="Arial Narrow"/>
                <w:sz w:val="20"/>
                <w:szCs w:val="20"/>
              </w:rPr>
              <w:t>Difference (95% CI)</w:t>
            </w:r>
          </w:p>
          <w:p w14:paraId="7CC977BE" w14:textId="77777777" w:rsidR="00464ED7" w:rsidRPr="00B0136E" w:rsidRDefault="00464ED7" w:rsidP="00BD04F3">
            <w:pPr>
              <w:pStyle w:val="TablesTHEMA"/>
              <w:spacing w:after="0"/>
              <w:rPr>
                <w:rFonts w:ascii="Arial Narrow" w:hAnsi="Arial Narrow"/>
                <w:sz w:val="20"/>
                <w:szCs w:val="20"/>
              </w:rPr>
            </w:pPr>
            <w:r w:rsidRPr="00B0136E">
              <w:rPr>
                <w:rFonts w:ascii="Arial Narrow" w:hAnsi="Arial Narrow"/>
                <w:sz w:val="20"/>
                <w:szCs w:val="20"/>
              </w:rPr>
              <w:t>p-value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803A038"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5.2 (2.0, 8.3)</w:t>
            </w:r>
          </w:p>
          <w:p w14:paraId="1E266946"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A16F9B"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4.9 (1.2, 8.5)</w:t>
            </w:r>
          </w:p>
          <w:p w14:paraId="46436A98"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35D2888"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4.5 (1.2, 7.8)</w:t>
            </w:r>
          </w:p>
          <w:p w14:paraId="47E89EAE"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21C58AB"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7.0 (3.4, 10.5)</w:t>
            </w:r>
          </w:p>
          <w:p w14:paraId="548281B2"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0.0002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DB660E2" w14:textId="77777777" w:rsidR="00464ED7" w:rsidRDefault="00464ED7" w:rsidP="00BD04F3">
            <w:pPr>
              <w:pStyle w:val="TablesTHEMA"/>
              <w:spacing w:after="0"/>
              <w:jc w:val="center"/>
              <w:rPr>
                <w:rFonts w:ascii="Arial Narrow" w:hAnsi="Arial Narrow"/>
                <w:sz w:val="20"/>
                <w:szCs w:val="20"/>
              </w:rPr>
            </w:pPr>
            <w:r>
              <w:rPr>
                <w:rFonts w:ascii="Arial Narrow" w:hAnsi="Arial Narrow"/>
                <w:sz w:val="20"/>
                <w:szCs w:val="20"/>
              </w:rPr>
              <w:t>5.5 (2.1, 8.9)</w:t>
            </w:r>
          </w:p>
          <w:p w14:paraId="48AF8210" w14:textId="77777777" w:rsidR="00464ED7" w:rsidRPr="00B0136E" w:rsidRDefault="00464ED7" w:rsidP="00BD04F3">
            <w:pPr>
              <w:pStyle w:val="TablesTHEMA"/>
              <w:spacing w:after="0"/>
              <w:jc w:val="center"/>
              <w:rPr>
                <w:rFonts w:ascii="Arial Narrow" w:hAnsi="Arial Narrow"/>
                <w:sz w:val="20"/>
                <w:szCs w:val="20"/>
              </w:rPr>
            </w:pPr>
            <w:r>
              <w:rPr>
                <w:rFonts w:ascii="Arial Narrow" w:hAnsi="Arial Narrow"/>
                <w:sz w:val="20"/>
                <w:szCs w:val="20"/>
              </w:rPr>
              <w:t>0.002</w:t>
            </w:r>
          </w:p>
        </w:tc>
      </w:tr>
    </w:tbl>
    <w:p w14:paraId="545DFE06" w14:textId="77777777" w:rsidR="00464ED7" w:rsidRDefault="00464ED7" w:rsidP="00464ED7">
      <w:pPr>
        <w:rPr>
          <w:rFonts w:ascii="Arial Narrow" w:hAnsi="Arial Narrow"/>
          <w:sz w:val="18"/>
          <w:szCs w:val="18"/>
        </w:rPr>
      </w:pPr>
      <w:r>
        <w:rPr>
          <w:rFonts w:ascii="Arial Narrow" w:hAnsi="Arial Narrow"/>
          <w:sz w:val="18"/>
          <w:szCs w:val="18"/>
        </w:rPr>
        <w:t xml:space="preserve">CI=confidence interval; </w:t>
      </w:r>
      <w:r w:rsidRPr="007B5E40">
        <w:rPr>
          <w:rFonts w:ascii="Arial Narrow" w:hAnsi="Arial Narrow"/>
          <w:sz w:val="18"/>
          <w:szCs w:val="18"/>
        </w:rPr>
        <w:t>NRS=numeric rating scale; RDQ=Roland-Morris Disability Questionnaire</w:t>
      </w:r>
      <w:r>
        <w:rPr>
          <w:rFonts w:ascii="Arial Narrow" w:hAnsi="Arial Narrow"/>
          <w:sz w:val="18"/>
          <w:szCs w:val="18"/>
        </w:rPr>
        <w:t>; SD=standard deviation</w:t>
      </w:r>
    </w:p>
    <w:p w14:paraId="34E7001A" w14:textId="77777777" w:rsidR="00464ED7" w:rsidRDefault="00464ED7" w:rsidP="00464ED7">
      <w:r>
        <w:rPr>
          <w:rFonts w:ascii="Arial Narrow" w:hAnsi="Arial Narrow"/>
          <w:sz w:val="18"/>
          <w:szCs w:val="18"/>
        </w:rPr>
        <w:t>Source: Table 2, applicant’s December 2019 advice to ESC</w:t>
      </w:r>
    </w:p>
    <w:p w14:paraId="1CFBA9B5" w14:textId="77777777" w:rsidR="00464ED7" w:rsidRDefault="00464ED7" w:rsidP="00464ED7">
      <w:pPr>
        <w:rPr>
          <w:u w:val="single"/>
        </w:rPr>
      </w:pPr>
    </w:p>
    <w:p w14:paraId="7DAA4A6F" w14:textId="168486D2" w:rsidR="00464ED7" w:rsidRDefault="00464ED7" w:rsidP="00464ED7">
      <w:r>
        <w:t xml:space="preserve">The findings from Yang et al. (2016) were summarised within the applicant’s “advice to ESC December 2019”. The study included 107 patients, all </w:t>
      </w:r>
      <w:r w:rsidR="00131E42">
        <w:t xml:space="preserve">had </w:t>
      </w:r>
      <w:r w:rsidR="00131E42" w:rsidRPr="00E9681E">
        <w:rPr>
          <w:lang w:val="en-US"/>
        </w:rPr>
        <w:t>≤</w:t>
      </w:r>
      <w:r>
        <w:t>3</w:t>
      </w:r>
      <w:r w:rsidR="00131E42">
        <w:t> week fracture duration</w:t>
      </w:r>
      <w:r>
        <w:t>, 80% had thoracolumbar fractures and 5% had thoracic segment fractures. The study reported benefits in pain, quality of life and the Oswest</w:t>
      </w:r>
      <w:r w:rsidR="00EE49E5">
        <w:t>ry Disability Index (ODI) to 12 </w:t>
      </w:r>
      <w:r>
        <w:t>months. V</w:t>
      </w:r>
      <w:r w:rsidRPr="009C6BB8">
        <w:t>isual analogue scale</w:t>
      </w:r>
      <w:r>
        <w:t xml:space="preserve"> (VAS) pain scores showed significantly earlier reduction in the vertebroplasty group.</w:t>
      </w:r>
    </w:p>
    <w:p w14:paraId="08F681AF" w14:textId="77777777" w:rsidR="00464ED7" w:rsidRDefault="00464ED7" w:rsidP="00464ED7"/>
    <w:p w14:paraId="73D9C5B4" w14:textId="05757513" w:rsidR="00464ED7" w:rsidRPr="00EE50EC" w:rsidRDefault="00464ED7" w:rsidP="00464ED7">
      <w:pPr>
        <w:rPr>
          <w:iCs/>
          <w:u w:val="single"/>
        </w:rPr>
      </w:pPr>
      <w:r>
        <w:t xml:space="preserve">The applicant’s “advice to ESC December 2019” also referenced a published rebuttal to the </w:t>
      </w:r>
      <w:r w:rsidRPr="00C7292E">
        <w:rPr>
          <w:iCs/>
        </w:rPr>
        <w:t>ASBMR Task Force report (Diamond 2019</w:t>
      </w:r>
      <w:r>
        <w:rPr>
          <w:iCs/>
        </w:rPr>
        <w:t xml:space="preserve">); a published review by Lamanna et al. (2019); and two published rebuttals in response to a current controversies </w:t>
      </w:r>
      <w:r w:rsidRPr="008B65A6">
        <w:rPr>
          <w:iCs/>
        </w:rPr>
        <w:t>paper</w:t>
      </w:r>
      <w:r>
        <w:rPr>
          <w:iCs/>
        </w:rPr>
        <w:t xml:space="preserve"> by</w:t>
      </w:r>
      <w:r w:rsidRPr="008B65A6">
        <w:rPr>
          <w:iCs/>
        </w:rPr>
        <w:t xml:space="preserve"> Buchbinder and Busija (2019) and</w:t>
      </w:r>
      <w:r>
        <w:rPr>
          <w:iCs/>
        </w:rPr>
        <w:t xml:space="preserve"> the 2018 C</w:t>
      </w:r>
      <w:r w:rsidRPr="008B65A6">
        <w:rPr>
          <w:iCs/>
        </w:rPr>
        <w:t>ochrane Review by Buchbinder</w:t>
      </w:r>
      <w:r>
        <w:rPr>
          <w:iCs/>
        </w:rPr>
        <w:t xml:space="preserve"> et al.</w:t>
      </w:r>
      <w:r w:rsidRPr="008B65A6">
        <w:rPr>
          <w:iCs/>
        </w:rPr>
        <w:t xml:space="preserve"> (2018). </w:t>
      </w:r>
      <w:r>
        <w:rPr>
          <w:iCs/>
        </w:rPr>
        <w:t>T</w:t>
      </w:r>
      <w:r w:rsidRPr="008B65A6">
        <w:rPr>
          <w:iCs/>
        </w:rPr>
        <w:t>hese papers have been noted</w:t>
      </w:r>
      <w:r>
        <w:rPr>
          <w:iCs/>
        </w:rPr>
        <w:t>, but not summarised, as</w:t>
      </w:r>
      <w:r w:rsidRPr="008B65A6">
        <w:rPr>
          <w:iCs/>
        </w:rPr>
        <w:t xml:space="preserve"> they do not provide any new comparative effectiveness data.</w:t>
      </w:r>
    </w:p>
    <w:p w14:paraId="1ABECC6D" w14:textId="77777777" w:rsidR="00464ED7" w:rsidRDefault="00464ED7" w:rsidP="00464ED7">
      <w:r>
        <w:lastRenderedPageBreak/>
        <w:t>The</w:t>
      </w:r>
      <w:r w:rsidRPr="0070439F">
        <w:t xml:space="preserve"> key </w:t>
      </w:r>
      <w:r>
        <w:t xml:space="preserve">efficacy </w:t>
      </w:r>
      <w:r w:rsidRPr="0070439F">
        <w:t xml:space="preserve">finding </w:t>
      </w:r>
      <w:r>
        <w:t>from the ASBMR Task Force Report</w:t>
      </w:r>
      <w:r w:rsidRPr="0070439F">
        <w:t xml:space="preserve"> was that percutaneous vertebroplasty provides no demonstrable clinically significant benefit over placebo or sham procedure</w:t>
      </w:r>
      <w:r>
        <w:t>s</w:t>
      </w:r>
      <w:r w:rsidRPr="0070439F">
        <w:t>, and results did not differ according to duration of pain. The report stated that it is uncertain whether vertebroplasty increases the risk of incident or radiographic vertebral fractures or relate</w:t>
      </w:r>
      <w:r>
        <w:t xml:space="preserve">d serious AEs. </w:t>
      </w:r>
      <w:r w:rsidRPr="0070439F">
        <w:t>Th</w:t>
      </w:r>
      <w:r>
        <w:t>is</w:t>
      </w:r>
      <w:r w:rsidRPr="0070439F">
        <w:t xml:space="preserve"> </w:t>
      </w:r>
      <w:r>
        <w:t xml:space="preserve">efficacy </w:t>
      </w:r>
      <w:r w:rsidRPr="0070439F">
        <w:t xml:space="preserve">finding was based on the 2018 Cochrane Review of vertebroplasty (Buchbinder </w:t>
      </w:r>
      <w:r>
        <w:t xml:space="preserve">et al. 2018), which included five </w:t>
      </w:r>
      <w:r w:rsidRPr="0070439F">
        <w:t>trials with a total of 535 patients.</w:t>
      </w:r>
    </w:p>
    <w:p w14:paraId="24B52A18" w14:textId="77777777" w:rsidR="00464ED7" w:rsidRDefault="00464ED7" w:rsidP="00464ED7"/>
    <w:p w14:paraId="551CB2E9" w14:textId="5CA7C4A6" w:rsidR="00464ED7" w:rsidRDefault="00464ED7" w:rsidP="00464ED7">
      <w:r>
        <w:t xml:space="preserve">The meta-analysis by Lou et al. (2019) compared vertebroplasty versus placebo or conservative treatment. For comparison with placebo, five trials were included. However, the VAPOUR trial was considered clinically </w:t>
      </w:r>
      <w:r w:rsidR="00442D6F">
        <w:t>heterogeneous</w:t>
      </w:r>
      <w:r>
        <w:t xml:space="preserve"> to the other trials due to earlier fracture duration and worse pain scores and was analysed separately while the other four trials were combined. While the VAPOUR trial indicated a </w:t>
      </w:r>
      <w:r w:rsidRPr="00DE14D0">
        <w:t>significant adva</w:t>
      </w:r>
      <w:r w:rsidR="00EE49E5">
        <w:t>ntage for vertebroplasty at 1-2 </w:t>
      </w:r>
      <w:r w:rsidRPr="00DE14D0">
        <w:t>weeks</w:t>
      </w:r>
      <w:r w:rsidR="00EE49E5">
        <w:t xml:space="preserve"> and at 6-12 </w:t>
      </w:r>
      <w:r>
        <w:t>months, the combined analysis of the other four clinical trials indicated there</w:t>
      </w:r>
      <w:r w:rsidRPr="00373514">
        <w:t xml:space="preserve"> was no statistically significant advantage for vertebroplasty</w:t>
      </w:r>
      <w:r>
        <w:t xml:space="preserve"> compared to placebo. For comparison with conservative treatment, analysis of the seven included trials showed</w:t>
      </w:r>
      <w:r w:rsidRPr="00650E3C">
        <w:t xml:space="preserve"> statistically significant advantages for vertebroplasty compared to conservative therapy at all time points. </w:t>
      </w:r>
      <w:r>
        <w:t xml:space="preserve">In the subgroup </w:t>
      </w:r>
      <w:r w:rsidRPr="00650E3C">
        <w:t>analyses comparing fracture duration of ≤6</w:t>
      </w:r>
      <w:r w:rsidR="00131E42">
        <w:t> </w:t>
      </w:r>
      <w:r w:rsidRPr="00650E3C">
        <w:t>weeks and &gt;6</w:t>
      </w:r>
      <w:r w:rsidR="00131E42">
        <w:t> </w:t>
      </w:r>
      <w:r w:rsidRPr="00650E3C">
        <w:t>weeks</w:t>
      </w:r>
      <w:r>
        <w:t>, t</w:t>
      </w:r>
      <w:r w:rsidRPr="00650E3C">
        <w:t>here were no statistically significant differences between the subgroup analyses for patients with fracture duration ≤6</w:t>
      </w:r>
      <w:r w:rsidR="00131E42">
        <w:t> </w:t>
      </w:r>
      <w:r w:rsidRPr="00650E3C">
        <w:t>weeks or &gt;6</w:t>
      </w:r>
      <w:r w:rsidR="00131E42">
        <w:t> </w:t>
      </w:r>
      <w:r w:rsidRPr="00650E3C">
        <w:t>weeks across all time points.</w:t>
      </w:r>
    </w:p>
    <w:p w14:paraId="49086677" w14:textId="77777777" w:rsidR="00464ED7" w:rsidRDefault="00464ED7" w:rsidP="00464ED7"/>
    <w:p w14:paraId="624FCA8E" w14:textId="79D89499" w:rsidR="00464ED7" w:rsidRDefault="00464ED7" w:rsidP="00464ED7">
      <w:r>
        <w:t xml:space="preserve">The November 2019 </w:t>
      </w:r>
      <w:r w:rsidR="00FA7597">
        <w:t xml:space="preserve">Departmental </w:t>
      </w:r>
      <w:r>
        <w:t xml:space="preserve">Overview summarised the similarities and differences between the Lou et al. (2019) meta-analyses and the 2018 Cochrane Review (Buchbinder et al. </w:t>
      </w:r>
      <w:r w:rsidRPr="00F00537">
        <w:t>2018</w:t>
      </w:r>
      <w:r>
        <w:t xml:space="preserve">) for effectiveness outcomes (reduction in pain), shown below in </w:t>
      </w:r>
      <w:r>
        <w:fldChar w:fldCharType="begin"/>
      </w:r>
      <w:r>
        <w:instrText xml:space="preserve"> REF _Ref31572678 \h </w:instrText>
      </w:r>
      <w:r>
        <w:fldChar w:fldCharType="separate"/>
      </w:r>
      <w:r>
        <w:t>Table 5</w:t>
      </w:r>
      <w:r>
        <w:fldChar w:fldCharType="end"/>
      </w:r>
      <w:r>
        <w:t>.</w:t>
      </w:r>
    </w:p>
    <w:p w14:paraId="2A1A95EF" w14:textId="77777777" w:rsidR="00464ED7" w:rsidRPr="005E6705" w:rsidRDefault="00464ED7" w:rsidP="005E6705">
      <w:pPr>
        <w:keepNext/>
        <w:keepLines/>
        <w:rPr>
          <w:rFonts w:ascii="Arial Narrow" w:hAnsi="Arial Narrow"/>
          <w:b/>
          <w:sz w:val="20"/>
        </w:rPr>
      </w:pPr>
      <w:bookmarkStart w:id="6" w:name="_Ref31572678"/>
      <w:r w:rsidRPr="005E6705">
        <w:rPr>
          <w:rFonts w:ascii="Arial Narrow" w:hAnsi="Arial Narrow"/>
          <w:b/>
          <w:sz w:val="20"/>
        </w:rPr>
        <w:lastRenderedPageBreak/>
        <w:t>Table 5</w:t>
      </w:r>
      <w:bookmarkEnd w:id="6"/>
      <w:r w:rsidRPr="005E6705">
        <w:rPr>
          <w:rFonts w:ascii="Arial Narrow" w:hAnsi="Arial Narrow"/>
          <w:b/>
          <w:sz w:val="20"/>
        </w:rPr>
        <w:t xml:space="preserve"> Similarities and differences between the meta-analyses in Lou et al. (2019) and the 2018 Cochrane Review – effectiveness outcomes</w:t>
      </w:r>
    </w:p>
    <w:tbl>
      <w:tblPr>
        <w:tblStyle w:val="TableGrid"/>
        <w:tblW w:w="8926" w:type="dxa"/>
        <w:tblCellMar>
          <w:left w:w="28" w:type="dxa"/>
          <w:right w:w="28" w:type="dxa"/>
        </w:tblCellMar>
        <w:tblLook w:val="04A0" w:firstRow="1" w:lastRow="0" w:firstColumn="1" w:lastColumn="0" w:noHBand="0" w:noVBand="1"/>
        <w:tblDescription w:val="Similarities and differences between the meta-analyses in Lou et al. (2019) and the 2018 Cochrane Review – effectiveness outcomes"/>
      </w:tblPr>
      <w:tblGrid>
        <w:gridCol w:w="964"/>
        <w:gridCol w:w="1158"/>
        <w:gridCol w:w="567"/>
        <w:gridCol w:w="567"/>
        <w:gridCol w:w="708"/>
        <w:gridCol w:w="1560"/>
        <w:gridCol w:w="425"/>
        <w:gridCol w:w="2977"/>
      </w:tblGrid>
      <w:tr w:rsidR="00464ED7" w:rsidRPr="00EB24F0" w14:paraId="21288158" w14:textId="77777777" w:rsidTr="005E6705">
        <w:trPr>
          <w:tblHeader/>
        </w:trPr>
        <w:tc>
          <w:tcPr>
            <w:tcW w:w="964" w:type="dxa"/>
            <w:vMerge w:val="restart"/>
            <w:vAlign w:val="center"/>
          </w:tcPr>
          <w:p w14:paraId="58F6BE53" w14:textId="77777777" w:rsidR="00464ED7" w:rsidRPr="00EB24F0" w:rsidRDefault="00464ED7" w:rsidP="005E6705">
            <w:pPr>
              <w:keepNext/>
              <w:keepLines/>
              <w:rPr>
                <w:rFonts w:ascii="Arial Narrow" w:hAnsi="Arial Narrow"/>
                <w:b/>
                <w:bCs/>
                <w:sz w:val="20"/>
              </w:rPr>
            </w:pPr>
          </w:p>
        </w:tc>
        <w:tc>
          <w:tcPr>
            <w:tcW w:w="1158" w:type="dxa"/>
            <w:vMerge w:val="restart"/>
            <w:vAlign w:val="center"/>
          </w:tcPr>
          <w:p w14:paraId="0CF06174" w14:textId="77777777" w:rsidR="00464ED7" w:rsidRPr="00EB24F0" w:rsidRDefault="00464ED7" w:rsidP="005E6705">
            <w:pPr>
              <w:keepNext/>
              <w:keepLines/>
              <w:jc w:val="center"/>
              <w:rPr>
                <w:rFonts w:ascii="Arial Narrow" w:hAnsi="Arial Narrow"/>
                <w:b/>
                <w:bCs/>
                <w:sz w:val="20"/>
              </w:rPr>
            </w:pPr>
            <w:r w:rsidRPr="00EB24F0">
              <w:rPr>
                <w:rFonts w:ascii="Arial Narrow" w:hAnsi="Arial Narrow"/>
                <w:b/>
                <w:bCs/>
                <w:sz w:val="20"/>
              </w:rPr>
              <w:t>Timepoint</w:t>
            </w:r>
          </w:p>
        </w:tc>
        <w:tc>
          <w:tcPr>
            <w:tcW w:w="567" w:type="dxa"/>
            <w:vMerge w:val="restart"/>
            <w:vAlign w:val="center"/>
          </w:tcPr>
          <w:p w14:paraId="7CD756CF" w14:textId="77777777" w:rsidR="00464ED7" w:rsidRDefault="00464ED7" w:rsidP="005E6705">
            <w:pPr>
              <w:keepNext/>
              <w:keepLines/>
              <w:jc w:val="center"/>
              <w:rPr>
                <w:rFonts w:ascii="Arial Narrow" w:hAnsi="Arial Narrow"/>
                <w:b/>
                <w:bCs/>
                <w:sz w:val="20"/>
              </w:rPr>
            </w:pPr>
            <w:r>
              <w:rPr>
                <w:rFonts w:ascii="Arial Narrow" w:hAnsi="Arial Narrow"/>
                <w:b/>
                <w:bCs/>
                <w:sz w:val="20"/>
              </w:rPr>
              <w:t>Trial N</w:t>
            </w:r>
          </w:p>
        </w:tc>
        <w:tc>
          <w:tcPr>
            <w:tcW w:w="1275" w:type="dxa"/>
            <w:gridSpan w:val="2"/>
            <w:vAlign w:val="center"/>
          </w:tcPr>
          <w:p w14:paraId="6C2A41D3" w14:textId="77777777" w:rsidR="00464ED7" w:rsidRPr="00EB24F0" w:rsidRDefault="00464ED7" w:rsidP="005E6705">
            <w:pPr>
              <w:keepNext/>
              <w:keepLines/>
              <w:jc w:val="center"/>
              <w:rPr>
                <w:rFonts w:ascii="Arial Narrow" w:hAnsi="Arial Narrow"/>
                <w:b/>
                <w:bCs/>
                <w:sz w:val="20"/>
              </w:rPr>
            </w:pPr>
            <w:r w:rsidRPr="00EB24F0">
              <w:rPr>
                <w:rFonts w:ascii="Arial Narrow" w:hAnsi="Arial Narrow"/>
                <w:b/>
                <w:bCs/>
                <w:sz w:val="20"/>
              </w:rPr>
              <w:t>Patient N</w:t>
            </w:r>
          </w:p>
        </w:tc>
        <w:tc>
          <w:tcPr>
            <w:tcW w:w="1560" w:type="dxa"/>
            <w:vMerge w:val="restart"/>
            <w:vAlign w:val="center"/>
          </w:tcPr>
          <w:p w14:paraId="2C2C3AF5" w14:textId="77777777" w:rsidR="00464ED7" w:rsidRDefault="00464ED7" w:rsidP="005E6705">
            <w:pPr>
              <w:keepNext/>
              <w:keepLines/>
              <w:jc w:val="center"/>
              <w:rPr>
                <w:rFonts w:ascii="Arial Narrow" w:hAnsi="Arial Narrow"/>
                <w:b/>
                <w:bCs/>
                <w:sz w:val="20"/>
              </w:rPr>
            </w:pPr>
            <w:r w:rsidRPr="00EB24F0">
              <w:rPr>
                <w:rFonts w:ascii="Arial Narrow" w:hAnsi="Arial Narrow"/>
                <w:b/>
                <w:bCs/>
                <w:sz w:val="20"/>
              </w:rPr>
              <w:t>MD</w:t>
            </w:r>
            <w:r>
              <w:rPr>
                <w:rFonts w:ascii="Arial Narrow" w:hAnsi="Arial Narrow"/>
                <w:b/>
                <w:bCs/>
                <w:sz w:val="20"/>
              </w:rPr>
              <w:t xml:space="preserve"> </w:t>
            </w:r>
          </w:p>
          <w:p w14:paraId="37DE93DC" w14:textId="77777777" w:rsidR="00464ED7" w:rsidRPr="00EB24F0" w:rsidRDefault="00464ED7" w:rsidP="005E6705">
            <w:pPr>
              <w:keepNext/>
              <w:keepLines/>
              <w:jc w:val="center"/>
              <w:rPr>
                <w:rFonts w:ascii="Arial Narrow" w:hAnsi="Arial Narrow"/>
                <w:b/>
                <w:bCs/>
                <w:sz w:val="20"/>
              </w:rPr>
            </w:pPr>
            <w:r>
              <w:rPr>
                <w:rFonts w:ascii="Arial Narrow" w:hAnsi="Arial Narrow"/>
                <w:b/>
                <w:bCs/>
                <w:sz w:val="20"/>
              </w:rPr>
              <w:t>(95% CI)</w:t>
            </w:r>
          </w:p>
        </w:tc>
        <w:tc>
          <w:tcPr>
            <w:tcW w:w="425" w:type="dxa"/>
            <w:vMerge w:val="restart"/>
            <w:vAlign w:val="center"/>
          </w:tcPr>
          <w:p w14:paraId="70DB2401" w14:textId="77777777" w:rsidR="00464ED7" w:rsidRPr="00EB24F0" w:rsidRDefault="00464ED7" w:rsidP="005E6705">
            <w:pPr>
              <w:keepNext/>
              <w:keepLines/>
              <w:jc w:val="center"/>
              <w:rPr>
                <w:rFonts w:ascii="Arial Narrow" w:hAnsi="Arial Narrow"/>
                <w:b/>
                <w:bCs/>
                <w:sz w:val="20"/>
              </w:rPr>
            </w:pPr>
            <w:r w:rsidRPr="00EB24F0">
              <w:rPr>
                <w:rFonts w:ascii="Arial Narrow" w:hAnsi="Arial Narrow"/>
                <w:b/>
                <w:bCs/>
                <w:sz w:val="20"/>
              </w:rPr>
              <w:t>I</w:t>
            </w:r>
            <w:r w:rsidRPr="00EB24F0">
              <w:rPr>
                <w:rFonts w:ascii="Arial Narrow" w:hAnsi="Arial Narrow"/>
                <w:b/>
                <w:bCs/>
                <w:sz w:val="20"/>
                <w:vertAlign w:val="superscript"/>
              </w:rPr>
              <w:t>2</w:t>
            </w:r>
          </w:p>
        </w:tc>
        <w:tc>
          <w:tcPr>
            <w:tcW w:w="2977" w:type="dxa"/>
            <w:vMerge w:val="restart"/>
            <w:vAlign w:val="center"/>
          </w:tcPr>
          <w:p w14:paraId="22012656" w14:textId="77777777" w:rsidR="00464ED7" w:rsidRPr="00EB24F0" w:rsidRDefault="00464ED7" w:rsidP="005E6705">
            <w:pPr>
              <w:keepNext/>
              <w:keepLines/>
              <w:jc w:val="center"/>
              <w:rPr>
                <w:rFonts w:ascii="Arial Narrow" w:hAnsi="Arial Narrow"/>
                <w:b/>
                <w:bCs/>
                <w:sz w:val="20"/>
              </w:rPr>
            </w:pPr>
            <w:r>
              <w:rPr>
                <w:rFonts w:ascii="Arial Narrow" w:hAnsi="Arial Narrow"/>
                <w:b/>
                <w:bCs/>
                <w:sz w:val="20"/>
              </w:rPr>
              <w:t>Included trials</w:t>
            </w:r>
          </w:p>
        </w:tc>
      </w:tr>
      <w:tr w:rsidR="00464ED7" w:rsidRPr="00EB24F0" w14:paraId="319ACFD5" w14:textId="77777777" w:rsidTr="005E6705">
        <w:trPr>
          <w:tblHeader/>
        </w:trPr>
        <w:tc>
          <w:tcPr>
            <w:tcW w:w="964" w:type="dxa"/>
            <w:vMerge/>
            <w:vAlign w:val="center"/>
          </w:tcPr>
          <w:p w14:paraId="29F6C71D" w14:textId="77777777" w:rsidR="00464ED7" w:rsidRPr="00EB24F0" w:rsidRDefault="00464ED7" w:rsidP="00BD04F3">
            <w:pPr>
              <w:keepNext/>
              <w:keepLines/>
              <w:rPr>
                <w:rFonts w:ascii="Arial Narrow" w:hAnsi="Arial Narrow"/>
                <w:b/>
                <w:bCs/>
                <w:sz w:val="20"/>
              </w:rPr>
            </w:pPr>
          </w:p>
        </w:tc>
        <w:tc>
          <w:tcPr>
            <w:tcW w:w="1158" w:type="dxa"/>
            <w:vMerge/>
            <w:vAlign w:val="center"/>
          </w:tcPr>
          <w:p w14:paraId="7B417B93" w14:textId="77777777" w:rsidR="00464ED7" w:rsidRPr="00EB24F0" w:rsidRDefault="00464ED7" w:rsidP="00BD04F3">
            <w:pPr>
              <w:keepNext/>
              <w:keepLines/>
              <w:jc w:val="center"/>
              <w:rPr>
                <w:rFonts w:ascii="Arial Narrow" w:hAnsi="Arial Narrow"/>
                <w:b/>
                <w:bCs/>
                <w:sz w:val="20"/>
              </w:rPr>
            </w:pPr>
          </w:p>
        </w:tc>
        <w:tc>
          <w:tcPr>
            <w:tcW w:w="567" w:type="dxa"/>
            <w:vMerge/>
            <w:vAlign w:val="center"/>
          </w:tcPr>
          <w:p w14:paraId="1A2EA0A7" w14:textId="77777777" w:rsidR="00464ED7" w:rsidRPr="00EB24F0" w:rsidRDefault="00464ED7" w:rsidP="00BD04F3">
            <w:pPr>
              <w:keepNext/>
              <w:keepLines/>
              <w:jc w:val="center"/>
              <w:rPr>
                <w:rFonts w:ascii="Arial Narrow" w:hAnsi="Arial Narrow"/>
                <w:b/>
                <w:bCs/>
                <w:sz w:val="20"/>
              </w:rPr>
            </w:pPr>
          </w:p>
        </w:tc>
        <w:tc>
          <w:tcPr>
            <w:tcW w:w="567" w:type="dxa"/>
            <w:vAlign w:val="center"/>
          </w:tcPr>
          <w:p w14:paraId="09D5F007" w14:textId="77777777" w:rsidR="00464ED7" w:rsidRPr="00EB24F0" w:rsidRDefault="00464ED7" w:rsidP="00BD04F3">
            <w:pPr>
              <w:keepNext/>
              <w:keepLines/>
              <w:jc w:val="center"/>
              <w:rPr>
                <w:rFonts w:ascii="Arial Narrow" w:hAnsi="Arial Narrow"/>
                <w:b/>
                <w:bCs/>
                <w:sz w:val="20"/>
              </w:rPr>
            </w:pPr>
            <w:r>
              <w:rPr>
                <w:rFonts w:ascii="Arial Narrow" w:hAnsi="Arial Narrow"/>
                <w:b/>
                <w:bCs/>
                <w:sz w:val="20"/>
              </w:rPr>
              <w:t>Vert</w:t>
            </w:r>
          </w:p>
        </w:tc>
        <w:tc>
          <w:tcPr>
            <w:tcW w:w="708" w:type="dxa"/>
            <w:vAlign w:val="center"/>
          </w:tcPr>
          <w:p w14:paraId="6F65E959" w14:textId="77777777" w:rsidR="00464ED7" w:rsidRPr="00EB24F0" w:rsidRDefault="00464ED7" w:rsidP="00BD04F3">
            <w:pPr>
              <w:keepNext/>
              <w:keepLines/>
              <w:jc w:val="center"/>
              <w:rPr>
                <w:rFonts w:ascii="Arial Narrow" w:hAnsi="Arial Narrow"/>
                <w:b/>
                <w:bCs/>
                <w:sz w:val="20"/>
              </w:rPr>
            </w:pPr>
            <w:r>
              <w:rPr>
                <w:rFonts w:ascii="Arial Narrow" w:hAnsi="Arial Narrow"/>
                <w:b/>
                <w:bCs/>
                <w:sz w:val="20"/>
              </w:rPr>
              <w:t>Control</w:t>
            </w:r>
          </w:p>
        </w:tc>
        <w:tc>
          <w:tcPr>
            <w:tcW w:w="1560" w:type="dxa"/>
            <w:vMerge/>
            <w:vAlign w:val="center"/>
          </w:tcPr>
          <w:p w14:paraId="33B5ED00" w14:textId="77777777" w:rsidR="00464ED7" w:rsidRPr="00EB24F0" w:rsidRDefault="00464ED7" w:rsidP="00BD04F3">
            <w:pPr>
              <w:keepNext/>
              <w:keepLines/>
              <w:jc w:val="center"/>
              <w:rPr>
                <w:rFonts w:ascii="Arial Narrow" w:hAnsi="Arial Narrow"/>
                <w:b/>
                <w:bCs/>
                <w:sz w:val="20"/>
              </w:rPr>
            </w:pPr>
          </w:p>
        </w:tc>
        <w:tc>
          <w:tcPr>
            <w:tcW w:w="425" w:type="dxa"/>
            <w:vMerge/>
            <w:vAlign w:val="center"/>
          </w:tcPr>
          <w:p w14:paraId="6551E19B" w14:textId="77777777" w:rsidR="00464ED7" w:rsidRPr="00EB24F0" w:rsidRDefault="00464ED7" w:rsidP="00BD04F3">
            <w:pPr>
              <w:keepNext/>
              <w:keepLines/>
              <w:jc w:val="center"/>
              <w:rPr>
                <w:rFonts w:ascii="Arial Narrow" w:hAnsi="Arial Narrow"/>
                <w:b/>
                <w:bCs/>
                <w:sz w:val="20"/>
              </w:rPr>
            </w:pPr>
          </w:p>
        </w:tc>
        <w:tc>
          <w:tcPr>
            <w:tcW w:w="2977" w:type="dxa"/>
            <w:vMerge/>
            <w:vAlign w:val="center"/>
          </w:tcPr>
          <w:p w14:paraId="1148D187" w14:textId="77777777" w:rsidR="00464ED7" w:rsidRPr="00EB24F0" w:rsidRDefault="00464ED7" w:rsidP="00BD04F3">
            <w:pPr>
              <w:keepNext/>
              <w:keepLines/>
              <w:jc w:val="center"/>
              <w:rPr>
                <w:rFonts w:ascii="Arial Narrow" w:hAnsi="Arial Narrow"/>
                <w:b/>
                <w:bCs/>
                <w:sz w:val="20"/>
              </w:rPr>
            </w:pPr>
          </w:p>
        </w:tc>
      </w:tr>
      <w:tr w:rsidR="00464ED7" w:rsidRPr="00962EEA" w14:paraId="4ACE925B" w14:textId="77777777" w:rsidTr="00BD04F3">
        <w:tc>
          <w:tcPr>
            <w:tcW w:w="8926" w:type="dxa"/>
            <w:gridSpan w:val="8"/>
            <w:vAlign w:val="center"/>
          </w:tcPr>
          <w:p w14:paraId="1B23E32A" w14:textId="77777777" w:rsidR="00464ED7" w:rsidRDefault="00464ED7" w:rsidP="00BD04F3">
            <w:pPr>
              <w:keepNext/>
              <w:keepLines/>
              <w:rPr>
                <w:rFonts w:ascii="Arial Narrow" w:hAnsi="Arial Narrow"/>
                <w:sz w:val="20"/>
              </w:rPr>
            </w:pPr>
            <w:r>
              <w:rPr>
                <w:rFonts w:ascii="Arial Narrow" w:hAnsi="Arial Narrow"/>
                <w:sz w:val="20"/>
              </w:rPr>
              <w:t>Reduction in pain, vertebroplasty versus sham injection</w:t>
            </w:r>
          </w:p>
        </w:tc>
      </w:tr>
      <w:tr w:rsidR="00464ED7" w:rsidRPr="00962EEA" w14:paraId="7FF94F3B" w14:textId="77777777" w:rsidTr="00BD04F3">
        <w:tc>
          <w:tcPr>
            <w:tcW w:w="964" w:type="dxa"/>
            <w:vMerge w:val="restart"/>
            <w:vAlign w:val="center"/>
          </w:tcPr>
          <w:p w14:paraId="71D18D90" w14:textId="77777777" w:rsidR="00464ED7" w:rsidRPr="00396FE1" w:rsidRDefault="00464ED7" w:rsidP="00BD04F3">
            <w:pPr>
              <w:keepNext/>
              <w:keepLines/>
              <w:rPr>
                <w:rFonts w:ascii="Arial Narrow" w:hAnsi="Arial Narrow"/>
                <w:b/>
                <w:bCs/>
                <w:sz w:val="20"/>
              </w:rPr>
            </w:pPr>
            <w:r>
              <w:rPr>
                <w:rFonts w:ascii="Arial Narrow" w:hAnsi="Arial Narrow"/>
                <w:b/>
                <w:bCs/>
                <w:sz w:val="20"/>
              </w:rPr>
              <w:t>Lou et al. 2019</w:t>
            </w:r>
          </w:p>
        </w:tc>
        <w:tc>
          <w:tcPr>
            <w:tcW w:w="1158" w:type="dxa"/>
            <w:tcBorders>
              <w:bottom w:val="nil"/>
            </w:tcBorders>
            <w:vAlign w:val="center"/>
          </w:tcPr>
          <w:p w14:paraId="0F30CBB8" w14:textId="77777777" w:rsidR="00464ED7" w:rsidRDefault="00464ED7" w:rsidP="00BD04F3">
            <w:pPr>
              <w:keepNext/>
              <w:keepLines/>
              <w:rPr>
                <w:rFonts w:ascii="Arial Narrow" w:hAnsi="Arial Narrow"/>
                <w:sz w:val="20"/>
              </w:rPr>
            </w:pPr>
            <w:r>
              <w:rPr>
                <w:rFonts w:ascii="Arial Narrow" w:hAnsi="Arial Narrow"/>
                <w:sz w:val="20"/>
              </w:rPr>
              <w:t>1-2 weeks</w:t>
            </w:r>
          </w:p>
        </w:tc>
        <w:tc>
          <w:tcPr>
            <w:tcW w:w="567" w:type="dxa"/>
            <w:tcBorders>
              <w:bottom w:val="nil"/>
            </w:tcBorders>
            <w:vAlign w:val="center"/>
          </w:tcPr>
          <w:p w14:paraId="5E0415CD" w14:textId="77777777" w:rsidR="00464ED7" w:rsidRDefault="00464ED7" w:rsidP="00BD04F3">
            <w:pPr>
              <w:keepNext/>
              <w:keepLines/>
              <w:jc w:val="center"/>
              <w:rPr>
                <w:rFonts w:ascii="Arial Narrow" w:hAnsi="Arial Narrow"/>
                <w:sz w:val="20"/>
              </w:rPr>
            </w:pPr>
            <w:r>
              <w:rPr>
                <w:rFonts w:ascii="Arial Narrow" w:hAnsi="Arial Narrow"/>
                <w:sz w:val="20"/>
              </w:rPr>
              <w:t>4</w:t>
            </w:r>
          </w:p>
        </w:tc>
        <w:tc>
          <w:tcPr>
            <w:tcW w:w="567" w:type="dxa"/>
            <w:tcBorders>
              <w:bottom w:val="nil"/>
            </w:tcBorders>
            <w:vAlign w:val="center"/>
          </w:tcPr>
          <w:p w14:paraId="5DC55002" w14:textId="77777777" w:rsidR="00464ED7" w:rsidRDefault="00464ED7" w:rsidP="00BD04F3">
            <w:pPr>
              <w:keepNext/>
              <w:keepLines/>
              <w:jc w:val="center"/>
              <w:rPr>
                <w:rFonts w:ascii="Arial Narrow" w:hAnsi="Arial Narrow"/>
                <w:sz w:val="20"/>
              </w:rPr>
            </w:pPr>
            <w:r>
              <w:rPr>
                <w:rFonts w:ascii="Arial Narrow" w:hAnsi="Arial Narrow"/>
                <w:sz w:val="20"/>
              </w:rPr>
              <w:t>217</w:t>
            </w:r>
          </w:p>
        </w:tc>
        <w:tc>
          <w:tcPr>
            <w:tcW w:w="708" w:type="dxa"/>
            <w:tcBorders>
              <w:bottom w:val="nil"/>
            </w:tcBorders>
            <w:vAlign w:val="center"/>
          </w:tcPr>
          <w:p w14:paraId="759B4433" w14:textId="77777777" w:rsidR="00464ED7" w:rsidRDefault="00464ED7" w:rsidP="00BD04F3">
            <w:pPr>
              <w:keepNext/>
              <w:keepLines/>
              <w:jc w:val="center"/>
              <w:rPr>
                <w:rFonts w:ascii="Arial Narrow" w:hAnsi="Arial Narrow"/>
                <w:sz w:val="20"/>
              </w:rPr>
            </w:pPr>
            <w:r>
              <w:rPr>
                <w:rFonts w:ascii="Arial Narrow" w:hAnsi="Arial Narrow"/>
                <w:sz w:val="20"/>
              </w:rPr>
              <w:t>210</w:t>
            </w:r>
          </w:p>
        </w:tc>
        <w:tc>
          <w:tcPr>
            <w:tcW w:w="1560" w:type="dxa"/>
            <w:tcBorders>
              <w:bottom w:val="nil"/>
            </w:tcBorders>
            <w:vAlign w:val="center"/>
          </w:tcPr>
          <w:p w14:paraId="609452CF" w14:textId="77777777" w:rsidR="00464ED7" w:rsidRPr="000A55AE" w:rsidRDefault="00464ED7" w:rsidP="00BD04F3">
            <w:pPr>
              <w:keepNext/>
              <w:keepLines/>
              <w:jc w:val="center"/>
              <w:rPr>
                <w:rFonts w:ascii="Arial Narrow" w:hAnsi="Arial Narrow"/>
                <w:sz w:val="20"/>
              </w:rPr>
            </w:pPr>
            <w:r w:rsidRPr="000A55AE">
              <w:rPr>
                <w:rFonts w:ascii="Arial Narrow" w:hAnsi="Arial Narrow"/>
                <w:sz w:val="20"/>
              </w:rPr>
              <w:t>0.01 (-0.48, 0.50)</w:t>
            </w:r>
          </w:p>
        </w:tc>
        <w:tc>
          <w:tcPr>
            <w:tcW w:w="425" w:type="dxa"/>
            <w:tcBorders>
              <w:bottom w:val="nil"/>
            </w:tcBorders>
            <w:vAlign w:val="center"/>
          </w:tcPr>
          <w:p w14:paraId="3539B9D3" w14:textId="77777777" w:rsidR="00464ED7" w:rsidRDefault="00464ED7" w:rsidP="00BD04F3">
            <w:pPr>
              <w:keepNext/>
              <w:keepLines/>
              <w:jc w:val="center"/>
              <w:rPr>
                <w:rFonts w:ascii="Arial Narrow" w:hAnsi="Arial Narrow"/>
                <w:sz w:val="20"/>
              </w:rPr>
            </w:pPr>
            <w:r>
              <w:rPr>
                <w:rFonts w:ascii="Arial Narrow" w:hAnsi="Arial Narrow"/>
                <w:sz w:val="20"/>
              </w:rPr>
              <w:t>0%</w:t>
            </w:r>
          </w:p>
        </w:tc>
        <w:tc>
          <w:tcPr>
            <w:tcW w:w="2977" w:type="dxa"/>
            <w:vMerge w:val="restart"/>
            <w:vAlign w:val="center"/>
          </w:tcPr>
          <w:p w14:paraId="029A9957" w14:textId="1E3D6D46" w:rsidR="00464ED7" w:rsidRDefault="00464ED7" w:rsidP="00EE49E5">
            <w:pPr>
              <w:keepNext/>
              <w:keepLines/>
              <w:rPr>
                <w:rFonts w:ascii="Arial Narrow" w:hAnsi="Arial Narrow"/>
                <w:sz w:val="20"/>
              </w:rPr>
            </w:pPr>
            <w:r>
              <w:rPr>
                <w:rFonts w:ascii="Arial Narrow" w:hAnsi="Arial Narrow"/>
                <w:sz w:val="20"/>
              </w:rPr>
              <w:t xml:space="preserve">Kallmes 2009, Buchbinder 2009, Hansen 2016, Firanescu 2018 for </w:t>
            </w:r>
            <w:r w:rsidR="00EE49E5">
              <w:rPr>
                <w:rFonts w:ascii="Arial Narrow" w:hAnsi="Arial Narrow"/>
                <w:sz w:val="20"/>
              </w:rPr>
              <w:br/>
            </w:r>
            <w:r>
              <w:rPr>
                <w:rFonts w:ascii="Arial Narrow" w:hAnsi="Arial Narrow"/>
                <w:sz w:val="20"/>
              </w:rPr>
              <w:t>1-2</w:t>
            </w:r>
            <w:r w:rsidR="00EE49E5">
              <w:rPr>
                <w:rFonts w:ascii="Arial Narrow" w:hAnsi="Arial Narrow"/>
                <w:sz w:val="20"/>
              </w:rPr>
              <w:t> </w:t>
            </w:r>
            <w:r>
              <w:rPr>
                <w:rFonts w:ascii="Arial Narrow" w:hAnsi="Arial Narrow"/>
                <w:sz w:val="20"/>
              </w:rPr>
              <w:t>weeks and 1-3</w:t>
            </w:r>
            <w:r w:rsidR="00EE49E5">
              <w:rPr>
                <w:rFonts w:ascii="Arial Narrow" w:hAnsi="Arial Narrow"/>
                <w:sz w:val="20"/>
              </w:rPr>
              <w:t> </w:t>
            </w:r>
            <w:r>
              <w:rPr>
                <w:rFonts w:ascii="Arial Narrow" w:hAnsi="Arial Narrow"/>
                <w:sz w:val="20"/>
              </w:rPr>
              <w:t>months; Kallmes excluded for 6-12</w:t>
            </w:r>
            <w:r w:rsidR="00EE49E5">
              <w:rPr>
                <w:rFonts w:ascii="Arial Narrow" w:hAnsi="Arial Narrow"/>
                <w:sz w:val="20"/>
              </w:rPr>
              <w:t> </w:t>
            </w:r>
            <w:r>
              <w:rPr>
                <w:rFonts w:ascii="Arial Narrow" w:hAnsi="Arial Narrow"/>
                <w:sz w:val="20"/>
              </w:rPr>
              <w:t>months.</w:t>
            </w:r>
          </w:p>
        </w:tc>
      </w:tr>
      <w:tr w:rsidR="00464ED7" w:rsidRPr="00962EEA" w14:paraId="737A932D" w14:textId="77777777" w:rsidTr="00BD04F3">
        <w:tc>
          <w:tcPr>
            <w:tcW w:w="964" w:type="dxa"/>
            <w:vMerge/>
            <w:vAlign w:val="center"/>
          </w:tcPr>
          <w:p w14:paraId="1A618638" w14:textId="77777777" w:rsidR="00464ED7" w:rsidRPr="00396FE1" w:rsidRDefault="00464ED7" w:rsidP="00BD04F3">
            <w:pPr>
              <w:keepNext/>
              <w:keepLines/>
              <w:rPr>
                <w:rFonts w:ascii="Arial Narrow" w:hAnsi="Arial Narrow"/>
                <w:b/>
                <w:bCs/>
                <w:sz w:val="20"/>
              </w:rPr>
            </w:pPr>
          </w:p>
        </w:tc>
        <w:tc>
          <w:tcPr>
            <w:tcW w:w="1158" w:type="dxa"/>
            <w:tcBorders>
              <w:top w:val="nil"/>
              <w:bottom w:val="nil"/>
            </w:tcBorders>
            <w:vAlign w:val="center"/>
          </w:tcPr>
          <w:p w14:paraId="2A66DF99" w14:textId="77777777" w:rsidR="00464ED7" w:rsidRDefault="00464ED7" w:rsidP="00BD04F3">
            <w:pPr>
              <w:keepNext/>
              <w:keepLines/>
              <w:rPr>
                <w:rFonts w:ascii="Arial Narrow" w:hAnsi="Arial Narrow"/>
                <w:sz w:val="20"/>
              </w:rPr>
            </w:pPr>
            <w:r>
              <w:rPr>
                <w:rFonts w:ascii="Arial Narrow" w:hAnsi="Arial Narrow"/>
                <w:sz w:val="20"/>
              </w:rPr>
              <w:t>1-3 months</w:t>
            </w:r>
          </w:p>
        </w:tc>
        <w:tc>
          <w:tcPr>
            <w:tcW w:w="567" w:type="dxa"/>
            <w:tcBorders>
              <w:top w:val="nil"/>
              <w:bottom w:val="nil"/>
            </w:tcBorders>
            <w:vAlign w:val="center"/>
          </w:tcPr>
          <w:p w14:paraId="479CAE79" w14:textId="77777777" w:rsidR="00464ED7" w:rsidRDefault="00464ED7" w:rsidP="00BD04F3">
            <w:pPr>
              <w:keepNext/>
              <w:keepLines/>
              <w:jc w:val="center"/>
              <w:rPr>
                <w:rFonts w:ascii="Arial Narrow" w:hAnsi="Arial Narrow"/>
                <w:sz w:val="20"/>
              </w:rPr>
            </w:pPr>
            <w:r>
              <w:rPr>
                <w:rFonts w:ascii="Arial Narrow" w:hAnsi="Arial Narrow"/>
                <w:sz w:val="20"/>
              </w:rPr>
              <w:t>4</w:t>
            </w:r>
          </w:p>
        </w:tc>
        <w:tc>
          <w:tcPr>
            <w:tcW w:w="567" w:type="dxa"/>
            <w:tcBorders>
              <w:top w:val="nil"/>
              <w:bottom w:val="nil"/>
            </w:tcBorders>
            <w:vAlign w:val="center"/>
          </w:tcPr>
          <w:p w14:paraId="60DE3325" w14:textId="77777777" w:rsidR="00464ED7" w:rsidRDefault="00464ED7" w:rsidP="00BD04F3">
            <w:pPr>
              <w:keepNext/>
              <w:keepLines/>
              <w:jc w:val="center"/>
              <w:rPr>
                <w:rFonts w:ascii="Arial Narrow" w:hAnsi="Arial Narrow"/>
                <w:sz w:val="20"/>
              </w:rPr>
            </w:pPr>
            <w:r>
              <w:rPr>
                <w:rFonts w:ascii="Arial Narrow" w:hAnsi="Arial Narrow"/>
                <w:sz w:val="20"/>
              </w:rPr>
              <w:t>215</w:t>
            </w:r>
          </w:p>
        </w:tc>
        <w:tc>
          <w:tcPr>
            <w:tcW w:w="708" w:type="dxa"/>
            <w:tcBorders>
              <w:top w:val="nil"/>
              <w:bottom w:val="nil"/>
            </w:tcBorders>
            <w:vAlign w:val="center"/>
          </w:tcPr>
          <w:p w14:paraId="475CEE74" w14:textId="77777777" w:rsidR="00464ED7" w:rsidRDefault="00464ED7" w:rsidP="00BD04F3">
            <w:pPr>
              <w:keepNext/>
              <w:keepLines/>
              <w:jc w:val="center"/>
              <w:rPr>
                <w:rFonts w:ascii="Arial Narrow" w:hAnsi="Arial Narrow"/>
                <w:sz w:val="20"/>
              </w:rPr>
            </w:pPr>
            <w:r>
              <w:rPr>
                <w:rFonts w:ascii="Arial Narrow" w:hAnsi="Arial Narrow"/>
                <w:sz w:val="20"/>
              </w:rPr>
              <w:t>208</w:t>
            </w:r>
          </w:p>
        </w:tc>
        <w:tc>
          <w:tcPr>
            <w:tcW w:w="1560" w:type="dxa"/>
            <w:tcBorders>
              <w:top w:val="nil"/>
              <w:bottom w:val="nil"/>
            </w:tcBorders>
            <w:vAlign w:val="center"/>
          </w:tcPr>
          <w:p w14:paraId="5334B414" w14:textId="77777777" w:rsidR="00464ED7" w:rsidRPr="000A55AE" w:rsidRDefault="00464ED7" w:rsidP="00BD04F3">
            <w:pPr>
              <w:keepNext/>
              <w:keepLines/>
              <w:jc w:val="center"/>
              <w:rPr>
                <w:rFonts w:ascii="Arial Narrow" w:hAnsi="Arial Narrow"/>
                <w:sz w:val="20"/>
              </w:rPr>
            </w:pPr>
            <w:r>
              <w:rPr>
                <w:rFonts w:ascii="Arial Narrow" w:hAnsi="Arial Narrow"/>
                <w:sz w:val="20"/>
              </w:rPr>
              <w:t>-0.41</w:t>
            </w:r>
            <w:r w:rsidRPr="00F2012E">
              <w:rPr>
                <w:rFonts w:ascii="Arial Narrow" w:hAnsi="Arial Narrow"/>
                <w:sz w:val="20"/>
              </w:rPr>
              <w:t xml:space="preserve"> (-</w:t>
            </w:r>
            <w:r>
              <w:rPr>
                <w:rFonts w:ascii="Arial Narrow" w:hAnsi="Arial Narrow"/>
                <w:sz w:val="20"/>
              </w:rPr>
              <w:t>0.92</w:t>
            </w:r>
            <w:r w:rsidRPr="00F2012E">
              <w:rPr>
                <w:rFonts w:ascii="Arial Narrow" w:hAnsi="Arial Narrow"/>
                <w:sz w:val="20"/>
              </w:rPr>
              <w:t xml:space="preserve">, </w:t>
            </w:r>
            <w:r>
              <w:rPr>
                <w:rFonts w:ascii="Arial Narrow" w:hAnsi="Arial Narrow"/>
                <w:sz w:val="20"/>
              </w:rPr>
              <w:t>0.10</w:t>
            </w:r>
            <w:r w:rsidRPr="00F2012E">
              <w:rPr>
                <w:rFonts w:ascii="Arial Narrow" w:hAnsi="Arial Narrow"/>
                <w:sz w:val="20"/>
              </w:rPr>
              <w:t>)</w:t>
            </w:r>
          </w:p>
        </w:tc>
        <w:tc>
          <w:tcPr>
            <w:tcW w:w="425" w:type="dxa"/>
            <w:tcBorders>
              <w:top w:val="nil"/>
              <w:bottom w:val="nil"/>
            </w:tcBorders>
            <w:vAlign w:val="center"/>
          </w:tcPr>
          <w:p w14:paraId="27ED383C" w14:textId="77777777" w:rsidR="00464ED7" w:rsidRDefault="00464ED7" w:rsidP="00BD04F3">
            <w:pPr>
              <w:keepNext/>
              <w:keepLines/>
              <w:jc w:val="center"/>
              <w:rPr>
                <w:rFonts w:ascii="Arial Narrow" w:hAnsi="Arial Narrow"/>
                <w:sz w:val="20"/>
              </w:rPr>
            </w:pPr>
            <w:r>
              <w:rPr>
                <w:rFonts w:ascii="Arial Narrow" w:hAnsi="Arial Narrow"/>
                <w:sz w:val="20"/>
              </w:rPr>
              <w:t>0%</w:t>
            </w:r>
          </w:p>
        </w:tc>
        <w:tc>
          <w:tcPr>
            <w:tcW w:w="2977" w:type="dxa"/>
            <w:vMerge/>
            <w:vAlign w:val="center"/>
          </w:tcPr>
          <w:p w14:paraId="52932EE3" w14:textId="77777777" w:rsidR="00464ED7" w:rsidRDefault="00464ED7" w:rsidP="00BD04F3">
            <w:pPr>
              <w:keepNext/>
              <w:keepLines/>
              <w:rPr>
                <w:rFonts w:ascii="Arial Narrow" w:hAnsi="Arial Narrow"/>
                <w:sz w:val="20"/>
              </w:rPr>
            </w:pPr>
          </w:p>
        </w:tc>
      </w:tr>
      <w:tr w:rsidR="00464ED7" w:rsidRPr="00962EEA" w14:paraId="020FC08F" w14:textId="77777777" w:rsidTr="00BD04F3">
        <w:tc>
          <w:tcPr>
            <w:tcW w:w="964" w:type="dxa"/>
            <w:vMerge/>
            <w:vAlign w:val="center"/>
          </w:tcPr>
          <w:p w14:paraId="406D27F3" w14:textId="77777777" w:rsidR="00464ED7" w:rsidRPr="00396FE1" w:rsidRDefault="00464ED7" w:rsidP="00BD04F3">
            <w:pPr>
              <w:keepNext/>
              <w:keepLines/>
              <w:rPr>
                <w:rFonts w:ascii="Arial Narrow" w:hAnsi="Arial Narrow"/>
                <w:b/>
                <w:bCs/>
                <w:sz w:val="20"/>
              </w:rPr>
            </w:pPr>
          </w:p>
        </w:tc>
        <w:tc>
          <w:tcPr>
            <w:tcW w:w="1158" w:type="dxa"/>
            <w:tcBorders>
              <w:top w:val="nil"/>
              <w:bottom w:val="single" w:sz="4" w:space="0" w:color="auto"/>
            </w:tcBorders>
            <w:vAlign w:val="center"/>
          </w:tcPr>
          <w:p w14:paraId="36A25FD5" w14:textId="77777777" w:rsidR="00464ED7" w:rsidRDefault="00464ED7" w:rsidP="00BD04F3">
            <w:pPr>
              <w:keepNext/>
              <w:keepLines/>
              <w:rPr>
                <w:rFonts w:ascii="Arial Narrow" w:hAnsi="Arial Narrow"/>
                <w:sz w:val="20"/>
              </w:rPr>
            </w:pPr>
            <w:r>
              <w:rPr>
                <w:rFonts w:ascii="Arial Narrow" w:hAnsi="Arial Narrow"/>
                <w:sz w:val="20"/>
              </w:rPr>
              <w:t>6-12 months</w:t>
            </w:r>
          </w:p>
        </w:tc>
        <w:tc>
          <w:tcPr>
            <w:tcW w:w="567" w:type="dxa"/>
            <w:tcBorders>
              <w:top w:val="nil"/>
              <w:bottom w:val="single" w:sz="4" w:space="0" w:color="auto"/>
            </w:tcBorders>
            <w:vAlign w:val="center"/>
          </w:tcPr>
          <w:p w14:paraId="0E433DF5" w14:textId="77777777" w:rsidR="00464ED7" w:rsidRDefault="00464ED7" w:rsidP="00BD04F3">
            <w:pPr>
              <w:keepNext/>
              <w:keepLines/>
              <w:jc w:val="center"/>
              <w:rPr>
                <w:rFonts w:ascii="Arial Narrow" w:hAnsi="Arial Narrow"/>
                <w:sz w:val="20"/>
              </w:rPr>
            </w:pPr>
            <w:r>
              <w:rPr>
                <w:rFonts w:ascii="Arial Narrow" w:hAnsi="Arial Narrow"/>
                <w:sz w:val="20"/>
              </w:rPr>
              <w:t>3</w:t>
            </w:r>
          </w:p>
        </w:tc>
        <w:tc>
          <w:tcPr>
            <w:tcW w:w="567" w:type="dxa"/>
            <w:tcBorders>
              <w:top w:val="nil"/>
              <w:bottom w:val="single" w:sz="4" w:space="0" w:color="auto"/>
            </w:tcBorders>
            <w:vAlign w:val="center"/>
          </w:tcPr>
          <w:p w14:paraId="44AC8FBC" w14:textId="77777777" w:rsidR="00464ED7" w:rsidRDefault="00464ED7" w:rsidP="00BD04F3">
            <w:pPr>
              <w:keepNext/>
              <w:keepLines/>
              <w:jc w:val="center"/>
              <w:rPr>
                <w:rFonts w:ascii="Arial Narrow" w:hAnsi="Arial Narrow"/>
                <w:sz w:val="20"/>
              </w:rPr>
            </w:pPr>
            <w:r>
              <w:rPr>
                <w:rFonts w:ascii="Arial Narrow" w:hAnsi="Arial Narrow"/>
                <w:sz w:val="20"/>
              </w:rPr>
              <w:t>145</w:t>
            </w:r>
          </w:p>
        </w:tc>
        <w:tc>
          <w:tcPr>
            <w:tcW w:w="708" w:type="dxa"/>
            <w:tcBorders>
              <w:top w:val="nil"/>
              <w:bottom w:val="single" w:sz="4" w:space="0" w:color="auto"/>
            </w:tcBorders>
            <w:vAlign w:val="center"/>
          </w:tcPr>
          <w:p w14:paraId="2B12EDD3" w14:textId="77777777" w:rsidR="00464ED7" w:rsidRDefault="00464ED7" w:rsidP="00BD04F3">
            <w:pPr>
              <w:keepNext/>
              <w:keepLines/>
              <w:jc w:val="center"/>
              <w:rPr>
                <w:rFonts w:ascii="Arial Narrow" w:hAnsi="Arial Narrow"/>
                <w:sz w:val="20"/>
              </w:rPr>
            </w:pPr>
            <w:r>
              <w:rPr>
                <w:rFonts w:ascii="Arial Narrow" w:hAnsi="Arial Narrow"/>
                <w:sz w:val="20"/>
              </w:rPr>
              <w:t>144</w:t>
            </w:r>
          </w:p>
        </w:tc>
        <w:tc>
          <w:tcPr>
            <w:tcW w:w="1560" w:type="dxa"/>
            <w:tcBorders>
              <w:top w:val="nil"/>
              <w:bottom w:val="single" w:sz="4" w:space="0" w:color="auto"/>
            </w:tcBorders>
            <w:vAlign w:val="center"/>
          </w:tcPr>
          <w:p w14:paraId="103A78EB" w14:textId="77777777" w:rsidR="00464ED7" w:rsidRPr="000A55AE" w:rsidRDefault="00464ED7" w:rsidP="00BD04F3">
            <w:pPr>
              <w:keepNext/>
              <w:keepLines/>
              <w:jc w:val="center"/>
              <w:rPr>
                <w:rFonts w:ascii="Arial Narrow" w:hAnsi="Arial Narrow"/>
                <w:sz w:val="20"/>
              </w:rPr>
            </w:pPr>
            <w:r>
              <w:rPr>
                <w:rFonts w:ascii="Arial Narrow" w:hAnsi="Arial Narrow"/>
                <w:sz w:val="20"/>
              </w:rPr>
              <w:t>-0.53 (-1.14, 0.08)</w:t>
            </w:r>
          </w:p>
        </w:tc>
        <w:tc>
          <w:tcPr>
            <w:tcW w:w="425" w:type="dxa"/>
            <w:tcBorders>
              <w:top w:val="nil"/>
              <w:bottom w:val="single" w:sz="4" w:space="0" w:color="auto"/>
            </w:tcBorders>
            <w:vAlign w:val="center"/>
          </w:tcPr>
          <w:p w14:paraId="2E3D8ADE" w14:textId="77777777" w:rsidR="00464ED7" w:rsidRDefault="00464ED7" w:rsidP="00BD04F3">
            <w:pPr>
              <w:keepNext/>
              <w:keepLines/>
              <w:jc w:val="center"/>
              <w:rPr>
                <w:rFonts w:ascii="Arial Narrow" w:hAnsi="Arial Narrow"/>
                <w:sz w:val="20"/>
              </w:rPr>
            </w:pPr>
            <w:r>
              <w:rPr>
                <w:rFonts w:ascii="Arial Narrow" w:hAnsi="Arial Narrow"/>
                <w:sz w:val="20"/>
              </w:rPr>
              <w:t>0%</w:t>
            </w:r>
          </w:p>
        </w:tc>
        <w:tc>
          <w:tcPr>
            <w:tcW w:w="2977" w:type="dxa"/>
            <w:vMerge/>
            <w:tcBorders>
              <w:bottom w:val="single" w:sz="4" w:space="0" w:color="auto"/>
            </w:tcBorders>
            <w:vAlign w:val="center"/>
          </w:tcPr>
          <w:p w14:paraId="0A0522AB" w14:textId="77777777" w:rsidR="00464ED7" w:rsidRDefault="00464ED7" w:rsidP="00BD04F3">
            <w:pPr>
              <w:keepNext/>
              <w:keepLines/>
              <w:rPr>
                <w:rFonts w:ascii="Arial Narrow" w:hAnsi="Arial Narrow"/>
                <w:sz w:val="20"/>
              </w:rPr>
            </w:pPr>
          </w:p>
        </w:tc>
      </w:tr>
      <w:tr w:rsidR="00464ED7" w:rsidRPr="00962EEA" w14:paraId="308DDDF9" w14:textId="77777777" w:rsidTr="00BD04F3">
        <w:tc>
          <w:tcPr>
            <w:tcW w:w="964" w:type="dxa"/>
            <w:vMerge/>
            <w:vAlign w:val="center"/>
          </w:tcPr>
          <w:p w14:paraId="315AD789" w14:textId="77777777" w:rsidR="00464ED7" w:rsidRPr="00396FE1" w:rsidRDefault="00464ED7" w:rsidP="00BD04F3">
            <w:pPr>
              <w:keepNext/>
              <w:keepLines/>
              <w:rPr>
                <w:rFonts w:ascii="Arial Narrow" w:hAnsi="Arial Narrow"/>
                <w:b/>
                <w:bCs/>
                <w:sz w:val="20"/>
              </w:rPr>
            </w:pPr>
          </w:p>
        </w:tc>
        <w:tc>
          <w:tcPr>
            <w:tcW w:w="1158" w:type="dxa"/>
            <w:tcBorders>
              <w:top w:val="single" w:sz="4" w:space="0" w:color="auto"/>
              <w:bottom w:val="nil"/>
            </w:tcBorders>
            <w:vAlign w:val="center"/>
          </w:tcPr>
          <w:p w14:paraId="050B7559" w14:textId="77777777" w:rsidR="00464ED7" w:rsidRDefault="00464ED7" w:rsidP="00BD04F3">
            <w:pPr>
              <w:keepNext/>
              <w:keepLines/>
              <w:rPr>
                <w:rFonts w:ascii="Arial Narrow" w:hAnsi="Arial Narrow"/>
                <w:sz w:val="20"/>
              </w:rPr>
            </w:pPr>
            <w:r>
              <w:rPr>
                <w:rFonts w:ascii="Arial Narrow" w:hAnsi="Arial Narrow"/>
                <w:sz w:val="20"/>
              </w:rPr>
              <w:t>1-2 weeks</w:t>
            </w:r>
          </w:p>
        </w:tc>
        <w:tc>
          <w:tcPr>
            <w:tcW w:w="567" w:type="dxa"/>
            <w:tcBorders>
              <w:top w:val="single" w:sz="4" w:space="0" w:color="auto"/>
              <w:bottom w:val="nil"/>
            </w:tcBorders>
            <w:vAlign w:val="center"/>
          </w:tcPr>
          <w:p w14:paraId="23A181E5" w14:textId="77777777" w:rsidR="00464ED7" w:rsidRDefault="00464ED7" w:rsidP="00BD04F3">
            <w:pPr>
              <w:keepNext/>
              <w:keepLines/>
              <w:jc w:val="center"/>
              <w:rPr>
                <w:rFonts w:ascii="Arial Narrow" w:hAnsi="Arial Narrow"/>
                <w:sz w:val="20"/>
              </w:rPr>
            </w:pPr>
            <w:r>
              <w:rPr>
                <w:rFonts w:ascii="Arial Narrow" w:hAnsi="Arial Narrow"/>
                <w:sz w:val="20"/>
              </w:rPr>
              <w:t>1</w:t>
            </w:r>
          </w:p>
        </w:tc>
        <w:tc>
          <w:tcPr>
            <w:tcW w:w="567" w:type="dxa"/>
            <w:tcBorders>
              <w:top w:val="single" w:sz="4" w:space="0" w:color="auto"/>
              <w:bottom w:val="nil"/>
            </w:tcBorders>
            <w:vAlign w:val="center"/>
          </w:tcPr>
          <w:p w14:paraId="0600E844" w14:textId="77777777" w:rsidR="00464ED7" w:rsidRDefault="00464ED7" w:rsidP="00BD04F3">
            <w:pPr>
              <w:keepNext/>
              <w:keepLines/>
              <w:jc w:val="center"/>
              <w:rPr>
                <w:rFonts w:ascii="Arial Narrow" w:hAnsi="Arial Narrow"/>
                <w:sz w:val="20"/>
              </w:rPr>
            </w:pPr>
            <w:r>
              <w:rPr>
                <w:rFonts w:ascii="Arial Narrow" w:hAnsi="Arial Narrow"/>
                <w:sz w:val="20"/>
              </w:rPr>
              <w:t>55</w:t>
            </w:r>
          </w:p>
        </w:tc>
        <w:tc>
          <w:tcPr>
            <w:tcW w:w="708" w:type="dxa"/>
            <w:tcBorders>
              <w:top w:val="single" w:sz="4" w:space="0" w:color="auto"/>
              <w:bottom w:val="nil"/>
            </w:tcBorders>
            <w:vAlign w:val="center"/>
          </w:tcPr>
          <w:p w14:paraId="6BDB2369" w14:textId="77777777" w:rsidR="00464ED7" w:rsidRDefault="00464ED7" w:rsidP="00BD04F3">
            <w:pPr>
              <w:keepNext/>
              <w:keepLines/>
              <w:jc w:val="center"/>
              <w:rPr>
                <w:rFonts w:ascii="Arial Narrow" w:hAnsi="Arial Narrow"/>
                <w:sz w:val="20"/>
              </w:rPr>
            </w:pPr>
            <w:r>
              <w:rPr>
                <w:rFonts w:ascii="Arial Narrow" w:hAnsi="Arial Narrow"/>
                <w:sz w:val="20"/>
              </w:rPr>
              <w:t>57</w:t>
            </w:r>
          </w:p>
        </w:tc>
        <w:tc>
          <w:tcPr>
            <w:tcW w:w="1560" w:type="dxa"/>
            <w:tcBorders>
              <w:top w:val="single" w:sz="4" w:space="0" w:color="auto"/>
              <w:bottom w:val="nil"/>
            </w:tcBorders>
            <w:vAlign w:val="center"/>
          </w:tcPr>
          <w:p w14:paraId="50EA6183" w14:textId="77777777" w:rsidR="00464ED7" w:rsidRDefault="00464ED7" w:rsidP="00BD04F3">
            <w:pPr>
              <w:keepNext/>
              <w:keepLines/>
              <w:jc w:val="center"/>
              <w:rPr>
                <w:rFonts w:ascii="Arial Narrow" w:hAnsi="Arial Narrow"/>
                <w:sz w:val="20"/>
              </w:rPr>
            </w:pPr>
            <w:r>
              <w:rPr>
                <w:rFonts w:ascii="Arial Narrow" w:hAnsi="Arial Narrow"/>
                <w:sz w:val="20"/>
              </w:rPr>
              <w:t>-1.20 (-2.26, -0.14)</w:t>
            </w:r>
          </w:p>
        </w:tc>
        <w:tc>
          <w:tcPr>
            <w:tcW w:w="425" w:type="dxa"/>
            <w:vMerge w:val="restart"/>
            <w:tcBorders>
              <w:top w:val="nil"/>
            </w:tcBorders>
            <w:vAlign w:val="center"/>
          </w:tcPr>
          <w:p w14:paraId="4AABCDDC" w14:textId="77777777" w:rsidR="00464ED7" w:rsidRDefault="00464ED7" w:rsidP="00BD04F3">
            <w:pPr>
              <w:keepNext/>
              <w:keepLines/>
              <w:jc w:val="center"/>
              <w:rPr>
                <w:rFonts w:ascii="Arial Narrow" w:hAnsi="Arial Narrow"/>
                <w:sz w:val="20"/>
              </w:rPr>
            </w:pPr>
            <w:r>
              <w:rPr>
                <w:rFonts w:ascii="Arial Narrow" w:hAnsi="Arial Narrow"/>
                <w:sz w:val="20"/>
              </w:rPr>
              <w:t>NA</w:t>
            </w:r>
          </w:p>
        </w:tc>
        <w:tc>
          <w:tcPr>
            <w:tcW w:w="2977" w:type="dxa"/>
            <w:tcBorders>
              <w:bottom w:val="nil"/>
            </w:tcBorders>
            <w:vAlign w:val="center"/>
          </w:tcPr>
          <w:p w14:paraId="3C0540A5" w14:textId="77777777" w:rsidR="00464ED7" w:rsidRDefault="00464ED7" w:rsidP="00BD04F3">
            <w:pPr>
              <w:keepNext/>
              <w:keepLines/>
              <w:rPr>
                <w:rFonts w:ascii="Arial Narrow" w:hAnsi="Arial Narrow"/>
                <w:sz w:val="20"/>
              </w:rPr>
            </w:pPr>
            <w:r>
              <w:rPr>
                <w:rFonts w:ascii="Arial Narrow" w:hAnsi="Arial Narrow"/>
                <w:sz w:val="20"/>
              </w:rPr>
              <w:t>Clark 2016</w:t>
            </w:r>
          </w:p>
        </w:tc>
      </w:tr>
      <w:tr w:rsidR="00464ED7" w:rsidRPr="00962EEA" w14:paraId="24187E23" w14:textId="77777777" w:rsidTr="00BD04F3">
        <w:tc>
          <w:tcPr>
            <w:tcW w:w="964" w:type="dxa"/>
            <w:vMerge/>
            <w:vAlign w:val="center"/>
          </w:tcPr>
          <w:p w14:paraId="4D895FBD" w14:textId="77777777" w:rsidR="00464ED7" w:rsidRPr="00396FE1" w:rsidRDefault="00464ED7" w:rsidP="00BD04F3">
            <w:pPr>
              <w:keepNext/>
              <w:keepLines/>
              <w:rPr>
                <w:rFonts w:ascii="Arial Narrow" w:hAnsi="Arial Narrow"/>
                <w:b/>
                <w:bCs/>
                <w:sz w:val="20"/>
              </w:rPr>
            </w:pPr>
          </w:p>
        </w:tc>
        <w:tc>
          <w:tcPr>
            <w:tcW w:w="1158" w:type="dxa"/>
            <w:tcBorders>
              <w:top w:val="nil"/>
              <w:bottom w:val="nil"/>
            </w:tcBorders>
            <w:vAlign w:val="center"/>
          </w:tcPr>
          <w:p w14:paraId="2A2ABE09" w14:textId="77777777" w:rsidR="00464ED7" w:rsidRDefault="00464ED7" w:rsidP="00BD04F3">
            <w:pPr>
              <w:keepNext/>
              <w:keepLines/>
              <w:rPr>
                <w:rFonts w:ascii="Arial Narrow" w:hAnsi="Arial Narrow"/>
                <w:sz w:val="20"/>
              </w:rPr>
            </w:pPr>
            <w:r>
              <w:rPr>
                <w:rFonts w:ascii="Arial Narrow" w:hAnsi="Arial Narrow"/>
                <w:sz w:val="20"/>
              </w:rPr>
              <w:t>1-3 months</w:t>
            </w:r>
          </w:p>
        </w:tc>
        <w:tc>
          <w:tcPr>
            <w:tcW w:w="567" w:type="dxa"/>
            <w:tcBorders>
              <w:top w:val="nil"/>
              <w:bottom w:val="nil"/>
            </w:tcBorders>
            <w:vAlign w:val="center"/>
          </w:tcPr>
          <w:p w14:paraId="44C93A15" w14:textId="77777777" w:rsidR="00464ED7" w:rsidRDefault="00464ED7" w:rsidP="00BD04F3">
            <w:pPr>
              <w:keepNext/>
              <w:keepLines/>
              <w:jc w:val="center"/>
              <w:rPr>
                <w:rFonts w:ascii="Arial Narrow" w:hAnsi="Arial Narrow"/>
                <w:sz w:val="20"/>
              </w:rPr>
            </w:pPr>
            <w:r>
              <w:rPr>
                <w:rFonts w:ascii="Arial Narrow" w:hAnsi="Arial Narrow"/>
                <w:sz w:val="20"/>
              </w:rPr>
              <w:t>1</w:t>
            </w:r>
          </w:p>
        </w:tc>
        <w:tc>
          <w:tcPr>
            <w:tcW w:w="567" w:type="dxa"/>
            <w:tcBorders>
              <w:top w:val="nil"/>
              <w:bottom w:val="nil"/>
            </w:tcBorders>
            <w:vAlign w:val="center"/>
          </w:tcPr>
          <w:p w14:paraId="76C61729" w14:textId="77777777" w:rsidR="00464ED7" w:rsidRDefault="00464ED7" w:rsidP="00BD04F3">
            <w:pPr>
              <w:keepNext/>
              <w:keepLines/>
              <w:jc w:val="center"/>
              <w:rPr>
                <w:rFonts w:ascii="Arial Narrow" w:hAnsi="Arial Narrow"/>
                <w:sz w:val="20"/>
              </w:rPr>
            </w:pPr>
            <w:r>
              <w:rPr>
                <w:rFonts w:ascii="Arial Narrow" w:hAnsi="Arial Narrow"/>
                <w:sz w:val="20"/>
              </w:rPr>
              <w:t>53</w:t>
            </w:r>
          </w:p>
        </w:tc>
        <w:tc>
          <w:tcPr>
            <w:tcW w:w="708" w:type="dxa"/>
            <w:tcBorders>
              <w:top w:val="nil"/>
              <w:bottom w:val="nil"/>
            </w:tcBorders>
            <w:vAlign w:val="center"/>
          </w:tcPr>
          <w:p w14:paraId="28737070" w14:textId="77777777" w:rsidR="00464ED7" w:rsidRDefault="00464ED7" w:rsidP="00BD04F3">
            <w:pPr>
              <w:keepNext/>
              <w:keepLines/>
              <w:jc w:val="center"/>
              <w:rPr>
                <w:rFonts w:ascii="Arial Narrow" w:hAnsi="Arial Narrow"/>
                <w:sz w:val="20"/>
              </w:rPr>
            </w:pPr>
            <w:r>
              <w:rPr>
                <w:rFonts w:ascii="Arial Narrow" w:hAnsi="Arial Narrow"/>
                <w:sz w:val="20"/>
              </w:rPr>
              <w:t>52</w:t>
            </w:r>
          </w:p>
        </w:tc>
        <w:tc>
          <w:tcPr>
            <w:tcW w:w="1560" w:type="dxa"/>
            <w:tcBorders>
              <w:top w:val="nil"/>
              <w:bottom w:val="nil"/>
            </w:tcBorders>
            <w:vAlign w:val="center"/>
          </w:tcPr>
          <w:p w14:paraId="6FAD4BEE" w14:textId="77777777" w:rsidR="00464ED7" w:rsidRDefault="00464ED7" w:rsidP="00BD04F3">
            <w:pPr>
              <w:keepNext/>
              <w:keepLines/>
              <w:jc w:val="center"/>
              <w:rPr>
                <w:rFonts w:ascii="Arial Narrow" w:hAnsi="Arial Narrow"/>
                <w:sz w:val="20"/>
              </w:rPr>
            </w:pPr>
            <w:r>
              <w:rPr>
                <w:rFonts w:ascii="Arial Narrow" w:hAnsi="Arial Narrow"/>
                <w:sz w:val="20"/>
              </w:rPr>
              <w:t>-1.30 (-2.56, -0.04)</w:t>
            </w:r>
          </w:p>
        </w:tc>
        <w:tc>
          <w:tcPr>
            <w:tcW w:w="425" w:type="dxa"/>
            <w:vMerge/>
            <w:vAlign w:val="center"/>
          </w:tcPr>
          <w:p w14:paraId="6646E218" w14:textId="77777777" w:rsidR="00464ED7" w:rsidRDefault="00464ED7" w:rsidP="00BD04F3">
            <w:pPr>
              <w:keepNext/>
              <w:keepLines/>
              <w:jc w:val="center"/>
              <w:rPr>
                <w:rFonts w:ascii="Arial Narrow" w:hAnsi="Arial Narrow"/>
                <w:sz w:val="20"/>
              </w:rPr>
            </w:pPr>
          </w:p>
        </w:tc>
        <w:tc>
          <w:tcPr>
            <w:tcW w:w="2977" w:type="dxa"/>
            <w:tcBorders>
              <w:top w:val="nil"/>
              <w:bottom w:val="nil"/>
            </w:tcBorders>
            <w:vAlign w:val="center"/>
          </w:tcPr>
          <w:p w14:paraId="485C9DA4" w14:textId="77777777" w:rsidR="00464ED7" w:rsidRDefault="00464ED7" w:rsidP="00BD04F3">
            <w:pPr>
              <w:keepNext/>
              <w:keepLines/>
              <w:rPr>
                <w:rFonts w:ascii="Arial Narrow" w:hAnsi="Arial Narrow"/>
                <w:sz w:val="20"/>
              </w:rPr>
            </w:pPr>
            <w:r>
              <w:rPr>
                <w:rFonts w:ascii="Arial Narrow" w:hAnsi="Arial Narrow"/>
                <w:sz w:val="20"/>
              </w:rPr>
              <w:t>Clark 2016</w:t>
            </w:r>
          </w:p>
        </w:tc>
      </w:tr>
      <w:tr w:rsidR="00464ED7" w:rsidRPr="00962EEA" w14:paraId="7BA7F3E3" w14:textId="77777777" w:rsidTr="00BD04F3">
        <w:tc>
          <w:tcPr>
            <w:tcW w:w="964" w:type="dxa"/>
            <w:vMerge/>
            <w:vAlign w:val="center"/>
          </w:tcPr>
          <w:p w14:paraId="5AABCB39" w14:textId="77777777" w:rsidR="00464ED7" w:rsidRPr="00396FE1" w:rsidRDefault="00464ED7" w:rsidP="00BD04F3">
            <w:pPr>
              <w:keepNext/>
              <w:keepLines/>
              <w:rPr>
                <w:rFonts w:ascii="Arial Narrow" w:hAnsi="Arial Narrow"/>
                <w:b/>
                <w:bCs/>
                <w:sz w:val="20"/>
              </w:rPr>
            </w:pPr>
          </w:p>
        </w:tc>
        <w:tc>
          <w:tcPr>
            <w:tcW w:w="1158" w:type="dxa"/>
            <w:tcBorders>
              <w:top w:val="nil"/>
              <w:bottom w:val="single" w:sz="4" w:space="0" w:color="auto"/>
            </w:tcBorders>
            <w:vAlign w:val="center"/>
          </w:tcPr>
          <w:p w14:paraId="0BA020A1" w14:textId="77777777" w:rsidR="00464ED7" w:rsidRDefault="00464ED7" w:rsidP="00BD04F3">
            <w:pPr>
              <w:keepNext/>
              <w:keepLines/>
              <w:rPr>
                <w:rFonts w:ascii="Arial Narrow" w:hAnsi="Arial Narrow"/>
                <w:sz w:val="20"/>
              </w:rPr>
            </w:pPr>
            <w:r>
              <w:rPr>
                <w:rFonts w:ascii="Arial Narrow" w:hAnsi="Arial Narrow"/>
                <w:sz w:val="20"/>
              </w:rPr>
              <w:t>6-12 months</w:t>
            </w:r>
          </w:p>
        </w:tc>
        <w:tc>
          <w:tcPr>
            <w:tcW w:w="567" w:type="dxa"/>
            <w:tcBorders>
              <w:top w:val="nil"/>
              <w:bottom w:val="single" w:sz="4" w:space="0" w:color="auto"/>
            </w:tcBorders>
            <w:vAlign w:val="center"/>
          </w:tcPr>
          <w:p w14:paraId="19106894" w14:textId="77777777" w:rsidR="00464ED7" w:rsidRDefault="00464ED7" w:rsidP="00BD04F3">
            <w:pPr>
              <w:keepNext/>
              <w:keepLines/>
              <w:jc w:val="center"/>
              <w:rPr>
                <w:rFonts w:ascii="Arial Narrow" w:hAnsi="Arial Narrow"/>
                <w:sz w:val="20"/>
              </w:rPr>
            </w:pPr>
            <w:r>
              <w:rPr>
                <w:rFonts w:ascii="Arial Narrow" w:hAnsi="Arial Narrow"/>
                <w:sz w:val="20"/>
              </w:rPr>
              <w:t>1</w:t>
            </w:r>
          </w:p>
        </w:tc>
        <w:tc>
          <w:tcPr>
            <w:tcW w:w="567" w:type="dxa"/>
            <w:tcBorders>
              <w:top w:val="nil"/>
              <w:bottom w:val="single" w:sz="4" w:space="0" w:color="auto"/>
            </w:tcBorders>
            <w:vAlign w:val="center"/>
          </w:tcPr>
          <w:p w14:paraId="2588B010" w14:textId="77777777" w:rsidR="00464ED7" w:rsidRDefault="00464ED7" w:rsidP="00BD04F3">
            <w:pPr>
              <w:keepNext/>
              <w:keepLines/>
              <w:jc w:val="center"/>
              <w:rPr>
                <w:rFonts w:ascii="Arial Narrow" w:hAnsi="Arial Narrow"/>
                <w:sz w:val="20"/>
              </w:rPr>
            </w:pPr>
            <w:r>
              <w:rPr>
                <w:rFonts w:ascii="Arial Narrow" w:hAnsi="Arial Narrow"/>
                <w:sz w:val="20"/>
              </w:rPr>
              <w:t>51</w:t>
            </w:r>
          </w:p>
        </w:tc>
        <w:tc>
          <w:tcPr>
            <w:tcW w:w="708" w:type="dxa"/>
            <w:tcBorders>
              <w:top w:val="nil"/>
              <w:bottom w:val="single" w:sz="4" w:space="0" w:color="auto"/>
            </w:tcBorders>
            <w:vAlign w:val="center"/>
          </w:tcPr>
          <w:p w14:paraId="07D7156E" w14:textId="77777777" w:rsidR="00464ED7" w:rsidRDefault="00464ED7" w:rsidP="00BD04F3">
            <w:pPr>
              <w:keepNext/>
              <w:keepLines/>
              <w:jc w:val="center"/>
              <w:rPr>
                <w:rFonts w:ascii="Arial Narrow" w:hAnsi="Arial Narrow"/>
                <w:sz w:val="20"/>
              </w:rPr>
            </w:pPr>
            <w:r>
              <w:rPr>
                <w:rFonts w:ascii="Arial Narrow" w:hAnsi="Arial Narrow"/>
                <w:sz w:val="20"/>
              </w:rPr>
              <w:t>51</w:t>
            </w:r>
          </w:p>
        </w:tc>
        <w:tc>
          <w:tcPr>
            <w:tcW w:w="1560" w:type="dxa"/>
            <w:tcBorders>
              <w:top w:val="nil"/>
              <w:bottom w:val="single" w:sz="4" w:space="0" w:color="auto"/>
            </w:tcBorders>
            <w:vAlign w:val="center"/>
          </w:tcPr>
          <w:p w14:paraId="615DD89A" w14:textId="77777777" w:rsidR="00464ED7" w:rsidRDefault="00464ED7" w:rsidP="00BD04F3">
            <w:pPr>
              <w:keepNext/>
              <w:keepLines/>
              <w:jc w:val="center"/>
              <w:rPr>
                <w:rFonts w:ascii="Arial Narrow" w:hAnsi="Arial Narrow"/>
                <w:sz w:val="20"/>
              </w:rPr>
            </w:pPr>
            <w:r>
              <w:rPr>
                <w:rFonts w:ascii="Arial Narrow" w:hAnsi="Arial Narrow"/>
                <w:sz w:val="20"/>
              </w:rPr>
              <w:t>-1.30 (-2.54, -0.06)</w:t>
            </w:r>
          </w:p>
        </w:tc>
        <w:tc>
          <w:tcPr>
            <w:tcW w:w="425" w:type="dxa"/>
            <w:vMerge/>
            <w:tcBorders>
              <w:bottom w:val="single" w:sz="4" w:space="0" w:color="auto"/>
            </w:tcBorders>
            <w:vAlign w:val="center"/>
          </w:tcPr>
          <w:p w14:paraId="684B7C43" w14:textId="77777777" w:rsidR="00464ED7" w:rsidRDefault="00464ED7" w:rsidP="00BD04F3">
            <w:pPr>
              <w:keepNext/>
              <w:keepLines/>
              <w:jc w:val="center"/>
              <w:rPr>
                <w:rFonts w:ascii="Arial Narrow" w:hAnsi="Arial Narrow"/>
                <w:sz w:val="20"/>
              </w:rPr>
            </w:pPr>
          </w:p>
        </w:tc>
        <w:tc>
          <w:tcPr>
            <w:tcW w:w="2977" w:type="dxa"/>
            <w:tcBorders>
              <w:top w:val="nil"/>
              <w:bottom w:val="single" w:sz="4" w:space="0" w:color="auto"/>
            </w:tcBorders>
            <w:vAlign w:val="center"/>
          </w:tcPr>
          <w:p w14:paraId="32EAFAE5" w14:textId="77777777" w:rsidR="00464ED7" w:rsidRDefault="00464ED7" w:rsidP="00BD04F3">
            <w:pPr>
              <w:keepNext/>
              <w:keepLines/>
              <w:rPr>
                <w:rFonts w:ascii="Arial Narrow" w:hAnsi="Arial Narrow"/>
                <w:sz w:val="20"/>
              </w:rPr>
            </w:pPr>
            <w:r>
              <w:rPr>
                <w:rFonts w:ascii="Arial Narrow" w:hAnsi="Arial Narrow"/>
                <w:sz w:val="20"/>
              </w:rPr>
              <w:t>Clark 2016</w:t>
            </w:r>
          </w:p>
        </w:tc>
      </w:tr>
      <w:tr w:rsidR="00464ED7" w:rsidRPr="00962EEA" w14:paraId="1F11CF9C" w14:textId="77777777" w:rsidTr="00BD04F3">
        <w:tc>
          <w:tcPr>
            <w:tcW w:w="964" w:type="dxa"/>
            <w:vMerge w:val="restart"/>
            <w:vAlign w:val="center"/>
          </w:tcPr>
          <w:p w14:paraId="75443D5A" w14:textId="77777777" w:rsidR="00464ED7" w:rsidRPr="00396FE1" w:rsidRDefault="00464ED7" w:rsidP="00BD04F3">
            <w:pPr>
              <w:keepNext/>
              <w:keepLines/>
              <w:rPr>
                <w:rFonts w:ascii="Arial Narrow" w:hAnsi="Arial Narrow"/>
                <w:b/>
                <w:bCs/>
                <w:sz w:val="20"/>
              </w:rPr>
            </w:pPr>
            <w:r w:rsidRPr="00396FE1">
              <w:rPr>
                <w:rFonts w:ascii="Arial Narrow" w:hAnsi="Arial Narrow"/>
                <w:b/>
                <w:bCs/>
                <w:sz w:val="20"/>
              </w:rPr>
              <w:t>2018 Cochrane Review</w:t>
            </w:r>
          </w:p>
        </w:tc>
        <w:tc>
          <w:tcPr>
            <w:tcW w:w="1158" w:type="dxa"/>
            <w:tcBorders>
              <w:bottom w:val="nil"/>
            </w:tcBorders>
            <w:vAlign w:val="center"/>
          </w:tcPr>
          <w:p w14:paraId="55F2A97E" w14:textId="77777777" w:rsidR="00464ED7" w:rsidRDefault="00464ED7" w:rsidP="00BD04F3">
            <w:pPr>
              <w:keepNext/>
              <w:keepLines/>
              <w:rPr>
                <w:rFonts w:ascii="Arial Narrow" w:hAnsi="Arial Narrow"/>
                <w:sz w:val="20"/>
              </w:rPr>
            </w:pPr>
            <w:r>
              <w:rPr>
                <w:rFonts w:ascii="Arial Narrow" w:hAnsi="Arial Narrow"/>
                <w:sz w:val="20"/>
              </w:rPr>
              <w:t>1-2 weeks</w:t>
            </w:r>
          </w:p>
        </w:tc>
        <w:tc>
          <w:tcPr>
            <w:tcW w:w="567" w:type="dxa"/>
            <w:tcBorders>
              <w:bottom w:val="nil"/>
            </w:tcBorders>
            <w:vAlign w:val="center"/>
          </w:tcPr>
          <w:p w14:paraId="595D3418" w14:textId="77777777" w:rsidR="00464ED7" w:rsidRDefault="00464ED7" w:rsidP="00BD04F3">
            <w:pPr>
              <w:keepNext/>
              <w:keepLines/>
              <w:jc w:val="center"/>
              <w:rPr>
                <w:rFonts w:ascii="Arial Narrow" w:hAnsi="Arial Narrow"/>
                <w:sz w:val="20"/>
              </w:rPr>
            </w:pPr>
            <w:r>
              <w:rPr>
                <w:rFonts w:ascii="Arial Narrow" w:hAnsi="Arial Narrow"/>
                <w:sz w:val="20"/>
              </w:rPr>
              <w:t>5</w:t>
            </w:r>
          </w:p>
        </w:tc>
        <w:tc>
          <w:tcPr>
            <w:tcW w:w="567" w:type="dxa"/>
            <w:tcBorders>
              <w:bottom w:val="nil"/>
            </w:tcBorders>
            <w:vAlign w:val="center"/>
          </w:tcPr>
          <w:p w14:paraId="67A45715" w14:textId="77777777" w:rsidR="00464ED7" w:rsidRDefault="00464ED7" w:rsidP="00BD04F3">
            <w:pPr>
              <w:keepNext/>
              <w:keepLines/>
              <w:jc w:val="center"/>
              <w:rPr>
                <w:rFonts w:ascii="Arial Narrow" w:hAnsi="Arial Narrow"/>
                <w:sz w:val="20"/>
              </w:rPr>
            </w:pPr>
            <w:r>
              <w:rPr>
                <w:rFonts w:ascii="Arial Narrow" w:hAnsi="Arial Narrow"/>
                <w:sz w:val="20"/>
              </w:rPr>
              <w:t>272</w:t>
            </w:r>
          </w:p>
        </w:tc>
        <w:tc>
          <w:tcPr>
            <w:tcW w:w="708" w:type="dxa"/>
            <w:tcBorders>
              <w:bottom w:val="nil"/>
            </w:tcBorders>
            <w:vAlign w:val="center"/>
          </w:tcPr>
          <w:p w14:paraId="26AD9CB8" w14:textId="77777777" w:rsidR="00464ED7" w:rsidRDefault="00464ED7" w:rsidP="00BD04F3">
            <w:pPr>
              <w:keepNext/>
              <w:keepLines/>
              <w:jc w:val="center"/>
              <w:rPr>
                <w:rFonts w:ascii="Arial Narrow" w:hAnsi="Arial Narrow"/>
                <w:sz w:val="20"/>
              </w:rPr>
            </w:pPr>
            <w:r>
              <w:rPr>
                <w:rFonts w:ascii="Arial Narrow" w:hAnsi="Arial Narrow"/>
                <w:sz w:val="20"/>
              </w:rPr>
              <w:t>267</w:t>
            </w:r>
          </w:p>
        </w:tc>
        <w:tc>
          <w:tcPr>
            <w:tcW w:w="1560" w:type="dxa"/>
            <w:tcBorders>
              <w:bottom w:val="nil"/>
            </w:tcBorders>
            <w:vAlign w:val="center"/>
          </w:tcPr>
          <w:p w14:paraId="6D61FB62" w14:textId="77777777" w:rsidR="00464ED7" w:rsidRPr="00683BED" w:rsidRDefault="00464ED7" w:rsidP="00BD04F3">
            <w:pPr>
              <w:pStyle w:val="NormalWeb"/>
              <w:keepNext/>
              <w:keepLines/>
              <w:jc w:val="center"/>
              <w:rPr>
                <w:rFonts w:ascii="Arial Narrow" w:hAnsi="Arial Narrow"/>
                <w:sz w:val="20"/>
                <w:szCs w:val="20"/>
              </w:rPr>
            </w:pPr>
            <w:r w:rsidRPr="00683BED">
              <w:rPr>
                <w:rFonts w:ascii="Arial Narrow" w:hAnsi="Arial Narrow"/>
                <w:sz w:val="20"/>
                <w:szCs w:val="20"/>
              </w:rPr>
              <w:t xml:space="preserve">-0.09 </w:t>
            </w:r>
            <w:r>
              <w:rPr>
                <w:rFonts w:ascii="Arial Narrow" w:hAnsi="Arial Narrow"/>
                <w:sz w:val="20"/>
                <w:szCs w:val="20"/>
              </w:rPr>
              <w:t>(</w:t>
            </w:r>
            <w:r w:rsidRPr="00683BED">
              <w:rPr>
                <w:rFonts w:ascii="Arial Narrow" w:hAnsi="Arial Narrow"/>
                <w:sz w:val="20"/>
                <w:szCs w:val="20"/>
              </w:rPr>
              <w:t>-0.30, 0.12</w:t>
            </w:r>
            <w:r>
              <w:rPr>
                <w:rFonts w:ascii="Arial Narrow" w:hAnsi="Arial Narrow"/>
                <w:sz w:val="20"/>
                <w:szCs w:val="20"/>
              </w:rPr>
              <w:t>)</w:t>
            </w:r>
          </w:p>
        </w:tc>
        <w:tc>
          <w:tcPr>
            <w:tcW w:w="425" w:type="dxa"/>
            <w:tcBorders>
              <w:bottom w:val="nil"/>
            </w:tcBorders>
            <w:vAlign w:val="center"/>
          </w:tcPr>
          <w:p w14:paraId="62F5D5D0" w14:textId="77777777" w:rsidR="00464ED7" w:rsidRPr="00962EEA" w:rsidRDefault="00464ED7" w:rsidP="00BD04F3">
            <w:pPr>
              <w:keepNext/>
              <w:keepLines/>
              <w:jc w:val="center"/>
              <w:rPr>
                <w:rFonts w:ascii="Arial Narrow" w:hAnsi="Arial Narrow"/>
                <w:sz w:val="20"/>
              </w:rPr>
            </w:pPr>
            <w:r>
              <w:rPr>
                <w:rFonts w:ascii="Arial Narrow" w:hAnsi="Arial Narrow"/>
                <w:sz w:val="20"/>
              </w:rPr>
              <w:t>32%</w:t>
            </w:r>
          </w:p>
        </w:tc>
        <w:tc>
          <w:tcPr>
            <w:tcW w:w="2977" w:type="dxa"/>
            <w:vMerge w:val="restart"/>
            <w:tcBorders>
              <w:bottom w:val="nil"/>
            </w:tcBorders>
            <w:vAlign w:val="center"/>
          </w:tcPr>
          <w:p w14:paraId="0C18661B" w14:textId="77777777" w:rsidR="00464ED7" w:rsidRPr="00962EEA" w:rsidRDefault="00464ED7" w:rsidP="00BD04F3">
            <w:pPr>
              <w:keepNext/>
              <w:keepLines/>
              <w:rPr>
                <w:rFonts w:ascii="Arial Narrow" w:hAnsi="Arial Narrow"/>
                <w:sz w:val="20"/>
              </w:rPr>
            </w:pPr>
            <w:r>
              <w:rPr>
                <w:rFonts w:ascii="Arial Narrow" w:hAnsi="Arial Narrow"/>
                <w:sz w:val="20"/>
              </w:rPr>
              <w:t>Kallmes 2009, Buchbinder 2009, Hansen 2016, Firanescu 2018, Clark 2016</w:t>
            </w:r>
          </w:p>
        </w:tc>
      </w:tr>
      <w:tr w:rsidR="00464ED7" w:rsidRPr="00962EEA" w14:paraId="4D33AC0F" w14:textId="77777777" w:rsidTr="00BD04F3">
        <w:tc>
          <w:tcPr>
            <w:tcW w:w="964" w:type="dxa"/>
            <w:vMerge/>
            <w:vAlign w:val="center"/>
          </w:tcPr>
          <w:p w14:paraId="09565730"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505B72CD" w14:textId="77777777" w:rsidR="00464ED7" w:rsidRPr="00962EEA" w:rsidRDefault="00464ED7" w:rsidP="00BD04F3">
            <w:pPr>
              <w:keepNext/>
              <w:keepLines/>
              <w:rPr>
                <w:rFonts w:ascii="Arial Narrow" w:hAnsi="Arial Narrow"/>
                <w:sz w:val="20"/>
              </w:rPr>
            </w:pPr>
            <w:r>
              <w:rPr>
                <w:rFonts w:ascii="Arial Narrow" w:hAnsi="Arial Narrow"/>
                <w:sz w:val="20"/>
              </w:rPr>
              <w:t>1 month</w:t>
            </w:r>
          </w:p>
        </w:tc>
        <w:tc>
          <w:tcPr>
            <w:tcW w:w="567" w:type="dxa"/>
            <w:tcBorders>
              <w:top w:val="nil"/>
              <w:bottom w:val="nil"/>
            </w:tcBorders>
            <w:vAlign w:val="center"/>
          </w:tcPr>
          <w:p w14:paraId="5F4FFC4F" w14:textId="77777777" w:rsidR="00464ED7" w:rsidRPr="00962EEA" w:rsidRDefault="00464ED7" w:rsidP="00BD04F3">
            <w:pPr>
              <w:keepNext/>
              <w:keepLines/>
              <w:jc w:val="center"/>
              <w:rPr>
                <w:rFonts w:ascii="Arial Narrow" w:hAnsi="Arial Narrow"/>
                <w:sz w:val="20"/>
              </w:rPr>
            </w:pPr>
            <w:r>
              <w:rPr>
                <w:rFonts w:ascii="Arial Narrow" w:hAnsi="Arial Narrow"/>
                <w:sz w:val="20"/>
              </w:rPr>
              <w:t>5</w:t>
            </w:r>
          </w:p>
        </w:tc>
        <w:tc>
          <w:tcPr>
            <w:tcW w:w="567" w:type="dxa"/>
            <w:tcBorders>
              <w:top w:val="nil"/>
              <w:bottom w:val="nil"/>
            </w:tcBorders>
            <w:vAlign w:val="center"/>
          </w:tcPr>
          <w:p w14:paraId="1A8F5ABD" w14:textId="77777777" w:rsidR="00464ED7" w:rsidRPr="00962EEA" w:rsidRDefault="00464ED7" w:rsidP="00BD04F3">
            <w:pPr>
              <w:keepNext/>
              <w:keepLines/>
              <w:jc w:val="center"/>
              <w:rPr>
                <w:rFonts w:ascii="Arial Narrow" w:hAnsi="Arial Narrow"/>
                <w:sz w:val="20"/>
              </w:rPr>
            </w:pPr>
            <w:r>
              <w:rPr>
                <w:rFonts w:ascii="Arial Narrow" w:hAnsi="Arial Narrow"/>
                <w:sz w:val="20"/>
              </w:rPr>
              <w:t>269</w:t>
            </w:r>
          </w:p>
        </w:tc>
        <w:tc>
          <w:tcPr>
            <w:tcW w:w="708" w:type="dxa"/>
            <w:tcBorders>
              <w:top w:val="nil"/>
              <w:bottom w:val="nil"/>
            </w:tcBorders>
            <w:vAlign w:val="center"/>
          </w:tcPr>
          <w:p w14:paraId="0898B7B1" w14:textId="77777777" w:rsidR="00464ED7" w:rsidRPr="00962EEA" w:rsidRDefault="00464ED7" w:rsidP="00BD04F3">
            <w:pPr>
              <w:keepNext/>
              <w:keepLines/>
              <w:jc w:val="center"/>
              <w:rPr>
                <w:rFonts w:ascii="Arial Narrow" w:hAnsi="Arial Narrow"/>
                <w:sz w:val="20"/>
              </w:rPr>
            </w:pPr>
            <w:r>
              <w:rPr>
                <w:rFonts w:ascii="Arial Narrow" w:hAnsi="Arial Narrow"/>
                <w:sz w:val="20"/>
              </w:rPr>
              <w:t>266</w:t>
            </w:r>
          </w:p>
        </w:tc>
        <w:tc>
          <w:tcPr>
            <w:tcW w:w="1560" w:type="dxa"/>
            <w:tcBorders>
              <w:top w:val="nil"/>
              <w:bottom w:val="nil"/>
            </w:tcBorders>
            <w:vAlign w:val="center"/>
          </w:tcPr>
          <w:p w14:paraId="65CBA929" w14:textId="77777777" w:rsidR="00464ED7" w:rsidRPr="00962EEA" w:rsidRDefault="00464ED7" w:rsidP="00BD04F3">
            <w:pPr>
              <w:pStyle w:val="NormalWeb"/>
              <w:keepNext/>
              <w:keepLines/>
              <w:jc w:val="center"/>
              <w:rPr>
                <w:rFonts w:ascii="Arial Narrow" w:hAnsi="Arial Narrow"/>
                <w:sz w:val="20"/>
                <w:szCs w:val="20"/>
              </w:rPr>
            </w:pPr>
            <w:r w:rsidRPr="00683BED">
              <w:rPr>
                <w:rFonts w:ascii="Arial Narrow" w:hAnsi="Arial Narrow"/>
                <w:sz w:val="20"/>
                <w:szCs w:val="20"/>
              </w:rPr>
              <w:t xml:space="preserve">-0.27 </w:t>
            </w:r>
            <w:r>
              <w:rPr>
                <w:rFonts w:ascii="Arial Narrow" w:hAnsi="Arial Narrow"/>
                <w:sz w:val="20"/>
                <w:szCs w:val="20"/>
              </w:rPr>
              <w:t>(</w:t>
            </w:r>
            <w:r w:rsidRPr="00683BED">
              <w:rPr>
                <w:rFonts w:ascii="Arial Narrow" w:hAnsi="Arial Narrow"/>
                <w:sz w:val="20"/>
                <w:szCs w:val="20"/>
              </w:rPr>
              <w:t>-0.44, -0.10</w:t>
            </w:r>
            <w:r>
              <w:rPr>
                <w:rFonts w:ascii="Arial Narrow" w:hAnsi="Arial Narrow"/>
                <w:sz w:val="20"/>
                <w:szCs w:val="20"/>
              </w:rPr>
              <w:t>)</w:t>
            </w:r>
          </w:p>
        </w:tc>
        <w:tc>
          <w:tcPr>
            <w:tcW w:w="425" w:type="dxa"/>
            <w:tcBorders>
              <w:top w:val="nil"/>
              <w:bottom w:val="nil"/>
            </w:tcBorders>
            <w:vAlign w:val="center"/>
          </w:tcPr>
          <w:p w14:paraId="51257C02" w14:textId="77777777" w:rsidR="00464ED7" w:rsidRPr="00962EEA" w:rsidRDefault="00464ED7" w:rsidP="00BD04F3">
            <w:pPr>
              <w:keepNext/>
              <w:keepLines/>
              <w:jc w:val="center"/>
              <w:rPr>
                <w:rFonts w:ascii="Arial Narrow" w:hAnsi="Arial Narrow"/>
                <w:sz w:val="20"/>
              </w:rPr>
            </w:pPr>
            <w:r>
              <w:rPr>
                <w:rFonts w:ascii="Arial Narrow" w:hAnsi="Arial Narrow"/>
                <w:sz w:val="20"/>
              </w:rPr>
              <w:t>0%</w:t>
            </w:r>
          </w:p>
        </w:tc>
        <w:tc>
          <w:tcPr>
            <w:tcW w:w="2977" w:type="dxa"/>
            <w:vMerge/>
            <w:tcBorders>
              <w:top w:val="nil"/>
              <w:bottom w:val="nil"/>
            </w:tcBorders>
            <w:vAlign w:val="center"/>
          </w:tcPr>
          <w:p w14:paraId="26134B12" w14:textId="77777777" w:rsidR="00464ED7" w:rsidRPr="00962EEA" w:rsidRDefault="00464ED7" w:rsidP="00BD04F3">
            <w:pPr>
              <w:keepNext/>
              <w:keepLines/>
              <w:rPr>
                <w:rFonts w:ascii="Arial Narrow" w:hAnsi="Arial Narrow"/>
                <w:sz w:val="20"/>
              </w:rPr>
            </w:pPr>
          </w:p>
        </w:tc>
      </w:tr>
      <w:tr w:rsidR="00464ED7" w:rsidRPr="00962EEA" w14:paraId="73315C51" w14:textId="77777777" w:rsidTr="00BD04F3">
        <w:tc>
          <w:tcPr>
            <w:tcW w:w="964" w:type="dxa"/>
            <w:vMerge/>
            <w:vAlign w:val="center"/>
          </w:tcPr>
          <w:p w14:paraId="525C8FF8"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440BF2BD" w14:textId="77777777" w:rsidR="00464ED7" w:rsidRPr="00962EEA" w:rsidRDefault="00464ED7" w:rsidP="00BD04F3">
            <w:pPr>
              <w:keepNext/>
              <w:keepLines/>
              <w:rPr>
                <w:rFonts w:ascii="Arial Narrow" w:hAnsi="Arial Narrow"/>
                <w:sz w:val="20"/>
              </w:rPr>
            </w:pPr>
            <w:r>
              <w:rPr>
                <w:rFonts w:ascii="Arial Narrow" w:hAnsi="Arial Narrow"/>
                <w:sz w:val="20"/>
              </w:rPr>
              <w:t>3 months</w:t>
            </w:r>
          </w:p>
        </w:tc>
        <w:tc>
          <w:tcPr>
            <w:tcW w:w="567" w:type="dxa"/>
            <w:tcBorders>
              <w:top w:val="nil"/>
              <w:bottom w:val="nil"/>
            </w:tcBorders>
            <w:vAlign w:val="center"/>
          </w:tcPr>
          <w:p w14:paraId="196C07BE" w14:textId="77777777" w:rsidR="00464ED7" w:rsidRPr="00962EEA" w:rsidRDefault="00464ED7" w:rsidP="00BD04F3">
            <w:pPr>
              <w:keepNext/>
              <w:keepLines/>
              <w:jc w:val="center"/>
              <w:rPr>
                <w:rFonts w:ascii="Arial Narrow" w:hAnsi="Arial Narrow"/>
                <w:sz w:val="20"/>
              </w:rPr>
            </w:pPr>
            <w:r>
              <w:rPr>
                <w:rFonts w:ascii="Arial Narrow" w:hAnsi="Arial Narrow"/>
                <w:sz w:val="20"/>
              </w:rPr>
              <w:t>4</w:t>
            </w:r>
          </w:p>
        </w:tc>
        <w:tc>
          <w:tcPr>
            <w:tcW w:w="567" w:type="dxa"/>
            <w:tcBorders>
              <w:top w:val="nil"/>
              <w:bottom w:val="nil"/>
            </w:tcBorders>
            <w:vAlign w:val="center"/>
          </w:tcPr>
          <w:p w14:paraId="6071B7A6" w14:textId="77777777" w:rsidR="00464ED7" w:rsidRPr="00962EEA" w:rsidRDefault="00464ED7" w:rsidP="00BD04F3">
            <w:pPr>
              <w:keepNext/>
              <w:keepLines/>
              <w:jc w:val="center"/>
              <w:rPr>
                <w:rFonts w:ascii="Arial Narrow" w:hAnsi="Arial Narrow"/>
                <w:sz w:val="20"/>
              </w:rPr>
            </w:pPr>
            <w:r>
              <w:rPr>
                <w:rFonts w:ascii="Arial Narrow" w:hAnsi="Arial Narrow"/>
                <w:sz w:val="20"/>
              </w:rPr>
              <w:t>198</w:t>
            </w:r>
          </w:p>
        </w:tc>
        <w:tc>
          <w:tcPr>
            <w:tcW w:w="708" w:type="dxa"/>
            <w:tcBorders>
              <w:top w:val="nil"/>
              <w:bottom w:val="nil"/>
            </w:tcBorders>
            <w:vAlign w:val="center"/>
          </w:tcPr>
          <w:p w14:paraId="059F3AEB" w14:textId="77777777" w:rsidR="00464ED7" w:rsidRPr="00962EEA" w:rsidRDefault="00464ED7" w:rsidP="00BD04F3">
            <w:pPr>
              <w:keepNext/>
              <w:keepLines/>
              <w:jc w:val="center"/>
              <w:rPr>
                <w:rFonts w:ascii="Arial Narrow" w:hAnsi="Arial Narrow"/>
                <w:sz w:val="20"/>
              </w:rPr>
            </w:pPr>
            <w:r>
              <w:rPr>
                <w:rFonts w:ascii="Arial Narrow" w:hAnsi="Arial Narrow"/>
                <w:sz w:val="20"/>
              </w:rPr>
              <w:t>196</w:t>
            </w:r>
          </w:p>
        </w:tc>
        <w:tc>
          <w:tcPr>
            <w:tcW w:w="1560" w:type="dxa"/>
            <w:tcBorders>
              <w:top w:val="nil"/>
              <w:bottom w:val="nil"/>
            </w:tcBorders>
            <w:vAlign w:val="center"/>
          </w:tcPr>
          <w:p w14:paraId="48A3F428" w14:textId="77777777" w:rsidR="00464ED7" w:rsidRPr="00962EEA" w:rsidRDefault="00464ED7" w:rsidP="00BD04F3">
            <w:pPr>
              <w:pStyle w:val="NormalWeb"/>
              <w:keepNext/>
              <w:keepLines/>
              <w:jc w:val="center"/>
              <w:rPr>
                <w:rFonts w:ascii="Arial Narrow" w:hAnsi="Arial Narrow"/>
                <w:sz w:val="20"/>
                <w:szCs w:val="20"/>
              </w:rPr>
            </w:pPr>
            <w:r>
              <w:rPr>
                <w:rFonts w:ascii="Arial Narrow" w:hAnsi="Arial Narrow"/>
                <w:sz w:val="20"/>
                <w:szCs w:val="20"/>
              </w:rPr>
              <w:t>-0.20 (-0.40, 0.00)</w:t>
            </w:r>
          </w:p>
        </w:tc>
        <w:tc>
          <w:tcPr>
            <w:tcW w:w="425" w:type="dxa"/>
            <w:tcBorders>
              <w:top w:val="nil"/>
              <w:bottom w:val="nil"/>
            </w:tcBorders>
            <w:vAlign w:val="center"/>
          </w:tcPr>
          <w:p w14:paraId="54DA7181" w14:textId="77777777" w:rsidR="00464ED7" w:rsidRPr="00962EEA" w:rsidRDefault="00464ED7" w:rsidP="00BD04F3">
            <w:pPr>
              <w:keepNext/>
              <w:keepLines/>
              <w:jc w:val="center"/>
              <w:rPr>
                <w:rFonts w:ascii="Arial Narrow" w:hAnsi="Arial Narrow"/>
                <w:sz w:val="20"/>
              </w:rPr>
            </w:pPr>
            <w:r>
              <w:rPr>
                <w:rFonts w:ascii="Arial Narrow" w:hAnsi="Arial Narrow"/>
                <w:sz w:val="20"/>
              </w:rPr>
              <w:t>0%</w:t>
            </w:r>
          </w:p>
        </w:tc>
        <w:tc>
          <w:tcPr>
            <w:tcW w:w="2977" w:type="dxa"/>
            <w:tcBorders>
              <w:top w:val="nil"/>
              <w:bottom w:val="nil"/>
            </w:tcBorders>
            <w:vAlign w:val="center"/>
          </w:tcPr>
          <w:p w14:paraId="5B414CEF" w14:textId="77777777" w:rsidR="00464ED7" w:rsidRPr="00962EEA" w:rsidRDefault="00464ED7" w:rsidP="00BD04F3">
            <w:pPr>
              <w:keepNext/>
              <w:keepLines/>
              <w:rPr>
                <w:rFonts w:ascii="Arial Narrow" w:hAnsi="Arial Narrow"/>
                <w:sz w:val="20"/>
              </w:rPr>
            </w:pPr>
            <w:r>
              <w:rPr>
                <w:rFonts w:ascii="Arial Narrow" w:hAnsi="Arial Narrow"/>
                <w:sz w:val="20"/>
              </w:rPr>
              <w:t>Buchbinder 2009, Firanescu 2018, Clark 2016, Hansen unpublished</w:t>
            </w:r>
          </w:p>
        </w:tc>
      </w:tr>
      <w:tr w:rsidR="00464ED7" w:rsidRPr="00962EEA" w14:paraId="16934470" w14:textId="77777777" w:rsidTr="00BD04F3">
        <w:tc>
          <w:tcPr>
            <w:tcW w:w="964" w:type="dxa"/>
            <w:vMerge/>
            <w:vAlign w:val="center"/>
          </w:tcPr>
          <w:p w14:paraId="47AF740E"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310414D4" w14:textId="77777777" w:rsidR="00464ED7" w:rsidRPr="00962EEA" w:rsidRDefault="00464ED7" w:rsidP="00BD04F3">
            <w:pPr>
              <w:keepNext/>
              <w:keepLines/>
              <w:rPr>
                <w:rFonts w:ascii="Arial Narrow" w:hAnsi="Arial Narrow"/>
                <w:sz w:val="20"/>
              </w:rPr>
            </w:pPr>
            <w:r>
              <w:rPr>
                <w:rFonts w:ascii="Arial Narrow" w:hAnsi="Arial Narrow"/>
                <w:sz w:val="20"/>
              </w:rPr>
              <w:t>6 months</w:t>
            </w:r>
          </w:p>
        </w:tc>
        <w:tc>
          <w:tcPr>
            <w:tcW w:w="567" w:type="dxa"/>
            <w:tcBorders>
              <w:top w:val="nil"/>
              <w:bottom w:val="nil"/>
            </w:tcBorders>
            <w:vAlign w:val="center"/>
          </w:tcPr>
          <w:p w14:paraId="049FD765" w14:textId="77777777" w:rsidR="00464ED7" w:rsidRPr="00962EEA" w:rsidRDefault="00464ED7" w:rsidP="00BD04F3">
            <w:pPr>
              <w:keepNext/>
              <w:keepLines/>
              <w:jc w:val="center"/>
              <w:rPr>
                <w:rFonts w:ascii="Arial Narrow" w:hAnsi="Arial Narrow"/>
                <w:sz w:val="20"/>
              </w:rPr>
            </w:pPr>
            <w:r>
              <w:rPr>
                <w:rFonts w:ascii="Arial Narrow" w:hAnsi="Arial Narrow"/>
                <w:sz w:val="20"/>
              </w:rPr>
              <w:t>3</w:t>
            </w:r>
          </w:p>
        </w:tc>
        <w:tc>
          <w:tcPr>
            <w:tcW w:w="567" w:type="dxa"/>
            <w:tcBorders>
              <w:top w:val="nil"/>
              <w:bottom w:val="nil"/>
            </w:tcBorders>
            <w:vAlign w:val="center"/>
          </w:tcPr>
          <w:p w14:paraId="0316F105" w14:textId="77777777" w:rsidR="00464ED7" w:rsidRPr="00962EEA" w:rsidRDefault="00464ED7" w:rsidP="00BD04F3">
            <w:pPr>
              <w:keepNext/>
              <w:keepLines/>
              <w:jc w:val="center"/>
              <w:rPr>
                <w:rFonts w:ascii="Arial Narrow" w:hAnsi="Arial Narrow"/>
                <w:sz w:val="20"/>
              </w:rPr>
            </w:pPr>
            <w:r>
              <w:rPr>
                <w:rFonts w:ascii="Arial Narrow" w:hAnsi="Arial Narrow"/>
                <w:sz w:val="20"/>
              </w:rPr>
              <w:t>171</w:t>
            </w:r>
          </w:p>
        </w:tc>
        <w:tc>
          <w:tcPr>
            <w:tcW w:w="708" w:type="dxa"/>
            <w:tcBorders>
              <w:top w:val="nil"/>
              <w:bottom w:val="nil"/>
            </w:tcBorders>
            <w:vAlign w:val="center"/>
          </w:tcPr>
          <w:p w14:paraId="2229108E" w14:textId="77777777" w:rsidR="00464ED7" w:rsidRPr="00962EEA" w:rsidRDefault="00464ED7" w:rsidP="00BD04F3">
            <w:pPr>
              <w:keepNext/>
              <w:keepLines/>
              <w:jc w:val="center"/>
              <w:rPr>
                <w:rFonts w:ascii="Arial Narrow" w:hAnsi="Arial Narrow"/>
                <w:sz w:val="20"/>
              </w:rPr>
            </w:pPr>
            <w:r>
              <w:rPr>
                <w:rFonts w:ascii="Arial Narrow" w:hAnsi="Arial Narrow"/>
                <w:sz w:val="20"/>
              </w:rPr>
              <w:t>168</w:t>
            </w:r>
          </w:p>
        </w:tc>
        <w:tc>
          <w:tcPr>
            <w:tcW w:w="1560" w:type="dxa"/>
            <w:tcBorders>
              <w:top w:val="nil"/>
              <w:bottom w:val="nil"/>
            </w:tcBorders>
            <w:vAlign w:val="center"/>
          </w:tcPr>
          <w:p w14:paraId="1C6CD2DC" w14:textId="77777777" w:rsidR="00464ED7" w:rsidRPr="00962EEA" w:rsidRDefault="00464ED7" w:rsidP="00BD04F3">
            <w:pPr>
              <w:pStyle w:val="NormalWeb"/>
              <w:keepNext/>
              <w:keepLines/>
              <w:jc w:val="center"/>
              <w:rPr>
                <w:rFonts w:ascii="Arial Narrow" w:hAnsi="Arial Narrow"/>
                <w:sz w:val="20"/>
                <w:szCs w:val="20"/>
              </w:rPr>
            </w:pPr>
            <w:r>
              <w:rPr>
                <w:rFonts w:ascii="Arial Narrow" w:hAnsi="Arial Narrow"/>
                <w:sz w:val="20"/>
                <w:szCs w:val="20"/>
              </w:rPr>
              <w:t>-0.21 (-0.42, 0.01)</w:t>
            </w:r>
          </w:p>
        </w:tc>
        <w:tc>
          <w:tcPr>
            <w:tcW w:w="425" w:type="dxa"/>
            <w:tcBorders>
              <w:top w:val="nil"/>
              <w:bottom w:val="nil"/>
            </w:tcBorders>
            <w:vAlign w:val="center"/>
          </w:tcPr>
          <w:p w14:paraId="15E2000A" w14:textId="77777777" w:rsidR="00464ED7" w:rsidRPr="00962EEA" w:rsidRDefault="00464ED7" w:rsidP="00BD04F3">
            <w:pPr>
              <w:keepNext/>
              <w:keepLines/>
              <w:jc w:val="center"/>
              <w:rPr>
                <w:rFonts w:ascii="Arial Narrow" w:hAnsi="Arial Narrow"/>
                <w:sz w:val="20"/>
              </w:rPr>
            </w:pPr>
            <w:r>
              <w:rPr>
                <w:rFonts w:ascii="Arial Narrow" w:hAnsi="Arial Narrow"/>
                <w:sz w:val="20"/>
              </w:rPr>
              <w:t>0%</w:t>
            </w:r>
          </w:p>
        </w:tc>
        <w:tc>
          <w:tcPr>
            <w:tcW w:w="2977" w:type="dxa"/>
            <w:tcBorders>
              <w:top w:val="nil"/>
              <w:bottom w:val="nil"/>
            </w:tcBorders>
            <w:vAlign w:val="center"/>
          </w:tcPr>
          <w:p w14:paraId="1A28495D" w14:textId="77777777" w:rsidR="00464ED7" w:rsidRPr="00962EEA" w:rsidRDefault="00464ED7" w:rsidP="00BD04F3">
            <w:pPr>
              <w:keepNext/>
              <w:keepLines/>
              <w:rPr>
                <w:rFonts w:ascii="Arial Narrow" w:hAnsi="Arial Narrow"/>
                <w:sz w:val="20"/>
              </w:rPr>
            </w:pPr>
            <w:r>
              <w:rPr>
                <w:rFonts w:ascii="Arial Narrow" w:hAnsi="Arial Narrow"/>
                <w:sz w:val="20"/>
              </w:rPr>
              <w:t>Buchbinder 2009, Firanescu 2018, Clark 2016</w:t>
            </w:r>
          </w:p>
        </w:tc>
      </w:tr>
      <w:tr w:rsidR="00464ED7" w:rsidRPr="00962EEA" w14:paraId="1D6EB88E" w14:textId="77777777" w:rsidTr="00BD04F3">
        <w:tc>
          <w:tcPr>
            <w:tcW w:w="964" w:type="dxa"/>
            <w:vMerge/>
            <w:vAlign w:val="center"/>
          </w:tcPr>
          <w:p w14:paraId="2AB53363"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0481275F" w14:textId="77777777" w:rsidR="00464ED7" w:rsidRPr="00962EEA" w:rsidRDefault="00464ED7" w:rsidP="00BD04F3">
            <w:pPr>
              <w:keepNext/>
              <w:keepLines/>
              <w:rPr>
                <w:rFonts w:ascii="Arial Narrow" w:hAnsi="Arial Narrow"/>
                <w:sz w:val="20"/>
              </w:rPr>
            </w:pPr>
            <w:r>
              <w:rPr>
                <w:rFonts w:ascii="Arial Narrow" w:hAnsi="Arial Narrow"/>
                <w:sz w:val="20"/>
              </w:rPr>
              <w:t>12 months</w:t>
            </w:r>
          </w:p>
        </w:tc>
        <w:tc>
          <w:tcPr>
            <w:tcW w:w="567" w:type="dxa"/>
            <w:tcBorders>
              <w:top w:val="nil"/>
              <w:bottom w:val="nil"/>
            </w:tcBorders>
            <w:vAlign w:val="center"/>
          </w:tcPr>
          <w:p w14:paraId="69D02926" w14:textId="77777777" w:rsidR="00464ED7" w:rsidRPr="00962EEA" w:rsidRDefault="00464ED7" w:rsidP="00BD04F3">
            <w:pPr>
              <w:keepNext/>
              <w:keepLines/>
              <w:jc w:val="center"/>
              <w:rPr>
                <w:rFonts w:ascii="Arial Narrow" w:hAnsi="Arial Narrow"/>
                <w:sz w:val="20"/>
              </w:rPr>
            </w:pPr>
            <w:r>
              <w:rPr>
                <w:rFonts w:ascii="Arial Narrow" w:hAnsi="Arial Narrow"/>
                <w:sz w:val="20"/>
              </w:rPr>
              <w:t>3</w:t>
            </w:r>
          </w:p>
        </w:tc>
        <w:tc>
          <w:tcPr>
            <w:tcW w:w="567" w:type="dxa"/>
            <w:tcBorders>
              <w:top w:val="nil"/>
              <w:bottom w:val="nil"/>
            </w:tcBorders>
            <w:vAlign w:val="center"/>
          </w:tcPr>
          <w:p w14:paraId="71C77523" w14:textId="77777777" w:rsidR="00464ED7" w:rsidRPr="00962EEA" w:rsidRDefault="00464ED7" w:rsidP="00BD04F3">
            <w:pPr>
              <w:keepNext/>
              <w:keepLines/>
              <w:jc w:val="center"/>
              <w:rPr>
                <w:rFonts w:ascii="Arial Narrow" w:hAnsi="Arial Narrow"/>
                <w:sz w:val="20"/>
              </w:rPr>
            </w:pPr>
            <w:r>
              <w:rPr>
                <w:rFonts w:ascii="Arial Narrow" w:hAnsi="Arial Narrow"/>
                <w:sz w:val="20"/>
              </w:rPr>
              <w:t>135</w:t>
            </w:r>
          </w:p>
        </w:tc>
        <w:tc>
          <w:tcPr>
            <w:tcW w:w="708" w:type="dxa"/>
            <w:tcBorders>
              <w:top w:val="nil"/>
              <w:bottom w:val="nil"/>
            </w:tcBorders>
            <w:vAlign w:val="center"/>
          </w:tcPr>
          <w:p w14:paraId="0BE5B3DB" w14:textId="77777777" w:rsidR="00464ED7" w:rsidRPr="00962EEA" w:rsidRDefault="00464ED7" w:rsidP="00BD04F3">
            <w:pPr>
              <w:keepNext/>
              <w:keepLines/>
              <w:jc w:val="center"/>
              <w:rPr>
                <w:rFonts w:ascii="Arial Narrow" w:hAnsi="Arial Narrow"/>
                <w:sz w:val="20"/>
              </w:rPr>
            </w:pPr>
            <w:r>
              <w:rPr>
                <w:rFonts w:ascii="Arial Narrow" w:hAnsi="Arial Narrow"/>
                <w:sz w:val="20"/>
              </w:rPr>
              <w:t>134</w:t>
            </w:r>
          </w:p>
        </w:tc>
        <w:tc>
          <w:tcPr>
            <w:tcW w:w="1560" w:type="dxa"/>
            <w:tcBorders>
              <w:top w:val="nil"/>
              <w:bottom w:val="nil"/>
            </w:tcBorders>
            <w:vAlign w:val="center"/>
          </w:tcPr>
          <w:p w14:paraId="0631A105" w14:textId="77777777" w:rsidR="00464ED7" w:rsidRPr="00962EEA" w:rsidRDefault="00464ED7" w:rsidP="00BD04F3">
            <w:pPr>
              <w:pStyle w:val="NormalWeb"/>
              <w:keepNext/>
              <w:keepLines/>
              <w:jc w:val="center"/>
              <w:rPr>
                <w:rFonts w:ascii="Arial Narrow" w:hAnsi="Arial Narrow"/>
                <w:sz w:val="20"/>
                <w:szCs w:val="20"/>
              </w:rPr>
            </w:pPr>
            <w:r>
              <w:rPr>
                <w:rFonts w:ascii="Arial Narrow" w:hAnsi="Arial Narrow"/>
                <w:sz w:val="20"/>
                <w:szCs w:val="20"/>
              </w:rPr>
              <w:t>-0.17 (-0.41, 0.06)</w:t>
            </w:r>
          </w:p>
        </w:tc>
        <w:tc>
          <w:tcPr>
            <w:tcW w:w="425" w:type="dxa"/>
            <w:tcBorders>
              <w:top w:val="nil"/>
              <w:bottom w:val="nil"/>
            </w:tcBorders>
            <w:vAlign w:val="center"/>
          </w:tcPr>
          <w:p w14:paraId="38FAE2BB" w14:textId="77777777" w:rsidR="00464ED7" w:rsidRPr="00962EEA" w:rsidRDefault="00464ED7" w:rsidP="00BD04F3">
            <w:pPr>
              <w:keepNext/>
              <w:keepLines/>
              <w:jc w:val="center"/>
              <w:rPr>
                <w:rFonts w:ascii="Arial Narrow" w:hAnsi="Arial Narrow"/>
                <w:sz w:val="20"/>
              </w:rPr>
            </w:pPr>
            <w:r>
              <w:rPr>
                <w:rFonts w:ascii="Arial Narrow" w:hAnsi="Arial Narrow"/>
                <w:sz w:val="20"/>
              </w:rPr>
              <w:t>0%</w:t>
            </w:r>
          </w:p>
        </w:tc>
        <w:tc>
          <w:tcPr>
            <w:tcW w:w="2977" w:type="dxa"/>
            <w:tcBorders>
              <w:top w:val="nil"/>
              <w:bottom w:val="nil"/>
            </w:tcBorders>
            <w:vAlign w:val="center"/>
          </w:tcPr>
          <w:p w14:paraId="0BD8F654" w14:textId="77777777" w:rsidR="00464ED7" w:rsidRPr="00962EEA" w:rsidRDefault="00464ED7" w:rsidP="00BD04F3">
            <w:pPr>
              <w:keepNext/>
              <w:keepLines/>
              <w:rPr>
                <w:rFonts w:ascii="Arial Narrow" w:hAnsi="Arial Narrow"/>
                <w:sz w:val="20"/>
              </w:rPr>
            </w:pPr>
            <w:r>
              <w:rPr>
                <w:rFonts w:ascii="Arial Narrow" w:hAnsi="Arial Narrow"/>
                <w:sz w:val="20"/>
              </w:rPr>
              <w:t>Buchbinder 2009, Firanescu 2018, Hansen unpublished</w:t>
            </w:r>
          </w:p>
        </w:tc>
      </w:tr>
      <w:tr w:rsidR="00464ED7" w:rsidRPr="00962EEA" w14:paraId="7A0EB0C3" w14:textId="77777777" w:rsidTr="00BD04F3">
        <w:tc>
          <w:tcPr>
            <w:tcW w:w="964" w:type="dxa"/>
            <w:vMerge/>
            <w:vAlign w:val="center"/>
          </w:tcPr>
          <w:p w14:paraId="3BAAD05D" w14:textId="77777777" w:rsidR="00464ED7" w:rsidRPr="00962EEA" w:rsidRDefault="00464ED7" w:rsidP="00BD04F3">
            <w:pPr>
              <w:keepNext/>
              <w:keepLines/>
              <w:rPr>
                <w:rFonts w:ascii="Arial Narrow" w:hAnsi="Arial Narrow"/>
                <w:sz w:val="20"/>
              </w:rPr>
            </w:pPr>
          </w:p>
        </w:tc>
        <w:tc>
          <w:tcPr>
            <w:tcW w:w="1158" w:type="dxa"/>
            <w:tcBorders>
              <w:top w:val="nil"/>
            </w:tcBorders>
            <w:vAlign w:val="center"/>
          </w:tcPr>
          <w:p w14:paraId="23086324" w14:textId="77777777" w:rsidR="00464ED7" w:rsidRPr="00962EEA" w:rsidRDefault="00464ED7" w:rsidP="00BD04F3">
            <w:pPr>
              <w:keepNext/>
              <w:keepLines/>
              <w:rPr>
                <w:rFonts w:ascii="Arial Narrow" w:hAnsi="Arial Narrow"/>
                <w:sz w:val="20"/>
              </w:rPr>
            </w:pPr>
            <w:r>
              <w:rPr>
                <w:rFonts w:ascii="Arial Narrow" w:hAnsi="Arial Narrow"/>
                <w:sz w:val="20"/>
              </w:rPr>
              <w:t>24 months</w:t>
            </w:r>
          </w:p>
        </w:tc>
        <w:tc>
          <w:tcPr>
            <w:tcW w:w="567" w:type="dxa"/>
            <w:tcBorders>
              <w:top w:val="nil"/>
            </w:tcBorders>
            <w:vAlign w:val="center"/>
          </w:tcPr>
          <w:p w14:paraId="13D03060" w14:textId="77777777" w:rsidR="00464ED7" w:rsidRPr="00962EEA" w:rsidRDefault="00464ED7" w:rsidP="00BD04F3">
            <w:pPr>
              <w:keepNext/>
              <w:keepLines/>
              <w:jc w:val="center"/>
              <w:rPr>
                <w:rFonts w:ascii="Arial Narrow" w:hAnsi="Arial Narrow"/>
                <w:sz w:val="20"/>
              </w:rPr>
            </w:pPr>
            <w:r>
              <w:rPr>
                <w:rFonts w:ascii="Arial Narrow" w:hAnsi="Arial Narrow"/>
                <w:sz w:val="20"/>
              </w:rPr>
              <w:t>1</w:t>
            </w:r>
          </w:p>
        </w:tc>
        <w:tc>
          <w:tcPr>
            <w:tcW w:w="567" w:type="dxa"/>
            <w:tcBorders>
              <w:top w:val="nil"/>
            </w:tcBorders>
            <w:vAlign w:val="center"/>
          </w:tcPr>
          <w:p w14:paraId="34DC939D" w14:textId="77777777" w:rsidR="00464ED7" w:rsidRPr="00962EEA" w:rsidRDefault="00464ED7" w:rsidP="00BD04F3">
            <w:pPr>
              <w:keepNext/>
              <w:keepLines/>
              <w:jc w:val="center"/>
              <w:rPr>
                <w:rFonts w:ascii="Arial Narrow" w:hAnsi="Arial Narrow"/>
                <w:sz w:val="20"/>
              </w:rPr>
            </w:pPr>
            <w:r>
              <w:rPr>
                <w:rFonts w:ascii="Arial Narrow" w:hAnsi="Arial Narrow"/>
                <w:sz w:val="20"/>
              </w:rPr>
              <w:t>29</w:t>
            </w:r>
          </w:p>
        </w:tc>
        <w:tc>
          <w:tcPr>
            <w:tcW w:w="708" w:type="dxa"/>
            <w:tcBorders>
              <w:top w:val="nil"/>
            </w:tcBorders>
            <w:vAlign w:val="center"/>
          </w:tcPr>
          <w:p w14:paraId="0D17C57B" w14:textId="77777777" w:rsidR="00464ED7" w:rsidRPr="00962EEA" w:rsidRDefault="00464ED7" w:rsidP="00BD04F3">
            <w:pPr>
              <w:keepNext/>
              <w:keepLines/>
              <w:jc w:val="center"/>
              <w:rPr>
                <w:rFonts w:ascii="Arial Narrow" w:hAnsi="Arial Narrow"/>
                <w:sz w:val="20"/>
              </w:rPr>
            </w:pPr>
            <w:r>
              <w:rPr>
                <w:rFonts w:ascii="Arial Narrow" w:hAnsi="Arial Narrow"/>
                <w:sz w:val="20"/>
              </w:rPr>
              <w:t>28</w:t>
            </w:r>
          </w:p>
        </w:tc>
        <w:tc>
          <w:tcPr>
            <w:tcW w:w="1560" w:type="dxa"/>
            <w:tcBorders>
              <w:top w:val="nil"/>
            </w:tcBorders>
            <w:vAlign w:val="center"/>
          </w:tcPr>
          <w:p w14:paraId="63FFB22F" w14:textId="77777777" w:rsidR="00464ED7" w:rsidRPr="00962EEA" w:rsidRDefault="00464ED7" w:rsidP="00BD04F3">
            <w:pPr>
              <w:pStyle w:val="NormalWeb"/>
              <w:keepNext/>
              <w:keepLines/>
              <w:jc w:val="center"/>
              <w:rPr>
                <w:rFonts w:ascii="Arial Narrow" w:hAnsi="Arial Narrow"/>
                <w:sz w:val="20"/>
                <w:szCs w:val="20"/>
              </w:rPr>
            </w:pPr>
            <w:r>
              <w:rPr>
                <w:rFonts w:ascii="Arial Narrow" w:hAnsi="Arial Narrow"/>
                <w:sz w:val="20"/>
                <w:szCs w:val="20"/>
              </w:rPr>
              <w:t>-0.36 (-0.88, 0.17)</w:t>
            </w:r>
          </w:p>
        </w:tc>
        <w:tc>
          <w:tcPr>
            <w:tcW w:w="425" w:type="dxa"/>
            <w:tcBorders>
              <w:top w:val="nil"/>
            </w:tcBorders>
            <w:vAlign w:val="center"/>
          </w:tcPr>
          <w:p w14:paraId="63639F3F" w14:textId="77777777" w:rsidR="00464ED7" w:rsidRPr="00962EEA" w:rsidRDefault="00464ED7" w:rsidP="00BD04F3">
            <w:pPr>
              <w:keepNext/>
              <w:keepLines/>
              <w:jc w:val="center"/>
              <w:rPr>
                <w:rFonts w:ascii="Arial Narrow" w:hAnsi="Arial Narrow"/>
                <w:sz w:val="20"/>
              </w:rPr>
            </w:pPr>
            <w:r>
              <w:rPr>
                <w:rFonts w:ascii="Arial Narrow" w:hAnsi="Arial Narrow"/>
                <w:sz w:val="20"/>
              </w:rPr>
              <w:t>NA</w:t>
            </w:r>
          </w:p>
        </w:tc>
        <w:tc>
          <w:tcPr>
            <w:tcW w:w="2977" w:type="dxa"/>
            <w:tcBorders>
              <w:top w:val="nil"/>
            </w:tcBorders>
            <w:vAlign w:val="center"/>
          </w:tcPr>
          <w:p w14:paraId="7FE11C7C" w14:textId="77777777" w:rsidR="00464ED7" w:rsidRPr="00962EEA" w:rsidRDefault="00464ED7" w:rsidP="00BD04F3">
            <w:pPr>
              <w:keepNext/>
              <w:keepLines/>
              <w:rPr>
                <w:rFonts w:ascii="Arial Narrow" w:hAnsi="Arial Narrow"/>
                <w:sz w:val="20"/>
              </w:rPr>
            </w:pPr>
            <w:r>
              <w:rPr>
                <w:rFonts w:ascii="Arial Narrow" w:hAnsi="Arial Narrow"/>
                <w:sz w:val="20"/>
              </w:rPr>
              <w:t>Buchbinder 2009</w:t>
            </w:r>
          </w:p>
        </w:tc>
      </w:tr>
      <w:tr w:rsidR="00464ED7" w:rsidRPr="00962EEA" w14:paraId="1E7B8569" w14:textId="77777777" w:rsidTr="00BD04F3">
        <w:tc>
          <w:tcPr>
            <w:tcW w:w="964" w:type="dxa"/>
            <w:vAlign w:val="center"/>
          </w:tcPr>
          <w:p w14:paraId="20A02273" w14:textId="77777777" w:rsidR="00464ED7" w:rsidRPr="00A060D4" w:rsidRDefault="00464ED7" w:rsidP="00BD04F3">
            <w:pPr>
              <w:keepNext/>
              <w:keepLines/>
              <w:rPr>
                <w:rFonts w:ascii="Arial Narrow" w:hAnsi="Arial Narrow"/>
                <w:b/>
                <w:bCs/>
                <w:sz w:val="20"/>
              </w:rPr>
            </w:pPr>
            <w:r w:rsidRPr="00A060D4">
              <w:rPr>
                <w:rFonts w:ascii="Arial Narrow" w:hAnsi="Arial Narrow"/>
                <w:b/>
                <w:bCs/>
                <w:sz w:val="20"/>
              </w:rPr>
              <w:t>Comment</w:t>
            </w:r>
          </w:p>
        </w:tc>
        <w:tc>
          <w:tcPr>
            <w:tcW w:w="7962" w:type="dxa"/>
            <w:gridSpan w:val="7"/>
            <w:vAlign w:val="center"/>
          </w:tcPr>
          <w:p w14:paraId="3A566820" w14:textId="77777777" w:rsidR="00464ED7" w:rsidRDefault="00464ED7" w:rsidP="00BD04F3">
            <w:pPr>
              <w:keepNext/>
              <w:keepLines/>
              <w:rPr>
                <w:rFonts w:ascii="Arial Narrow" w:hAnsi="Arial Narrow"/>
                <w:i/>
                <w:iCs/>
                <w:sz w:val="20"/>
              </w:rPr>
            </w:pPr>
            <w:r w:rsidRPr="00A060D4">
              <w:rPr>
                <w:rFonts w:ascii="Arial Narrow" w:hAnsi="Arial Narrow"/>
                <w:i/>
                <w:iCs/>
                <w:sz w:val="20"/>
              </w:rPr>
              <w:t xml:space="preserve">The 2018 Cochrane Review </w:t>
            </w:r>
            <w:r>
              <w:rPr>
                <w:rFonts w:ascii="Arial Narrow" w:hAnsi="Arial Narrow"/>
                <w:i/>
                <w:iCs/>
                <w:sz w:val="20"/>
              </w:rPr>
              <w:t>included the Clark et al. (2016) trial (VAPOUR) in its meta-analyses, while the Lou et al. (2019) publication considered this trial separately.</w:t>
            </w:r>
          </w:p>
          <w:p w14:paraId="1FE55F01" w14:textId="77777777" w:rsidR="00464ED7" w:rsidRPr="00A060D4" w:rsidRDefault="00464ED7" w:rsidP="00BD04F3">
            <w:pPr>
              <w:keepNext/>
              <w:keepLines/>
              <w:rPr>
                <w:rFonts w:ascii="Arial Narrow" w:hAnsi="Arial Narrow"/>
                <w:i/>
                <w:iCs/>
                <w:sz w:val="20"/>
              </w:rPr>
            </w:pPr>
            <w:r>
              <w:rPr>
                <w:rFonts w:ascii="Arial Narrow" w:hAnsi="Arial Narrow"/>
                <w:i/>
                <w:iCs/>
                <w:sz w:val="20"/>
              </w:rPr>
              <w:t>None of the Lou et al. (2019) analyses showed a statistically significant advantage for vertebroplasty, while all of the Clark et al. 2016 analyses in the Lou et al. (2019) paper showed an advantage for vertebroplasty. For the 2018 Cochrane Review, there was a statistically significant advantage for vertebroplasty at 1 month, but not at any other time points.</w:t>
            </w:r>
          </w:p>
          <w:p w14:paraId="3D7A78DD" w14:textId="395411DE" w:rsidR="00464ED7" w:rsidRDefault="00464ED7" w:rsidP="00BD04F3">
            <w:pPr>
              <w:keepNext/>
              <w:keepLines/>
              <w:rPr>
                <w:rFonts w:ascii="Arial Narrow" w:hAnsi="Arial Narrow"/>
                <w:sz w:val="20"/>
              </w:rPr>
            </w:pPr>
            <w:r>
              <w:rPr>
                <w:rFonts w:ascii="Arial Narrow" w:hAnsi="Arial Narrow"/>
                <w:i/>
                <w:iCs/>
                <w:sz w:val="20"/>
              </w:rPr>
              <w:t>The 2018 Cochrane Review showe</w:t>
            </w:r>
            <w:r w:rsidR="00EE49E5">
              <w:rPr>
                <w:rFonts w:ascii="Arial Narrow" w:hAnsi="Arial Narrow"/>
                <w:i/>
                <w:iCs/>
                <w:sz w:val="20"/>
              </w:rPr>
              <w:t>d some heterogeneity at the 1-2 </w:t>
            </w:r>
            <w:r>
              <w:rPr>
                <w:rFonts w:ascii="Arial Narrow" w:hAnsi="Arial Narrow"/>
                <w:i/>
                <w:iCs/>
                <w:sz w:val="20"/>
              </w:rPr>
              <w:t>week time point (I</w:t>
            </w:r>
            <w:r w:rsidRPr="000E5F2E">
              <w:rPr>
                <w:rFonts w:ascii="Arial Narrow" w:hAnsi="Arial Narrow"/>
                <w:i/>
                <w:iCs/>
                <w:sz w:val="20"/>
                <w:vertAlign w:val="superscript"/>
              </w:rPr>
              <w:t>2</w:t>
            </w:r>
            <w:r>
              <w:rPr>
                <w:rFonts w:ascii="Arial Narrow" w:hAnsi="Arial Narrow"/>
                <w:i/>
                <w:iCs/>
                <w:sz w:val="20"/>
              </w:rPr>
              <w:t>=32%), all other analyses had I</w:t>
            </w:r>
            <w:r w:rsidRPr="000E5F2E">
              <w:rPr>
                <w:rFonts w:ascii="Arial Narrow" w:hAnsi="Arial Narrow"/>
                <w:i/>
                <w:iCs/>
                <w:sz w:val="20"/>
                <w:vertAlign w:val="superscript"/>
              </w:rPr>
              <w:t>2</w:t>
            </w:r>
            <w:r>
              <w:rPr>
                <w:rFonts w:ascii="Arial Narrow" w:hAnsi="Arial Narrow"/>
                <w:i/>
                <w:iCs/>
                <w:sz w:val="20"/>
              </w:rPr>
              <w:t>=0%, as did all analyses for Lou et al. (2019).</w:t>
            </w:r>
          </w:p>
        </w:tc>
      </w:tr>
      <w:tr w:rsidR="00464ED7" w:rsidRPr="00962EEA" w14:paraId="0CCB2FA3" w14:textId="77777777" w:rsidTr="00BD04F3">
        <w:tc>
          <w:tcPr>
            <w:tcW w:w="8926" w:type="dxa"/>
            <w:gridSpan w:val="8"/>
            <w:vAlign w:val="center"/>
          </w:tcPr>
          <w:p w14:paraId="03B9DFCB" w14:textId="77777777" w:rsidR="00464ED7" w:rsidRPr="00962EEA" w:rsidRDefault="00464ED7" w:rsidP="00BD04F3">
            <w:pPr>
              <w:keepNext/>
              <w:keepLines/>
              <w:rPr>
                <w:rFonts w:ascii="Arial Narrow" w:hAnsi="Arial Narrow"/>
                <w:sz w:val="20"/>
              </w:rPr>
            </w:pPr>
            <w:r>
              <w:rPr>
                <w:rFonts w:ascii="Arial Narrow" w:hAnsi="Arial Narrow"/>
                <w:sz w:val="20"/>
              </w:rPr>
              <w:t>Reduction in pain, vertebroplasty versus conservative therapy/usual care</w:t>
            </w:r>
          </w:p>
        </w:tc>
      </w:tr>
      <w:tr w:rsidR="00464ED7" w:rsidRPr="00962EEA" w14:paraId="7DC48A57" w14:textId="77777777" w:rsidTr="00BD04F3">
        <w:tc>
          <w:tcPr>
            <w:tcW w:w="964" w:type="dxa"/>
            <w:vMerge w:val="restart"/>
            <w:vAlign w:val="center"/>
          </w:tcPr>
          <w:p w14:paraId="69EF3F3A" w14:textId="77777777" w:rsidR="00464ED7" w:rsidRPr="00962EEA" w:rsidRDefault="00464ED7" w:rsidP="00BD04F3">
            <w:pPr>
              <w:keepNext/>
              <w:keepLines/>
              <w:rPr>
                <w:rFonts w:ascii="Arial Narrow" w:hAnsi="Arial Narrow"/>
                <w:sz w:val="20"/>
              </w:rPr>
            </w:pPr>
            <w:r>
              <w:rPr>
                <w:rFonts w:ascii="Arial Narrow" w:hAnsi="Arial Narrow"/>
                <w:b/>
                <w:bCs/>
                <w:sz w:val="20"/>
              </w:rPr>
              <w:t>Lou et al. 2019</w:t>
            </w:r>
          </w:p>
        </w:tc>
        <w:tc>
          <w:tcPr>
            <w:tcW w:w="1158" w:type="dxa"/>
            <w:tcBorders>
              <w:bottom w:val="nil"/>
            </w:tcBorders>
            <w:vAlign w:val="center"/>
          </w:tcPr>
          <w:p w14:paraId="1A598B0F" w14:textId="77777777" w:rsidR="00464ED7" w:rsidRPr="00962EEA" w:rsidRDefault="00464ED7" w:rsidP="00EE49E5">
            <w:pPr>
              <w:keepNext/>
              <w:keepLines/>
              <w:rPr>
                <w:rFonts w:ascii="Arial Narrow" w:hAnsi="Arial Narrow"/>
                <w:sz w:val="20"/>
              </w:rPr>
            </w:pPr>
            <w:r>
              <w:rPr>
                <w:rFonts w:ascii="Arial Narrow" w:hAnsi="Arial Narrow"/>
                <w:sz w:val="20"/>
              </w:rPr>
              <w:t>1-2 weeks</w:t>
            </w:r>
          </w:p>
        </w:tc>
        <w:tc>
          <w:tcPr>
            <w:tcW w:w="567" w:type="dxa"/>
            <w:tcBorders>
              <w:bottom w:val="nil"/>
            </w:tcBorders>
            <w:vAlign w:val="center"/>
          </w:tcPr>
          <w:p w14:paraId="78388301"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bottom w:val="nil"/>
            </w:tcBorders>
            <w:vAlign w:val="center"/>
          </w:tcPr>
          <w:p w14:paraId="2B06C549" w14:textId="77777777" w:rsidR="00464ED7" w:rsidRPr="00962EEA" w:rsidRDefault="00464ED7" w:rsidP="00BD04F3">
            <w:pPr>
              <w:keepNext/>
              <w:keepLines/>
              <w:jc w:val="center"/>
              <w:rPr>
                <w:rFonts w:ascii="Arial Narrow" w:hAnsi="Arial Narrow"/>
                <w:sz w:val="20"/>
              </w:rPr>
            </w:pPr>
            <w:r>
              <w:rPr>
                <w:rFonts w:ascii="Arial Narrow" w:hAnsi="Arial Narrow"/>
                <w:sz w:val="20"/>
              </w:rPr>
              <w:t>308</w:t>
            </w:r>
          </w:p>
        </w:tc>
        <w:tc>
          <w:tcPr>
            <w:tcW w:w="708" w:type="dxa"/>
            <w:tcBorders>
              <w:bottom w:val="nil"/>
            </w:tcBorders>
            <w:vAlign w:val="center"/>
          </w:tcPr>
          <w:p w14:paraId="3DCB482D" w14:textId="77777777" w:rsidR="00464ED7" w:rsidRPr="00962EEA" w:rsidRDefault="00464ED7" w:rsidP="00BD04F3">
            <w:pPr>
              <w:keepNext/>
              <w:keepLines/>
              <w:jc w:val="center"/>
              <w:rPr>
                <w:rFonts w:ascii="Arial Narrow" w:hAnsi="Arial Narrow"/>
                <w:sz w:val="20"/>
              </w:rPr>
            </w:pPr>
            <w:r>
              <w:rPr>
                <w:rFonts w:ascii="Arial Narrow" w:hAnsi="Arial Narrow"/>
                <w:sz w:val="20"/>
              </w:rPr>
              <w:t>304</w:t>
            </w:r>
          </w:p>
        </w:tc>
        <w:tc>
          <w:tcPr>
            <w:tcW w:w="1560" w:type="dxa"/>
            <w:tcBorders>
              <w:bottom w:val="nil"/>
            </w:tcBorders>
            <w:vAlign w:val="center"/>
          </w:tcPr>
          <w:p w14:paraId="3A9CCB34" w14:textId="77777777" w:rsidR="00464ED7" w:rsidRPr="00962EEA" w:rsidRDefault="00464ED7" w:rsidP="00BD04F3">
            <w:pPr>
              <w:keepNext/>
              <w:keepLines/>
              <w:jc w:val="center"/>
              <w:rPr>
                <w:rFonts w:ascii="Arial Narrow" w:hAnsi="Arial Narrow"/>
                <w:sz w:val="20"/>
              </w:rPr>
            </w:pPr>
            <w:r>
              <w:rPr>
                <w:rFonts w:ascii="Arial Narrow" w:hAnsi="Arial Narrow"/>
                <w:sz w:val="20"/>
              </w:rPr>
              <w:t>-1.83 (-2.69, -0.97)</w:t>
            </w:r>
          </w:p>
        </w:tc>
        <w:tc>
          <w:tcPr>
            <w:tcW w:w="425" w:type="dxa"/>
            <w:tcBorders>
              <w:bottom w:val="nil"/>
            </w:tcBorders>
            <w:vAlign w:val="center"/>
          </w:tcPr>
          <w:p w14:paraId="2C2C501A" w14:textId="77777777" w:rsidR="00464ED7" w:rsidRPr="00962EEA" w:rsidRDefault="00464ED7" w:rsidP="00BD04F3">
            <w:pPr>
              <w:keepNext/>
              <w:keepLines/>
              <w:jc w:val="center"/>
              <w:rPr>
                <w:rFonts w:ascii="Arial Narrow" w:hAnsi="Arial Narrow"/>
                <w:sz w:val="20"/>
              </w:rPr>
            </w:pPr>
            <w:r>
              <w:rPr>
                <w:rFonts w:ascii="Arial Narrow" w:hAnsi="Arial Narrow"/>
                <w:sz w:val="20"/>
              </w:rPr>
              <w:t>91%</w:t>
            </w:r>
          </w:p>
        </w:tc>
        <w:tc>
          <w:tcPr>
            <w:tcW w:w="2977" w:type="dxa"/>
            <w:vAlign w:val="center"/>
          </w:tcPr>
          <w:p w14:paraId="3B09B07D" w14:textId="77777777" w:rsidR="00464ED7" w:rsidRPr="00962EEA" w:rsidRDefault="00464ED7" w:rsidP="00BD04F3">
            <w:pPr>
              <w:keepNext/>
              <w:keepLines/>
              <w:rPr>
                <w:rFonts w:ascii="Arial Narrow" w:hAnsi="Arial Narrow"/>
                <w:sz w:val="20"/>
              </w:rPr>
            </w:pPr>
            <w:r>
              <w:rPr>
                <w:rFonts w:ascii="Arial Narrow" w:hAnsi="Arial Narrow"/>
                <w:sz w:val="20"/>
              </w:rPr>
              <w:t>Voormolen 2007; Klazen 2010; Farrokhi 2011; Blasco 2012; Chen 2014; Yang 2016</w:t>
            </w:r>
          </w:p>
        </w:tc>
      </w:tr>
      <w:tr w:rsidR="00464ED7" w:rsidRPr="00962EEA" w14:paraId="4787CF41" w14:textId="77777777" w:rsidTr="00BD04F3">
        <w:tc>
          <w:tcPr>
            <w:tcW w:w="964" w:type="dxa"/>
            <w:vMerge/>
            <w:vAlign w:val="center"/>
          </w:tcPr>
          <w:p w14:paraId="77FC3120"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20F58CD7" w14:textId="77777777" w:rsidR="00464ED7" w:rsidRPr="00962EEA" w:rsidRDefault="00464ED7" w:rsidP="00EE49E5">
            <w:pPr>
              <w:keepNext/>
              <w:keepLines/>
              <w:rPr>
                <w:rFonts w:ascii="Arial Narrow" w:hAnsi="Arial Narrow"/>
                <w:sz w:val="20"/>
              </w:rPr>
            </w:pPr>
            <w:r>
              <w:rPr>
                <w:rFonts w:ascii="Arial Narrow" w:hAnsi="Arial Narrow"/>
                <w:sz w:val="20"/>
              </w:rPr>
              <w:t>1-3 months</w:t>
            </w:r>
          </w:p>
        </w:tc>
        <w:tc>
          <w:tcPr>
            <w:tcW w:w="567" w:type="dxa"/>
            <w:tcBorders>
              <w:top w:val="nil"/>
              <w:bottom w:val="nil"/>
            </w:tcBorders>
            <w:vAlign w:val="center"/>
          </w:tcPr>
          <w:p w14:paraId="0728E375"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top w:val="nil"/>
              <w:bottom w:val="nil"/>
            </w:tcBorders>
            <w:vAlign w:val="center"/>
          </w:tcPr>
          <w:p w14:paraId="46AAC0B1" w14:textId="77777777" w:rsidR="00464ED7" w:rsidRPr="00962EEA" w:rsidRDefault="00464ED7" w:rsidP="00BD04F3">
            <w:pPr>
              <w:keepNext/>
              <w:keepLines/>
              <w:jc w:val="center"/>
              <w:rPr>
                <w:rFonts w:ascii="Arial Narrow" w:hAnsi="Arial Narrow"/>
                <w:sz w:val="20"/>
              </w:rPr>
            </w:pPr>
            <w:r>
              <w:rPr>
                <w:rFonts w:ascii="Arial Narrow" w:hAnsi="Arial Narrow"/>
                <w:sz w:val="20"/>
              </w:rPr>
              <w:t>311</w:t>
            </w:r>
          </w:p>
        </w:tc>
        <w:tc>
          <w:tcPr>
            <w:tcW w:w="708" w:type="dxa"/>
            <w:tcBorders>
              <w:top w:val="nil"/>
              <w:bottom w:val="nil"/>
            </w:tcBorders>
            <w:vAlign w:val="center"/>
          </w:tcPr>
          <w:p w14:paraId="1FAF2131" w14:textId="77777777" w:rsidR="00464ED7" w:rsidRPr="00962EEA" w:rsidRDefault="00464ED7" w:rsidP="00BD04F3">
            <w:pPr>
              <w:keepNext/>
              <w:keepLines/>
              <w:jc w:val="center"/>
              <w:rPr>
                <w:rFonts w:ascii="Arial Narrow" w:hAnsi="Arial Narrow"/>
                <w:sz w:val="20"/>
              </w:rPr>
            </w:pPr>
            <w:r>
              <w:rPr>
                <w:rFonts w:ascii="Arial Narrow" w:hAnsi="Arial Narrow"/>
                <w:sz w:val="20"/>
              </w:rPr>
              <w:t>301</w:t>
            </w:r>
          </w:p>
        </w:tc>
        <w:tc>
          <w:tcPr>
            <w:tcW w:w="1560" w:type="dxa"/>
            <w:tcBorders>
              <w:top w:val="nil"/>
              <w:bottom w:val="nil"/>
            </w:tcBorders>
            <w:vAlign w:val="center"/>
          </w:tcPr>
          <w:p w14:paraId="1C9914F1" w14:textId="77777777" w:rsidR="00464ED7" w:rsidRPr="00962EEA" w:rsidRDefault="00464ED7" w:rsidP="00BD04F3">
            <w:pPr>
              <w:keepNext/>
              <w:keepLines/>
              <w:jc w:val="center"/>
              <w:rPr>
                <w:rFonts w:ascii="Arial Narrow" w:hAnsi="Arial Narrow"/>
                <w:sz w:val="20"/>
              </w:rPr>
            </w:pPr>
            <w:r>
              <w:rPr>
                <w:rFonts w:ascii="Arial Narrow" w:hAnsi="Arial Narrow"/>
                <w:sz w:val="20"/>
              </w:rPr>
              <w:t>-1.60 (-2.02, -1.18)</w:t>
            </w:r>
          </w:p>
        </w:tc>
        <w:tc>
          <w:tcPr>
            <w:tcW w:w="425" w:type="dxa"/>
            <w:tcBorders>
              <w:top w:val="nil"/>
              <w:bottom w:val="nil"/>
            </w:tcBorders>
            <w:vAlign w:val="center"/>
          </w:tcPr>
          <w:p w14:paraId="37C5279C" w14:textId="77777777" w:rsidR="00464ED7" w:rsidRPr="00962EEA" w:rsidRDefault="00464ED7" w:rsidP="00BD04F3">
            <w:pPr>
              <w:keepNext/>
              <w:keepLines/>
              <w:jc w:val="center"/>
              <w:rPr>
                <w:rFonts w:ascii="Arial Narrow" w:hAnsi="Arial Narrow"/>
                <w:sz w:val="20"/>
              </w:rPr>
            </w:pPr>
            <w:r>
              <w:rPr>
                <w:rFonts w:ascii="Arial Narrow" w:hAnsi="Arial Narrow"/>
                <w:sz w:val="20"/>
              </w:rPr>
              <w:t>68%</w:t>
            </w:r>
          </w:p>
        </w:tc>
        <w:tc>
          <w:tcPr>
            <w:tcW w:w="2977" w:type="dxa"/>
            <w:vMerge w:val="restart"/>
            <w:vAlign w:val="center"/>
          </w:tcPr>
          <w:p w14:paraId="218D5F25" w14:textId="77777777" w:rsidR="00464ED7" w:rsidRPr="00962EEA" w:rsidRDefault="00464ED7" w:rsidP="00BD04F3">
            <w:pPr>
              <w:keepNext/>
              <w:keepLines/>
              <w:rPr>
                <w:rFonts w:ascii="Arial Narrow" w:hAnsi="Arial Narrow"/>
                <w:sz w:val="20"/>
              </w:rPr>
            </w:pPr>
            <w:r>
              <w:rPr>
                <w:rFonts w:ascii="Arial Narrow" w:hAnsi="Arial Narrow"/>
                <w:sz w:val="20"/>
              </w:rPr>
              <w:t>Rousing 2009; Klazen 2010; Farrokhi 2011; Blasco 2012; Chen 2014; Yang 2016</w:t>
            </w:r>
          </w:p>
        </w:tc>
      </w:tr>
      <w:tr w:rsidR="00464ED7" w:rsidRPr="00962EEA" w14:paraId="47A5E09E" w14:textId="77777777" w:rsidTr="00BD04F3">
        <w:tc>
          <w:tcPr>
            <w:tcW w:w="964" w:type="dxa"/>
            <w:vMerge/>
            <w:vAlign w:val="center"/>
          </w:tcPr>
          <w:p w14:paraId="4026CF06" w14:textId="77777777" w:rsidR="00464ED7" w:rsidRPr="00962EEA" w:rsidRDefault="00464ED7" w:rsidP="00BD04F3">
            <w:pPr>
              <w:keepNext/>
              <w:keepLines/>
              <w:rPr>
                <w:rFonts w:ascii="Arial Narrow" w:hAnsi="Arial Narrow"/>
                <w:sz w:val="20"/>
              </w:rPr>
            </w:pPr>
          </w:p>
        </w:tc>
        <w:tc>
          <w:tcPr>
            <w:tcW w:w="1158" w:type="dxa"/>
            <w:tcBorders>
              <w:top w:val="nil"/>
              <w:bottom w:val="single" w:sz="4" w:space="0" w:color="auto"/>
            </w:tcBorders>
            <w:vAlign w:val="center"/>
          </w:tcPr>
          <w:p w14:paraId="2BE0EDED" w14:textId="77777777" w:rsidR="00464ED7" w:rsidRPr="00962EEA" w:rsidRDefault="00464ED7" w:rsidP="00EE49E5">
            <w:pPr>
              <w:keepNext/>
              <w:keepLines/>
              <w:rPr>
                <w:rFonts w:ascii="Arial Narrow" w:hAnsi="Arial Narrow"/>
                <w:sz w:val="20"/>
              </w:rPr>
            </w:pPr>
            <w:r>
              <w:rPr>
                <w:rFonts w:ascii="Arial Narrow" w:hAnsi="Arial Narrow"/>
                <w:sz w:val="20"/>
              </w:rPr>
              <w:t>6-12 months</w:t>
            </w:r>
          </w:p>
        </w:tc>
        <w:tc>
          <w:tcPr>
            <w:tcW w:w="567" w:type="dxa"/>
            <w:tcBorders>
              <w:top w:val="nil"/>
              <w:bottom w:val="single" w:sz="4" w:space="0" w:color="auto"/>
            </w:tcBorders>
            <w:vAlign w:val="center"/>
          </w:tcPr>
          <w:p w14:paraId="6F146148"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top w:val="nil"/>
              <w:bottom w:val="single" w:sz="4" w:space="0" w:color="auto"/>
            </w:tcBorders>
            <w:vAlign w:val="center"/>
          </w:tcPr>
          <w:p w14:paraId="7BE4EC3B" w14:textId="77777777" w:rsidR="00464ED7" w:rsidRPr="00962EEA" w:rsidRDefault="00464ED7" w:rsidP="00BD04F3">
            <w:pPr>
              <w:keepNext/>
              <w:keepLines/>
              <w:jc w:val="center"/>
              <w:rPr>
                <w:rFonts w:ascii="Arial Narrow" w:hAnsi="Arial Narrow"/>
                <w:sz w:val="20"/>
              </w:rPr>
            </w:pPr>
            <w:r>
              <w:rPr>
                <w:rFonts w:ascii="Arial Narrow" w:hAnsi="Arial Narrow"/>
                <w:sz w:val="20"/>
              </w:rPr>
              <w:t>295</w:t>
            </w:r>
          </w:p>
        </w:tc>
        <w:tc>
          <w:tcPr>
            <w:tcW w:w="708" w:type="dxa"/>
            <w:tcBorders>
              <w:top w:val="nil"/>
              <w:bottom w:val="single" w:sz="4" w:space="0" w:color="auto"/>
            </w:tcBorders>
            <w:vAlign w:val="center"/>
          </w:tcPr>
          <w:p w14:paraId="184794FD" w14:textId="77777777" w:rsidR="00464ED7" w:rsidRPr="00962EEA" w:rsidRDefault="00464ED7" w:rsidP="00BD04F3">
            <w:pPr>
              <w:keepNext/>
              <w:keepLines/>
              <w:jc w:val="center"/>
              <w:rPr>
                <w:rFonts w:ascii="Arial Narrow" w:hAnsi="Arial Narrow"/>
                <w:sz w:val="20"/>
              </w:rPr>
            </w:pPr>
            <w:r>
              <w:rPr>
                <w:rFonts w:ascii="Arial Narrow" w:hAnsi="Arial Narrow"/>
                <w:sz w:val="20"/>
              </w:rPr>
              <w:t>280</w:t>
            </w:r>
          </w:p>
        </w:tc>
        <w:tc>
          <w:tcPr>
            <w:tcW w:w="1560" w:type="dxa"/>
            <w:tcBorders>
              <w:top w:val="nil"/>
              <w:bottom w:val="single" w:sz="4" w:space="0" w:color="auto"/>
            </w:tcBorders>
            <w:vAlign w:val="center"/>
          </w:tcPr>
          <w:p w14:paraId="0D2B63A3" w14:textId="77777777" w:rsidR="00464ED7" w:rsidRPr="00962EEA" w:rsidRDefault="00464ED7" w:rsidP="00BD04F3">
            <w:pPr>
              <w:keepNext/>
              <w:keepLines/>
              <w:jc w:val="center"/>
              <w:rPr>
                <w:rFonts w:ascii="Arial Narrow" w:hAnsi="Arial Narrow"/>
                <w:sz w:val="20"/>
              </w:rPr>
            </w:pPr>
            <w:r>
              <w:rPr>
                <w:rFonts w:ascii="Arial Narrow" w:hAnsi="Arial Narrow"/>
                <w:sz w:val="20"/>
              </w:rPr>
              <w:t>-1.33 (-1.71, -0.95)</w:t>
            </w:r>
          </w:p>
        </w:tc>
        <w:tc>
          <w:tcPr>
            <w:tcW w:w="425" w:type="dxa"/>
            <w:tcBorders>
              <w:top w:val="nil"/>
              <w:bottom w:val="single" w:sz="4" w:space="0" w:color="auto"/>
            </w:tcBorders>
            <w:vAlign w:val="center"/>
          </w:tcPr>
          <w:p w14:paraId="549A20C2" w14:textId="77777777" w:rsidR="00464ED7" w:rsidRPr="00962EEA" w:rsidRDefault="00464ED7" w:rsidP="00BD04F3">
            <w:pPr>
              <w:keepNext/>
              <w:keepLines/>
              <w:jc w:val="center"/>
              <w:rPr>
                <w:rFonts w:ascii="Arial Narrow" w:hAnsi="Arial Narrow"/>
                <w:sz w:val="20"/>
              </w:rPr>
            </w:pPr>
            <w:r>
              <w:rPr>
                <w:rFonts w:ascii="Arial Narrow" w:hAnsi="Arial Narrow"/>
                <w:sz w:val="20"/>
              </w:rPr>
              <w:t>63%</w:t>
            </w:r>
          </w:p>
        </w:tc>
        <w:tc>
          <w:tcPr>
            <w:tcW w:w="2977" w:type="dxa"/>
            <w:vMerge/>
            <w:tcBorders>
              <w:bottom w:val="single" w:sz="4" w:space="0" w:color="auto"/>
            </w:tcBorders>
            <w:vAlign w:val="center"/>
          </w:tcPr>
          <w:p w14:paraId="37E78353" w14:textId="77777777" w:rsidR="00464ED7" w:rsidRPr="00962EEA" w:rsidRDefault="00464ED7" w:rsidP="00BD04F3">
            <w:pPr>
              <w:keepNext/>
              <w:keepLines/>
              <w:rPr>
                <w:rFonts w:ascii="Arial Narrow" w:hAnsi="Arial Narrow"/>
                <w:sz w:val="20"/>
              </w:rPr>
            </w:pPr>
          </w:p>
        </w:tc>
      </w:tr>
      <w:tr w:rsidR="00464ED7" w:rsidRPr="00962EEA" w14:paraId="6BD30252" w14:textId="77777777" w:rsidTr="00BD04F3">
        <w:tc>
          <w:tcPr>
            <w:tcW w:w="964" w:type="dxa"/>
            <w:vMerge w:val="restart"/>
            <w:vAlign w:val="center"/>
          </w:tcPr>
          <w:p w14:paraId="41A6E298" w14:textId="77777777" w:rsidR="00464ED7" w:rsidRPr="00962EEA" w:rsidRDefault="00464ED7" w:rsidP="00BD04F3">
            <w:pPr>
              <w:keepNext/>
              <w:keepLines/>
              <w:rPr>
                <w:rFonts w:ascii="Arial Narrow" w:hAnsi="Arial Narrow"/>
                <w:sz w:val="20"/>
              </w:rPr>
            </w:pPr>
            <w:r w:rsidRPr="00396FE1">
              <w:rPr>
                <w:rFonts w:ascii="Arial Narrow" w:hAnsi="Arial Narrow"/>
                <w:b/>
                <w:bCs/>
                <w:sz w:val="20"/>
              </w:rPr>
              <w:t>2018 Cochrane Review</w:t>
            </w:r>
          </w:p>
        </w:tc>
        <w:tc>
          <w:tcPr>
            <w:tcW w:w="1158" w:type="dxa"/>
            <w:tcBorders>
              <w:bottom w:val="nil"/>
            </w:tcBorders>
            <w:vAlign w:val="center"/>
          </w:tcPr>
          <w:p w14:paraId="3A4FA8DA" w14:textId="77777777" w:rsidR="00464ED7" w:rsidRPr="00962EEA" w:rsidRDefault="00464ED7" w:rsidP="00EE49E5">
            <w:pPr>
              <w:keepNext/>
              <w:keepLines/>
              <w:rPr>
                <w:rFonts w:ascii="Arial Narrow" w:hAnsi="Arial Narrow"/>
                <w:sz w:val="20"/>
              </w:rPr>
            </w:pPr>
            <w:r>
              <w:rPr>
                <w:rFonts w:ascii="Arial Narrow" w:hAnsi="Arial Narrow"/>
                <w:sz w:val="20"/>
              </w:rPr>
              <w:t>1-2 weeks</w:t>
            </w:r>
          </w:p>
        </w:tc>
        <w:tc>
          <w:tcPr>
            <w:tcW w:w="567" w:type="dxa"/>
            <w:tcBorders>
              <w:bottom w:val="nil"/>
            </w:tcBorders>
            <w:vAlign w:val="center"/>
          </w:tcPr>
          <w:p w14:paraId="1D0D7F8D"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bottom w:val="nil"/>
            </w:tcBorders>
            <w:vAlign w:val="center"/>
          </w:tcPr>
          <w:p w14:paraId="29E2FB39" w14:textId="77777777" w:rsidR="00464ED7" w:rsidRPr="00962EEA" w:rsidRDefault="00464ED7" w:rsidP="00BD04F3">
            <w:pPr>
              <w:keepNext/>
              <w:keepLines/>
              <w:jc w:val="center"/>
              <w:rPr>
                <w:rFonts w:ascii="Arial Narrow" w:hAnsi="Arial Narrow"/>
                <w:sz w:val="20"/>
              </w:rPr>
            </w:pPr>
            <w:r>
              <w:rPr>
                <w:rFonts w:ascii="Arial Narrow" w:hAnsi="Arial Narrow"/>
                <w:sz w:val="20"/>
              </w:rPr>
              <w:t>321</w:t>
            </w:r>
          </w:p>
        </w:tc>
        <w:tc>
          <w:tcPr>
            <w:tcW w:w="708" w:type="dxa"/>
            <w:tcBorders>
              <w:bottom w:val="nil"/>
            </w:tcBorders>
            <w:vAlign w:val="center"/>
          </w:tcPr>
          <w:p w14:paraId="03CC79A0" w14:textId="77777777" w:rsidR="00464ED7" w:rsidRPr="00962EEA" w:rsidRDefault="00464ED7" w:rsidP="00BD04F3">
            <w:pPr>
              <w:keepNext/>
              <w:keepLines/>
              <w:jc w:val="center"/>
              <w:rPr>
                <w:rFonts w:ascii="Arial Narrow" w:hAnsi="Arial Narrow"/>
                <w:sz w:val="20"/>
              </w:rPr>
            </w:pPr>
            <w:r>
              <w:rPr>
                <w:rFonts w:ascii="Arial Narrow" w:hAnsi="Arial Narrow"/>
                <w:sz w:val="20"/>
              </w:rPr>
              <w:t>306</w:t>
            </w:r>
          </w:p>
        </w:tc>
        <w:tc>
          <w:tcPr>
            <w:tcW w:w="1560" w:type="dxa"/>
            <w:tcBorders>
              <w:bottom w:val="nil"/>
            </w:tcBorders>
            <w:vAlign w:val="center"/>
          </w:tcPr>
          <w:p w14:paraId="5662A047" w14:textId="77777777" w:rsidR="00464ED7" w:rsidRPr="00962EEA" w:rsidRDefault="00464ED7" w:rsidP="00BD04F3">
            <w:pPr>
              <w:keepNext/>
              <w:keepLines/>
              <w:jc w:val="center"/>
              <w:rPr>
                <w:rFonts w:ascii="Arial Narrow" w:hAnsi="Arial Narrow"/>
                <w:sz w:val="20"/>
              </w:rPr>
            </w:pPr>
            <w:r>
              <w:rPr>
                <w:rFonts w:ascii="Arial Narrow" w:hAnsi="Arial Narrow"/>
                <w:sz w:val="20"/>
              </w:rPr>
              <w:t>-1.33 (-2.26, -0.39)</w:t>
            </w:r>
          </w:p>
        </w:tc>
        <w:tc>
          <w:tcPr>
            <w:tcW w:w="425" w:type="dxa"/>
            <w:tcBorders>
              <w:bottom w:val="nil"/>
            </w:tcBorders>
            <w:vAlign w:val="center"/>
          </w:tcPr>
          <w:p w14:paraId="20ABA3A1" w14:textId="77777777" w:rsidR="00464ED7" w:rsidRPr="00962EEA" w:rsidRDefault="00464ED7" w:rsidP="00BD04F3">
            <w:pPr>
              <w:keepNext/>
              <w:keepLines/>
              <w:jc w:val="center"/>
              <w:rPr>
                <w:rFonts w:ascii="Arial Narrow" w:hAnsi="Arial Narrow"/>
                <w:sz w:val="20"/>
              </w:rPr>
            </w:pPr>
            <w:r>
              <w:rPr>
                <w:rFonts w:ascii="Arial Narrow" w:hAnsi="Arial Narrow"/>
                <w:sz w:val="20"/>
              </w:rPr>
              <w:t>96%</w:t>
            </w:r>
          </w:p>
        </w:tc>
        <w:tc>
          <w:tcPr>
            <w:tcW w:w="2977" w:type="dxa"/>
            <w:tcBorders>
              <w:bottom w:val="nil"/>
            </w:tcBorders>
            <w:vAlign w:val="center"/>
          </w:tcPr>
          <w:p w14:paraId="73B1172D" w14:textId="77777777" w:rsidR="00464ED7" w:rsidRPr="00962EEA" w:rsidRDefault="00464ED7" w:rsidP="00BD04F3">
            <w:pPr>
              <w:keepNext/>
              <w:keepLines/>
              <w:rPr>
                <w:rFonts w:ascii="Arial Narrow" w:hAnsi="Arial Narrow"/>
                <w:sz w:val="20"/>
              </w:rPr>
            </w:pPr>
            <w:r>
              <w:rPr>
                <w:rFonts w:ascii="Arial Narrow" w:hAnsi="Arial Narrow"/>
                <w:sz w:val="20"/>
              </w:rPr>
              <w:t>Voormolen 2007; Klazen 2010; Farrokhi 2011; Blasco 2012; Chen 2014; Yang 2016</w:t>
            </w:r>
          </w:p>
        </w:tc>
      </w:tr>
      <w:tr w:rsidR="00464ED7" w:rsidRPr="00962EEA" w14:paraId="5110553C" w14:textId="77777777" w:rsidTr="00BD04F3">
        <w:tc>
          <w:tcPr>
            <w:tcW w:w="964" w:type="dxa"/>
            <w:vMerge/>
            <w:vAlign w:val="center"/>
          </w:tcPr>
          <w:p w14:paraId="190CF010"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20625B6C" w14:textId="77777777" w:rsidR="00464ED7" w:rsidRPr="00962EEA" w:rsidRDefault="00464ED7" w:rsidP="00EE49E5">
            <w:pPr>
              <w:keepNext/>
              <w:keepLines/>
              <w:rPr>
                <w:rFonts w:ascii="Arial Narrow" w:hAnsi="Arial Narrow"/>
                <w:sz w:val="20"/>
              </w:rPr>
            </w:pPr>
            <w:r>
              <w:rPr>
                <w:rFonts w:ascii="Arial Narrow" w:hAnsi="Arial Narrow"/>
                <w:sz w:val="20"/>
              </w:rPr>
              <w:t>1 month</w:t>
            </w:r>
          </w:p>
        </w:tc>
        <w:tc>
          <w:tcPr>
            <w:tcW w:w="567" w:type="dxa"/>
            <w:tcBorders>
              <w:top w:val="nil"/>
              <w:bottom w:val="nil"/>
            </w:tcBorders>
            <w:vAlign w:val="center"/>
          </w:tcPr>
          <w:p w14:paraId="785A0E41" w14:textId="77777777" w:rsidR="00464ED7" w:rsidRPr="00962EEA" w:rsidRDefault="00464ED7" w:rsidP="00BD04F3">
            <w:pPr>
              <w:keepNext/>
              <w:keepLines/>
              <w:jc w:val="center"/>
              <w:rPr>
                <w:rFonts w:ascii="Arial Narrow" w:hAnsi="Arial Narrow"/>
                <w:sz w:val="20"/>
              </w:rPr>
            </w:pPr>
            <w:r>
              <w:rPr>
                <w:rFonts w:ascii="Arial Narrow" w:hAnsi="Arial Narrow"/>
                <w:sz w:val="20"/>
              </w:rPr>
              <w:t>3</w:t>
            </w:r>
          </w:p>
        </w:tc>
        <w:tc>
          <w:tcPr>
            <w:tcW w:w="567" w:type="dxa"/>
            <w:tcBorders>
              <w:top w:val="nil"/>
              <w:bottom w:val="nil"/>
            </w:tcBorders>
            <w:vAlign w:val="center"/>
          </w:tcPr>
          <w:p w14:paraId="31E1D384" w14:textId="77777777" w:rsidR="00464ED7" w:rsidRPr="00962EEA" w:rsidRDefault="00464ED7" w:rsidP="00BD04F3">
            <w:pPr>
              <w:keepNext/>
              <w:keepLines/>
              <w:jc w:val="center"/>
              <w:rPr>
                <w:rFonts w:ascii="Arial Narrow" w:hAnsi="Arial Narrow"/>
                <w:sz w:val="20"/>
              </w:rPr>
            </w:pPr>
            <w:r>
              <w:rPr>
                <w:rFonts w:ascii="Arial Narrow" w:hAnsi="Arial Narrow"/>
                <w:sz w:val="20"/>
              </w:rPr>
              <w:t>198</w:t>
            </w:r>
          </w:p>
        </w:tc>
        <w:tc>
          <w:tcPr>
            <w:tcW w:w="708" w:type="dxa"/>
            <w:tcBorders>
              <w:top w:val="nil"/>
              <w:bottom w:val="nil"/>
            </w:tcBorders>
            <w:vAlign w:val="center"/>
          </w:tcPr>
          <w:p w14:paraId="3F7C4B31" w14:textId="77777777" w:rsidR="00464ED7" w:rsidRPr="00962EEA" w:rsidRDefault="00464ED7" w:rsidP="00BD04F3">
            <w:pPr>
              <w:keepNext/>
              <w:keepLines/>
              <w:jc w:val="center"/>
              <w:rPr>
                <w:rFonts w:ascii="Arial Narrow" w:hAnsi="Arial Narrow"/>
                <w:sz w:val="20"/>
              </w:rPr>
            </w:pPr>
            <w:r>
              <w:rPr>
                <w:rFonts w:ascii="Arial Narrow" w:hAnsi="Arial Narrow"/>
                <w:sz w:val="20"/>
              </w:rPr>
              <w:t>196</w:t>
            </w:r>
          </w:p>
        </w:tc>
        <w:tc>
          <w:tcPr>
            <w:tcW w:w="1560" w:type="dxa"/>
            <w:tcBorders>
              <w:top w:val="nil"/>
              <w:bottom w:val="nil"/>
            </w:tcBorders>
            <w:vAlign w:val="center"/>
          </w:tcPr>
          <w:p w14:paraId="1E5D6148" w14:textId="77777777" w:rsidR="00464ED7" w:rsidRPr="00962EEA" w:rsidRDefault="00464ED7" w:rsidP="00BD04F3">
            <w:pPr>
              <w:keepNext/>
              <w:keepLines/>
              <w:jc w:val="center"/>
              <w:rPr>
                <w:rFonts w:ascii="Arial Narrow" w:hAnsi="Arial Narrow"/>
                <w:sz w:val="20"/>
              </w:rPr>
            </w:pPr>
            <w:r>
              <w:rPr>
                <w:rFonts w:ascii="Arial Narrow" w:hAnsi="Arial Narrow"/>
                <w:sz w:val="20"/>
              </w:rPr>
              <w:t>-2.06 (-3.35, -0.76)</w:t>
            </w:r>
          </w:p>
        </w:tc>
        <w:tc>
          <w:tcPr>
            <w:tcW w:w="425" w:type="dxa"/>
            <w:tcBorders>
              <w:top w:val="nil"/>
              <w:bottom w:val="nil"/>
            </w:tcBorders>
            <w:vAlign w:val="center"/>
          </w:tcPr>
          <w:p w14:paraId="7F69CFC2" w14:textId="77777777" w:rsidR="00464ED7" w:rsidRPr="00962EEA" w:rsidRDefault="00464ED7" w:rsidP="00BD04F3">
            <w:pPr>
              <w:keepNext/>
              <w:keepLines/>
              <w:jc w:val="center"/>
              <w:rPr>
                <w:rFonts w:ascii="Arial Narrow" w:hAnsi="Arial Narrow"/>
                <w:sz w:val="20"/>
              </w:rPr>
            </w:pPr>
            <w:r>
              <w:rPr>
                <w:rFonts w:ascii="Arial Narrow" w:hAnsi="Arial Narrow"/>
                <w:sz w:val="20"/>
              </w:rPr>
              <w:t>96%</w:t>
            </w:r>
          </w:p>
        </w:tc>
        <w:tc>
          <w:tcPr>
            <w:tcW w:w="2977" w:type="dxa"/>
            <w:tcBorders>
              <w:top w:val="nil"/>
              <w:bottom w:val="nil"/>
            </w:tcBorders>
            <w:vAlign w:val="center"/>
          </w:tcPr>
          <w:p w14:paraId="1954460E" w14:textId="77777777" w:rsidR="00464ED7" w:rsidRPr="00962EEA" w:rsidRDefault="00464ED7" w:rsidP="00BD04F3">
            <w:pPr>
              <w:keepNext/>
              <w:keepLines/>
              <w:rPr>
                <w:rFonts w:ascii="Arial Narrow" w:hAnsi="Arial Narrow"/>
                <w:sz w:val="20"/>
              </w:rPr>
            </w:pPr>
            <w:r>
              <w:rPr>
                <w:rFonts w:ascii="Arial Narrow" w:hAnsi="Arial Narrow"/>
                <w:sz w:val="20"/>
              </w:rPr>
              <w:t>Chen 2014; Klazen 2010; Yang 2016</w:t>
            </w:r>
          </w:p>
        </w:tc>
      </w:tr>
      <w:tr w:rsidR="00464ED7" w:rsidRPr="00962EEA" w14:paraId="3EBD8664" w14:textId="77777777" w:rsidTr="00BD04F3">
        <w:tc>
          <w:tcPr>
            <w:tcW w:w="964" w:type="dxa"/>
            <w:vMerge/>
            <w:vAlign w:val="center"/>
          </w:tcPr>
          <w:p w14:paraId="7AA2C9F1"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522A1903" w14:textId="77777777" w:rsidR="00464ED7" w:rsidRPr="00962EEA" w:rsidRDefault="00464ED7" w:rsidP="00EE49E5">
            <w:pPr>
              <w:keepNext/>
              <w:keepLines/>
              <w:rPr>
                <w:rFonts w:ascii="Arial Narrow" w:hAnsi="Arial Narrow"/>
                <w:sz w:val="20"/>
              </w:rPr>
            </w:pPr>
            <w:r>
              <w:rPr>
                <w:rFonts w:ascii="Arial Narrow" w:hAnsi="Arial Narrow"/>
                <w:sz w:val="20"/>
              </w:rPr>
              <w:t>3 months</w:t>
            </w:r>
          </w:p>
        </w:tc>
        <w:tc>
          <w:tcPr>
            <w:tcW w:w="567" w:type="dxa"/>
            <w:tcBorders>
              <w:top w:val="nil"/>
              <w:bottom w:val="nil"/>
            </w:tcBorders>
            <w:vAlign w:val="center"/>
          </w:tcPr>
          <w:p w14:paraId="340E68AC"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top w:val="nil"/>
              <w:bottom w:val="nil"/>
            </w:tcBorders>
            <w:vAlign w:val="center"/>
          </w:tcPr>
          <w:p w14:paraId="27D26D7F" w14:textId="77777777" w:rsidR="00464ED7" w:rsidRPr="00962EEA" w:rsidRDefault="00464ED7" w:rsidP="00BD04F3">
            <w:pPr>
              <w:keepNext/>
              <w:keepLines/>
              <w:jc w:val="center"/>
              <w:rPr>
                <w:rFonts w:ascii="Arial Narrow" w:hAnsi="Arial Narrow"/>
                <w:sz w:val="20"/>
              </w:rPr>
            </w:pPr>
            <w:r>
              <w:rPr>
                <w:rFonts w:ascii="Arial Narrow" w:hAnsi="Arial Narrow"/>
                <w:sz w:val="20"/>
              </w:rPr>
              <w:t>321</w:t>
            </w:r>
          </w:p>
        </w:tc>
        <w:tc>
          <w:tcPr>
            <w:tcW w:w="708" w:type="dxa"/>
            <w:tcBorders>
              <w:top w:val="nil"/>
              <w:bottom w:val="nil"/>
            </w:tcBorders>
            <w:vAlign w:val="center"/>
          </w:tcPr>
          <w:p w14:paraId="4EBF60E6" w14:textId="77777777" w:rsidR="00464ED7" w:rsidRPr="00962EEA" w:rsidRDefault="00464ED7" w:rsidP="00BD04F3">
            <w:pPr>
              <w:keepNext/>
              <w:keepLines/>
              <w:jc w:val="center"/>
              <w:rPr>
                <w:rFonts w:ascii="Arial Narrow" w:hAnsi="Arial Narrow"/>
                <w:sz w:val="20"/>
              </w:rPr>
            </w:pPr>
            <w:r>
              <w:rPr>
                <w:rFonts w:ascii="Arial Narrow" w:hAnsi="Arial Narrow"/>
                <w:sz w:val="20"/>
              </w:rPr>
              <w:t>306</w:t>
            </w:r>
          </w:p>
        </w:tc>
        <w:tc>
          <w:tcPr>
            <w:tcW w:w="1560" w:type="dxa"/>
            <w:tcBorders>
              <w:top w:val="nil"/>
              <w:bottom w:val="nil"/>
            </w:tcBorders>
            <w:vAlign w:val="center"/>
          </w:tcPr>
          <w:p w14:paraId="1EF54780" w14:textId="77777777" w:rsidR="00464ED7" w:rsidRPr="00962EEA" w:rsidRDefault="00464ED7" w:rsidP="00BD04F3">
            <w:pPr>
              <w:keepNext/>
              <w:keepLines/>
              <w:jc w:val="center"/>
              <w:rPr>
                <w:rFonts w:ascii="Arial Narrow" w:hAnsi="Arial Narrow"/>
                <w:sz w:val="20"/>
              </w:rPr>
            </w:pPr>
            <w:r>
              <w:rPr>
                <w:rFonts w:ascii="Arial Narrow" w:hAnsi="Arial Narrow"/>
                <w:sz w:val="20"/>
              </w:rPr>
              <w:t>-1.18 (-1.95, -0.40)</w:t>
            </w:r>
          </w:p>
        </w:tc>
        <w:tc>
          <w:tcPr>
            <w:tcW w:w="425" w:type="dxa"/>
            <w:tcBorders>
              <w:top w:val="nil"/>
              <w:bottom w:val="nil"/>
            </w:tcBorders>
            <w:vAlign w:val="center"/>
          </w:tcPr>
          <w:p w14:paraId="42C4BB36" w14:textId="77777777" w:rsidR="00464ED7" w:rsidRPr="00962EEA" w:rsidRDefault="00464ED7" w:rsidP="00BD04F3">
            <w:pPr>
              <w:keepNext/>
              <w:keepLines/>
              <w:jc w:val="center"/>
              <w:rPr>
                <w:rFonts w:ascii="Arial Narrow" w:hAnsi="Arial Narrow"/>
                <w:sz w:val="20"/>
              </w:rPr>
            </w:pPr>
            <w:r>
              <w:rPr>
                <w:rFonts w:ascii="Arial Narrow" w:hAnsi="Arial Narrow"/>
                <w:sz w:val="20"/>
              </w:rPr>
              <w:t>95%</w:t>
            </w:r>
          </w:p>
        </w:tc>
        <w:tc>
          <w:tcPr>
            <w:tcW w:w="2977" w:type="dxa"/>
            <w:tcBorders>
              <w:top w:val="nil"/>
              <w:bottom w:val="nil"/>
            </w:tcBorders>
            <w:vAlign w:val="center"/>
          </w:tcPr>
          <w:p w14:paraId="104EEBEC" w14:textId="77777777" w:rsidR="00464ED7" w:rsidRPr="00962EEA" w:rsidRDefault="00464ED7" w:rsidP="00BD04F3">
            <w:pPr>
              <w:keepNext/>
              <w:keepLines/>
              <w:rPr>
                <w:rFonts w:ascii="Arial Narrow" w:hAnsi="Arial Narrow"/>
                <w:sz w:val="20"/>
              </w:rPr>
            </w:pPr>
            <w:r>
              <w:rPr>
                <w:rFonts w:ascii="Arial Narrow" w:hAnsi="Arial Narrow"/>
                <w:sz w:val="20"/>
              </w:rPr>
              <w:t>Rousing 2009; Klazen 2010; Farrokhi 2011; Blasco 2012; Chen 2014; Yang 2016</w:t>
            </w:r>
          </w:p>
        </w:tc>
      </w:tr>
      <w:tr w:rsidR="00464ED7" w:rsidRPr="00962EEA" w14:paraId="48CD3C2C" w14:textId="77777777" w:rsidTr="00BD04F3">
        <w:tc>
          <w:tcPr>
            <w:tcW w:w="964" w:type="dxa"/>
            <w:vMerge/>
            <w:vAlign w:val="center"/>
          </w:tcPr>
          <w:p w14:paraId="07D97303"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3C1DF4E9" w14:textId="77777777" w:rsidR="00464ED7" w:rsidRPr="00962EEA" w:rsidRDefault="00464ED7" w:rsidP="00EE49E5">
            <w:pPr>
              <w:keepNext/>
              <w:keepLines/>
              <w:rPr>
                <w:rFonts w:ascii="Arial Narrow" w:hAnsi="Arial Narrow"/>
                <w:sz w:val="20"/>
              </w:rPr>
            </w:pPr>
            <w:r>
              <w:rPr>
                <w:rFonts w:ascii="Arial Narrow" w:hAnsi="Arial Narrow"/>
                <w:sz w:val="20"/>
              </w:rPr>
              <w:t>6 months</w:t>
            </w:r>
          </w:p>
        </w:tc>
        <w:tc>
          <w:tcPr>
            <w:tcW w:w="567" w:type="dxa"/>
            <w:tcBorders>
              <w:top w:val="nil"/>
              <w:bottom w:val="nil"/>
            </w:tcBorders>
            <w:vAlign w:val="center"/>
          </w:tcPr>
          <w:p w14:paraId="644958AC" w14:textId="77777777" w:rsidR="00464ED7" w:rsidRPr="00962EEA" w:rsidRDefault="00464ED7" w:rsidP="00BD04F3">
            <w:pPr>
              <w:keepNext/>
              <w:keepLines/>
              <w:jc w:val="center"/>
              <w:rPr>
                <w:rFonts w:ascii="Arial Narrow" w:hAnsi="Arial Narrow"/>
                <w:sz w:val="20"/>
              </w:rPr>
            </w:pPr>
            <w:r>
              <w:rPr>
                <w:rFonts w:ascii="Arial Narrow" w:hAnsi="Arial Narrow"/>
                <w:sz w:val="20"/>
              </w:rPr>
              <w:t>5</w:t>
            </w:r>
          </w:p>
        </w:tc>
        <w:tc>
          <w:tcPr>
            <w:tcW w:w="567" w:type="dxa"/>
            <w:tcBorders>
              <w:top w:val="nil"/>
              <w:bottom w:val="nil"/>
            </w:tcBorders>
            <w:vAlign w:val="center"/>
          </w:tcPr>
          <w:p w14:paraId="6CDBAA01" w14:textId="77777777" w:rsidR="00464ED7" w:rsidRPr="00962EEA" w:rsidRDefault="00464ED7" w:rsidP="00BD04F3">
            <w:pPr>
              <w:keepNext/>
              <w:keepLines/>
              <w:jc w:val="center"/>
              <w:rPr>
                <w:rFonts w:ascii="Arial Narrow" w:hAnsi="Arial Narrow"/>
                <w:sz w:val="20"/>
              </w:rPr>
            </w:pPr>
            <w:r>
              <w:rPr>
                <w:rFonts w:ascii="Arial Narrow" w:hAnsi="Arial Narrow"/>
                <w:sz w:val="20"/>
              </w:rPr>
              <w:t>295</w:t>
            </w:r>
          </w:p>
        </w:tc>
        <w:tc>
          <w:tcPr>
            <w:tcW w:w="708" w:type="dxa"/>
            <w:tcBorders>
              <w:top w:val="nil"/>
              <w:bottom w:val="nil"/>
            </w:tcBorders>
            <w:vAlign w:val="center"/>
          </w:tcPr>
          <w:p w14:paraId="4215DB4E" w14:textId="77777777" w:rsidR="00464ED7" w:rsidRPr="00962EEA" w:rsidRDefault="00464ED7" w:rsidP="00BD04F3">
            <w:pPr>
              <w:keepNext/>
              <w:keepLines/>
              <w:jc w:val="center"/>
              <w:rPr>
                <w:rFonts w:ascii="Arial Narrow" w:hAnsi="Arial Narrow"/>
                <w:sz w:val="20"/>
              </w:rPr>
            </w:pPr>
            <w:r>
              <w:rPr>
                <w:rFonts w:ascii="Arial Narrow" w:hAnsi="Arial Narrow"/>
                <w:sz w:val="20"/>
              </w:rPr>
              <w:t>278</w:t>
            </w:r>
          </w:p>
        </w:tc>
        <w:tc>
          <w:tcPr>
            <w:tcW w:w="1560" w:type="dxa"/>
            <w:tcBorders>
              <w:top w:val="nil"/>
              <w:bottom w:val="nil"/>
            </w:tcBorders>
            <w:vAlign w:val="center"/>
          </w:tcPr>
          <w:p w14:paraId="5B8B0B63" w14:textId="77777777" w:rsidR="00464ED7" w:rsidRPr="00962EEA" w:rsidRDefault="00464ED7" w:rsidP="00BD04F3">
            <w:pPr>
              <w:keepNext/>
              <w:keepLines/>
              <w:jc w:val="center"/>
              <w:rPr>
                <w:rFonts w:ascii="Arial Narrow" w:hAnsi="Arial Narrow"/>
                <w:sz w:val="20"/>
              </w:rPr>
            </w:pPr>
            <w:r>
              <w:rPr>
                <w:rFonts w:ascii="Arial Narrow" w:hAnsi="Arial Narrow"/>
                <w:sz w:val="20"/>
              </w:rPr>
              <w:t>-1.05 (-1.82, -0.28)</w:t>
            </w:r>
          </w:p>
        </w:tc>
        <w:tc>
          <w:tcPr>
            <w:tcW w:w="425" w:type="dxa"/>
            <w:tcBorders>
              <w:top w:val="nil"/>
              <w:bottom w:val="nil"/>
            </w:tcBorders>
            <w:vAlign w:val="center"/>
          </w:tcPr>
          <w:p w14:paraId="0040BCD2" w14:textId="77777777" w:rsidR="00464ED7" w:rsidRPr="00962EEA" w:rsidRDefault="00464ED7" w:rsidP="00BD04F3">
            <w:pPr>
              <w:keepNext/>
              <w:keepLines/>
              <w:jc w:val="center"/>
              <w:rPr>
                <w:rFonts w:ascii="Arial Narrow" w:hAnsi="Arial Narrow"/>
                <w:sz w:val="20"/>
              </w:rPr>
            </w:pPr>
            <w:r>
              <w:rPr>
                <w:rFonts w:ascii="Arial Narrow" w:hAnsi="Arial Narrow"/>
                <w:sz w:val="20"/>
              </w:rPr>
              <w:t>94%</w:t>
            </w:r>
          </w:p>
        </w:tc>
        <w:tc>
          <w:tcPr>
            <w:tcW w:w="2977" w:type="dxa"/>
            <w:tcBorders>
              <w:top w:val="nil"/>
              <w:bottom w:val="nil"/>
            </w:tcBorders>
            <w:vAlign w:val="center"/>
          </w:tcPr>
          <w:p w14:paraId="4E986E53" w14:textId="77777777" w:rsidR="00464ED7" w:rsidRPr="00962EEA" w:rsidRDefault="00464ED7" w:rsidP="00BD04F3">
            <w:pPr>
              <w:keepNext/>
              <w:keepLines/>
              <w:rPr>
                <w:rFonts w:ascii="Arial Narrow" w:hAnsi="Arial Narrow"/>
                <w:sz w:val="20"/>
              </w:rPr>
            </w:pPr>
            <w:r>
              <w:rPr>
                <w:rFonts w:ascii="Arial Narrow" w:hAnsi="Arial Narrow"/>
                <w:sz w:val="20"/>
              </w:rPr>
              <w:t>Klazen 2010; Farrokhi 2011; Blasco 2012; Chen 2014; Yang 2016</w:t>
            </w:r>
          </w:p>
        </w:tc>
      </w:tr>
      <w:tr w:rsidR="00464ED7" w:rsidRPr="00962EEA" w14:paraId="05A4E083" w14:textId="77777777" w:rsidTr="00BD04F3">
        <w:tc>
          <w:tcPr>
            <w:tcW w:w="964" w:type="dxa"/>
            <w:vMerge/>
            <w:vAlign w:val="center"/>
          </w:tcPr>
          <w:p w14:paraId="048A39EE" w14:textId="77777777" w:rsidR="00464ED7" w:rsidRPr="00962EEA" w:rsidRDefault="00464ED7" w:rsidP="00BD04F3">
            <w:pPr>
              <w:keepNext/>
              <w:keepLines/>
              <w:rPr>
                <w:rFonts w:ascii="Arial Narrow" w:hAnsi="Arial Narrow"/>
                <w:sz w:val="20"/>
              </w:rPr>
            </w:pPr>
          </w:p>
        </w:tc>
        <w:tc>
          <w:tcPr>
            <w:tcW w:w="1158" w:type="dxa"/>
            <w:tcBorders>
              <w:top w:val="nil"/>
              <w:bottom w:val="nil"/>
            </w:tcBorders>
            <w:vAlign w:val="center"/>
          </w:tcPr>
          <w:p w14:paraId="45DD200D" w14:textId="77777777" w:rsidR="00464ED7" w:rsidRPr="00962EEA" w:rsidRDefault="00464ED7" w:rsidP="00EE49E5">
            <w:pPr>
              <w:keepNext/>
              <w:keepLines/>
              <w:rPr>
                <w:rFonts w:ascii="Arial Narrow" w:hAnsi="Arial Narrow"/>
                <w:sz w:val="20"/>
              </w:rPr>
            </w:pPr>
            <w:r>
              <w:rPr>
                <w:rFonts w:ascii="Arial Narrow" w:hAnsi="Arial Narrow"/>
                <w:sz w:val="20"/>
              </w:rPr>
              <w:t>12 months</w:t>
            </w:r>
          </w:p>
        </w:tc>
        <w:tc>
          <w:tcPr>
            <w:tcW w:w="567" w:type="dxa"/>
            <w:tcBorders>
              <w:top w:val="nil"/>
              <w:bottom w:val="nil"/>
            </w:tcBorders>
            <w:vAlign w:val="center"/>
          </w:tcPr>
          <w:p w14:paraId="4F235C3A" w14:textId="77777777" w:rsidR="00464ED7" w:rsidRPr="00962EEA" w:rsidRDefault="00464ED7" w:rsidP="00BD04F3">
            <w:pPr>
              <w:keepNext/>
              <w:keepLines/>
              <w:jc w:val="center"/>
              <w:rPr>
                <w:rFonts w:ascii="Arial Narrow" w:hAnsi="Arial Narrow"/>
                <w:sz w:val="20"/>
              </w:rPr>
            </w:pPr>
            <w:r>
              <w:rPr>
                <w:rFonts w:ascii="Arial Narrow" w:hAnsi="Arial Narrow"/>
                <w:sz w:val="20"/>
              </w:rPr>
              <w:t>6</w:t>
            </w:r>
          </w:p>
        </w:tc>
        <w:tc>
          <w:tcPr>
            <w:tcW w:w="567" w:type="dxa"/>
            <w:tcBorders>
              <w:top w:val="nil"/>
              <w:bottom w:val="nil"/>
            </w:tcBorders>
            <w:vAlign w:val="center"/>
          </w:tcPr>
          <w:p w14:paraId="1A95FE2E" w14:textId="77777777" w:rsidR="00464ED7" w:rsidRPr="00962EEA" w:rsidRDefault="00464ED7" w:rsidP="00BD04F3">
            <w:pPr>
              <w:keepNext/>
              <w:keepLines/>
              <w:jc w:val="center"/>
              <w:rPr>
                <w:rFonts w:ascii="Arial Narrow" w:hAnsi="Arial Narrow"/>
                <w:sz w:val="20"/>
              </w:rPr>
            </w:pPr>
            <w:r>
              <w:rPr>
                <w:rFonts w:ascii="Arial Narrow" w:hAnsi="Arial Narrow"/>
                <w:sz w:val="20"/>
              </w:rPr>
              <w:t>315</w:t>
            </w:r>
          </w:p>
        </w:tc>
        <w:tc>
          <w:tcPr>
            <w:tcW w:w="708" w:type="dxa"/>
            <w:tcBorders>
              <w:top w:val="nil"/>
              <w:bottom w:val="nil"/>
            </w:tcBorders>
            <w:vAlign w:val="center"/>
          </w:tcPr>
          <w:p w14:paraId="0744EDC7" w14:textId="77777777" w:rsidR="00464ED7" w:rsidRPr="00962EEA" w:rsidRDefault="00464ED7" w:rsidP="00BD04F3">
            <w:pPr>
              <w:keepNext/>
              <w:keepLines/>
              <w:jc w:val="center"/>
              <w:rPr>
                <w:rFonts w:ascii="Arial Narrow" w:hAnsi="Arial Narrow"/>
                <w:sz w:val="20"/>
              </w:rPr>
            </w:pPr>
            <w:r>
              <w:rPr>
                <w:rFonts w:ascii="Arial Narrow" w:hAnsi="Arial Narrow"/>
                <w:sz w:val="20"/>
              </w:rPr>
              <w:t>297</w:t>
            </w:r>
          </w:p>
        </w:tc>
        <w:tc>
          <w:tcPr>
            <w:tcW w:w="1560" w:type="dxa"/>
            <w:tcBorders>
              <w:top w:val="nil"/>
              <w:bottom w:val="nil"/>
            </w:tcBorders>
            <w:vAlign w:val="center"/>
          </w:tcPr>
          <w:p w14:paraId="7A628E35" w14:textId="77777777" w:rsidR="00464ED7" w:rsidRPr="00962EEA" w:rsidRDefault="00464ED7" w:rsidP="00BD04F3">
            <w:pPr>
              <w:keepNext/>
              <w:keepLines/>
              <w:jc w:val="center"/>
              <w:rPr>
                <w:rFonts w:ascii="Arial Narrow" w:hAnsi="Arial Narrow"/>
                <w:sz w:val="20"/>
              </w:rPr>
            </w:pPr>
            <w:r>
              <w:rPr>
                <w:rFonts w:ascii="Arial Narrow" w:hAnsi="Arial Narrow"/>
                <w:sz w:val="20"/>
              </w:rPr>
              <w:t>-1.02 (-1.74, -0.30)</w:t>
            </w:r>
          </w:p>
        </w:tc>
        <w:tc>
          <w:tcPr>
            <w:tcW w:w="425" w:type="dxa"/>
            <w:tcBorders>
              <w:top w:val="nil"/>
              <w:bottom w:val="nil"/>
            </w:tcBorders>
            <w:vAlign w:val="center"/>
          </w:tcPr>
          <w:p w14:paraId="31F679D2" w14:textId="77777777" w:rsidR="00464ED7" w:rsidRPr="00962EEA" w:rsidRDefault="00464ED7" w:rsidP="00BD04F3">
            <w:pPr>
              <w:keepNext/>
              <w:keepLines/>
              <w:jc w:val="center"/>
              <w:rPr>
                <w:rFonts w:ascii="Arial Narrow" w:hAnsi="Arial Narrow"/>
                <w:sz w:val="20"/>
              </w:rPr>
            </w:pPr>
            <w:r>
              <w:rPr>
                <w:rFonts w:ascii="Arial Narrow" w:hAnsi="Arial Narrow"/>
                <w:sz w:val="20"/>
              </w:rPr>
              <w:t>94%</w:t>
            </w:r>
          </w:p>
        </w:tc>
        <w:tc>
          <w:tcPr>
            <w:tcW w:w="2977" w:type="dxa"/>
            <w:tcBorders>
              <w:top w:val="nil"/>
              <w:bottom w:val="nil"/>
            </w:tcBorders>
            <w:vAlign w:val="center"/>
          </w:tcPr>
          <w:p w14:paraId="57AC3CC9" w14:textId="77777777" w:rsidR="00464ED7" w:rsidRPr="00962EEA" w:rsidRDefault="00464ED7" w:rsidP="00BD04F3">
            <w:pPr>
              <w:keepNext/>
              <w:keepLines/>
              <w:rPr>
                <w:rFonts w:ascii="Arial Narrow" w:hAnsi="Arial Narrow"/>
                <w:sz w:val="20"/>
              </w:rPr>
            </w:pPr>
            <w:r>
              <w:rPr>
                <w:rFonts w:ascii="Arial Narrow" w:hAnsi="Arial Narrow"/>
                <w:sz w:val="20"/>
              </w:rPr>
              <w:t>Rousing 2009; Klazen 2010; Farrokhi 2011; Blasco 2012; Chen 2014; Yang 2016</w:t>
            </w:r>
          </w:p>
        </w:tc>
      </w:tr>
      <w:tr w:rsidR="00464ED7" w:rsidRPr="00962EEA" w14:paraId="0ABACF87" w14:textId="77777777" w:rsidTr="00BD04F3">
        <w:tc>
          <w:tcPr>
            <w:tcW w:w="964" w:type="dxa"/>
            <w:vMerge/>
            <w:vAlign w:val="center"/>
          </w:tcPr>
          <w:p w14:paraId="2145ADE0" w14:textId="77777777" w:rsidR="00464ED7" w:rsidRPr="00962EEA" w:rsidRDefault="00464ED7" w:rsidP="00BD04F3">
            <w:pPr>
              <w:keepNext/>
              <w:keepLines/>
              <w:rPr>
                <w:rFonts w:ascii="Arial Narrow" w:hAnsi="Arial Narrow"/>
                <w:sz w:val="20"/>
              </w:rPr>
            </w:pPr>
          </w:p>
        </w:tc>
        <w:tc>
          <w:tcPr>
            <w:tcW w:w="1158" w:type="dxa"/>
            <w:tcBorders>
              <w:top w:val="nil"/>
            </w:tcBorders>
            <w:vAlign w:val="center"/>
          </w:tcPr>
          <w:p w14:paraId="092C2B44" w14:textId="77777777" w:rsidR="00464ED7" w:rsidRPr="00962EEA" w:rsidRDefault="00464ED7" w:rsidP="00EE49E5">
            <w:pPr>
              <w:keepNext/>
              <w:keepLines/>
              <w:rPr>
                <w:rFonts w:ascii="Arial Narrow" w:hAnsi="Arial Narrow"/>
                <w:sz w:val="20"/>
              </w:rPr>
            </w:pPr>
            <w:r>
              <w:rPr>
                <w:rFonts w:ascii="Arial Narrow" w:hAnsi="Arial Narrow"/>
                <w:sz w:val="20"/>
              </w:rPr>
              <w:t>24 months</w:t>
            </w:r>
          </w:p>
        </w:tc>
        <w:tc>
          <w:tcPr>
            <w:tcW w:w="567" w:type="dxa"/>
            <w:tcBorders>
              <w:top w:val="nil"/>
            </w:tcBorders>
            <w:vAlign w:val="center"/>
          </w:tcPr>
          <w:p w14:paraId="7E848EB7" w14:textId="77777777" w:rsidR="00464ED7" w:rsidRPr="00962EEA" w:rsidRDefault="00464ED7" w:rsidP="00BD04F3">
            <w:pPr>
              <w:keepNext/>
              <w:keepLines/>
              <w:jc w:val="center"/>
              <w:rPr>
                <w:rFonts w:ascii="Arial Narrow" w:hAnsi="Arial Narrow"/>
                <w:sz w:val="20"/>
              </w:rPr>
            </w:pPr>
            <w:r>
              <w:rPr>
                <w:rFonts w:ascii="Arial Narrow" w:hAnsi="Arial Narrow"/>
                <w:sz w:val="20"/>
              </w:rPr>
              <w:t>1</w:t>
            </w:r>
          </w:p>
        </w:tc>
        <w:tc>
          <w:tcPr>
            <w:tcW w:w="567" w:type="dxa"/>
            <w:tcBorders>
              <w:top w:val="nil"/>
            </w:tcBorders>
            <w:vAlign w:val="center"/>
          </w:tcPr>
          <w:p w14:paraId="3E63F978" w14:textId="77777777" w:rsidR="00464ED7" w:rsidRPr="00962EEA" w:rsidRDefault="00464ED7" w:rsidP="00BD04F3">
            <w:pPr>
              <w:keepNext/>
              <w:keepLines/>
              <w:jc w:val="center"/>
              <w:rPr>
                <w:rFonts w:ascii="Arial Narrow" w:hAnsi="Arial Narrow"/>
                <w:sz w:val="20"/>
              </w:rPr>
            </w:pPr>
            <w:r>
              <w:rPr>
                <w:rFonts w:ascii="Arial Narrow" w:hAnsi="Arial Narrow"/>
                <w:sz w:val="20"/>
              </w:rPr>
              <w:t>38</w:t>
            </w:r>
          </w:p>
        </w:tc>
        <w:tc>
          <w:tcPr>
            <w:tcW w:w="708" w:type="dxa"/>
            <w:tcBorders>
              <w:top w:val="nil"/>
            </w:tcBorders>
            <w:vAlign w:val="center"/>
          </w:tcPr>
          <w:p w14:paraId="1C663528" w14:textId="77777777" w:rsidR="00464ED7" w:rsidRPr="00962EEA" w:rsidRDefault="00464ED7" w:rsidP="00BD04F3">
            <w:pPr>
              <w:keepNext/>
              <w:keepLines/>
              <w:jc w:val="center"/>
              <w:rPr>
                <w:rFonts w:ascii="Arial Narrow" w:hAnsi="Arial Narrow"/>
                <w:sz w:val="20"/>
              </w:rPr>
            </w:pPr>
            <w:r>
              <w:rPr>
                <w:rFonts w:ascii="Arial Narrow" w:hAnsi="Arial Narrow"/>
                <w:sz w:val="20"/>
              </w:rPr>
              <w:t>39</w:t>
            </w:r>
          </w:p>
        </w:tc>
        <w:tc>
          <w:tcPr>
            <w:tcW w:w="1560" w:type="dxa"/>
            <w:tcBorders>
              <w:top w:val="nil"/>
            </w:tcBorders>
            <w:vAlign w:val="center"/>
          </w:tcPr>
          <w:p w14:paraId="1811FABA" w14:textId="77777777" w:rsidR="00464ED7" w:rsidRPr="00962EEA" w:rsidRDefault="00464ED7" w:rsidP="00BD04F3">
            <w:pPr>
              <w:keepNext/>
              <w:keepLines/>
              <w:jc w:val="center"/>
              <w:rPr>
                <w:rFonts w:ascii="Arial Narrow" w:hAnsi="Arial Narrow"/>
                <w:sz w:val="20"/>
              </w:rPr>
            </w:pPr>
            <w:r>
              <w:rPr>
                <w:rFonts w:ascii="Arial Narrow" w:hAnsi="Arial Narrow"/>
                <w:sz w:val="20"/>
              </w:rPr>
              <w:t>-0.45 (-0.90, 0.01)</w:t>
            </w:r>
          </w:p>
        </w:tc>
        <w:tc>
          <w:tcPr>
            <w:tcW w:w="425" w:type="dxa"/>
            <w:tcBorders>
              <w:top w:val="nil"/>
            </w:tcBorders>
            <w:vAlign w:val="center"/>
          </w:tcPr>
          <w:p w14:paraId="04CC7815" w14:textId="77777777" w:rsidR="00464ED7" w:rsidRPr="00962EEA" w:rsidRDefault="00464ED7" w:rsidP="00BD04F3">
            <w:pPr>
              <w:keepNext/>
              <w:keepLines/>
              <w:jc w:val="center"/>
              <w:rPr>
                <w:rFonts w:ascii="Arial Narrow" w:hAnsi="Arial Narrow"/>
                <w:sz w:val="20"/>
              </w:rPr>
            </w:pPr>
            <w:r>
              <w:rPr>
                <w:rFonts w:ascii="Arial Narrow" w:hAnsi="Arial Narrow"/>
                <w:sz w:val="20"/>
              </w:rPr>
              <w:t>NA</w:t>
            </w:r>
          </w:p>
        </w:tc>
        <w:tc>
          <w:tcPr>
            <w:tcW w:w="2977" w:type="dxa"/>
            <w:tcBorders>
              <w:top w:val="nil"/>
            </w:tcBorders>
            <w:vAlign w:val="center"/>
          </w:tcPr>
          <w:p w14:paraId="33276E2F" w14:textId="77777777" w:rsidR="00464ED7" w:rsidRPr="00962EEA" w:rsidRDefault="00464ED7" w:rsidP="00BD04F3">
            <w:pPr>
              <w:keepNext/>
              <w:keepLines/>
              <w:rPr>
                <w:rFonts w:ascii="Arial Narrow" w:hAnsi="Arial Narrow"/>
                <w:sz w:val="20"/>
              </w:rPr>
            </w:pPr>
            <w:r>
              <w:rPr>
                <w:rFonts w:ascii="Arial Narrow" w:hAnsi="Arial Narrow"/>
                <w:sz w:val="20"/>
              </w:rPr>
              <w:t>Farrokhi 2011</w:t>
            </w:r>
          </w:p>
        </w:tc>
      </w:tr>
      <w:tr w:rsidR="00464ED7" w:rsidRPr="00962EEA" w14:paraId="3D70BDEF" w14:textId="77777777" w:rsidTr="00BD04F3">
        <w:tc>
          <w:tcPr>
            <w:tcW w:w="964" w:type="dxa"/>
            <w:vAlign w:val="center"/>
          </w:tcPr>
          <w:p w14:paraId="3BB82856" w14:textId="77777777" w:rsidR="00464ED7" w:rsidRPr="00A060D4" w:rsidRDefault="00464ED7" w:rsidP="00BD04F3">
            <w:pPr>
              <w:keepNext/>
              <w:keepLines/>
              <w:rPr>
                <w:rFonts w:ascii="Arial Narrow" w:hAnsi="Arial Narrow"/>
                <w:b/>
                <w:bCs/>
                <w:sz w:val="20"/>
              </w:rPr>
            </w:pPr>
            <w:r w:rsidRPr="00A060D4">
              <w:rPr>
                <w:rFonts w:ascii="Arial Narrow" w:hAnsi="Arial Narrow"/>
                <w:b/>
                <w:bCs/>
                <w:sz w:val="20"/>
              </w:rPr>
              <w:t>Comment</w:t>
            </w:r>
          </w:p>
        </w:tc>
        <w:tc>
          <w:tcPr>
            <w:tcW w:w="7962" w:type="dxa"/>
            <w:gridSpan w:val="7"/>
            <w:vAlign w:val="center"/>
          </w:tcPr>
          <w:p w14:paraId="22F05139" w14:textId="6DE1369F" w:rsidR="00464ED7" w:rsidRPr="00A060D4" w:rsidRDefault="00464ED7" w:rsidP="00BD04F3">
            <w:pPr>
              <w:keepNext/>
              <w:keepLines/>
              <w:rPr>
                <w:rFonts w:ascii="Arial Narrow" w:hAnsi="Arial Narrow"/>
                <w:i/>
                <w:iCs/>
                <w:sz w:val="20"/>
              </w:rPr>
            </w:pPr>
            <w:r w:rsidRPr="00A060D4">
              <w:rPr>
                <w:rFonts w:ascii="Arial Narrow" w:hAnsi="Arial Narrow"/>
                <w:i/>
                <w:iCs/>
                <w:sz w:val="20"/>
              </w:rPr>
              <w:t>Lou</w:t>
            </w:r>
            <w:r>
              <w:rPr>
                <w:rFonts w:ascii="Arial Narrow" w:hAnsi="Arial Narrow"/>
                <w:i/>
                <w:iCs/>
                <w:sz w:val="20"/>
              </w:rPr>
              <w:t xml:space="preserve"> et al.</w:t>
            </w:r>
            <w:r w:rsidRPr="00A060D4">
              <w:rPr>
                <w:rFonts w:ascii="Arial Narrow" w:hAnsi="Arial Narrow"/>
                <w:i/>
                <w:iCs/>
                <w:sz w:val="20"/>
              </w:rPr>
              <w:t xml:space="preserve"> (2019) and 2018 Cochrane Review </w:t>
            </w:r>
            <w:r w:rsidR="00EE49E5">
              <w:rPr>
                <w:rFonts w:ascii="Arial Narrow" w:hAnsi="Arial Narrow"/>
                <w:i/>
                <w:iCs/>
                <w:sz w:val="20"/>
              </w:rPr>
              <w:t>used the same trials at the 1-2 </w:t>
            </w:r>
            <w:r w:rsidRPr="00A060D4">
              <w:rPr>
                <w:rFonts w:ascii="Arial Narrow" w:hAnsi="Arial Narrow"/>
                <w:i/>
                <w:iCs/>
                <w:sz w:val="20"/>
              </w:rPr>
              <w:t>week, 3</w:t>
            </w:r>
            <w:r w:rsidR="00EE49E5">
              <w:rPr>
                <w:rFonts w:ascii="Arial Narrow" w:hAnsi="Arial Narrow"/>
                <w:i/>
                <w:iCs/>
                <w:sz w:val="20"/>
              </w:rPr>
              <w:t> month and 12 </w:t>
            </w:r>
            <w:r w:rsidRPr="00A060D4">
              <w:rPr>
                <w:rFonts w:ascii="Arial Narrow" w:hAnsi="Arial Narrow"/>
                <w:i/>
                <w:iCs/>
                <w:sz w:val="20"/>
              </w:rPr>
              <w:t xml:space="preserve">month time points although for Lou </w:t>
            </w:r>
            <w:r>
              <w:rPr>
                <w:rFonts w:ascii="Arial Narrow" w:hAnsi="Arial Narrow"/>
                <w:i/>
                <w:iCs/>
                <w:sz w:val="20"/>
              </w:rPr>
              <w:t xml:space="preserve">et al. </w:t>
            </w:r>
            <w:r w:rsidRPr="00A060D4">
              <w:rPr>
                <w:rFonts w:ascii="Arial Narrow" w:hAnsi="Arial Narrow"/>
                <w:i/>
                <w:iCs/>
                <w:sz w:val="20"/>
              </w:rPr>
              <w:t>(2019) the analy</w:t>
            </w:r>
            <w:r w:rsidR="00EE49E5">
              <w:rPr>
                <w:rFonts w:ascii="Arial Narrow" w:hAnsi="Arial Narrow"/>
                <w:i/>
                <w:iCs/>
                <w:sz w:val="20"/>
              </w:rPr>
              <w:t>ses covered 1-3 months and 6-12 </w:t>
            </w:r>
            <w:r w:rsidRPr="00A060D4">
              <w:rPr>
                <w:rFonts w:ascii="Arial Narrow" w:hAnsi="Arial Narrow"/>
                <w:i/>
                <w:iCs/>
                <w:sz w:val="20"/>
              </w:rPr>
              <w:t>months.</w:t>
            </w:r>
          </w:p>
          <w:p w14:paraId="7868B359" w14:textId="11EBF640" w:rsidR="00464ED7" w:rsidRPr="00A060D4" w:rsidRDefault="00464ED7" w:rsidP="00BD04F3">
            <w:pPr>
              <w:keepNext/>
              <w:keepLines/>
              <w:rPr>
                <w:rFonts w:ascii="Arial Narrow" w:hAnsi="Arial Narrow"/>
                <w:i/>
                <w:iCs/>
                <w:sz w:val="20"/>
              </w:rPr>
            </w:pPr>
            <w:r w:rsidRPr="00A060D4">
              <w:rPr>
                <w:rFonts w:ascii="Arial Narrow" w:hAnsi="Arial Narrow"/>
                <w:i/>
                <w:iCs/>
                <w:sz w:val="20"/>
              </w:rPr>
              <w:t>Patient numbers differed across these analyses as did the mean differences and 95% CIs, although all results favoured vertebroplasty</w:t>
            </w:r>
            <w:r w:rsidR="00EE49E5">
              <w:rPr>
                <w:rFonts w:ascii="Arial Narrow" w:hAnsi="Arial Narrow"/>
                <w:i/>
                <w:iCs/>
                <w:sz w:val="20"/>
              </w:rPr>
              <w:t xml:space="preserve"> with the exception of the 24 </w:t>
            </w:r>
            <w:r>
              <w:rPr>
                <w:rFonts w:ascii="Arial Narrow" w:hAnsi="Arial Narrow"/>
                <w:i/>
                <w:iCs/>
                <w:sz w:val="20"/>
              </w:rPr>
              <w:t>month analysis in the 2018 Cochrane Review.</w:t>
            </w:r>
          </w:p>
          <w:p w14:paraId="63B54DA6" w14:textId="77777777" w:rsidR="00464ED7" w:rsidRPr="00962EEA" w:rsidRDefault="00464ED7" w:rsidP="00BD04F3">
            <w:pPr>
              <w:keepNext/>
              <w:keepLines/>
              <w:rPr>
                <w:rFonts w:ascii="Arial Narrow" w:hAnsi="Arial Narrow"/>
                <w:sz w:val="20"/>
              </w:rPr>
            </w:pPr>
            <w:r w:rsidRPr="00A060D4">
              <w:rPr>
                <w:rFonts w:ascii="Arial Narrow" w:hAnsi="Arial Narrow"/>
                <w:i/>
                <w:iCs/>
                <w:sz w:val="20"/>
              </w:rPr>
              <w:t>There was a high level of heterogeneity across all analyses.</w:t>
            </w:r>
          </w:p>
        </w:tc>
      </w:tr>
    </w:tbl>
    <w:p w14:paraId="2933517E" w14:textId="77777777" w:rsidR="00464ED7" w:rsidRDefault="00464ED7" w:rsidP="00464ED7">
      <w:pPr>
        <w:keepNext/>
        <w:keepLines/>
        <w:rPr>
          <w:rFonts w:ascii="Arial Narrow" w:hAnsi="Arial Narrow"/>
          <w:sz w:val="18"/>
          <w:szCs w:val="18"/>
        </w:rPr>
      </w:pPr>
      <w:r w:rsidRPr="007E2DBE">
        <w:rPr>
          <w:rFonts w:ascii="Arial Narrow" w:hAnsi="Arial Narrow"/>
          <w:sz w:val="18"/>
          <w:szCs w:val="18"/>
        </w:rPr>
        <w:t xml:space="preserve">MD=mean difference; </w:t>
      </w:r>
      <w:r>
        <w:rPr>
          <w:rFonts w:ascii="Arial Narrow" w:hAnsi="Arial Narrow"/>
          <w:sz w:val="18"/>
          <w:szCs w:val="18"/>
        </w:rPr>
        <w:t xml:space="preserve">NA=not applicable; </w:t>
      </w:r>
      <w:r w:rsidRPr="007E2DBE">
        <w:rPr>
          <w:rFonts w:ascii="Arial Narrow" w:hAnsi="Arial Narrow"/>
          <w:sz w:val="18"/>
          <w:szCs w:val="18"/>
        </w:rPr>
        <w:t>Vert=vertebroplasty</w:t>
      </w:r>
    </w:p>
    <w:p w14:paraId="30CA162E" w14:textId="77777777" w:rsidR="00464ED7" w:rsidRPr="007E2DBE" w:rsidRDefault="00464ED7" w:rsidP="00464ED7">
      <w:pPr>
        <w:rPr>
          <w:rFonts w:ascii="Arial Narrow" w:hAnsi="Arial Narrow"/>
          <w:sz w:val="18"/>
          <w:szCs w:val="18"/>
        </w:rPr>
      </w:pPr>
      <w:r>
        <w:rPr>
          <w:rFonts w:ascii="Arial Narrow" w:hAnsi="Arial Narrow"/>
          <w:sz w:val="18"/>
          <w:szCs w:val="18"/>
        </w:rPr>
        <w:t xml:space="preserve">Source: </w:t>
      </w:r>
      <w:r w:rsidRPr="00F00537">
        <w:rPr>
          <w:rFonts w:ascii="Arial Narrow" w:hAnsi="Arial Narrow"/>
          <w:sz w:val="18"/>
          <w:szCs w:val="18"/>
        </w:rPr>
        <w:t>Table 8, p 11 of Nov</w:t>
      </w:r>
      <w:r>
        <w:rPr>
          <w:rFonts w:ascii="Arial Narrow" w:hAnsi="Arial Narrow"/>
          <w:sz w:val="18"/>
          <w:szCs w:val="18"/>
        </w:rPr>
        <w:t>ember 2019 Departmental</w:t>
      </w:r>
      <w:r w:rsidRPr="00F00537">
        <w:rPr>
          <w:rFonts w:ascii="Arial Narrow" w:hAnsi="Arial Narrow"/>
          <w:sz w:val="18"/>
          <w:szCs w:val="18"/>
        </w:rPr>
        <w:t xml:space="preserve"> Overview</w:t>
      </w:r>
      <w:r>
        <w:rPr>
          <w:rFonts w:ascii="Arial Narrow" w:hAnsi="Arial Narrow"/>
          <w:sz w:val="18"/>
          <w:szCs w:val="18"/>
        </w:rPr>
        <w:t>.</w:t>
      </w:r>
    </w:p>
    <w:p w14:paraId="53C1C085" w14:textId="77777777" w:rsidR="00464ED7" w:rsidRDefault="00464ED7" w:rsidP="00464ED7"/>
    <w:p w14:paraId="4B03980A" w14:textId="65E67DE0" w:rsidR="00464ED7" w:rsidRPr="0082110F" w:rsidRDefault="00464ED7" w:rsidP="00464ED7">
      <w:pPr>
        <w:rPr>
          <w:i/>
          <w:iCs/>
        </w:rPr>
      </w:pPr>
      <w:r>
        <w:t>T</w:t>
      </w:r>
      <w:r w:rsidRPr="00CD62A6">
        <w:t xml:space="preserve">he </w:t>
      </w:r>
      <w:r>
        <w:t xml:space="preserve">November 2019 Departmental Overview also identified a randomised, non-blinded study (Xu et al. 2019) and a meta-analysis (Chen et al. 2019) relevant to the effectiveness of vertebroplasty. The study by Xu et al. (2019) compared targeted vertebroplasty and </w:t>
      </w:r>
      <w:r>
        <w:lastRenderedPageBreak/>
        <w:t>traditional vertebroplasty in 42 patient</w:t>
      </w:r>
      <w:r w:rsidR="00EE49E5">
        <w:t>s aged between 50 and 87 </w:t>
      </w:r>
      <w:r>
        <w:t xml:space="preserve">years. </w:t>
      </w:r>
      <w:r>
        <w:rPr>
          <w:color w:val="111111"/>
          <w:shd w:val="clear" w:color="auto" w:fill="FFFFFF"/>
        </w:rPr>
        <w:t xml:space="preserve">The study report claimed “targeted percutaneous vertebroplasty” </w:t>
      </w:r>
      <w:r w:rsidRPr="0082110F">
        <w:rPr>
          <w:color w:val="111111"/>
          <w:shd w:val="clear" w:color="auto" w:fill="FFFFFF"/>
        </w:rPr>
        <w:t xml:space="preserve">may achieve (1) less skin positioning fluoroscopy times, less total fluoroscopy times and dose, shorter operation time, which is more precise than traditional </w:t>
      </w:r>
      <w:r>
        <w:rPr>
          <w:color w:val="111111"/>
          <w:shd w:val="clear" w:color="auto" w:fill="FFFFFF"/>
        </w:rPr>
        <w:t>vertebroplasty</w:t>
      </w:r>
      <w:r w:rsidRPr="0082110F">
        <w:rPr>
          <w:color w:val="111111"/>
          <w:shd w:val="clear" w:color="auto" w:fill="FFFFFF"/>
        </w:rPr>
        <w:t xml:space="preserve">; </w:t>
      </w:r>
      <w:r>
        <w:rPr>
          <w:color w:val="111111"/>
          <w:shd w:val="clear" w:color="auto" w:fill="FFFFFF"/>
        </w:rPr>
        <w:t xml:space="preserve">and </w:t>
      </w:r>
      <w:r w:rsidRPr="0082110F">
        <w:rPr>
          <w:color w:val="111111"/>
          <w:shd w:val="clear" w:color="auto" w:fill="FFFFFF"/>
        </w:rPr>
        <w:t>(2) less incidence of cement leakage</w:t>
      </w:r>
      <w:r>
        <w:rPr>
          <w:color w:val="111111"/>
          <w:shd w:val="clear" w:color="auto" w:fill="FFFFFF"/>
        </w:rPr>
        <w:t xml:space="preserve">. The Departmental </w:t>
      </w:r>
      <w:r w:rsidR="00FA7597">
        <w:rPr>
          <w:color w:val="111111"/>
          <w:shd w:val="clear" w:color="auto" w:fill="FFFFFF"/>
        </w:rPr>
        <w:t>O</w:t>
      </w:r>
      <w:r>
        <w:rPr>
          <w:color w:val="111111"/>
          <w:shd w:val="clear" w:color="auto" w:fill="FFFFFF"/>
        </w:rPr>
        <w:t xml:space="preserve">verview noted that this </w:t>
      </w:r>
      <w:r w:rsidRPr="003337C0">
        <w:rPr>
          <w:iCs/>
          <w:color w:val="111111"/>
          <w:shd w:val="clear" w:color="auto" w:fill="FFFFFF"/>
        </w:rPr>
        <w:t>was a non-blinded study with a small sample size, so results should be interpreted with caution.</w:t>
      </w:r>
    </w:p>
    <w:p w14:paraId="63EC9CC9" w14:textId="77777777" w:rsidR="00464ED7" w:rsidRDefault="00464ED7" w:rsidP="00464ED7"/>
    <w:p w14:paraId="0747AD1B" w14:textId="77777777" w:rsidR="00464ED7" w:rsidRDefault="00464ED7" w:rsidP="00464ED7">
      <w:r>
        <w:t xml:space="preserve">The meta-analysis by Chen et al. (2019) compared unilateral and bilateral percutaneous vertebroplasty. A total of 9 studies including 627 patients were selected for inclusion (N=314 unilateral; N=313 bilateral). </w:t>
      </w:r>
      <w:r w:rsidRPr="00814EE1">
        <w:t>The meta-analysis showed no significant difference in</w:t>
      </w:r>
      <w:r w:rsidRPr="009C6BB8">
        <w:t xml:space="preserve"> visual analogue scale</w:t>
      </w:r>
      <w:r w:rsidRPr="00814EE1">
        <w:t xml:space="preserve"> </w:t>
      </w:r>
      <w:r>
        <w:t>(</w:t>
      </w:r>
      <w:r w:rsidRPr="00814EE1">
        <w:t>VAS</w:t>
      </w:r>
      <w:r>
        <w:t>)</w:t>
      </w:r>
      <w:r w:rsidRPr="00814EE1">
        <w:t xml:space="preserve"> (MD=−0.05, 95% CI [−0.24, 0.13]), Oswestry Disability Index (ODI) score (MD=0.03, 95% CI: [−0.57, 0.62]) and cement leakage (</w:t>
      </w:r>
      <w:r>
        <w:t>odds ratio</w:t>
      </w:r>
      <w:r w:rsidRPr="00814EE1">
        <w:t xml:space="preserve">=1.00, 95% CI: [0.67, 1.50]) between the unilateral group and the bilateral group. The surgery time of unilateral vertebroplasty </w:t>
      </w:r>
      <w:r>
        <w:t>wa</w:t>
      </w:r>
      <w:r w:rsidRPr="00814EE1">
        <w:t>s less than that of bilateral (MD</w:t>
      </w:r>
      <w:r>
        <w:t xml:space="preserve"> </w:t>
      </w:r>
      <w:r w:rsidRPr="00814EE1">
        <w:t>=</w:t>
      </w:r>
      <w:r>
        <w:t xml:space="preserve"> </w:t>
      </w:r>
      <w:r w:rsidRPr="00814EE1">
        <w:t>−8.42, 95% CI: [−13.17, −3.66]). Patients with bilateral vertebroplasty surgery have been injected with more cement than patients with a unilateral surgery (MD</w:t>
      </w:r>
      <w:r>
        <w:t xml:space="preserve"> </w:t>
      </w:r>
      <w:r w:rsidRPr="00814EE1">
        <w:t>=</w:t>
      </w:r>
      <w:r>
        <w:t xml:space="preserve"> </w:t>
      </w:r>
      <w:r w:rsidRPr="00814EE1">
        <w:t>−2.56, 95% CI: [−2.79, −2.33]).</w:t>
      </w:r>
    </w:p>
    <w:p w14:paraId="63C88F5E" w14:textId="77777777" w:rsidR="00464ED7" w:rsidRDefault="00464ED7" w:rsidP="00464ED7"/>
    <w:p w14:paraId="2030E995" w14:textId="1ED885F7" w:rsidR="00464ED7" w:rsidRDefault="00464ED7" w:rsidP="00464ED7">
      <w:r>
        <w:t>In its pre-ESC response to the February 2020 ESC meeting, the applicant reiterated that:</w:t>
      </w:r>
    </w:p>
    <w:p w14:paraId="0F7DCA34" w14:textId="45EDEC11" w:rsidR="00464ED7" w:rsidRDefault="00464ED7" w:rsidP="00464ED7">
      <w:pPr>
        <w:pStyle w:val="ListParagraph"/>
        <w:numPr>
          <w:ilvl w:val="0"/>
          <w:numId w:val="7"/>
        </w:numPr>
      </w:pPr>
      <w:r>
        <w:t xml:space="preserve">the VAPOUR trial was triggered by the MSAC outcome in 2011. Compared to </w:t>
      </w:r>
      <w:r w:rsidRPr="00285DAE">
        <w:t>the 2009 trials</w:t>
      </w:r>
      <w:r>
        <w:t xml:space="preserve">, the VAPOUR trial was </w:t>
      </w:r>
      <w:r w:rsidRPr="00285DAE">
        <w:t>designed to treat a different patient group with more severe symptoms, worse osteoporosis, mostly inpatients</w:t>
      </w:r>
      <w:r>
        <w:t>,</w:t>
      </w:r>
      <w:r w:rsidRPr="00285DAE">
        <w:t xml:space="preserve"> and us</w:t>
      </w:r>
      <w:r>
        <w:t>ed</w:t>
      </w:r>
      <w:r w:rsidRPr="00285DAE">
        <w:t xml:space="preserve"> a different technique called “vertebral fill”</w:t>
      </w:r>
      <w:r>
        <w:t>. The applicant claimed the</w:t>
      </w:r>
      <w:r w:rsidRPr="00285DAE">
        <w:t xml:space="preserve"> only other randomised trial to test early vertebroplasty (within 3</w:t>
      </w:r>
      <w:r w:rsidR="00EE49E5">
        <w:t> </w:t>
      </w:r>
      <w:r w:rsidRPr="00285DAE">
        <w:t>weeks of fracture) for patients with severe pain due predominantly (80%) to thoracolumbar fractures is Yang</w:t>
      </w:r>
      <w:r>
        <w:t xml:space="preserve"> et al. </w:t>
      </w:r>
      <w:r w:rsidRPr="00285DAE">
        <w:t>2016 which verifies t</w:t>
      </w:r>
      <w:r>
        <w:t>he findings in the VAPOUR trial.</w:t>
      </w:r>
    </w:p>
    <w:p w14:paraId="67C2F4E5" w14:textId="77777777" w:rsidR="00464ED7" w:rsidRDefault="00464ED7" w:rsidP="00464ED7">
      <w:pPr>
        <w:pStyle w:val="ListParagraph"/>
        <w:numPr>
          <w:ilvl w:val="0"/>
          <w:numId w:val="7"/>
        </w:numPr>
      </w:pPr>
      <w:r>
        <w:t>no authors from VAPOUR or the other blinded trials since 2009 were invited to contribute to the ASBMR Taskforce review. The applicant also claimed that the authors have had no clinical experience with vertebroplasty since 2009, when they stopped referring patients for it. The VAPOUR trial has happened since then.</w:t>
      </w:r>
    </w:p>
    <w:p w14:paraId="3D39E463" w14:textId="77777777" w:rsidR="00464ED7" w:rsidRDefault="00464ED7" w:rsidP="00464ED7">
      <w:pPr>
        <w:pStyle w:val="ListParagraph"/>
        <w:numPr>
          <w:ilvl w:val="0"/>
          <w:numId w:val="7"/>
        </w:numPr>
      </w:pPr>
      <w:r>
        <w:t>t</w:t>
      </w:r>
      <w:r w:rsidRPr="004F0397">
        <w:t>he Lou</w:t>
      </w:r>
      <w:r>
        <w:t xml:space="preserve"> et al. (2019)</w:t>
      </w:r>
      <w:r w:rsidRPr="004F0397">
        <w:t xml:space="preserve"> meta-analysis </w:t>
      </w:r>
      <w:r>
        <w:t xml:space="preserve">assessed </w:t>
      </w:r>
      <w:r w:rsidRPr="004F0397">
        <w:t xml:space="preserve">VAPOUR </w:t>
      </w:r>
      <w:r>
        <w:t xml:space="preserve">separately from the other randomised trials of vertebroplasty </w:t>
      </w:r>
      <w:r w:rsidRPr="004F0397">
        <w:t>due to clinical differences and p</w:t>
      </w:r>
      <w:r>
        <w:t>resented</w:t>
      </w:r>
      <w:r w:rsidRPr="004F0397">
        <w:t xml:space="preserve"> its results as a separate sub-group. This follows the guidelines in the published Cochrane vertebroplasty protocol. </w:t>
      </w:r>
      <w:r>
        <w:t>The applicant requested MSAC reconsider its positive assessment of the Cochrane Review from the 2018 PSD on the basis that:</w:t>
      </w:r>
    </w:p>
    <w:p w14:paraId="70FB72B8" w14:textId="77777777" w:rsidR="00464ED7" w:rsidRDefault="00464ED7" w:rsidP="00464ED7">
      <w:pPr>
        <w:pStyle w:val="ListParagraph"/>
        <w:numPr>
          <w:ilvl w:val="0"/>
          <w:numId w:val="8"/>
        </w:numPr>
      </w:pPr>
      <w:r>
        <w:t>the applicant has published a methodologically rigorous analysis of the Cochrane Review containing criticisms which are methodologically sound and referenced</w:t>
      </w:r>
    </w:p>
    <w:p w14:paraId="796CE4FE" w14:textId="77777777" w:rsidR="00464ED7" w:rsidRDefault="00464ED7" w:rsidP="00464ED7">
      <w:pPr>
        <w:pStyle w:val="ListParagraph"/>
        <w:numPr>
          <w:ilvl w:val="0"/>
          <w:numId w:val="8"/>
        </w:numPr>
      </w:pPr>
      <w:r>
        <w:t>the independent assessment of the Cochrane Review by Thema Consulting found it of critically low quality on AMSTAR2 rating, and not aligned to the PICO of MSAC 1466</w:t>
      </w:r>
    </w:p>
    <w:p w14:paraId="6199D0B1" w14:textId="77777777" w:rsidR="00464ED7" w:rsidRDefault="00464ED7" w:rsidP="00464ED7">
      <w:pPr>
        <w:pStyle w:val="ListParagraph"/>
        <w:numPr>
          <w:ilvl w:val="0"/>
          <w:numId w:val="8"/>
        </w:numPr>
      </w:pPr>
      <w:r>
        <w:t>Lamanna 2019, written by a Melbourne group, noted the errors in analysis in the April 2018 Cochrane Review and questioned why these were not corrected in the November 2018version, after they had been pointed out in a written complaint to Cochrane.</w:t>
      </w:r>
    </w:p>
    <w:p w14:paraId="04F303EA" w14:textId="77777777" w:rsidR="00FA7597" w:rsidRDefault="00FA7597" w:rsidP="00464ED7"/>
    <w:p w14:paraId="6A4A9124" w14:textId="515BC6FA" w:rsidR="00DB3BB9" w:rsidRDefault="00CE2F76" w:rsidP="00464ED7">
      <w:r>
        <w:t xml:space="preserve">In </w:t>
      </w:r>
      <w:r w:rsidR="00FA7597">
        <w:t>its</w:t>
      </w:r>
      <w:r>
        <w:t xml:space="preserve"> pre-MSAC </w:t>
      </w:r>
      <w:r w:rsidR="00DB3BB9">
        <w:t>response,</w:t>
      </w:r>
      <w:r>
        <w:t xml:space="preserve"> the applicant reiterated </w:t>
      </w:r>
      <w:r w:rsidR="00FA7597">
        <w:t>its</w:t>
      </w:r>
      <w:r w:rsidR="00DB3BB9">
        <w:t xml:space="preserve"> request for the 2018 Cochrane Review</w:t>
      </w:r>
      <w:r w:rsidR="001B2EFC">
        <w:t xml:space="preserve"> (Buchbinder et al. 2018)</w:t>
      </w:r>
      <w:r w:rsidR="00DB3BB9">
        <w:t xml:space="preserve">, and </w:t>
      </w:r>
      <w:r w:rsidR="001B2EFC">
        <w:t>by extension the ASBMR (</w:t>
      </w:r>
      <w:r w:rsidR="00DB3BB9" w:rsidRPr="00993B36">
        <w:t>Ebling</w:t>
      </w:r>
      <w:r w:rsidR="00DB3BB9">
        <w:t xml:space="preserve"> et al.</w:t>
      </w:r>
      <w:r w:rsidR="00DB3BB9" w:rsidRPr="00993B36">
        <w:t xml:space="preserve"> 2019</w:t>
      </w:r>
      <w:r w:rsidR="001B2EFC">
        <w:t>)</w:t>
      </w:r>
      <w:r w:rsidR="00C534B4">
        <w:t xml:space="preserve"> publication</w:t>
      </w:r>
      <w:r w:rsidR="00DB3BB9">
        <w:t>, to be excluded</w:t>
      </w:r>
      <w:r w:rsidR="00FA7597">
        <w:t xml:space="preserve"> from MSAC’s considerations</w:t>
      </w:r>
      <w:r w:rsidR="00DB3BB9">
        <w:t>.</w:t>
      </w:r>
      <w:r w:rsidR="00171760">
        <w:t xml:space="preserve"> The applicant also claimed that the pre-specified clinical endpoint chose</w:t>
      </w:r>
      <w:r w:rsidR="00AD1C25">
        <w:t>n</w:t>
      </w:r>
      <w:r w:rsidR="00171760">
        <w:t xml:space="preserve"> for the VAPOUR trial was </w:t>
      </w:r>
      <w:r w:rsidR="00AD1C25">
        <w:t>used to</w:t>
      </w:r>
      <w:r w:rsidR="00171760">
        <w:t xml:space="preserve"> define how many patients respond</w:t>
      </w:r>
      <w:r w:rsidR="00AD1C25">
        <w:t>ed sufficiently</w:t>
      </w:r>
      <w:r w:rsidR="00171760">
        <w:t xml:space="preserve"> favourably and how many d</w:t>
      </w:r>
      <w:r w:rsidR="00AD1C25">
        <w:t>id</w:t>
      </w:r>
      <w:r w:rsidR="00171760">
        <w:t xml:space="preserve"> not. The applicant also provide</w:t>
      </w:r>
      <w:r w:rsidR="00AD1C25">
        <w:t>d</w:t>
      </w:r>
      <w:r w:rsidR="00171760">
        <w:t xml:space="preserve"> two new publications for </w:t>
      </w:r>
      <w:r w:rsidR="00AD1C25">
        <w:t>MSAC</w:t>
      </w:r>
      <w:r w:rsidR="00171760">
        <w:t xml:space="preserve"> to consider:</w:t>
      </w:r>
    </w:p>
    <w:p w14:paraId="45BDD135" w14:textId="10671A59" w:rsidR="00171760" w:rsidRDefault="00171760" w:rsidP="00E5007A">
      <w:pPr>
        <w:pStyle w:val="ListParagraph"/>
        <w:numPr>
          <w:ilvl w:val="0"/>
          <w:numId w:val="11"/>
        </w:numPr>
      </w:pPr>
      <w:r>
        <w:lastRenderedPageBreak/>
        <w:t>Diamond et al. (2020)</w:t>
      </w:r>
      <w:r w:rsidR="00E5007A">
        <w:t xml:space="preserve"> present</w:t>
      </w:r>
      <w:r w:rsidR="00AD1C25">
        <w:t>ing</w:t>
      </w:r>
      <w:r w:rsidR="00E5007A">
        <w:t xml:space="preserve"> the subgroup analysis of </w:t>
      </w:r>
      <w:r w:rsidR="00E5007A" w:rsidRPr="003021C2">
        <w:t xml:space="preserve">93 patients with fracture duration </w:t>
      </w:r>
      <w:r w:rsidR="00E5007A">
        <w:t>≤</w:t>
      </w:r>
      <w:r w:rsidR="00E5007A" w:rsidRPr="003021C2">
        <w:t>3</w:t>
      </w:r>
      <w:r w:rsidR="00131E42">
        <w:t> </w:t>
      </w:r>
      <w:r w:rsidR="00E5007A" w:rsidRPr="003021C2">
        <w:t>weeks from the VAPOUR trial</w:t>
      </w:r>
      <w:r w:rsidR="00E5007A">
        <w:t xml:space="preserve"> and a review of literature (i.e. publication of the unpublished subgroup analysis data provided to MSAC)</w:t>
      </w:r>
    </w:p>
    <w:p w14:paraId="06C3A6B6" w14:textId="79D68852" w:rsidR="00E5007A" w:rsidRDefault="00E5007A" w:rsidP="00E5007A">
      <w:pPr>
        <w:pStyle w:val="ListParagraph"/>
        <w:numPr>
          <w:ilvl w:val="0"/>
          <w:numId w:val="11"/>
        </w:numPr>
      </w:pPr>
      <w:r>
        <w:t xml:space="preserve">Clark et al. (2020) letter to the editor of </w:t>
      </w:r>
      <w:r w:rsidRPr="00E5007A">
        <w:t>Internal Medicine Journal</w:t>
      </w:r>
      <w:r>
        <w:t xml:space="preserve"> regarding the 2018 Cochrane review and </w:t>
      </w:r>
      <w:r w:rsidR="00AD1C25">
        <w:t xml:space="preserve">the </w:t>
      </w:r>
      <w:r>
        <w:t>VAPOUR trial.</w:t>
      </w:r>
    </w:p>
    <w:p w14:paraId="03B4E913" w14:textId="77777777" w:rsidR="00E5007A" w:rsidRDefault="00E5007A" w:rsidP="00AD1C25"/>
    <w:p w14:paraId="35C2AF66" w14:textId="77777777" w:rsidR="00003F5A" w:rsidRDefault="00003F5A" w:rsidP="00003F5A">
      <w:pPr>
        <w:tabs>
          <w:tab w:val="left" w:pos="720"/>
          <w:tab w:val="left" w:pos="1140"/>
        </w:tabs>
        <w:spacing w:after="120"/>
        <w:rPr>
          <w:b/>
          <w:szCs w:val="24"/>
        </w:rPr>
      </w:pPr>
      <w:r>
        <w:rPr>
          <w:b/>
          <w:szCs w:val="24"/>
        </w:rPr>
        <w:t>Clinical c</w:t>
      </w:r>
      <w:r w:rsidRPr="00F37B9C">
        <w:rPr>
          <w:b/>
          <w:szCs w:val="24"/>
        </w:rPr>
        <w:t>laim</w:t>
      </w:r>
    </w:p>
    <w:p w14:paraId="23932317" w14:textId="462DE1CE" w:rsidR="00464ED7" w:rsidRDefault="00464ED7" w:rsidP="00AD1C25">
      <w:pPr>
        <w:pStyle w:val="NormalBeforeBullet"/>
        <w:spacing w:after="0"/>
        <w:rPr>
          <w:b/>
          <w:szCs w:val="24"/>
        </w:rPr>
      </w:pPr>
      <w:r>
        <w:t xml:space="preserve">A revised </w:t>
      </w:r>
      <w:r w:rsidRPr="00A73416">
        <w:rPr>
          <w:bCs/>
          <w:iCs/>
        </w:rPr>
        <w:t>clinical claim</w:t>
      </w:r>
      <w:r>
        <w:rPr>
          <w:bCs/>
          <w:iCs/>
        </w:rPr>
        <w:t xml:space="preserve"> </w:t>
      </w:r>
      <w:r>
        <w:t>was not provided as part of the reconsideration of Application 1466</w:t>
      </w:r>
      <w:r w:rsidRPr="00A73416">
        <w:rPr>
          <w:bCs/>
          <w:iCs/>
        </w:rPr>
        <w:t>.</w:t>
      </w:r>
      <w:r>
        <w:rPr>
          <w:bCs/>
          <w:iCs/>
        </w:rPr>
        <w:t xml:space="preserve"> The claim </w:t>
      </w:r>
      <w:r>
        <w:t>that vertebroplasty has superior effectiveness compared to conservative medical therapy in relation to pain relief, and non-inferior safety</w:t>
      </w:r>
      <w:r>
        <w:rPr>
          <w:bCs/>
          <w:iCs/>
        </w:rPr>
        <w:t xml:space="preserve"> </w:t>
      </w:r>
      <w:r w:rsidR="00AD1C25">
        <w:rPr>
          <w:bCs/>
          <w:iCs/>
        </w:rPr>
        <w:t xml:space="preserve">therefore </w:t>
      </w:r>
      <w:r>
        <w:t>remain</w:t>
      </w:r>
      <w:r w:rsidR="00AD1C25">
        <w:t>ed</w:t>
      </w:r>
      <w:r>
        <w:t xml:space="preserve"> unchanged; see </w:t>
      </w:r>
      <w:hyperlink r:id="rId15" w:tooltip="Link to MSAC website - application 1466" w:history="1">
        <w:r w:rsidRPr="009B17D0">
          <w:rPr>
            <w:rStyle w:val="Hyperlink"/>
          </w:rPr>
          <w:t>PSD Applica</w:t>
        </w:r>
        <w:r>
          <w:rPr>
            <w:rStyle w:val="Hyperlink"/>
          </w:rPr>
          <w:t>tion</w:t>
        </w:r>
        <w:r w:rsidRPr="009B17D0">
          <w:rPr>
            <w:rStyle w:val="Hyperlink"/>
          </w:rPr>
          <w:t xml:space="preserve"> No. 1466</w:t>
        </w:r>
      </w:hyperlink>
      <w:r>
        <w:t>, Nov 2018/March 2019 p13.</w:t>
      </w:r>
    </w:p>
    <w:p w14:paraId="5EB5EA04" w14:textId="77777777" w:rsidR="00003F5A" w:rsidRPr="00F715D1" w:rsidRDefault="00003F5A" w:rsidP="00003F5A">
      <w:pPr>
        <w:pStyle w:val="Heading1"/>
      </w:pPr>
      <w:r w:rsidRPr="00F715D1">
        <w:t>Economic evaluation</w:t>
      </w:r>
    </w:p>
    <w:p w14:paraId="03DF924B" w14:textId="010575D6" w:rsidR="00464ED7" w:rsidRDefault="00464ED7" w:rsidP="00464ED7">
      <w:r>
        <w:t xml:space="preserve">A revised economic evaluation was not provided as part of the reconsideration of Application 1466. This </w:t>
      </w:r>
      <w:r w:rsidR="00AD1C25">
        <w:t xml:space="preserve">therefore also </w:t>
      </w:r>
      <w:r>
        <w:t xml:space="preserve">remained unchanged; see </w:t>
      </w:r>
      <w:hyperlink r:id="rId16" w:tooltip="Link to MSAC website - application 1466" w:history="1">
        <w:r w:rsidRPr="009B17D0">
          <w:rPr>
            <w:rStyle w:val="Hyperlink"/>
          </w:rPr>
          <w:t>PSD Applica</w:t>
        </w:r>
        <w:r>
          <w:rPr>
            <w:rStyle w:val="Hyperlink"/>
          </w:rPr>
          <w:t>tion</w:t>
        </w:r>
        <w:r w:rsidRPr="009B17D0">
          <w:rPr>
            <w:rStyle w:val="Hyperlink"/>
          </w:rPr>
          <w:t xml:space="preserve"> No. 1466</w:t>
        </w:r>
      </w:hyperlink>
      <w:r>
        <w:t>, Nov 2018/March 2019 p13. In its pre-ESC response to the February 2020 ESC meeting, the applicant reiterated is advice of “</w:t>
      </w:r>
      <w:r w:rsidRPr="00CF349F">
        <w:t>a median 5.5 day reduction in hospitalisation and daily bed costs provided by Ramsay health care of $800-$900 per night. Savings on hospitalisation costs would exceed the cost of vertebroplasty for inpatients.</w:t>
      </w:r>
      <w:r>
        <w:t>”</w:t>
      </w:r>
    </w:p>
    <w:p w14:paraId="32FBFDDF" w14:textId="77777777" w:rsidR="00003F5A" w:rsidRPr="00F715D1" w:rsidRDefault="00003F5A" w:rsidP="00003F5A">
      <w:pPr>
        <w:pStyle w:val="Heading1"/>
      </w:pPr>
      <w:r w:rsidRPr="00F715D1">
        <w:t>Financial/budgetary impacts</w:t>
      </w:r>
    </w:p>
    <w:p w14:paraId="08471773" w14:textId="095B7858" w:rsidR="00464ED7" w:rsidRDefault="00464ED7" w:rsidP="00464ED7">
      <w:pPr>
        <w:spacing w:after="240"/>
      </w:pPr>
      <w:r>
        <w:t>Revised u</w:t>
      </w:r>
      <w:r w:rsidRPr="00AD3585">
        <w:t xml:space="preserve">tilisation or cost estimates </w:t>
      </w:r>
      <w:r>
        <w:t xml:space="preserve">were not provided as part of the reconsideration of Application 1466. This remained unchanged despite the requested changes to the eligible population; see </w:t>
      </w:r>
      <w:hyperlink r:id="rId17" w:tooltip="Link to MSAC website - application 1466" w:history="1">
        <w:r w:rsidRPr="009B17D0">
          <w:rPr>
            <w:rStyle w:val="Hyperlink"/>
          </w:rPr>
          <w:t>PSD Applica</w:t>
        </w:r>
        <w:r>
          <w:rPr>
            <w:rStyle w:val="Hyperlink"/>
          </w:rPr>
          <w:t>tion</w:t>
        </w:r>
        <w:r w:rsidRPr="009B17D0">
          <w:rPr>
            <w:rStyle w:val="Hyperlink"/>
          </w:rPr>
          <w:t xml:space="preserve"> No. 1466</w:t>
        </w:r>
      </w:hyperlink>
      <w:r>
        <w:t>, Nov 2018/March 2019 p13.</w:t>
      </w:r>
    </w:p>
    <w:p w14:paraId="2A5B5C8A" w14:textId="77777777" w:rsidR="00003F5A" w:rsidRPr="00F715D1" w:rsidRDefault="00003F5A" w:rsidP="00003F5A">
      <w:pPr>
        <w:pStyle w:val="Heading1"/>
      </w:pPr>
      <w:r w:rsidRPr="00F715D1">
        <w:lastRenderedPageBreak/>
        <w:t>Key issues from ESC for MSAC</w:t>
      </w:r>
    </w:p>
    <w:tbl>
      <w:tblPr>
        <w:tblStyle w:val="TableGrid"/>
        <w:tblW w:w="0" w:type="auto"/>
        <w:tblLook w:val="04A0" w:firstRow="1" w:lastRow="0" w:firstColumn="1" w:lastColumn="0" w:noHBand="0" w:noVBand="1"/>
        <w:tblDescription w:val="Summary of the key issues raised at ESC for MSAC consideration"/>
      </w:tblPr>
      <w:tblGrid>
        <w:gridCol w:w="2943"/>
        <w:gridCol w:w="6073"/>
      </w:tblGrid>
      <w:tr w:rsidR="00464ED7" w14:paraId="6047E858" w14:textId="77777777" w:rsidTr="005E6705">
        <w:trPr>
          <w:tblHeader/>
        </w:trPr>
        <w:tc>
          <w:tcPr>
            <w:tcW w:w="2943" w:type="dxa"/>
          </w:tcPr>
          <w:p w14:paraId="0DF9D1BC" w14:textId="77777777" w:rsidR="00464ED7" w:rsidRDefault="00464ED7" w:rsidP="00BD04F3">
            <w:pPr>
              <w:pStyle w:val="TableHeading"/>
            </w:pPr>
            <w:r>
              <w:t>ESC key issue</w:t>
            </w:r>
          </w:p>
        </w:tc>
        <w:tc>
          <w:tcPr>
            <w:tcW w:w="6073" w:type="dxa"/>
          </w:tcPr>
          <w:p w14:paraId="43EFC43B" w14:textId="77777777" w:rsidR="00464ED7" w:rsidRDefault="00464ED7" w:rsidP="00BD04F3">
            <w:pPr>
              <w:pStyle w:val="TableHeading"/>
            </w:pPr>
            <w:r>
              <w:t>ESC advice to MSAC</w:t>
            </w:r>
          </w:p>
        </w:tc>
      </w:tr>
      <w:tr w:rsidR="00464ED7" w14:paraId="2A9E3E48" w14:textId="77777777" w:rsidTr="00BD04F3">
        <w:tc>
          <w:tcPr>
            <w:tcW w:w="2943" w:type="dxa"/>
          </w:tcPr>
          <w:p w14:paraId="41A95ACD" w14:textId="77777777" w:rsidR="00464ED7" w:rsidRDefault="00464ED7" w:rsidP="00BD04F3">
            <w:pPr>
              <w:pStyle w:val="TableText"/>
            </w:pPr>
            <w:r>
              <w:t>W</w:t>
            </w:r>
            <w:r w:rsidRPr="00462DBD">
              <w:t xml:space="preserve">hether </w:t>
            </w:r>
            <w:r>
              <w:t xml:space="preserve">to support </w:t>
            </w:r>
            <w:r w:rsidRPr="00462DBD">
              <w:t>the claim made in Diamond (2019), Clark (2019) and Lamanna (2019) that the Cochrane Review is not relevant to the requested listing and the focus should be on VAPOUR alone</w:t>
            </w:r>
          </w:p>
        </w:tc>
        <w:tc>
          <w:tcPr>
            <w:tcW w:w="6073" w:type="dxa"/>
          </w:tcPr>
          <w:p w14:paraId="190D345B" w14:textId="77777777" w:rsidR="00464ED7" w:rsidRDefault="00464ED7" w:rsidP="00BD04F3">
            <w:pPr>
              <w:pStyle w:val="TableText"/>
            </w:pPr>
            <w:r>
              <w:t>Based on</w:t>
            </w:r>
            <w:r w:rsidRPr="002C50E3">
              <w:t xml:space="preserve"> </w:t>
            </w:r>
            <w:r>
              <w:t xml:space="preserve">the totality of the information </w:t>
            </w:r>
            <w:r w:rsidRPr="002C50E3">
              <w:t>presented</w:t>
            </w:r>
            <w:r>
              <w:t>, including input from the stakeholder meeting</w:t>
            </w:r>
            <w:r w:rsidRPr="002C50E3">
              <w:t xml:space="preserve">, </w:t>
            </w:r>
            <w:r>
              <w:t>ESC considered that dismissing evidence from other trials and focusing on the VAPOUR trial alone was in</w:t>
            </w:r>
            <w:r w:rsidRPr="00824080">
              <w:t>approp</w:t>
            </w:r>
            <w:r>
              <w:t>riate.</w:t>
            </w:r>
          </w:p>
        </w:tc>
      </w:tr>
      <w:tr w:rsidR="00464ED7" w14:paraId="18D2126B" w14:textId="77777777" w:rsidTr="00BD04F3">
        <w:tc>
          <w:tcPr>
            <w:tcW w:w="2943" w:type="dxa"/>
          </w:tcPr>
          <w:p w14:paraId="13C824FA" w14:textId="77777777" w:rsidR="00464ED7" w:rsidRDefault="00464ED7" w:rsidP="00BD04F3">
            <w:pPr>
              <w:pStyle w:val="TableText"/>
            </w:pPr>
            <w:r>
              <w:t>W</w:t>
            </w:r>
            <w:r w:rsidRPr="00462DBD">
              <w:t>hether the points made in Clark (2019) counter the claim made by Buchbinder and Busija (2019) that vertebroplasty should not be performed</w:t>
            </w:r>
          </w:p>
        </w:tc>
        <w:tc>
          <w:tcPr>
            <w:tcW w:w="6073" w:type="dxa"/>
          </w:tcPr>
          <w:p w14:paraId="003F55FA" w14:textId="77777777" w:rsidR="00464ED7" w:rsidRDefault="00464ED7" w:rsidP="00BD04F3">
            <w:pPr>
              <w:pStyle w:val="TableText"/>
            </w:pPr>
            <w:r>
              <w:t>Research and publications stating opposing conclusions to the applicant’s findings cannot be dismissed. ESC was of the view that all evidence of the comparative safety and effectiveness of vertebroplasty should be considered.</w:t>
            </w:r>
          </w:p>
        </w:tc>
      </w:tr>
      <w:tr w:rsidR="00464ED7" w14:paraId="0637C692" w14:textId="77777777" w:rsidTr="00BD04F3">
        <w:tc>
          <w:tcPr>
            <w:tcW w:w="2943" w:type="dxa"/>
          </w:tcPr>
          <w:p w14:paraId="4E1947FF" w14:textId="77777777" w:rsidR="00464ED7" w:rsidRDefault="00464ED7" w:rsidP="00BD04F3">
            <w:pPr>
              <w:pStyle w:val="TableText"/>
            </w:pPr>
            <w:r>
              <w:t>T</w:t>
            </w:r>
            <w:r w:rsidRPr="00462DBD">
              <w:t xml:space="preserve">he impact of the safety outcomes identified in </w:t>
            </w:r>
            <w:r w:rsidRPr="00BA50D8">
              <w:t>Mazzantini</w:t>
            </w:r>
            <w:r>
              <w:t xml:space="preserve"> et al. (2019)</w:t>
            </w:r>
            <w:r w:rsidRPr="00BA50D8">
              <w:t xml:space="preserve"> and Hsieh</w:t>
            </w:r>
            <w:r>
              <w:t xml:space="preserve"> et al. (2019)</w:t>
            </w:r>
          </w:p>
        </w:tc>
        <w:tc>
          <w:tcPr>
            <w:tcW w:w="6073" w:type="dxa"/>
          </w:tcPr>
          <w:p w14:paraId="3AEBE187" w14:textId="77777777" w:rsidR="00464ED7" w:rsidRDefault="00464ED7" w:rsidP="00BD04F3">
            <w:pPr>
              <w:pStyle w:val="TableText"/>
            </w:pPr>
            <w:r>
              <w:t>ESC considered that these publications should not be overlooked; the comparative safety of vertebroplasty remains uncertain overall.</w:t>
            </w:r>
          </w:p>
        </w:tc>
      </w:tr>
      <w:tr w:rsidR="00464ED7" w14:paraId="347F9666" w14:textId="77777777" w:rsidTr="00BD04F3">
        <w:tc>
          <w:tcPr>
            <w:tcW w:w="2943" w:type="dxa"/>
          </w:tcPr>
          <w:p w14:paraId="24C9904E" w14:textId="77777777" w:rsidR="00464ED7" w:rsidRDefault="00464ED7" w:rsidP="00BD04F3">
            <w:pPr>
              <w:pStyle w:val="TableText"/>
            </w:pPr>
            <w:r w:rsidRPr="00BA50D8">
              <w:t>The case presented by the applicant is optimistic but not entirely without merit</w:t>
            </w:r>
          </w:p>
        </w:tc>
        <w:tc>
          <w:tcPr>
            <w:tcW w:w="6073" w:type="dxa"/>
          </w:tcPr>
          <w:p w14:paraId="63B1BBD4" w14:textId="77777777" w:rsidR="00464ED7" w:rsidRDefault="00464ED7" w:rsidP="00BD04F3">
            <w:pPr>
              <w:pStyle w:val="TableText"/>
            </w:pPr>
            <w:r w:rsidRPr="002C50E3">
              <w:t xml:space="preserve">While the effectiveness and economic case presented by the applicant is not strong, </w:t>
            </w:r>
            <w:r>
              <w:t>ESC acknowledged that improvements in functional mobility are biologically plausible. However, comparative effectiveness has not yet been demonstrated using this outcome measure. ESC noted the claims made by the applicant regarding choice, equity, and enhancing public system responsiveness.</w:t>
            </w:r>
          </w:p>
        </w:tc>
      </w:tr>
      <w:tr w:rsidR="00464ED7" w14:paraId="2AFACFFF" w14:textId="77777777" w:rsidTr="00BD04F3">
        <w:tc>
          <w:tcPr>
            <w:tcW w:w="2943" w:type="dxa"/>
          </w:tcPr>
          <w:p w14:paraId="1DB98D7D" w14:textId="77777777" w:rsidR="00464ED7" w:rsidRPr="00BA50D8" w:rsidRDefault="00464ED7" w:rsidP="00BD04F3">
            <w:pPr>
              <w:pStyle w:val="TableText"/>
              <w:keepNext w:val="0"/>
            </w:pPr>
            <w:r w:rsidRPr="002C50E3">
              <w:t>Considerable uncertainty</w:t>
            </w:r>
            <w:r>
              <w:t xml:space="preserve"> in available evidence</w:t>
            </w:r>
          </w:p>
        </w:tc>
        <w:tc>
          <w:tcPr>
            <w:tcW w:w="6073" w:type="dxa"/>
          </w:tcPr>
          <w:p w14:paraId="7275C45B" w14:textId="77777777" w:rsidR="00464ED7" w:rsidRDefault="00464ED7" w:rsidP="00BD04F3">
            <w:pPr>
              <w:pStyle w:val="TableText"/>
            </w:pPr>
            <w:r w:rsidRPr="002C50E3">
              <w:t xml:space="preserve">Key aspects of uncertainty include </w:t>
            </w:r>
            <w:r>
              <w:t xml:space="preserve">the evidence for the </w:t>
            </w:r>
            <w:r w:rsidRPr="002C50E3">
              <w:t xml:space="preserve">clinical and economic outcomes, </w:t>
            </w:r>
            <w:r>
              <w:t xml:space="preserve">the </w:t>
            </w:r>
            <w:r w:rsidRPr="002C50E3">
              <w:t>setting</w:t>
            </w:r>
            <w:r>
              <w:t xml:space="preserve"> of use</w:t>
            </w:r>
            <w:r w:rsidRPr="002C50E3">
              <w:t xml:space="preserve">, </w:t>
            </w:r>
            <w:r>
              <w:t xml:space="preserve">likely </w:t>
            </w:r>
            <w:r w:rsidRPr="002C50E3">
              <w:t>proce</w:t>
            </w:r>
            <w:r>
              <w:t>dure variation, potential harms, and</w:t>
            </w:r>
            <w:r w:rsidRPr="002C50E3">
              <w:t xml:space="preserve"> potential </w:t>
            </w:r>
            <w:r>
              <w:t>use outside the proposed patient population</w:t>
            </w:r>
            <w:r w:rsidRPr="002C50E3">
              <w:t xml:space="preserve">. </w:t>
            </w:r>
            <w:r>
              <w:t xml:space="preserve">Consequently, ESC was of the view that </w:t>
            </w:r>
            <w:r w:rsidRPr="002C50E3">
              <w:t xml:space="preserve">the </w:t>
            </w:r>
            <w:r>
              <w:t xml:space="preserve">application has presented the </w:t>
            </w:r>
            <w:r w:rsidRPr="002C50E3">
              <w:t>best case scenario</w:t>
            </w:r>
            <w:r>
              <w:t>.</w:t>
            </w:r>
          </w:p>
        </w:tc>
      </w:tr>
      <w:tr w:rsidR="00464ED7" w14:paraId="521B382C" w14:textId="77777777" w:rsidTr="00BD04F3">
        <w:tc>
          <w:tcPr>
            <w:tcW w:w="2943" w:type="dxa"/>
          </w:tcPr>
          <w:p w14:paraId="730A23B4" w14:textId="77777777" w:rsidR="00464ED7" w:rsidRPr="00BA50D8" w:rsidRDefault="00464ED7" w:rsidP="00BD04F3">
            <w:pPr>
              <w:pStyle w:val="TableText"/>
            </w:pPr>
            <w:r w:rsidRPr="002C50E3">
              <w:t>Implementation measures</w:t>
            </w:r>
          </w:p>
        </w:tc>
        <w:tc>
          <w:tcPr>
            <w:tcW w:w="6073" w:type="dxa"/>
          </w:tcPr>
          <w:p w14:paraId="6708A7D3" w14:textId="77777777" w:rsidR="00464ED7" w:rsidRDefault="00464ED7" w:rsidP="00BD04F3">
            <w:pPr>
              <w:pStyle w:val="TableText"/>
            </w:pPr>
            <w:r w:rsidRPr="002C50E3">
              <w:t xml:space="preserve">Options are limited for </w:t>
            </w:r>
            <w:r>
              <w:t xml:space="preserve">the </w:t>
            </w:r>
            <w:r w:rsidRPr="002C50E3">
              <w:t xml:space="preserve">MBS to influence issues such as </w:t>
            </w:r>
            <w:r>
              <w:t>use outside the proposed patient population</w:t>
            </w:r>
            <w:r w:rsidRPr="002C50E3">
              <w:t xml:space="preserve">, referral process, practice variation, experience of providers </w:t>
            </w:r>
            <w:r>
              <w:t xml:space="preserve">and </w:t>
            </w:r>
            <w:r w:rsidRPr="002C50E3">
              <w:t>case</w:t>
            </w:r>
            <w:r>
              <w:t>-</w:t>
            </w:r>
            <w:r w:rsidRPr="002C50E3">
              <w:t>by</w:t>
            </w:r>
            <w:r>
              <w:t>-</w:t>
            </w:r>
            <w:r w:rsidRPr="002C50E3">
              <w:t xml:space="preserve">case considerations. Considerable discretion is likely to be left to providers. </w:t>
            </w:r>
            <w:r>
              <w:t xml:space="preserve">As such ESC advised </w:t>
            </w:r>
            <w:r w:rsidRPr="002C50E3">
              <w:t xml:space="preserve">MSAC </w:t>
            </w:r>
            <w:r>
              <w:t xml:space="preserve">to </w:t>
            </w:r>
            <w:r w:rsidRPr="002C50E3">
              <w:t xml:space="preserve">consider its previous decisions, </w:t>
            </w:r>
            <w:r>
              <w:t>potential</w:t>
            </w:r>
            <w:r w:rsidRPr="002C50E3">
              <w:t xml:space="preserve"> problems and its risk tolerance, before deciding if the implementation risks are acceptable.</w:t>
            </w:r>
          </w:p>
        </w:tc>
      </w:tr>
      <w:tr w:rsidR="00464ED7" w14:paraId="5B8FD519" w14:textId="77777777" w:rsidTr="00BD04F3">
        <w:tc>
          <w:tcPr>
            <w:tcW w:w="2943" w:type="dxa"/>
          </w:tcPr>
          <w:p w14:paraId="7946C6C0" w14:textId="77777777" w:rsidR="00464ED7" w:rsidRPr="00BA50D8" w:rsidRDefault="00464ED7" w:rsidP="00BD04F3">
            <w:pPr>
              <w:pStyle w:val="TableText"/>
              <w:keepNext w:val="0"/>
            </w:pPr>
            <w:r w:rsidRPr="002C50E3">
              <w:t>Financial impact</w:t>
            </w:r>
          </w:p>
        </w:tc>
        <w:tc>
          <w:tcPr>
            <w:tcW w:w="6073" w:type="dxa"/>
          </w:tcPr>
          <w:p w14:paraId="2B439AA1" w14:textId="77777777" w:rsidR="00464ED7" w:rsidRDefault="00464ED7" w:rsidP="00BD04F3">
            <w:pPr>
              <w:pStyle w:val="TableText"/>
            </w:pPr>
            <w:r>
              <w:t xml:space="preserve">ESC advised that the estimated financial impact was relatively modest </w:t>
            </w:r>
            <w:r w:rsidRPr="002C50E3">
              <w:t xml:space="preserve">for </w:t>
            </w:r>
            <w:r>
              <w:t xml:space="preserve">the </w:t>
            </w:r>
            <w:r w:rsidRPr="002C50E3">
              <w:t>MBS</w:t>
            </w:r>
            <w:r>
              <w:t>,</w:t>
            </w:r>
            <w:r w:rsidRPr="002C50E3">
              <w:t xml:space="preserve"> but </w:t>
            </w:r>
            <w:r>
              <w:t>there would be significant</w:t>
            </w:r>
            <w:r w:rsidRPr="002C50E3">
              <w:t xml:space="preserve"> upward potential.</w:t>
            </w:r>
          </w:p>
        </w:tc>
      </w:tr>
    </w:tbl>
    <w:p w14:paraId="68B6E4B8" w14:textId="77777777" w:rsidR="00003F5A" w:rsidRDefault="00003F5A" w:rsidP="00AD1C25">
      <w:pPr>
        <w:spacing w:before="240" w:after="240"/>
        <w:rPr>
          <w:b/>
        </w:rPr>
      </w:pPr>
      <w:r w:rsidRPr="00F56D7F">
        <w:rPr>
          <w:b/>
        </w:rPr>
        <w:t>ESC discussion</w:t>
      </w:r>
    </w:p>
    <w:p w14:paraId="4B715A62" w14:textId="0C43EB5E" w:rsidR="00464ED7" w:rsidRDefault="00464ED7" w:rsidP="00464ED7">
      <w:r>
        <w:t xml:space="preserve">ESC noted the narrowing of the proposed population since MSAC’s most recent previous consideration of this application, to patients with thoracolumbar vertebral fractures with duration of </w:t>
      </w:r>
      <w:r w:rsidRPr="00005C6F">
        <w:t>≤</w:t>
      </w:r>
      <w:r>
        <w:t>3 weeks</w:t>
      </w:r>
      <w:r w:rsidR="00131E42">
        <w:t xml:space="preserve"> and severe pain</w:t>
      </w:r>
      <w:r>
        <w:t>. ESC noted that the comparator, clinical claim and clinical management algorithm are otherwise unchanged since the previous consideration. ESC therefore focused on the new material provided since MSAC’s most recent previous consideration.</w:t>
      </w:r>
    </w:p>
    <w:p w14:paraId="56A53EE3" w14:textId="77777777" w:rsidR="00464ED7" w:rsidRDefault="00464ED7" w:rsidP="00464ED7"/>
    <w:p w14:paraId="1C6A69C7" w14:textId="77777777" w:rsidR="00464ED7" w:rsidRDefault="00464ED7" w:rsidP="00464ED7">
      <w:pPr>
        <w:pStyle w:val="NormalBeforeBullet"/>
      </w:pPr>
      <w:r>
        <w:t>ESC noted new data analyses provided by the applicant:</w:t>
      </w:r>
    </w:p>
    <w:p w14:paraId="3968AC91" w14:textId="3079F4AF" w:rsidR="00464ED7" w:rsidRPr="00E66C8F" w:rsidRDefault="00464ED7" w:rsidP="00AD1C25">
      <w:pPr>
        <w:pStyle w:val="ListParagraph"/>
        <w:numPr>
          <w:ilvl w:val="0"/>
          <w:numId w:val="7"/>
        </w:numPr>
      </w:pPr>
      <w:r w:rsidRPr="00E9681E">
        <w:rPr>
          <w:lang w:val="en-US"/>
        </w:rPr>
        <w:t xml:space="preserve">VAPOUR </w:t>
      </w:r>
      <w:r>
        <w:rPr>
          <w:lang w:val="en-US"/>
        </w:rPr>
        <w:t xml:space="preserve">trial </w:t>
      </w:r>
      <w:r w:rsidRPr="00E9681E">
        <w:rPr>
          <w:lang w:val="en-US"/>
        </w:rPr>
        <w:t xml:space="preserve">data </w:t>
      </w:r>
      <w:r w:rsidRPr="00AD1C25">
        <w:t>for</w:t>
      </w:r>
      <w:r w:rsidRPr="00E9681E">
        <w:rPr>
          <w:lang w:val="en-US"/>
        </w:rPr>
        <w:t xml:space="preserve"> patients with </w:t>
      </w:r>
      <w:r>
        <w:rPr>
          <w:lang w:val="en-US"/>
        </w:rPr>
        <w:t xml:space="preserve">thoracolumbar </w:t>
      </w:r>
      <w:r w:rsidRPr="00E9681E">
        <w:rPr>
          <w:lang w:val="en-US"/>
        </w:rPr>
        <w:t>fractures of ≤3</w:t>
      </w:r>
      <w:r w:rsidR="00131E42">
        <w:rPr>
          <w:lang w:val="en-US"/>
        </w:rPr>
        <w:t> </w:t>
      </w:r>
      <w:r w:rsidRPr="00E9681E">
        <w:rPr>
          <w:lang w:val="en-US"/>
        </w:rPr>
        <w:t xml:space="preserve">weeks duration, showing </w:t>
      </w:r>
      <w:r w:rsidRPr="00E9681E">
        <w:t>n</w:t>
      </w:r>
      <w:r w:rsidRPr="00E9681E">
        <w:rPr>
          <w:rFonts w:eastAsiaTheme="minorEastAsia"/>
        </w:rPr>
        <w:t>o</w:t>
      </w:r>
      <w:r w:rsidRPr="00E9681E">
        <w:rPr>
          <w:lang w:val="en-US"/>
        </w:rPr>
        <w:t xml:space="preserve"> statistically significant differences in </w:t>
      </w:r>
      <w:r>
        <w:rPr>
          <w:lang w:val="en-US"/>
        </w:rPr>
        <w:t xml:space="preserve">the 10-point </w:t>
      </w:r>
      <w:r w:rsidRPr="00731AB8">
        <w:t>numeric rating scale</w:t>
      </w:r>
      <w:r>
        <w:t xml:space="preserve"> </w:t>
      </w:r>
      <w:r>
        <w:lastRenderedPageBreak/>
        <w:t>(</w:t>
      </w:r>
      <w:r w:rsidRPr="00E9681E">
        <w:rPr>
          <w:lang w:val="en-US"/>
        </w:rPr>
        <w:t>NRS</w:t>
      </w:r>
      <w:r>
        <w:rPr>
          <w:lang w:val="en-US"/>
        </w:rPr>
        <w:t>) pain scores</w:t>
      </w:r>
      <w:r w:rsidRPr="00E9681E">
        <w:rPr>
          <w:lang w:val="en-US"/>
        </w:rPr>
        <w:t xml:space="preserve"> or EQ-5D </w:t>
      </w:r>
      <w:r>
        <w:rPr>
          <w:lang w:val="en-US"/>
        </w:rPr>
        <w:t xml:space="preserve">results </w:t>
      </w:r>
      <w:r w:rsidRPr="00E9681E">
        <w:rPr>
          <w:lang w:val="en-US"/>
        </w:rPr>
        <w:t xml:space="preserve">between </w:t>
      </w:r>
      <w:r w:rsidRPr="00731AB8">
        <w:rPr>
          <w:lang w:val="en-US"/>
        </w:rPr>
        <w:t>vert</w:t>
      </w:r>
      <w:r>
        <w:rPr>
          <w:lang w:val="en-US"/>
        </w:rPr>
        <w:t>ebroplasty</w:t>
      </w:r>
      <w:r w:rsidRPr="00731AB8">
        <w:rPr>
          <w:lang w:val="en-US"/>
        </w:rPr>
        <w:t xml:space="preserve"> and sham interventions </w:t>
      </w:r>
      <w:r w:rsidRPr="00E9681E">
        <w:rPr>
          <w:lang w:val="en-US"/>
        </w:rPr>
        <w:t>groups</w:t>
      </w:r>
      <w:r>
        <w:rPr>
          <w:lang w:val="en-US"/>
        </w:rPr>
        <w:t xml:space="preserve"> at </w:t>
      </w:r>
      <w:r w:rsidRPr="00E9681E">
        <w:rPr>
          <w:lang w:val="en-US"/>
        </w:rPr>
        <w:t>baseline</w:t>
      </w:r>
    </w:p>
    <w:p w14:paraId="7FB11622" w14:textId="77777777" w:rsidR="00464ED7" w:rsidRPr="00E66C8F" w:rsidRDefault="00464ED7" w:rsidP="00AD1C25">
      <w:pPr>
        <w:pStyle w:val="ListParagraph"/>
        <w:numPr>
          <w:ilvl w:val="0"/>
          <w:numId w:val="7"/>
        </w:numPr>
      </w:pPr>
      <w:r w:rsidRPr="00E71DF8">
        <w:rPr>
          <w:lang w:val="en-US"/>
        </w:rPr>
        <w:t>an unpublished (Diamond et al.</w:t>
      </w:r>
      <w:r>
        <w:rPr>
          <w:lang w:val="en-US"/>
        </w:rPr>
        <w:t>) sub</w:t>
      </w:r>
      <w:r w:rsidRPr="00E71DF8">
        <w:rPr>
          <w:lang w:val="en-US"/>
        </w:rPr>
        <w:t>group analysis of patients with fractures of ≤3 </w:t>
      </w:r>
      <w:r w:rsidRPr="00C7126B">
        <w:t>weeks</w:t>
      </w:r>
      <w:r w:rsidRPr="00E71DF8">
        <w:rPr>
          <w:lang w:val="en-US"/>
        </w:rPr>
        <w:t xml:space="preserve"> duration showing statistically significant difference</w:t>
      </w:r>
      <w:r>
        <w:rPr>
          <w:lang w:val="en-US"/>
        </w:rPr>
        <w:t>s between vertebroplasty and placebo, including the proportion</w:t>
      </w:r>
      <w:r w:rsidRPr="00E71DF8">
        <w:rPr>
          <w:lang w:val="en-US"/>
        </w:rPr>
        <w:t xml:space="preserve"> of patients with NRS pain score </w:t>
      </w:r>
      <w:r>
        <w:rPr>
          <w:lang w:val="en-US"/>
        </w:rPr>
        <w:t>&lt;</w:t>
      </w:r>
      <w:r w:rsidRPr="00E71DF8">
        <w:rPr>
          <w:lang w:val="en-US"/>
        </w:rPr>
        <w:t>4 at day 14 (20</w:t>
      </w:r>
      <w:r>
        <w:rPr>
          <w:lang w:val="en-US"/>
        </w:rPr>
        <w:t>%</w:t>
      </w:r>
      <w:r w:rsidRPr="00E71DF8">
        <w:rPr>
          <w:lang w:val="en-US"/>
        </w:rPr>
        <w:t xml:space="preserve"> v</w:t>
      </w:r>
      <w:r>
        <w:rPr>
          <w:lang w:val="en-US"/>
        </w:rPr>
        <w:t>ersu</w:t>
      </w:r>
      <w:r w:rsidRPr="00E71DF8">
        <w:rPr>
          <w:lang w:val="en-US"/>
        </w:rPr>
        <w:t>s 51</w:t>
      </w:r>
      <w:r>
        <w:rPr>
          <w:lang w:val="en-US"/>
        </w:rPr>
        <w:t>%; difference in proportions 31%, 95% CI: 12% to 50%</w:t>
      </w:r>
      <w:r w:rsidRPr="00E71DF8">
        <w:rPr>
          <w:lang w:val="en-US"/>
        </w:rPr>
        <w:t xml:space="preserve">), and the </w:t>
      </w:r>
      <w:r>
        <w:rPr>
          <w:lang w:val="en-US"/>
        </w:rPr>
        <w:t>m</w:t>
      </w:r>
      <w:r w:rsidRPr="00E71DF8">
        <w:rPr>
          <w:lang w:val="en-US"/>
        </w:rPr>
        <w:t xml:space="preserve">ean NRS pain scores </w:t>
      </w:r>
      <w:r>
        <w:rPr>
          <w:lang w:val="en-US"/>
        </w:rPr>
        <w:t xml:space="preserve">at day 14 </w:t>
      </w:r>
      <w:r w:rsidRPr="00E71DF8">
        <w:rPr>
          <w:lang w:val="en-US"/>
        </w:rPr>
        <w:t xml:space="preserve">(3.8 </w:t>
      </w:r>
      <w:r>
        <w:rPr>
          <w:lang w:val="en-US"/>
        </w:rPr>
        <w:t>versus</w:t>
      </w:r>
      <w:r w:rsidRPr="00E71DF8">
        <w:rPr>
          <w:lang w:val="en-US"/>
        </w:rPr>
        <w:t xml:space="preserve"> </w:t>
      </w:r>
      <w:r>
        <w:rPr>
          <w:lang w:val="en-US"/>
        </w:rPr>
        <w:t>5.6; difference in means 1.9,</w:t>
      </w:r>
      <w:r w:rsidRPr="00E71DF8">
        <w:rPr>
          <w:lang w:val="en-US"/>
        </w:rPr>
        <w:t xml:space="preserve"> </w:t>
      </w:r>
      <w:r>
        <w:rPr>
          <w:lang w:val="en-US"/>
        </w:rPr>
        <w:t>95% CI: 0.7 to 3.0</w:t>
      </w:r>
      <w:r w:rsidRPr="00E71DF8">
        <w:rPr>
          <w:lang w:val="en-US"/>
        </w:rPr>
        <w:t>)</w:t>
      </w:r>
      <w:r>
        <w:rPr>
          <w:lang w:val="en-US"/>
        </w:rPr>
        <w:t>.</w:t>
      </w:r>
    </w:p>
    <w:p w14:paraId="640C7311" w14:textId="77777777" w:rsidR="00AD1C25" w:rsidRDefault="00AD1C25" w:rsidP="00464ED7"/>
    <w:p w14:paraId="47AAFFED" w14:textId="727A9754" w:rsidR="00464ED7" w:rsidRDefault="00464ED7" w:rsidP="00464ED7">
      <w:r>
        <w:t>ESC considered that the approach adopted in VAPOUR of converting continuous scores to a binary outcome may obscure findings in individuals whose pain score did not change.</w:t>
      </w:r>
    </w:p>
    <w:p w14:paraId="0628FE65" w14:textId="77777777" w:rsidR="00464ED7" w:rsidRDefault="00464ED7" w:rsidP="00464ED7"/>
    <w:p w14:paraId="6DB40D41" w14:textId="5C91B2EF" w:rsidR="00464ED7" w:rsidRDefault="00464ED7" w:rsidP="00464ED7">
      <w:r>
        <w:t xml:space="preserve">ESC noted the new evidence provided for comparative safety: Mazzantini et al. (2019) and Hsieh et al (2019). </w:t>
      </w:r>
      <w:r w:rsidRPr="00C17676">
        <w:t>Mazzantini</w:t>
      </w:r>
      <w:r>
        <w:t xml:space="preserve"> et al.</w:t>
      </w:r>
      <w:r w:rsidRPr="00C17676">
        <w:t xml:space="preserve"> </w:t>
      </w:r>
      <w:r>
        <w:t>(2019) prospectively showed the risk of new vertebral fracture after vertebroplasty was high in absolute terms, and higher when associated with glucocorticoid use (</w:t>
      </w:r>
      <w:r w:rsidRPr="00F9697A">
        <w:t>44.3% in the glucocorticoid group and 22.6% in the non-glucocorticoid group</w:t>
      </w:r>
      <w:r>
        <w:t xml:space="preserve">). ESC noted that the population in this study was restricted to those with vertebroplasty and considered this appropriate. </w:t>
      </w:r>
      <w:r w:rsidRPr="00BA50D8">
        <w:t>Hsieh</w:t>
      </w:r>
      <w:r>
        <w:t xml:space="preserve"> et al. (2019) was </w:t>
      </w:r>
      <w:r w:rsidRPr="009032FC">
        <w:t>a retrospective review</w:t>
      </w:r>
      <w:r>
        <w:t xml:space="preserve"> of r</w:t>
      </w:r>
      <w:r w:rsidRPr="009032FC">
        <w:t xml:space="preserve">isk factors </w:t>
      </w:r>
      <w:r>
        <w:t>for</w:t>
      </w:r>
      <w:r w:rsidRPr="009032FC">
        <w:t xml:space="preserve"> neurological deficit and</w:t>
      </w:r>
      <w:r>
        <w:t xml:space="preserve"> </w:t>
      </w:r>
      <w:r w:rsidRPr="009032FC">
        <w:t>pulmonary cement embolism</w:t>
      </w:r>
      <w:r>
        <w:t>. ESC noted the applicant’s concern that, although this paper is recent, the procedu</w:t>
      </w:r>
      <w:r w:rsidR="00EE49E5">
        <w:t>res reviewed were performed 5–8 </w:t>
      </w:r>
      <w:r>
        <w:t>years ago suggesting they may not reflect contemporary practice. ESC also noted that the pain duration categories (</w:t>
      </w:r>
      <w:r w:rsidRPr="000A7D0C">
        <w:t>&lt;2</w:t>
      </w:r>
      <w:r>
        <w:t> </w:t>
      </w:r>
      <w:r w:rsidRPr="000A7D0C">
        <w:t>w</w:t>
      </w:r>
      <w:r>
        <w:t>eeks</w:t>
      </w:r>
      <w:r w:rsidRPr="000A7D0C">
        <w:t>, 2</w:t>
      </w:r>
      <w:r>
        <w:t> </w:t>
      </w:r>
      <w:r w:rsidRPr="000A7D0C">
        <w:t>w</w:t>
      </w:r>
      <w:r>
        <w:t xml:space="preserve">eeks to </w:t>
      </w:r>
      <w:r w:rsidRPr="000A7D0C">
        <w:t>3</w:t>
      </w:r>
      <w:r>
        <w:t> </w:t>
      </w:r>
      <w:r w:rsidRPr="000A7D0C">
        <w:t>m</w:t>
      </w:r>
      <w:r>
        <w:t>onths</w:t>
      </w:r>
      <w:r w:rsidRPr="000A7D0C">
        <w:t>, &gt;3</w:t>
      </w:r>
      <w:r>
        <w:t> </w:t>
      </w:r>
      <w:r w:rsidRPr="000A7D0C">
        <w:t>m</w:t>
      </w:r>
      <w:r>
        <w:t>onths)</w:t>
      </w:r>
      <w:r w:rsidRPr="000A7D0C">
        <w:t xml:space="preserve"> </w:t>
      </w:r>
      <w:r>
        <w:t xml:space="preserve">are different to the current application, making comparison difficult. In addition, </w:t>
      </w:r>
      <w:r w:rsidRPr="00B97A9D">
        <w:t>many participants</w:t>
      </w:r>
      <w:r>
        <w:t xml:space="preserve"> in the study waited a</w:t>
      </w:r>
      <w:r w:rsidRPr="00B97A9D">
        <w:t xml:space="preserve"> long time bet</w:t>
      </w:r>
      <w:r>
        <w:t>ween</w:t>
      </w:r>
      <w:r w:rsidRPr="00B97A9D">
        <w:t xml:space="preserve"> fracture and vert</w:t>
      </w:r>
      <w:r>
        <w:t>ebroplasty. ESC noted that two-thirds of patients in the study had leakage of cement, although only a small number needed surgical corrective treatment. ESC concluded that this evidence shows that the procedure is not risk-free.</w:t>
      </w:r>
    </w:p>
    <w:p w14:paraId="2F6D6908" w14:textId="77777777" w:rsidR="00464ED7" w:rsidRDefault="00464ED7" w:rsidP="00464ED7"/>
    <w:p w14:paraId="13631979" w14:textId="77777777" w:rsidR="00464ED7" w:rsidRDefault="00464ED7" w:rsidP="00464ED7">
      <w:r>
        <w:t xml:space="preserve">ESC noted forest plots from Lou et al. (2019) in which data from the VAPOUR trial in terms of pain reduction at different time intervals was analysed separately from that of other randomised trials of vertebroplasty. ESC noted that, although the plot for the VAPOUR trial favours vertebroplasty, the analysis did not separate outcomes for the </w:t>
      </w:r>
      <w:r>
        <w:rPr>
          <w:lang w:val="en-US"/>
        </w:rPr>
        <w:t>≤3 </w:t>
      </w:r>
      <w:r w:rsidRPr="00E9681E">
        <w:rPr>
          <w:lang w:val="en-US"/>
        </w:rPr>
        <w:t>week</w:t>
      </w:r>
      <w:r>
        <w:rPr>
          <w:lang w:val="en-US"/>
        </w:rPr>
        <w:t xml:space="preserve"> and &gt;3 week subgroups.</w:t>
      </w:r>
    </w:p>
    <w:p w14:paraId="5BD4E7F5" w14:textId="77777777" w:rsidR="00464ED7" w:rsidRDefault="00464ED7" w:rsidP="00464ED7"/>
    <w:p w14:paraId="11D39A44" w14:textId="77777777" w:rsidR="00464ED7" w:rsidRDefault="00464ED7" w:rsidP="00464ED7">
      <w:pPr>
        <w:pStyle w:val="NormalBeforeBullet"/>
      </w:pPr>
      <w:r>
        <w:t>ESC noted that the stakeholder meeting held in June 2019 raised a number of issues, in particular:</w:t>
      </w:r>
    </w:p>
    <w:p w14:paraId="7DD1EAA1" w14:textId="77777777" w:rsidR="00464ED7" w:rsidRDefault="00464ED7" w:rsidP="00AD1C25">
      <w:pPr>
        <w:pStyle w:val="ListParagraph"/>
        <w:numPr>
          <w:ilvl w:val="0"/>
          <w:numId w:val="7"/>
        </w:numPr>
      </w:pPr>
      <w:r>
        <w:t>variance of views expressed at the meeting, noting also that, due to absences, views not supportive of the application were not expressed in person at the meeting</w:t>
      </w:r>
    </w:p>
    <w:p w14:paraId="79233113" w14:textId="77777777" w:rsidR="00464ED7" w:rsidRDefault="00464ED7" w:rsidP="00AD1C25">
      <w:pPr>
        <w:pStyle w:val="ListParagraph"/>
        <w:numPr>
          <w:ilvl w:val="0"/>
          <w:numId w:val="7"/>
        </w:numPr>
      </w:pPr>
      <w:r>
        <w:t>concern whether patients would be able to access treatment within 3 weeks, and the potential for this timeframe to create access issues</w:t>
      </w:r>
    </w:p>
    <w:p w14:paraId="561E9937" w14:textId="77777777" w:rsidR="00464ED7" w:rsidRDefault="00464ED7" w:rsidP="00AD1C25">
      <w:pPr>
        <w:pStyle w:val="ListParagraph"/>
        <w:numPr>
          <w:ilvl w:val="0"/>
          <w:numId w:val="7"/>
        </w:numPr>
      </w:pPr>
      <w:r>
        <w:t>how much the patient population should be restricted, including whether the procedure should be restricted to the four joints with the strongest evidence (T11–L2), given there is weaker evidence for the two vertebrae on either side of these</w:t>
      </w:r>
    </w:p>
    <w:p w14:paraId="6EE8C1CC" w14:textId="77777777" w:rsidR="00464ED7" w:rsidRDefault="00464ED7" w:rsidP="00AD1C25">
      <w:pPr>
        <w:pStyle w:val="ListParagraph"/>
        <w:numPr>
          <w:ilvl w:val="0"/>
          <w:numId w:val="7"/>
        </w:numPr>
      </w:pPr>
      <w:r>
        <w:t>both positive and negative patient experiences of the procedure</w:t>
      </w:r>
    </w:p>
    <w:p w14:paraId="725FA1BF" w14:textId="77777777" w:rsidR="00464ED7" w:rsidRDefault="00464ED7" w:rsidP="00AD1C25">
      <w:pPr>
        <w:pStyle w:val="ListParagraph"/>
        <w:numPr>
          <w:ilvl w:val="0"/>
          <w:numId w:val="7"/>
        </w:numPr>
      </w:pPr>
      <w:r>
        <w:t>expert opinion that there would need to be sufficient clinical overlap across patients enrolled in the trials for an individual patient data (IPD) meta-analysis to be meaningful.</w:t>
      </w:r>
    </w:p>
    <w:p w14:paraId="2C39B50A" w14:textId="77777777" w:rsidR="00AD1C25" w:rsidRDefault="00AD1C25" w:rsidP="00464ED7"/>
    <w:p w14:paraId="59CD194A" w14:textId="2A12BF18" w:rsidR="00464ED7" w:rsidRDefault="00464ED7" w:rsidP="00464ED7">
      <w:r>
        <w:t>ESC also considered that an IPD analysis may not be feasible if there is inadequate recording at the individual patient level across all studies of all parameters for which clinical heterogeneity is claimed to have a consequence for the size of the effect of vertebroplasty</w:t>
      </w:r>
      <w:r w:rsidDel="00C81422">
        <w:t xml:space="preserve"> </w:t>
      </w:r>
      <w:r>
        <w:t xml:space="preserve">(eg </w:t>
      </w:r>
      <w:r>
        <w:lastRenderedPageBreak/>
        <w:t>time between fracture and intervention) or across enough relevant outcome measures (eg measures of function as well as pain).</w:t>
      </w:r>
    </w:p>
    <w:p w14:paraId="2C50244B" w14:textId="77777777" w:rsidR="00464ED7" w:rsidRDefault="00464ED7" w:rsidP="00464ED7"/>
    <w:p w14:paraId="198D271E" w14:textId="4DEAAA93" w:rsidR="00464ED7" w:rsidRDefault="00464ED7" w:rsidP="00464ED7">
      <w:r>
        <w:t>ESC noted that no new information was provided for the economic analysis despite ESC’s previous suggestion that “</w:t>
      </w:r>
      <w:r w:rsidRPr="00E60C62">
        <w:t>multiple changes are</w:t>
      </w:r>
      <w:r>
        <w:t xml:space="preserve"> </w:t>
      </w:r>
      <w:r w:rsidRPr="00E60C62">
        <w:t>needed to provide a</w:t>
      </w:r>
      <w:r>
        <w:t xml:space="preserve"> more appropriate base case”. ESC noted the applicant’s pre-ESC response that an estimate of cost-savings from reduced hospital length of stay ha</w:t>
      </w:r>
      <w:r w:rsidR="00AD1C25">
        <w:t>d</w:t>
      </w:r>
      <w:r>
        <w:t xml:space="preserve"> already been provided. However, ESC considered that hospital cost-saving is only one of many economic considerations, and the estimate provided by the applicant may overestimate overall cost-saving because not all patients receiving vertebroplasty would have been hospitalised. ESC also considered that an average per day estimate would be unlikely to reflect the cost profile of a hospital episode (e.g. higher cost upfront with lower costs later), such that the relevant marginal costs of any reduced hospital length of stay would be less than this average estimate. ESC considered that the economic model did not support the applicant’s claim of cost-saving.</w:t>
      </w:r>
    </w:p>
    <w:p w14:paraId="57226384" w14:textId="77777777" w:rsidR="00464ED7" w:rsidRDefault="00464ED7" w:rsidP="00464ED7"/>
    <w:p w14:paraId="5D50B2F1" w14:textId="77777777" w:rsidR="00464ED7" w:rsidRDefault="00464ED7" w:rsidP="00464ED7">
      <w:r>
        <w:t>ESC noted that issues previously identified with the economic model still remain: time horizon &gt;1 year may be more appropriate; quality-adjusted life years (QALYs) are based on pain scores only, not functional effect; the incremental QALY benefit is very small so the incremental cost-effectiveness ratio (ICER) is very sensitive to changes in costs; and if fewer patients are treated in the hospital setting or if the cost per day is lower the ICER moves away from its stated dominance.</w:t>
      </w:r>
    </w:p>
    <w:p w14:paraId="7BEDA848" w14:textId="77777777" w:rsidR="00464ED7" w:rsidRDefault="00464ED7" w:rsidP="00464ED7"/>
    <w:p w14:paraId="675DBF1A" w14:textId="77777777" w:rsidR="00464ED7" w:rsidRDefault="00464ED7" w:rsidP="00464ED7">
      <w:pPr>
        <w:pStyle w:val="NormalBeforeBullet"/>
      </w:pPr>
      <w:r>
        <w:t>ESC noted that previously identified areas of uncertainty remain:</w:t>
      </w:r>
    </w:p>
    <w:p w14:paraId="1279267C" w14:textId="77777777" w:rsidR="00464ED7" w:rsidRDefault="00464ED7" w:rsidP="00AD1C25">
      <w:pPr>
        <w:pStyle w:val="ListParagraph"/>
        <w:numPr>
          <w:ilvl w:val="0"/>
          <w:numId w:val="7"/>
        </w:numPr>
      </w:pPr>
      <w:r>
        <w:t>t</w:t>
      </w:r>
      <w:r w:rsidRPr="00466279">
        <w:t>he</w:t>
      </w:r>
      <w:r>
        <w:t xml:space="preserve"> effect of the mix of</w:t>
      </w:r>
      <w:r w:rsidRPr="00466279">
        <w:t xml:space="preserve"> hospital/outpatient setting </w:t>
      </w:r>
      <w:r>
        <w:t>on</w:t>
      </w:r>
      <w:r w:rsidRPr="00466279">
        <w:t xml:space="preserve"> cost</w:t>
      </w:r>
      <w:r>
        <w:t>-</w:t>
      </w:r>
      <w:r w:rsidRPr="00466279">
        <w:t>effectiveness</w:t>
      </w:r>
      <w:r>
        <w:t xml:space="preserve"> (noting that any tighter restriction of the eligible population to hospitalised patients only would likely have perverse consequences by creating incentives for extra hospitalisations)</w:t>
      </w:r>
    </w:p>
    <w:p w14:paraId="4CC614F3" w14:textId="77777777" w:rsidR="00464ED7" w:rsidRDefault="00464ED7" w:rsidP="00AD1C25">
      <w:pPr>
        <w:pStyle w:val="ListParagraph"/>
        <w:numPr>
          <w:ilvl w:val="0"/>
          <w:numId w:val="7"/>
        </w:numPr>
      </w:pPr>
      <w:r>
        <w:t>lack of a</w:t>
      </w:r>
      <w:r w:rsidRPr="00466279">
        <w:t xml:space="preserve"> widely disseminated model of care, pathways and</w:t>
      </w:r>
      <w:r>
        <w:t xml:space="preserve"> </w:t>
      </w:r>
      <w:r w:rsidRPr="00466279">
        <w:t>superior referral process for vertebral fractures</w:t>
      </w:r>
    </w:p>
    <w:p w14:paraId="661E8711" w14:textId="77777777" w:rsidR="00464ED7" w:rsidRDefault="00464ED7" w:rsidP="00AD1C25">
      <w:pPr>
        <w:pStyle w:val="ListParagraph"/>
        <w:numPr>
          <w:ilvl w:val="0"/>
          <w:numId w:val="7"/>
        </w:numPr>
      </w:pPr>
      <w:r>
        <w:t>t</w:t>
      </w:r>
      <w:r w:rsidRPr="00466279">
        <w:t>he impact of analgesic use on QALYs</w:t>
      </w:r>
    </w:p>
    <w:p w14:paraId="3C307A62" w14:textId="77777777" w:rsidR="00464ED7" w:rsidRDefault="00464ED7" w:rsidP="00AD1C25">
      <w:pPr>
        <w:pStyle w:val="ListParagraph"/>
        <w:numPr>
          <w:ilvl w:val="0"/>
          <w:numId w:val="7"/>
        </w:numPr>
      </w:pPr>
      <w:r>
        <w:t>a high chance of variability in procedure quality depending on operator experience</w:t>
      </w:r>
    </w:p>
    <w:p w14:paraId="2AD3C7F6" w14:textId="77777777" w:rsidR="00464ED7" w:rsidRDefault="00464ED7" w:rsidP="00AD1C25">
      <w:pPr>
        <w:pStyle w:val="ListParagraph"/>
        <w:numPr>
          <w:ilvl w:val="0"/>
          <w:numId w:val="7"/>
        </w:numPr>
      </w:pPr>
      <w:r>
        <w:t>limited generalisability of a single site trial</w:t>
      </w:r>
    </w:p>
    <w:p w14:paraId="19AAF15A" w14:textId="77777777" w:rsidR="00464ED7" w:rsidRDefault="00464ED7" w:rsidP="00AD1C25">
      <w:pPr>
        <w:pStyle w:val="ListParagraph"/>
        <w:numPr>
          <w:ilvl w:val="0"/>
          <w:numId w:val="7"/>
        </w:numPr>
      </w:pPr>
      <w:r>
        <w:t>use of spine MRI may not lead to the procedure</w:t>
      </w:r>
    </w:p>
    <w:p w14:paraId="4DF9BA06" w14:textId="77777777" w:rsidR="00464ED7" w:rsidRDefault="00464ED7" w:rsidP="00AD1C25">
      <w:pPr>
        <w:pStyle w:val="ListParagraph"/>
        <w:numPr>
          <w:ilvl w:val="0"/>
          <w:numId w:val="7"/>
        </w:numPr>
      </w:pPr>
      <w:r>
        <w:t>considerable potential for use beyond the proposed patient population, but uncertainty about what will happen in practice</w:t>
      </w:r>
    </w:p>
    <w:p w14:paraId="00625818" w14:textId="77777777" w:rsidR="00464ED7" w:rsidRDefault="00464ED7" w:rsidP="00AD1C25">
      <w:pPr>
        <w:pStyle w:val="ListParagraph"/>
        <w:numPr>
          <w:ilvl w:val="0"/>
          <w:numId w:val="7"/>
        </w:numPr>
      </w:pPr>
      <w:r>
        <w:t>limitations of the item descriptor and evidence, which mean that patients with potential to benefit may be different from those in whom benefit has been demonstrated.</w:t>
      </w:r>
    </w:p>
    <w:p w14:paraId="06DDBED0" w14:textId="77777777" w:rsidR="00AD1C25" w:rsidRDefault="00AD1C25" w:rsidP="00464ED7"/>
    <w:p w14:paraId="57DA3103" w14:textId="6861B15A" w:rsidR="00464ED7" w:rsidRDefault="00464ED7" w:rsidP="00464ED7">
      <w:r>
        <w:t>ESC noted that one area of uncertainty that would favour the procedure relative to the comparator is the</w:t>
      </w:r>
      <w:r w:rsidRPr="006F19FE">
        <w:t xml:space="preserve"> </w:t>
      </w:r>
      <w:r>
        <w:t>reduction in risks associated with opiate treatment.</w:t>
      </w:r>
    </w:p>
    <w:p w14:paraId="689724F1" w14:textId="77777777" w:rsidR="00464ED7" w:rsidRDefault="00464ED7" w:rsidP="00464ED7"/>
    <w:p w14:paraId="09712C83" w14:textId="77777777" w:rsidR="00464ED7" w:rsidRDefault="00464ED7" w:rsidP="00464ED7">
      <w:r>
        <w:t>ESC noted that no new information on the financial or budgetary impact was provided. ESC noted that the financial impact to the MBS is likely to be modest, with possible freed resources for other parts of the healthcare system. However, ESC noted that the financial impact may be higher than predicted as a result of osteoporosis burden, eligibility and uptake, use in other patients, and population ageing. ESC noted that infrastructure is in place for 400–500 procedures per year (noting financial estimates use lower procedure numbers).</w:t>
      </w:r>
    </w:p>
    <w:p w14:paraId="55C553D6" w14:textId="77777777" w:rsidR="00464ED7" w:rsidRDefault="00464ED7" w:rsidP="00464ED7"/>
    <w:p w14:paraId="0E2E2611" w14:textId="77777777" w:rsidR="00464ED7" w:rsidRDefault="00464ED7" w:rsidP="00464ED7">
      <w:pPr>
        <w:pStyle w:val="NormalBeforeBullet"/>
      </w:pPr>
      <w:r>
        <w:lastRenderedPageBreak/>
        <w:t>ESC noted MSAC’s questions to ESC that have been addressed by the Department:</w:t>
      </w:r>
    </w:p>
    <w:p w14:paraId="1B770E2E" w14:textId="77777777" w:rsidR="00464ED7" w:rsidRDefault="00464ED7" w:rsidP="00AD1C25">
      <w:pPr>
        <w:pStyle w:val="ListParagraph"/>
        <w:numPr>
          <w:ilvl w:val="0"/>
          <w:numId w:val="7"/>
        </w:numPr>
      </w:pPr>
      <w:r>
        <w:t>the potential for use in other patients – ESC noted the Department’s suggestion to make the item descriptor more restrictive by specifying that the timeframe of ≤3 weeks relates to fracture</w:t>
      </w:r>
      <w:r w:rsidRPr="00ED3475">
        <w:t xml:space="preserve"> </w:t>
      </w:r>
      <w:r>
        <w:t>duration, not pain duration</w:t>
      </w:r>
    </w:p>
    <w:p w14:paraId="4167B06F" w14:textId="77777777" w:rsidR="00464ED7" w:rsidRDefault="00464ED7" w:rsidP="00AD1C25">
      <w:pPr>
        <w:pStyle w:val="ListParagraph"/>
        <w:numPr>
          <w:ilvl w:val="0"/>
          <w:numId w:val="7"/>
        </w:numPr>
      </w:pPr>
      <w:r>
        <w:t>whether to c</w:t>
      </w:r>
      <w:r w:rsidRPr="00ED3475">
        <w:t>laim per episode</w:t>
      </w:r>
      <w:r>
        <w:t xml:space="preserve"> </w:t>
      </w:r>
      <w:r w:rsidRPr="00ED3475">
        <w:t>or per fracture</w:t>
      </w:r>
      <w:r>
        <w:t xml:space="preserve"> – ESC noted the Department’s suggestion that claims should be limited to once per patient per episode, regardless of the number of fractures.</w:t>
      </w:r>
    </w:p>
    <w:p w14:paraId="731B86DE" w14:textId="77777777" w:rsidR="00AD1C25" w:rsidRDefault="00AD1C25" w:rsidP="00AD1C25">
      <w:pPr>
        <w:pStyle w:val="NormalBeforeBullet"/>
        <w:keepNext w:val="0"/>
        <w:spacing w:after="0"/>
      </w:pPr>
    </w:p>
    <w:p w14:paraId="41E8753B" w14:textId="2D1754C3" w:rsidR="00464ED7" w:rsidRDefault="00464ED7" w:rsidP="00464ED7">
      <w:pPr>
        <w:pStyle w:val="NormalBeforeBullet"/>
      </w:pPr>
      <w:r>
        <w:t>However, ESC considered that, while attempts to reduce uncertainties are desirable, these two proposed measures:</w:t>
      </w:r>
    </w:p>
    <w:p w14:paraId="0DE62949" w14:textId="77777777" w:rsidR="00464ED7" w:rsidRPr="00D0667C" w:rsidRDefault="00464ED7" w:rsidP="00AD1C25">
      <w:pPr>
        <w:pStyle w:val="ListParagraph"/>
        <w:numPr>
          <w:ilvl w:val="0"/>
          <w:numId w:val="7"/>
        </w:numPr>
      </w:pPr>
      <w:r w:rsidRPr="00D0667C">
        <w:t xml:space="preserve">do not directly address key uncertainties </w:t>
      </w:r>
      <w:r>
        <w:t xml:space="preserve">(e.g. effect of the rate of </w:t>
      </w:r>
      <w:r w:rsidRPr="00D0667C">
        <w:t xml:space="preserve">hospitalisation </w:t>
      </w:r>
      <w:r>
        <w:t>on cost-effectiveness)</w:t>
      </w:r>
    </w:p>
    <w:p w14:paraId="51CA889F" w14:textId="60622D70" w:rsidR="00464ED7" w:rsidRPr="00D0667C" w:rsidRDefault="00464ED7" w:rsidP="00AD1C25">
      <w:pPr>
        <w:pStyle w:val="ListParagraph"/>
        <w:numPr>
          <w:ilvl w:val="0"/>
          <w:numId w:val="7"/>
        </w:numPr>
      </w:pPr>
      <w:r>
        <w:t xml:space="preserve">may </w:t>
      </w:r>
      <w:r w:rsidRPr="00D0667C">
        <w:t xml:space="preserve">increase </w:t>
      </w:r>
      <w:r>
        <w:t xml:space="preserve">rather than reduce the </w:t>
      </w:r>
      <w:r w:rsidRPr="00D0667C">
        <w:t xml:space="preserve">potential for </w:t>
      </w:r>
      <w:r>
        <w:t>use outside t</w:t>
      </w:r>
      <w:r w:rsidR="00AD1C25">
        <w:t>he proposed patient population</w:t>
      </w:r>
    </w:p>
    <w:p w14:paraId="61E810F4" w14:textId="77777777" w:rsidR="00464ED7" w:rsidRPr="00D0667C" w:rsidRDefault="00464ED7" w:rsidP="00AD1C25">
      <w:pPr>
        <w:pStyle w:val="ListParagraph"/>
        <w:numPr>
          <w:ilvl w:val="0"/>
          <w:numId w:val="7"/>
        </w:numPr>
      </w:pPr>
      <w:r>
        <w:t>may not be</w:t>
      </w:r>
      <w:r w:rsidRPr="00D0667C">
        <w:t xml:space="preserve"> optimal in light of </w:t>
      </w:r>
      <w:r>
        <w:t xml:space="preserve">access, </w:t>
      </w:r>
      <w:r w:rsidRPr="00D0667C">
        <w:t>clinical evidence</w:t>
      </w:r>
      <w:r>
        <w:t xml:space="preserve"> and an individual</w:t>
      </w:r>
      <w:r w:rsidRPr="00D0667C">
        <w:t xml:space="preserve"> patient</w:t>
      </w:r>
      <w:r>
        <w:t>’</w:t>
      </w:r>
      <w:r w:rsidRPr="00D0667C">
        <w:t>s capacity to benefit from the procedure</w:t>
      </w:r>
      <w:r>
        <w:t>.</w:t>
      </w:r>
    </w:p>
    <w:p w14:paraId="4D25A956" w14:textId="77777777" w:rsidR="00AD1C25" w:rsidRDefault="00AD1C25" w:rsidP="00464ED7">
      <w:bookmarkStart w:id="7" w:name="Editing"/>
      <w:bookmarkEnd w:id="7"/>
    </w:p>
    <w:p w14:paraId="1EDF4EA3" w14:textId="699325FF" w:rsidR="00464ED7" w:rsidRDefault="00464ED7" w:rsidP="00464ED7">
      <w:r>
        <w:t>ESC considered that the ongoing uncertainties with this application arise mostly as a consequence of multiple post hoc analyses of a single randomised trial in the context of evidence from a wider set of randomised trials, and the transferability of these findings to overall Australian clinical practice. These and other issues identified above would need to be addressed to ensure the safe, appropriate and cost-effective use of this procedure.</w:t>
      </w:r>
    </w:p>
    <w:p w14:paraId="77D88F90" w14:textId="77777777" w:rsidR="00464ED7" w:rsidRDefault="00464ED7" w:rsidP="00464ED7">
      <w:pPr>
        <w:tabs>
          <w:tab w:val="left" w:pos="2265"/>
          <w:tab w:val="left" w:pos="3420"/>
          <w:tab w:val="left" w:pos="4320"/>
        </w:tabs>
      </w:pPr>
    </w:p>
    <w:p w14:paraId="4A088B09" w14:textId="77777777" w:rsidR="00464ED7" w:rsidRDefault="00464ED7" w:rsidP="00464ED7">
      <w:pPr>
        <w:tabs>
          <w:tab w:val="left" w:pos="2265"/>
          <w:tab w:val="left" w:pos="3420"/>
          <w:tab w:val="left" w:pos="4320"/>
        </w:tabs>
      </w:pPr>
      <w:r>
        <w:t xml:space="preserve">ESC noted the claims made by the applicant regarding choice, equity, and enhancing public system responsiveness. </w:t>
      </w:r>
      <w:r w:rsidRPr="001F5F80">
        <w:t xml:space="preserve">ESC </w:t>
      </w:r>
      <w:r>
        <w:t xml:space="preserve">also </w:t>
      </w:r>
      <w:r w:rsidRPr="001F5F80">
        <w:t>recalled that MSAC ha</w:t>
      </w:r>
      <w:r>
        <w:t>s</w:t>
      </w:r>
      <w:r w:rsidRPr="001F5F80">
        <w:t xml:space="preserve"> previously accepted the clinical need in this patient group, recognising that severe pain and loss of function can accompany a vertebral fracture.</w:t>
      </w:r>
    </w:p>
    <w:p w14:paraId="44CABEB2" w14:textId="77777777" w:rsidR="00003F5A" w:rsidRPr="00F715D1" w:rsidRDefault="00003F5A" w:rsidP="00003F5A">
      <w:pPr>
        <w:pStyle w:val="Heading1"/>
      </w:pPr>
      <w:r w:rsidRPr="00F715D1">
        <w:t>Other significant factors</w:t>
      </w:r>
    </w:p>
    <w:p w14:paraId="3102981E" w14:textId="067C27B6" w:rsidR="00003F5A" w:rsidRPr="00AD1C25" w:rsidRDefault="00003F5A" w:rsidP="00003F5A">
      <w:pPr>
        <w:spacing w:after="240"/>
        <w:rPr>
          <w:szCs w:val="24"/>
        </w:rPr>
      </w:pPr>
      <w:r w:rsidRPr="00AD1C25">
        <w:rPr>
          <w:szCs w:val="24"/>
        </w:rPr>
        <w:t>Nil</w:t>
      </w:r>
      <w:r w:rsidR="00AD1C25" w:rsidRPr="00AD1C25">
        <w:rPr>
          <w:szCs w:val="24"/>
        </w:rPr>
        <w:t>.</w:t>
      </w:r>
    </w:p>
    <w:p w14:paraId="4B928E7D" w14:textId="77777777" w:rsidR="00003F5A" w:rsidRPr="00F715D1" w:rsidRDefault="00003F5A" w:rsidP="00003F5A">
      <w:pPr>
        <w:pStyle w:val="Heading1"/>
      </w:pPr>
      <w:r>
        <w:t>Applicant</w:t>
      </w:r>
      <w:r w:rsidRPr="00F715D1">
        <w:t xml:space="preserve"> comments on MSAC’s Public Summary Document</w:t>
      </w:r>
    </w:p>
    <w:p w14:paraId="19DCF3D5" w14:textId="0D81AFC5" w:rsidR="00074048" w:rsidRDefault="00074048" w:rsidP="00074048">
      <w:pPr>
        <w:rPr>
          <w:szCs w:val="24"/>
        </w:rPr>
      </w:pPr>
      <w:r w:rsidRPr="00EE0546">
        <w:rPr>
          <w:szCs w:val="24"/>
        </w:rPr>
        <w:t xml:space="preserve">The Interventional Radiology Society of Australasia welcomes the decision to restore public funding for a highly selected patient group likely to benefit from early vertebroplasty. Most osteoporotic spinal fractures produce mild symptoms and do not </w:t>
      </w:r>
      <w:r>
        <w:rPr>
          <w:szCs w:val="24"/>
        </w:rPr>
        <w:t>need</w:t>
      </w:r>
      <w:r w:rsidRPr="00EE0546">
        <w:rPr>
          <w:szCs w:val="24"/>
        </w:rPr>
        <w:t xml:space="preserve"> vertebroplasty. A sub-set of patients with early fractures and severe, uncontrolled pain receive substantial benefit from </w:t>
      </w:r>
      <w:r>
        <w:rPr>
          <w:szCs w:val="24"/>
        </w:rPr>
        <w:t xml:space="preserve">early vertebroplasty. </w:t>
      </w:r>
      <w:r w:rsidRPr="00EE0546">
        <w:rPr>
          <w:szCs w:val="24"/>
        </w:rPr>
        <w:t xml:space="preserve">In this patient group there is no other treatment option, other than escalating doses of opiate therapy and bed rest, which </w:t>
      </w:r>
      <w:r>
        <w:rPr>
          <w:szCs w:val="24"/>
        </w:rPr>
        <w:t>can be a challenging</w:t>
      </w:r>
      <w:r w:rsidRPr="00EE0546">
        <w:rPr>
          <w:szCs w:val="24"/>
        </w:rPr>
        <w:t xml:space="preserve"> </w:t>
      </w:r>
      <w:r>
        <w:rPr>
          <w:szCs w:val="24"/>
        </w:rPr>
        <w:t>health problem</w:t>
      </w:r>
      <w:r w:rsidRPr="00EE0546">
        <w:rPr>
          <w:szCs w:val="24"/>
        </w:rPr>
        <w:t xml:space="preserve"> for elderly patients. </w:t>
      </w:r>
    </w:p>
    <w:p w14:paraId="4C82EA6D" w14:textId="77777777" w:rsidR="00074048" w:rsidRPr="00EE0546" w:rsidRDefault="00074048" w:rsidP="00074048">
      <w:pPr>
        <w:spacing w:before="240"/>
        <w:rPr>
          <w:szCs w:val="24"/>
        </w:rPr>
      </w:pPr>
      <w:r w:rsidRPr="00EE0546">
        <w:rPr>
          <w:szCs w:val="24"/>
        </w:rPr>
        <w:t xml:space="preserve">We make the following </w:t>
      </w:r>
      <w:r>
        <w:rPr>
          <w:szCs w:val="24"/>
        </w:rPr>
        <w:t>observations</w:t>
      </w:r>
      <w:r w:rsidRPr="00EE0546">
        <w:rPr>
          <w:szCs w:val="24"/>
        </w:rPr>
        <w:t xml:space="preserve"> about the MSAC assessment:</w:t>
      </w:r>
    </w:p>
    <w:p w14:paraId="55682C57" w14:textId="5F79B526" w:rsidR="00074048" w:rsidRPr="00074048" w:rsidRDefault="00074048" w:rsidP="00074048">
      <w:pPr>
        <w:pStyle w:val="ListParagraph"/>
        <w:numPr>
          <w:ilvl w:val="0"/>
          <w:numId w:val="13"/>
        </w:numPr>
        <w:rPr>
          <w:szCs w:val="24"/>
        </w:rPr>
      </w:pPr>
      <w:r w:rsidRPr="00074048">
        <w:rPr>
          <w:szCs w:val="24"/>
        </w:rPr>
        <w:t xml:space="preserve">The application took 3.5 years to complete. </w:t>
      </w:r>
    </w:p>
    <w:p w14:paraId="18FEED40" w14:textId="1B603DD9" w:rsidR="00074048" w:rsidRPr="0059121A" w:rsidRDefault="00074048" w:rsidP="0059121A">
      <w:pPr>
        <w:pStyle w:val="ListParagraph"/>
        <w:numPr>
          <w:ilvl w:val="0"/>
          <w:numId w:val="13"/>
        </w:numPr>
        <w:rPr>
          <w:szCs w:val="24"/>
        </w:rPr>
      </w:pPr>
      <w:r w:rsidRPr="00074048">
        <w:rPr>
          <w:szCs w:val="24"/>
        </w:rPr>
        <w:t xml:space="preserve">The VAPOUR trial, a randomised controlled trial published in the Lancet, was designed specifically to assess vertebroplasty in </w:t>
      </w:r>
      <w:r w:rsidRPr="00646757">
        <w:rPr>
          <w:szCs w:val="24"/>
        </w:rPr>
        <w:t xml:space="preserve">the pre-defined patient group of this application. We feel that the study could have benefited from a more considered analysis by the MSAC. </w:t>
      </w:r>
    </w:p>
    <w:p w14:paraId="06E06501" w14:textId="0D0F5FEC" w:rsidR="00074048" w:rsidRPr="00074048" w:rsidRDefault="00074048" w:rsidP="00074048">
      <w:pPr>
        <w:pStyle w:val="ListParagraph"/>
        <w:numPr>
          <w:ilvl w:val="0"/>
          <w:numId w:val="13"/>
        </w:numPr>
        <w:rPr>
          <w:szCs w:val="24"/>
        </w:rPr>
      </w:pPr>
      <w:r w:rsidRPr="00104C8A">
        <w:rPr>
          <w:szCs w:val="24"/>
        </w:rPr>
        <w:t xml:space="preserve">The MSAC has recommended the formation of a prospective registry to identify </w:t>
      </w:r>
      <w:r w:rsidRPr="00074048">
        <w:rPr>
          <w:i/>
          <w:iCs/>
          <w:szCs w:val="24"/>
        </w:rPr>
        <w:t xml:space="preserve">“whether the patient was hospitalised or not at the time the decision to perform the </w:t>
      </w:r>
      <w:r w:rsidRPr="00074048">
        <w:rPr>
          <w:i/>
          <w:iCs/>
          <w:szCs w:val="24"/>
        </w:rPr>
        <w:lastRenderedPageBreak/>
        <w:t>procedure was made, the length of hospital stay if hospitalised, and any associated adverse events requiring further medical or hospital attention”</w:t>
      </w:r>
      <w:r w:rsidRPr="00074048">
        <w:rPr>
          <w:szCs w:val="24"/>
        </w:rPr>
        <w:t xml:space="preserve">.  </w:t>
      </w:r>
    </w:p>
    <w:p w14:paraId="50713836" w14:textId="442909EE" w:rsidR="00003F5A" w:rsidRPr="0059121A" w:rsidRDefault="00074048" w:rsidP="0059121A">
      <w:pPr>
        <w:spacing w:before="240"/>
        <w:rPr>
          <w:szCs w:val="24"/>
        </w:rPr>
      </w:pPr>
      <w:r>
        <w:rPr>
          <w:szCs w:val="24"/>
        </w:rPr>
        <w:t xml:space="preserve">At the MSAC meeting of March 2019 the applicant proposed that “audit” of the IRSA log-book could provide data to assist MSAC in review of an interim vertebroplasty item number in 5 years. MSAC has not responded to this option until now. It was not raised for discussion at the stakeholders meeting nor in any MSAC feedback to the applicant. IRSA did not undertake to create a separate registry. </w:t>
      </w:r>
      <w:r w:rsidRPr="00F776DC">
        <w:rPr>
          <w:szCs w:val="24"/>
        </w:rPr>
        <w:t xml:space="preserve">Whilst IRSA would be pleased to </w:t>
      </w:r>
      <w:r>
        <w:rPr>
          <w:szCs w:val="24"/>
        </w:rPr>
        <w:t>assist with audit data from its logbook</w:t>
      </w:r>
      <w:r w:rsidRPr="00F776DC">
        <w:rPr>
          <w:szCs w:val="24"/>
        </w:rPr>
        <w:t xml:space="preserve">, </w:t>
      </w:r>
      <w:r>
        <w:rPr>
          <w:szCs w:val="24"/>
        </w:rPr>
        <w:t>i</w:t>
      </w:r>
      <w:r w:rsidRPr="007265D9">
        <w:rPr>
          <w:szCs w:val="24"/>
        </w:rPr>
        <w:t xml:space="preserve">t </w:t>
      </w:r>
      <w:r>
        <w:rPr>
          <w:szCs w:val="24"/>
        </w:rPr>
        <w:t xml:space="preserve">should be noted that </w:t>
      </w:r>
      <w:r w:rsidRPr="007265D9">
        <w:rPr>
          <w:szCs w:val="24"/>
        </w:rPr>
        <w:t xml:space="preserve">IRSA has no authority to mandate Interventional Radiologists to enter data to the </w:t>
      </w:r>
      <w:r>
        <w:rPr>
          <w:szCs w:val="24"/>
        </w:rPr>
        <w:t>IRSA log-book and that it may not</w:t>
      </w:r>
      <w:r w:rsidRPr="007265D9">
        <w:rPr>
          <w:szCs w:val="24"/>
        </w:rPr>
        <w:t xml:space="preserve"> capture all instances of the procedure being performed. </w:t>
      </w:r>
      <w:r>
        <w:rPr>
          <w:szCs w:val="24"/>
        </w:rPr>
        <w:t>It is presumed that the proposed data is confined to the subset of patients who receive Medicare funding for vertebroplasty, but IRSA is unclear about this. D</w:t>
      </w:r>
      <w:r w:rsidRPr="007265D9">
        <w:rPr>
          <w:szCs w:val="24"/>
        </w:rPr>
        <w:t>ata</w:t>
      </w:r>
      <w:r>
        <w:rPr>
          <w:szCs w:val="24"/>
        </w:rPr>
        <w:t xml:space="preserve"> of</w:t>
      </w:r>
      <w:r w:rsidRPr="007265D9">
        <w:rPr>
          <w:szCs w:val="24"/>
        </w:rPr>
        <w:t xml:space="preserve"> operator location, state, and inpatient status </w:t>
      </w:r>
      <w:r>
        <w:rPr>
          <w:szCs w:val="24"/>
        </w:rPr>
        <w:t xml:space="preserve">would be </w:t>
      </w:r>
      <w:r w:rsidRPr="007265D9">
        <w:rPr>
          <w:szCs w:val="24"/>
        </w:rPr>
        <w:t xml:space="preserve">more efficiently captured by MBS </w:t>
      </w:r>
      <w:r>
        <w:rPr>
          <w:szCs w:val="24"/>
        </w:rPr>
        <w:t>statistics</w:t>
      </w:r>
      <w:r w:rsidRPr="007265D9">
        <w:rPr>
          <w:szCs w:val="24"/>
        </w:rPr>
        <w:t xml:space="preserve"> – particularly if there were separate </w:t>
      </w:r>
      <w:r>
        <w:rPr>
          <w:szCs w:val="24"/>
        </w:rPr>
        <w:t>vertebroplasty item descriptors</w:t>
      </w:r>
      <w:r w:rsidRPr="007265D9">
        <w:rPr>
          <w:szCs w:val="24"/>
        </w:rPr>
        <w:t xml:space="preserve"> for </w:t>
      </w:r>
      <w:r>
        <w:rPr>
          <w:szCs w:val="24"/>
        </w:rPr>
        <w:t>inpatients versus day-only patients. IRSA recommends MSAC consider this option of these two item descriptors. Length of hospital stay is outside the scope of log-book audit data</w:t>
      </w:r>
      <w:r w:rsidRPr="007265D9">
        <w:rPr>
          <w:szCs w:val="24"/>
        </w:rPr>
        <w:t xml:space="preserve">. Patients </w:t>
      </w:r>
      <w:r>
        <w:rPr>
          <w:szCs w:val="24"/>
        </w:rPr>
        <w:t xml:space="preserve">hospitalised </w:t>
      </w:r>
      <w:r w:rsidRPr="007265D9">
        <w:rPr>
          <w:szCs w:val="24"/>
        </w:rPr>
        <w:t xml:space="preserve">with severely painful osteoporotic fractures are often transferred (with or without vertebroplasty) to other hospitals for rehabilitation and data from these second hospitalisations </w:t>
      </w:r>
      <w:r>
        <w:rPr>
          <w:szCs w:val="24"/>
        </w:rPr>
        <w:t>is</w:t>
      </w:r>
      <w:r w:rsidRPr="007265D9">
        <w:rPr>
          <w:szCs w:val="24"/>
        </w:rPr>
        <w:t xml:space="preserve"> </w:t>
      </w:r>
      <w:r>
        <w:rPr>
          <w:szCs w:val="24"/>
        </w:rPr>
        <w:t>time-consuming</w:t>
      </w:r>
      <w:r w:rsidRPr="007265D9">
        <w:rPr>
          <w:szCs w:val="24"/>
        </w:rPr>
        <w:t xml:space="preserve"> to obtain</w:t>
      </w:r>
      <w:r>
        <w:rPr>
          <w:szCs w:val="24"/>
        </w:rPr>
        <w:t xml:space="preserve"> and impractical outside of a controlled trial.</w:t>
      </w:r>
    </w:p>
    <w:p w14:paraId="2286518D" w14:textId="77777777" w:rsidR="00003F5A" w:rsidRPr="00F715D1" w:rsidRDefault="00003F5A" w:rsidP="00003F5A">
      <w:pPr>
        <w:pStyle w:val="Heading1"/>
      </w:pPr>
      <w:r w:rsidRPr="00F715D1">
        <w:t>Further information on MSAC</w:t>
      </w:r>
    </w:p>
    <w:p w14:paraId="15F35136" w14:textId="77777777" w:rsidR="00003F5A" w:rsidRPr="00F715D1" w:rsidRDefault="00003F5A" w:rsidP="00003F5A">
      <w:pPr>
        <w:spacing w:after="240"/>
        <w:rPr>
          <w:szCs w:val="24"/>
        </w:rPr>
      </w:pPr>
      <w:r w:rsidRPr="00F715D1">
        <w:rPr>
          <w:szCs w:val="24"/>
        </w:rPr>
        <w:t xml:space="preserve">MSAC Terms of Reference and other information are available on the MSAC Website: </w:t>
      </w:r>
      <w:r>
        <w:rPr>
          <w:szCs w:val="24"/>
        </w:rPr>
        <w:br/>
      </w:r>
      <w:hyperlink r:id="rId18" w:tooltip="Link to Medical Services Advisory Committee website" w:history="1">
        <w:r w:rsidRPr="00F715D1">
          <w:rPr>
            <w:rStyle w:val="Hyperlink"/>
            <w:szCs w:val="24"/>
          </w:rPr>
          <w:t>visit the MSAC website</w:t>
        </w:r>
      </w:hyperlink>
    </w:p>
    <w:p w14:paraId="327F46EE" w14:textId="77777777" w:rsidR="00280050" w:rsidRDefault="00280050"/>
    <w:sectPr w:rsidR="00280050" w:rsidSect="00BD04F3">
      <w:headerReference w:type="even" r:id="rId19"/>
      <w:headerReference w:type="default" r:id="rId20"/>
      <w:footerReference w:type="even" r:id="rId21"/>
      <w:footerReference w:type="default" r:id="rId22"/>
      <w:headerReference w:type="first" r:id="rId23"/>
      <w:footerReference w:type="first" r:id="rId24"/>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28EE5" w16cex:dateUtc="2020-05-10T0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40E4D0" w16cid:durableId="22628E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6769" w14:textId="77777777" w:rsidR="0072497C" w:rsidRDefault="0072497C">
      <w:r>
        <w:separator/>
      </w:r>
    </w:p>
  </w:endnote>
  <w:endnote w:type="continuationSeparator" w:id="0">
    <w:p w14:paraId="2007B55A" w14:textId="77777777" w:rsidR="0072497C" w:rsidRDefault="0072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570E" w14:textId="77777777" w:rsidR="0072497C" w:rsidRDefault="0072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4E3F903" w14:textId="738E7979" w:rsidR="0072497C" w:rsidRDefault="0072497C">
        <w:pPr>
          <w:pStyle w:val="Footer"/>
          <w:jc w:val="right"/>
        </w:pPr>
        <w:r>
          <w:fldChar w:fldCharType="begin"/>
        </w:r>
        <w:r>
          <w:instrText xml:space="preserve"> PAGE   \* MERGEFORMAT </w:instrText>
        </w:r>
        <w:r>
          <w:fldChar w:fldCharType="separate"/>
        </w:r>
        <w:r w:rsidR="00E736A2">
          <w:rPr>
            <w:noProof/>
          </w:rPr>
          <w:t>1</w:t>
        </w:r>
        <w:r>
          <w:rPr>
            <w:noProof/>
          </w:rPr>
          <w:fldChar w:fldCharType="end"/>
        </w:r>
      </w:p>
    </w:sdtContent>
  </w:sdt>
  <w:p w14:paraId="08D49546" w14:textId="77777777" w:rsidR="0072497C" w:rsidRDefault="00724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0A73" w14:textId="77777777" w:rsidR="0072497C" w:rsidRDefault="00724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8204" w14:textId="77777777" w:rsidR="0072497C" w:rsidRDefault="0072497C">
      <w:r>
        <w:separator/>
      </w:r>
    </w:p>
  </w:footnote>
  <w:footnote w:type="continuationSeparator" w:id="0">
    <w:p w14:paraId="3C39AFE1" w14:textId="77777777" w:rsidR="0072497C" w:rsidRDefault="0072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2135" w14:textId="77777777" w:rsidR="0072497C" w:rsidRDefault="00724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EF1A" w14:textId="77777777" w:rsidR="0072497C" w:rsidRDefault="00724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CDFF" w14:textId="77777777" w:rsidR="0072497C" w:rsidRDefault="00724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654E07"/>
    <w:multiLevelType w:val="hybridMultilevel"/>
    <w:tmpl w:val="6444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8728E"/>
    <w:multiLevelType w:val="hybridMultilevel"/>
    <w:tmpl w:val="F37A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A6E7C"/>
    <w:multiLevelType w:val="hybridMultilevel"/>
    <w:tmpl w:val="F454CBA2"/>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AD45AC"/>
    <w:multiLevelType w:val="hybridMultilevel"/>
    <w:tmpl w:val="574C88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A7B434B"/>
    <w:multiLevelType w:val="hybridMultilevel"/>
    <w:tmpl w:val="A96E8B7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D7560A7"/>
    <w:multiLevelType w:val="hybridMultilevel"/>
    <w:tmpl w:val="664288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4A06212"/>
    <w:multiLevelType w:val="hybridMultilevel"/>
    <w:tmpl w:val="4D60B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8933FE"/>
    <w:multiLevelType w:val="hybridMultilevel"/>
    <w:tmpl w:val="D94237DA"/>
    <w:lvl w:ilvl="0" w:tplc="F932A42C">
      <w:start w:val="4"/>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11"/>
  </w:num>
  <w:num w:numId="10">
    <w:abstractNumId w:val="8"/>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5A"/>
    <w:rsid w:val="00003F5A"/>
    <w:rsid w:val="00005761"/>
    <w:rsid w:val="0002261D"/>
    <w:rsid w:val="00074048"/>
    <w:rsid w:val="000D4B68"/>
    <w:rsid w:val="00100522"/>
    <w:rsid w:val="00104C8A"/>
    <w:rsid w:val="00131E42"/>
    <w:rsid w:val="00137FE2"/>
    <w:rsid w:val="00171760"/>
    <w:rsid w:val="00191EB6"/>
    <w:rsid w:val="00196ACA"/>
    <w:rsid w:val="00196E97"/>
    <w:rsid w:val="001B2EFC"/>
    <w:rsid w:val="001E349A"/>
    <w:rsid w:val="001F3FFA"/>
    <w:rsid w:val="002004EB"/>
    <w:rsid w:val="00260102"/>
    <w:rsid w:val="00264072"/>
    <w:rsid w:val="00265FF6"/>
    <w:rsid w:val="0026639B"/>
    <w:rsid w:val="00280050"/>
    <w:rsid w:val="003117A4"/>
    <w:rsid w:val="00357E24"/>
    <w:rsid w:val="003E52F1"/>
    <w:rsid w:val="004417D9"/>
    <w:rsid w:val="00442D6F"/>
    <w:rsid w:val="00464ED7"/>
    <w:rsid w:val="00467CF1"/>
    <w:rsid w:val="00485ED6"/>
    <w:rsid w:val="005423C9"/>
    <w:rsid w:val="005435FA"/>
    <w:rsid w:val="005442FD"/>
    <w:rsid w:val="00585E64"/>
    <w:rsid w:val="0059121A"/>
    <w:rsid w:val="005A266B"/>
    <w:rsid w:val="005E6705"/>
    <w:rsid w:val="006143F2"/>
    <w:rsid w:val="00643DE7"/>
    <w:rsid w:val="00646757"/>
    <w:rsid w:val="00657114"/>
    <w:rsid w:val="00670077"/>
    <w:rsid w:val="00723413"/>
    <w:rsid w:val="0072497C"/>
    <w:rsid w:val="00732A99"/>
    <w:rsid w:val="007857FB"/>
    <w:rsid w:val="00792414"/>
    <w:rsid w:val="00793E9B"/>
    <w:rsid w:val="0079797C"/>
    <w:rsid w:val="00821410"/>
    <w:rsid w:val="008248D1"/>
    <w:rsid w:val="0085728C"/>
    <w:rsid w:val="0088741D"/>
    <w:rsid w:val="008E65E7"/>
    <w:rsid w:val="00930568"/>
    <w:rsid w:val="009438A6"/>
    <w:rsid w:val="00995554"/>
    <w:rsid w:val="00996E8C"/>
    <w:rsid w:val="00A55E5E"/>
    <w:rsid w:val="00A71437"/>
    <w:rsid w:val="00A76C5D"/>
    <w:rsid w:val="00AD1C25"/>
    <w:rsid w:val="00B35374"/>
    <w:rsid w:val="00B3795E"/>
    <w:rsid w:val="00B405D2"/>
    <w:rsid w:val="00BD04F3"/>
    <w:rsid w:val="00BD4136"/>
    <w:rsid w:val="00BF0BF8"/>
    <w:rsid w:val="00C21D88"/>
    <w:rsid w:val="00C24BBF"/>
    <w:rsid w:val="00C534B4"/>
    <w:rsid w:val="00C80CE2"/>
    <w:rsid w:val="00C87CCA"/>
    <w:rsid w:val="00CE2F76"/>
    <w:rsid w:val="00D04C4D"/>
    <w:rsid w:val="00D21C56"/>
    <w:rsid w:val="00D24059"/>
    <w:rsid w:val="00D66ADD"/>
    <w:rsid w:val="00DB3BB9"/>
    <w:rsid w:val="00E20445"/>
    <w:rsid w:val="00E21509"/>
    <w:rsid w:val="00E5007A"/>
    <w:rsid w:val="00E50BC7"/>
    <w:rsid w:val="00E736A2"/>
    <w:rsid w:val="00EE49E5"/>
    <w:rsid w:val="00F14D6C"/>
    <w:rsid w:val="00F316C0"/>
    <w:rsid w:val="00F81E72"/>
    <w:rsid w:val="00FA745D"/>
    <w:rsid w:val="00FA7597"/>
    <w:rsid w:val="00FB0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5A"/>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003F5A"/>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C87CCA"/>
    <w:pPr>
      <w:keepNext/>
      <w:keepLines/>
      <w:spacing w:before="4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3F5A"/>
    <w:rPr>
      <w:rFonts w:ascii="Arial" w:eastAsia="Times New Roman" w:hAnsi="Arial"/>
      <w:b/>
      <w:bCs/>
      <w:szCs w:val="28"/>
      <w:lang w:eastAsia="en-AU"/>
    </w:rPr>
  </w:style>
  <w:style w:type="character" w:styleId="Hyperlink">
    <w:name w:val="Hyperlink"/>
    <w:basedOn w:val="DefaultParagraphFont"/>
    <w:uiPriority w:val="99"/>
    <w:rsid w:val="00003F5A"/>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003F5A"/>
    <w:pPr>
      <w:ind w:left="720"/>
      <w:contextualSpacing/>
    </w:pPr>
  </w:style>
  <w:style w:type="paragraph" w:styleId="Footer">
    <w:name w:val="footer"/>
    <w:basedOn w:val="Normal"/>
    <w:link w:val="FooterChar"/>
    <w:uiPriority w:val="99"/>
    <w:rsid w:val="00003F5A"/>
    <w:pPr>
      <w:tabs>
        <w:tab w:val="center" w:pos="4513"/>
        <w:tab w:val="right" w:pos="9026"/>
      </w:tabs>
    </w:pPr>
  </w:style>
  <w:style w:type="character" w:customStyle="1" w:styleId="FooterChar">
    <w:name w:val="Footer Char"/>
    <w:basedOn w:val="DefaultParagraphFont"/>
    <w:link w:val="Footer"/>
    <w:uiPriority w:val="99"/>
    <w:rsid w:val="00003F5A"/>
    <w:rPr>
      <w:rFonts w:eastAsia="Times New Roman"/>
      <w:szCs w:val="20"/>
      <w:lang w:eastAsia="en-AU"/>
    </w:rPr>
  </w:style>
  <w:style w:type="paragraph" w:customStyle="1" w:styleId="Default">
    <w:name w:val="Default"/>
    <w:rsid w:val="00003F5A"/>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003F5A"/>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003F5A"/>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003F5A"/>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003F5A"/>
    <w:rPr>
      <w:rFonts w:ascii="Arial" w:eastAsia="Times New Roman" w:hAnsi="Arial" w:cs="Arial"/>
      <w:b/>
      <w:bCs/>
      <w:i/>
      <w:color w:val="000080"/>
      <w:sz w:val="28"/>
      <w:szCs w:val="28"/>
      <w:lang w:eastAsia="en-AU"/>
    </w:rPr>
  </w:style>
  <w:style w:type="table" w:styleId="TableGrid">
    <w:name w:val="Table Grid"/>
    <w:aliases w:val="Summary box"/>
    <w:basedOn w:val="TableNormal"/>
    <w:uiPriority w:val="59"/>
    <w:rsid w:val="00003F5A"/>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5423C9"/>
    <w:rPr>
      <w:rFonts w:eastAsia="Times New Roman"/>
      <w:szCs w:val="20"/>
      <w:lang w:eastAsia="en-AU"/>
    </w:rPr>
  </w:style>
  <w:style w:type="paragraph" w:customStyle="1" w:styleId="NormalBeforeBullet">
    <w:name w:val="NormalBeforeBullet"/>
    <w:basedOn w:val="Normal"/>
    <w:qFormat/>
    <w:rsid w:val="005423C9"/>
    <w:pPr>
      <w:keepNext/>
      <w:spacing w:after="120"/>
    </w:pPr>
    <w:rPr>
      <w:rFonts w:eastAsiaTheme="minorHAnsi" w:cstheme="minorBidi"/>
      <w:szCs w:val="22"/>
      <w:lang w:eastAsia="en-US"/>
    </w:rPr>
  </w:style>
  <w:style w:type="paragraph" w:styleId="BalloonText">
    <w:name w:val="Balloon Text"/>
    <w:basedOn w:val="Normal"/>
    <w:link w:val="BalloonTextChar"/>
    <w:uiPriority w:val="99"/>
    <w:semiHidden/>
    <w:unhideWhenUsed/>
    <w:rsid w:val="00D04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C4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793E9B"/>
    <w:rPr>
      <w:color w:val="954F72" w:themeColor="followedHyperlink"/>
      <w:u w:val="single"/>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87CC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C87CCA"/>
    <w:rPr>
      <w:rFonts w:ascii="Arial Narrow" w:eastAsia="Times New Roman" w:hAnsi="Arial Narrow" w:cs="Arial"/>
      <w:b/>
      <w:bCs/>
      <w:iCs/>
      <w:sz w:val="20"/>
      <w:szCs w:val="20"/>
    </w:rPr>
  </w:style>
  <w:style w:type="paragraph" w:customStyle="1" w:styleId="TablesTHEMA">
    <w:name w:val="Tables_THEMA"/>
    <w:basedOn w:val="Normal"/>
    <w:qFormat/>
    <w:rsid w:val="00C87CCA"/>
    <w:pPr>
      <w:keepNext/>
      <w:keepLines/>
      <w:spacing w:after="120"/>
    </w:pPr>
    <w:rPr>
      <w:rFonts w:ascii="Arial" w:eastAsia="Calibri" w:hAnsi="Arial" w:cs="Arial"/>
      <w:sz w:val="18"/>
      <w:szCs w:val="22"/>
      <w:lang w:eastAsia="en-US"/>
    </w:rPr>
  </w:style>
  <w:style w:type="character" w:styleId="CommentReference">
    <w:name w:val="annotation reference"/>
    <w:basedOn w:val="DefaultParagraphFont"/>
    <w:uiPriority w:val="99"/>
    <w:semiHidden/>
    <w:unhideWhenUsed/>
    <w:rsid w:val="00C87CCA"/>
    <w:rPr>
      <w:sz w:val="16"/>
      <w:szCs w:val="16"/>
    </w:rPr>
  </w:style>
  <w:style w:type="paragraph" w:styleId="CommentText">
    <w:name w:val="annotation text"/>
    <w:basedOn w:val="Normal"/>
    <w:link w:val="CommentTextChar"/>
    <w:uiPriority w:val="99"/>
    <w:semiHidden/>
    <w:unhideWhenUsed/>
    <w:rsid w:val="00C87CCA"/>
    <w:rPr>
      <w:sz w:val="20"/>
    </w:rPr>
  </w:style>
  <w:style w:type="character" w:customStyle="1" w:styleId="CommentTextChar">
    <w:name w:val="Comment Text Char"/>
    <w:basedOn w:val="DefaultParagraphFont"/>
    <w:link w:val="CommentText"/>
    <w:uiPriority w:val="99"/>
    <w:semiHidden/>
    <w:rsid w:val="00C87CCA"/>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87CCA"/>
    <w:rPr>
      <w:b/>
      <w:bCs/>
    </w:rPr>
  </w:style>
  <w:style w:type="character" w:customStyle="1" w:styleId="CommentSubjectChar">
    <w:name w:val="Comment Subject Char"/>
    <w:basedOn w:val="CommentTextChar"/>
    <w:link w:val="CommentSubject"/>
    <w:uiPriority w:val="99"/>
    <w:semiHidden/>
    <w:rsid w:val="00C87CCA"/>
    <w:rPr>
      <w:rFonts w:eastAsia="Times New Roman"/>
      <w:b/>
      <w:bCs/>
      <w:sz w:val="20"/>
      <w:szCs w:val="20"/>
      <w:lang w:eastAsia="en-AU"/>
    </w:rPr>
  </w:style>
  <w:style w:type="character" w:customStyle="1" w:styleId="Heading2Char">
    <w:name w:val="Heading 2 Char"/>
    <w:basedOn w:val="DefaultParagraphFont"/>
    <w:link w:val="Heading2"/>
    <w:uiPriority w:val="9"/>
    <w:rsid w:val="00C87CCA"/>
    <w:rPr>
      <w:rFonts w:eastAsiaTheme="majorEastAsia" w:cstheme="majorBidi"/>
      <w:i/>
      <w:szCs w:val="26"/>
      <w:lang w:eastAsia="en-AU"/>
    </w:rPr>
  </w:style>
  <w:style w:type="paragraph" w:styleId="NormalWeb">
    <w:name w:val="Normal (Web)"/>
    <w:basedOn w:val="Normal"/>
    <w:uiPriority w:val="99"/>
    <w:unhideWhenUsed/>
    <w:rsid w:val="00464ED7"/>
    <w:rPr>
      <w:szCs w:val="24"/>
    </w:rPr>
  </w:style>
  <w:style w:type="paragraph" w:customStyle="1" w:styleId="TableText">
    <w:name w:val="TableText"/>
    <w:basedOn w:val="Normal"/>
    <w:rsid w:val="00464ED7"/>
    <w:pPr>
      <w:keepNext/>
      <w:spacing w:before="60" w:after="60"/>
    </w:pPr>
    <w:rPr>
      <w:color w:val="000000"/>
      <w:sz w:val="21"/>
      <w:szCs w:val="21"/>
    </w:rPr>
  </w:style>
  <w:style w:type="paragraph" w:customStyle="1" w:styleId="TableHeading">
    <w:name w:val="TableHeading"/>
    <w:basedOn w:val="TableText"/>
    <w:rsid w:val="00464ED7"/>
    <w:rPr>
      <w:b/>
      <w:bCs/>
    </w:rPr>
  </w:style>
  <w:style w:type="paragraph" w:customStyle="1" w:styleId="BulletBeforeDash">
    <w:name w:val="BulletBeforeDash"/>
    <w:basedOn w:val="Normal"/>
    <w:rsid w:val="00464ED7"/>
    <w:pPr>
      <w:numPr>
        <w:numId w:val="9"/>
      </w:numPr>
      <w:ind w:left="720"/>
    </w:pPr>
    <w:rPr>
      <w:color w:val="000000"/>
    </w:rPr>
  </w:style>
  <w:style w:type="paragraph" w:customStyle="1" w:styleId="Bullet">
    <w:name w:val="Bullet"/>
    <w:basedOn w:val="BulletBeforeDash"/>
    <w:qFormat/>
    <w:rsid w:val="00464ED7"/>
    <w:pPr>
      <w:spacing w:after="120"/>
    </w:pPr>
  </w:style>
  <w:style w:type="paragraph" w:customStyle="1" w:styleId="BulletLast">
    <w:name w:val="BulletLast"/>
    <w:basedOn w:val="Bullet"/>
    <w:qFormat/>
    <w:rsid w:val="00464ED7"/>
    <w:pPr>
      <w:spacing w:after="240"/>
    </w:pPr>
  </w:style>
  <w:style w:type="paragraph" w:styleId="Header">
    <w:name w:val="header"/>
    <w:basedOn w:val="Normal"/>
    <w:link w:val="HeaderChar"/>
    <w:uiPriority w:val="99"/>
    <w:unhideWhenUsed/>
    <w:rsid w:val="00670077"/>
    <w:pPr>
      <w:tabs>
        <w:tab w:val="center" w:pos="4513"/>
        <w:tab w:val="right" w:pos="9026"/>
      </w:tabs>
    </w:pPr>
  </w:style>
  <w:style w:type="character" w:customStyle="1" w:styleId="HeaderChar">
    <w:name w:val="Header Char"/>
    <w:basedOn w:val="DefaultParagraphFont"/>
    <w:link w:val="Header"/>
    <w:uiPriority w:val="99"/>
    <w:rsid w:val="00670077"/>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1466-Public" TargetMode="External"/><Relationship Id="rId18" Type="http://schemas.openxmlformats.org/officeDocument/2006/relationships/hyperlink" Target="http://www.msac.gov.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msac.gov.au/internet/msac/publishing.nsf/Content/1466-Public" TargetMode="External"/><Relationship Id="rId17" Type="http://schemas.openxmlformats.org/officeDocument/2006/relationships/hyperlink" Target="http://www.msac.gov.au/internet/msac/publishing.nsf/Content/1466-Publi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sac.gov.au/internet/msac/publishing.nsf/Content/1466-Public" TargetMode="External"/><Relationship Id="rId20" Type="http://schemas.openxmlformats.org/officeDocument/2006/relationships/header" Target="header2.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c.gov.au/internet/msac/publishing.nsf/Content/1466-Public"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msac.gov.au/internet/msac/publishing.nsf/Content/1466-Public" TargetMode="External"/><Relationship Id="rId23" Type="http://schemas.openxmlformats.org/officeDocument/2006/relationships/header" Target="header3.xml"/><Relationship Id="rId10" Type="http://schemas.openxmlformats.org/officeDocument/2006/relationships/hyperlink" Target="http://www.msac.gov.au/internet/msac/publishing.nsf/Content/1466-Public"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msac.gov.au/internet/msac/publishing.nsf/Content/1466-Public" TargetMode="External"/><Relationship Id="rId14" Type="http://schemas.openxmlformats.org/officeDocument/2006/relationships/hyperlink" Target="http://www.msac.gov.au/internet/msac/publishing.nsf/Content/1466-Publi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7795</Words>
  <Characters>44434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1466 Final PSD_Apr2020</dc:title>
  <dc:subject/>
  <dc:creator/>
  <cp:keywords/>
  <dc:description/>
  <cp:lastModifiedBy/>
  <cp:revision>1</cp:revision>
  <dcterms:created xsi:type="dcterms:W3CDTF">2020-05-21T03:28:00Z</dcterms:created>
  <dcterms:modified xsi:type="dcterms:W3CDTF">2020-06-19T01:09:00Z</dcterms:modified>
</cp:coreProperties>
</file>